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5E9B8">
      <w:pPr>
        <w:ind w:firstLine="0" w:firstLineChars="0"/>
        <w:jc w:val="both"/>
        <w:rPr>
          <w:rFonts w:cs="Times New Roman"/>
        </w:rPr>
      </w:pPr>
    </w:p>
    <w:p w14:paraId="10C42CBC">
      <w:pPr>
        <w:ind w:firstLine="0" w:firstLineChars="0"/>
        <w:jc w:val="both"/>
        <w:rPr>
          <w:rFonts w:cs="Times New Roman"/>
        </w:rPr>
      </w:pPr>
    </w:p>
    <w:p w14:paraId="50F4E98F">
      <w:pPr>
        <w:ind w:firstLine="0" w:firstLineChars="0"/>
        <w:jc w:val="both"/>
        <w:rPr>
          <w:rFonts w:cs="Times New Roman"/>
        </w:rPr>
      </w:pPr>
    </w:p>
    <w:p w14:paraId="5EB0F4CE">
      <w:pPr>
        <w:ind w:firstLine="0" w:firstLineChars="0"/>
        <w:jc w:val="both"/>
        <w:rPr>
          <w:rFonts w:cs="Times New Roman"/>
        </w:rPr>
      </w:pPr>
    </w:p>
    <w:p w14:paraId="45AC6537">
      <w:pPr>
        <w:ind w:firstLine="0" w:firstLineChars="0"/>
        <w:jc w:val="both"/>
        <w:rPr>
          <w:rFonts w:cs="Times New Roman"/>
        </w:rPr>
      </w:pPr>
    </w:p>
    <w:p w14:paraId="01B3DBC8">
      <w:pPr>
        <w:adjustRightInd w:val="0"/>
        <w:snapToGrid w:val="0"/>
        <w:spacing w:line="240" w:lineRule="auto"/>
        <w:ind w:firstLine="0" w:firstLineChars="0"/>
        <w:jc w:val="center"/>
        <w:outlineLvl w:val="0"/>
        <w:rPr>
          <w:rFonts w:eastAsia="方正小标宋_GBK" w:cs="Times New Roman"/>
          <w:bCs/>
          <w:sz w:val="72"/>
          <w:szCs w:val="72"/>
        </w:rPr>
      </w:pPr>
      <w:bookmarkStart w:id="0" w:name="_Toc11556"/>
      <w:bookmarkStart w:id="1" w:name="_Toc5769"/>
      <w:bookmarkStart w:id="2" w:name="_Toc16709"/>
      <w:r>
        <w:rPr>
          <w:rFonts w:eastAsia="方正小标宋_GBK" w:cs="Times New Roman"/>
          <w:bCs/>
          <w:sz w:val="72"/>
          <w:szCs w:val="72"/>
        </w:rPr>
        <w:t>建设项目环境影响报告表</w:t>
      </w:r>
      <w:bookmarkEnd w:id="0"/>
      <w:bookmarkEnd w:id="1"/>
      <w:bookmarkEnd w:id="2"/>
    </w:p>
    <w:p w14:paraId="6C03313D">
      <w:pPr>
        <w:ind w:firstLine="0" w:firstLineChars="0"/>
        <w:jc w:val="center"/>
        <w:rPr>
          <w:rFonts w:eastAsia="楷体_GB2312" w:cs="Times New Roman"/>
          <w:bCs/>
          <w:sz w:val="48"/>
          <w:szCs w:val="48"/>
        </w:rPr>
      </w:pPr>
      <w:r>
        <w:rPr>
          <w:rFonts w:eastAsia="楷体_GB2312" w:cs="Times New Roman"/>
          <w:bCs/>
          <w:sz w:val="48"/>
          <w:szCs w:val="48"/>
        </w:rPr>
        <w:t>（污染影响类）</w:t>
      </w:r>
    </w:p>
    <w:p w14:paraId="5184EA19">
      <w:pPr>
        <w:ind w:firstLine="0" w:firstLineChars="0"/>
        <w:jc w:val="center"/>
        <w:rPr>
          <w:rFonts w:eastAsia="楷体_GB2312" w:cs="Times New Roman"/>
          <w:bCs/>
          <w:sz w:val="48"/>
          <w:szCs w:val="48"/>
        </w:rPr>
      </w:pPr>
    </w:p>
    <w:p w14:paraId="73159214">
      <w:pPr>
        <w:ind w:firstLine="0" w:firstLineChars="0"/>
        <w:jc w:val="center"/>
        <w:rPr>
          <w:rFonts w:eastAsia="楷体_GB2312" w:cs="Times New Roman"/>
          <w:bCs/>
          <w:sz w:val="48"/>
          <w:szCs w:val="48"/>
        </w:rPr>
      </w:pPr>
    </w:p>
    <w:p w14:paraId="1D91F0AB">
      <w:pPr>
        <w:ind w:firstLine="0" w:firstLineChars="0"/>
        <w:jc w:val="center"/>
        <w:rPr>
          <w:rFonts w:eastAsia="楷体_GB2312" w:cs="Times New Roman"/>
          <w:bCs/>
          <w:sz w:val="48"/>
          <w:szCs w:val="48"/>
        </w:rPr>
      </w:pPr>
    </w:p>
    <w:p w14:paraId="02CA9D14">
      <w:pPr>
        <w:ind w:firstLine="0" w:firstLineChars="0"/>
        <w:jc w:val="center"/>
        <w:rPr>
          <w:rFonts w:eastAsia="楷体_GB2312" w:cs="Times New Roman"/>
          <w:bCs/>
          <w:sz w:val="48"/>
          <w:szCs w:val="48"/>
        </w:rPr>
      </w:pPr>
    </w:p>
    <w:p w14:paraId="31F8AA49">
      <w:pPr>
        <w:ind w:firstLine="0" w:firstLineChars="0"/>
        <w:jc w:val="center"/>
        <w:rPr>
          <w:rFonts w:eastAsia="楷体_GB2312" w:cs="Times New Roman"/>
          <w:bCs/>
          <w:sz w:val="48"/>
          <w:szCs w:val="48"/>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4"/>
        <w:gridCol w:w="5858"/>
      </w:tblGrid>
      <w:tr w14:paraId="4B4CCF5D">
        <w:tc>
          <w:tcPr>
            <w:tcW w:w="2965" w:type="dxa"/>
            <w:tcBorders>
              <w:top w:val="nil"/>
              <w:left w:val="nil"/>
              <w:bottom w:val="nil"/>
              <w:right w:val="nil"/>
            </w:tcBorders>
          </w:tcPr>
          <w:p w14:paraId="2BA977D5">
            <w:pPr>
              <w:spacing w:line="240" w:lineRule="auto"/>
              <w:ind w:firstLine="0" w:firstLineChars="0"/>
              <w:jc w:val="distribute"/>
              <w:rPr>
                <w:rFonts w:eastAsia="仿宋" w:cs="Times New Roman"/>
                <w:sz w:val="28"/>
                <w:szCs w:val="28"/>
              </w:rPr>
            </w:pPr>
            <w:r>
              <w:rPr>
                <w:rFonts w:eastAsia="仿宋_GB2312" w:cs="Times New Roman"/>
                <w:sz w:val="28"/>
                <w:szCs w:val="28"/>
              </w:rPr>
              <w:t>项目名称：</w:t>
            </w:r>
          </w:p>
        </w:tc>
        <w:tc>
          <w:tcPr>
            <w:tcW w:w="6732" w:type="dxa"/>
            <w:tcBorders>
              <w:top w:val="nil"/>
              <w:left w:val="nil"/>
              <w:bottom w:val="single" w:color="auto" w:sz="4" w:space="0"/>
              <w:right w:val="nil"/>
            </w:tcBorders>
          </w:tcPr>
          <w:p w14:paraId="1F66F189">
            <w:pPr>
              <w:spacing w:line="240" w:lineRule="auto"/>
              <w:ind w:firstLine="0" w:firstLineChars="0"/>
              <w:jc w:val="center"/>
              <w:rPr>
                <w:rFonts w:eastAsia="仿宋_GB2312" w:cs="Times New Roman"/>
                <w:sz w:val="28"/>
                <w:szCs w:val="28"/>
              </w:rPr>
            </w:pPr>
            <w:r>
              <w:rPr>
                <w:rFonts w:hint="eastAsia" w:eastAsia="仿宋_GB2312" w:cs="Times New Roman"/>
                <w:sz w:val="28"/>
                <w:szCs w:val="28"/>
              </w:rPr>
              <w:t>浙江三基色新材料有限公司新增注塑设备打样测试技改项目</w:t>
            </w:r>
          </w:p>
        </w:tc>
      </w:tr>
      <w:tr w14:paraId="045D2019">
        <w:tc>
          <w:tcPr>
            <w:tcW w:w="2965" w:type="dxa"/>
            <w:tcBorders>
              <w:top w:val="nil"/>
              <w:left w:val="nil"/>
              <w:bottom w:val="nil"/>
              <w:right w:val="nil"/>
            </w:tcBorders>
          </w:tcPr>
          <w:p w14:paraId="5CBBFE45">
            <w:pPr>
              <w:spacing w:line="240" w:lineRule="auto"/>
              <w:ind w:firstLine="0" w:firstLineChars="0"/>
              <w:jc w:val="distribute"/>
              <w:rPr>
                <w:rFonts w:eastAsia="仿宋" w:cs="Times New Roman"/>
                <w:sz w:val="28"/>
                <w:szCs w:val="28"/>
              </w:rPr>
            </w:pPr>
            <w:r>
              <w:rPr>
                <w:rFonts w:eastAsia="仿宋_GB2312" w:cs="Times New Roman"/>
                <w:sz w:val="28"/>
                <w:szCs w:val="28"/>
              </w:rPr>
              <w:t>建设单位（盖章）：</w:t>
            </w:r>
          </w:p>
        </w:tc>
        <w:tc>
          <w:tcPr>
            <w:tcW w:w="6732" w:type="dxa"/>
            <w:tcBorders>
              <w:top w:val="single" w:color="auto" w:sz="4" w:space="0"/>
              <w:left w:val="nil"/>
              <w:bottom w:val="single" w:color="auto" w:sz="4" w:space="0"/>
              <w:right w:val="nil"/>
            </w:tcBorders>
          </w:tcPr>
          <w:p w14:paraId="331694F4">
            <w:pPr>
              <w:spacing w:line="240" w:lineRule="auto"/>
              <w:ind w:firstLine="0" w:firstLineChars="0"/>
              <w:jc w:val="center"/>
              <w:rPr>
                <w:rFonts w:eastAsia="仿宋" w:cs="Times New Roman"/>
                <w:sz w:val="28"/>
                <w:szCs w:val="28"/>
              </w:rPr>
            </w:pPr>
            <w:r>
              <w:rPr>
                <w:rFonts w:hint="eastAsia" w:eastAsia="仿宋_GB2312" w:cs="Times New Roman"/>
                <w:sz w:val="28"/>
                <w:szCs w:val="28"/>
              </w:rPr>
              <w:t>浙江三基色新材料有限公司</w:t>
            </w:r>
          </w:p>
        </w:tc>
      </w:tr>
      <w:tr w14:paraId="52741512">
        <w:tc>
          <w:tcPr>
            <w:tcW w:w="2965" w:type="dxa"/>
            <w:tcBorders>
              <w:top w:val="nil"/>
              <w:left w:val="nil"/>
              <w:bottom w:val="nil"/>
              <w:right w:val="nil"/>
            </w:tcBorders>
          </w:tcPr>
          <w:p w14:paraId="03A50F31">
            <w:pPr>
              <w:spacing w:line="240" w:lineRule="auto"/>
              <w:ind w:firstLine="0" w:firstLineChars="0"/>
              <w:jc w:val="distribute"/>
              <w:rPr>
                <w:rFonts w:eastAsia="仿宋" w:cs="Times New Roman"/>
                <w:sz w:val="28"/>
                <w:szCs w:val="28"/>
              </w:rPr>
            </w:pPr>
            <w:r>
              <w:rPr>
                <w:rFonts w:eastAsia="仿宋_GB2312" w:cs="Times New Roman"/>
                <w:sz w:val="28"/>
                <w:szCs w:val="28"/>
              </w:rPr>
              <w:t>编制日期：</w:t>
            </w:r>
          </w:p>
        </w:tc>
        <w:tc>
          <w:tcPr>
            <w:tcW w:w="6732" w:type="dxa"/>
            <w:tcBorders>
              <w:top w:val="single" w:color="auto" w:sz="4" w:space="0"/>
              <w:left w:val="nil"/>
              <w:bottom w:val="single" w:color="auto" w:sz="4" w:space="0"/>
              <w:right w:val="nil"/>
            </w:tcBorders>
          </w:tcPr>
          <w:p w14:paraId="6E446F70">
            <w:pPr>
              <w:spacing w:line="240" w:lineRule="auto"/>
              <w:ind w:firstLine="0" w:firstLineChars="0"/>
              <w:jc w:val="center"/>
              <w:rPr>
                <w:rFonts w:eastAsia="仿宋" w:cs="Times New Roman"/>
                <w:sz w:val="28"/>
                <w:szCs w:val="28"/>
              </w:rPr>
            </w:pPr>
            <w:r>
              <w:rPr>
                <w:rFonts w:eastAsia="仿宋_GB2312" w:cs="Times New Roman"/>
                <w:sz w:val="28"/>
                <w:szCs w:val="28"/>
              </w:rPr>
              <w:t>202</w:t>
            </w:r>
            <w:r>
              <w:rPr>
                <w:rFonts w:hint="eastAsia" w:eastAsia="仿宋_GB2312" w:cs="Times New Roman"/>
                <w:sz w:val="28"/>
                <w:szCs w:val="28"/>
              </w:rPr>
              <w:t>6</w:t>
            </w:r>
            <w:r>
              <w:rPr>
                <w:rFonts w:eastAsia="仿宋_GB2312" w:cs="Times New Roman"/>
                <w:sz w:val="28"/>
                <w:szCs w:val="28"/>
              </w:rPr>
              <w:t>年</w:t>
            </w:r>
            <w:r>
              <w:rPr>
                <w:rFonts w:hint="eastAsia" w:eastAsia="仿宋_GB2312" w:cs="Times New Roman"/>
                <w:sz w:val="28"/>
                <w:szCs w:val="28"/>
                <w:lang w:val="en-US" w:eastAsia="zh-CN"/>
              </w:rPr>
              <w:t>7</w:t>
            </w:r>
            <w:r>
              <w:rPr>
                <w:rFonts w:eastAsia="仿宋_GB2312" w:cs="Times New Roman"/>
                <w:sz w:val="28"/>
                <w:szCs w:val="28"/>
              </w:rPr>
              <w:t>月</w:t>
            </w:r>
          </w:p>
        </w:tc>
      </w:tr>
    </w:tbl>
    <w:p w14:paraId="4A593745">
      <w:pPr>
        <w:ind w:firstLine="0" w:firstLineChars="0"/>
        <w:jc w:val="center"/>
        <w:rPr>
          <w:rFonts w:eastAsia="楷体_GB2312" w:cs="Times New Roman"/>
          <w:bCs/>
          <w:sz w:val="48"/>
          <w:szCs w:val="48"/>
        </w:rPr>
      </w:pPr>
    </w:p>
    <w:p w14:paraId="5BAA22D6">
      <w:pPr>
        <w:ind w:firstLine="0" w:firstLineChars="0"/>
        <w:jc w:val="center"/>
        <w:rPr>
          <w:rFonts w:eastAsia="楷体_GB2312" w:cs="Times New Roman"/>
          <w:bCs/>
          <w:sz w:val="48"/>
          <w:szCs w:val="48"/>
        </w:rPr>
      </w:pPr>
    </w:p>
    <w:p w14:paraId="2907649A">
      <w:pPr>
        <w:ind w:firstLine="0" w:firstLineChars="0"/>
        <w:jc w:val="center"/>
        <w:rPr>
          <w:rFonts w:eastAsia="楷体_GB2312" w:cs="Times New Roman"/>
          <w:sz w:val="36"/>
          <w:szCs w:val="36"/>
        </w:rPr>
        <w:sectPr>
          <w:pgSz w:w="11906" w:h="16838"/>
          <w:pgMar w:top="1440" w:right="1800" w:bottom="1440" w:left="1800" w:header="851" w:footer="992" w:gutter="0"/>
          <w:cols w:space="425" w:num="1"/>
          <w:docGrid w:type="lines" w:linePitch="312" w:charSpace="0"/>
        </w:sectPr>
      </w:pPr>
      <w:r>
        <w:rPr>
          <w:rFonts w:eastAsia="楷体_GB2312" w:cs="Times New Roman"/>
          <w:sz w:val="36"/>
          <w:szCs w:val="36"/>
        </w:rPr>
        <w:t>中华人民共和国生态环境部制</w:t>
      </w:r>
    </w:p>
    <w:sdt>
      <w:sdtPr>
        <w:rPr>
          <w:rFonts w:hint="eastAsia" w:ascii="黑体" w:hAnsi="黑体" w:eastAsia="黑体" w:cs="黑体"/>
          <w:sz w:val="28"/>
          <w:szCs w:val="22"/>
        </w:rPr>
        <w:id w:val="147460056"/>
        <w15:color w:val="DBDBDB"/>
        <w:docPartObj>
          <w:docPartGallery w:val="Table of Contents"/>
          <w:docPartUnique/>
        </w:docPartObj>
      </w:sdtPr>
      <w:sdtEndPr>
        <w:rPr>
          <w:rFonts w:hint="eastAsia" w:ascii="Times New Roman" w:hAnsi="Times New Roman" w:eastAsia="楷体_GB2312" w:cs="Times New Roman"/>
          <w:sz w:val="24"/>
          <w:szCs w:val="36"/>
        </w:rPr>
      </w:sdtEndPr>
      <w:sdtContent>
        <w:p w14:paraId="1BAB4143">
          <w:pPr>
            <w:spacing w:line="240" w:lineRule="auto"/>
            <w:ind w:firstLine="0" w:firstLineChars="0"/>
            <w:jc w:val="center"/>
            <w:rPr>
              <w:rFonts w:hint="eastAsia" w:ascii="黑体" w:hAnsi="黑体" w:eastAsia="黑体" w:cs="黑体"/>
              <w:sz w:val="36"/>
              <w:szCs w:val="22"/>
            </w:rPr>
          </w:pPr>
          <w:r>
            <w:rPr>
              <w:rFonts w:hint="eastAsia" w:ascii="黑体" w:hAnsi="黑体" w:eastAsia="黑体" w:cs="黑体"/>
              <w:sz w:val="28"/>
              <w:szCs w:val="22"/>
            </w:rPr>
            <w:t>目 录</w:t>
          </w:r>
        </w:p>
        <w:p w14:paraId="13F36E9A">
          <w:pPr>
            <w:pStyle w:val="8"/>
            <w:tabs>
              <w:tab w:val="right" w:leader="dot" w:pos="8306"/>
            </w:tabs>
            <w:ind w:firstLine="0" w:firstLineChars="0"/>
          </w:pPr>
          <w:r>
            <w:rPr>
              <w:rFonts w:eastAsia="楷体_GB2312" w:cs="Times New Roman"/>
              <w:sz w:val="36"/>
              <w:szCs w:val="36"/>
            </w:rPr>
            <w:fldChar w:fldCharType="begin"/>
          </w:r>
          <w:r>
            <w:rPr>
              <w:rFonts w:eastAsia="楷体_GB2312" w:cs="Times New Roman"/>
              <w:sz w:val="36"/>
              <w:szCs w:val="36"/>
            </w:rPr>
            <w:instrText xml:space="preserve">TOC \o "1-1" \h \u </w:instrText>
          </w:r>
          <w:r>
            <w:rPr>
              <w:rFonts w:eastAsia="楷体_GB2312" w:cs="Times New Roman"/>
              <w:sz w:val="36"/>
              <w:szCs w:val="36"/>
            </w:rPr>
            <w:fldChar w:fldCharType="separate"/>
          </w:r>
          <w:r>
            <w:fldChar w:fldCharType="begin"/>
          </w:r>
          <w:r>
            <w:instrText xml:space="preserve"> HYPERLINK \l "_Toc4759" </w:instrText>
          </w:r>
          <w:r>
            <w:fldChar w:fldCharType="separate"/>
          </w:r>
          <w:r>
            <w:rPr>
              <w:rFonts w:hint="eastAsia"/>
            </w:rPr>
            <w:t>一、 建设项目基本情况</w:t>
          </w:r>
          <w:r>
            <w:tab/>
          </w:r>
          <w:r>
            <w:fldChar w:fldCharType="begin"/>
          </w:r>
          <w:r>
            <w:instrText xml:space="preserve"> PAGEREF _Toc4759 \h </w:instrText>
          </w:r>
          <w:r>
            <w:fldChar w:fldCharType="separate"/>
          </w:r>
          <w:r>
            <w:t>2</w:t>
          </w:r>
          <w:r>
            <w:fldChar w:fldCharType="end"/>
          </w:r>
          <w:r>
            <w:fldChar w:fldCharType="end"/>
          </w:r>
        </w:p>
        <w:p w14:paraId="7CE6B374">
          <w:pPr>
            <w:pStyle w:val="8"/>
            <w:tabs>
              <w:tab w:val="right" w:leader="dot" w:pos="8306"/>
            </w:tabs>
            <w:ind w:firstLine="0" w:firstLineChars="0"/>
          </w:pPr>
          <w:r>
            <w:fldChar w:fldCharType="begin"/>
          </w:r>
          <w:r>
            <w:instrText xml:space="preserve"> HYPERLINK \l "_Toc18275" </w:instrText>
          </w:r>
          <w:r>
            <w:fldChar w:fldCharType="separate"/>
          </w:r>
          <w:r>
            <w:rPr>
              <w:rFonts w:hint="eastAsia"/>
            </w:rPr>
            <w:t>二、 建设项目工程分析</w:t>
          </w:r>
          <w:r>
            <w:tab/>
          </w:r>
          <w:r>
            <w:fldChar w:fldCharType="begin"/>
          </w:r>
          <w:r>
            <w:instrText xml:space="preserve"> PAGEREF _Toc18275 \h </w:instrText>
          </w:r>
          <w:r>
            <w:fldChar w:fldCharType="separate"/>
          </w:r>
          <w:r>
            <w:t>24</w:t>
          </w:r>
          <w:r>
            <w:fldChar w:fldCharType="end"/>
          </w:r>
          <w:r>
            <w:fldChar w:fldCharType="end"/>
          </w:r>
        </w:p>
        <w:p w14:paraId="397F5B1B">
          <w:pPr>
            <w:pStyle w:val="8"/>
            <w:tabs>
              <w:tab w:val="right" w:leader="dot" w:pos="8306"/>
            </w:tabs>
            <w:ind w:firstLine="0" w:firstLineChars="0"/>
          </w:pPr>
          <w:r>
            <w:fldChar w:fldCharType="begin"/>
          </w:r>
          <w:r>
            <w:instrText xml:space="preserve"> HYPERLINK \l "_Toc19366" </w:instrText>
          </w:r>
          <w:r>
            <w:fldChar w:fldCharType="separate"/>
          </w:r>
          <w:r>
            <w:rPr>
              <w:rFonts w:hint="eastAsia"/>
            </w:rPr>
            <w:t>三、 区域环境质量现状、环境保护目标及评价标准</w:t>
          </w:r>
          <w:r>
            <w:tab/>
          </w:r>
          <w:r>
            <w:fldChar w:fldCharType="begin"/>
          </w:r>
          <w:r>
            <w:instrText xml:space="preserve"> PAGEREF _Toc19366 \h </w:instrText>
          </w:r>
          <w:r>
            <w:fldChar w:fldCharType="separate"/>
          </w:r>
          <w:r>
            <w:t>42</w:t>
          </w:r>
          <w:r>
            <w:fldChar w:fldCharType="end"/>
          </w:r>
          <w:r>
            <w:fldChar w:fldCharType="end"/>
          </w:r>
        </w:p>
        <w:p w14:paraId="65D6FF49">
          <w:pPr>
            <w:pStyle w:val="8"/>
            <w:tabs>
              <w:tab w:val="right" w:leader="dot" w:pos="8306"/>
            </w:tabs>
            <w:ind w:firstLine="0" w:firstLineChars="0"/>
          </w:pPr>
          <w:r>
            <w:fldChar w:fldCharType="begin"/>
          </w:r>
          <w:r>
            <w:instrText xml:space="preserve"> HYPERLINK \l "_Toc16404" </w:instrText>
          </w:r>
          <w:r>
            <w:fldChar w:fldCharType="separate"/>
          </w:r>
          <w:r>
            <w:rPr>
              <w:rFonts w:hint="eastAsia"/>
            </w:rPr>
            <w:t>四、 主要环境影响和保护措施</w:t>
          </w:r>
          <w:r>
            <w:tab/>
          </w:r>
          <w:r>
            <w:fldChar w:fldCharType="begin"/>
          </w:r>
          <w:r>
            <w:instrText xml:space="preserve"> PAGEREF _Toc16404 \h </w:instrText>
          </w:r>
          <w:r>
            <w:fldChar w:fldCharType="separate"/>
          </w:r>
          <w:r>
            <w:t>49</w:t>
          </w:r>
          <w:r>
            <w:fldChar w:fldCharType="end"/>
          </w:r>
          <w:r>
            <w:fldChar w:fldCharType="end"/>
          </w:r>
        </w:p>
        <w:p w14:paraId="040C839E">
          <w:pPr>
            <w:pStyle w:val="8"/>
            <w:tabs>
              <w:tab w:val="right" w:leader="dot" w:pos="8306"/>
            </w:tabs>
            <w:ind w:firstLine="0" w:firstLineChars="0"/>
          </w:pPr>
          <w:r>
            <w:fldChar w:fldCharType="begin"/>
          </w:r>
          <w:r>
            <w:instrText xml:space="preserve"> HYPERLINK \l "_Toc25495" </w:instrText>
          </w:r>
          <w:r>
            <w:fldChar w:fldCharType="separate"/>
          </w:r>
          <w:r>
            <w:rPr>
              <w:rFonts w:hint="eastAsia"/>
            </w:rPr>
            <w:t>五、 环境保护措施监督检查清单</w:t>
          </w:r>
          <w:r>
            <w:tab/>
          </w:r>
          <w:r>
            <w:fldChar w:fldCharType="begin"/>
          </w:r>
          <w:r>
            <w:instrText xml:space="preserve"> PAGEREF _Toc25495 \h </w:instrText>
          </w:r>
          <w:r>
            <w:fldChar w:fldCharType="separate"/>
          </w:r>
          <w:r>
            <w:t>65</w:t>
          </w:r>
          <w:r>
            <w:fldChar w:fldCharType="end"/>
          </w:r>
          <w:r>
            <w:fldChar w:fldCharType="end"/>
          </w:r>
        </w:p>
        <w:p w14:paraId="6F21EDAE">
          <w:pPr>
            <w:pStyle w:val="8"/>
            <w:tabs>
              <w:tab w:val="right" w:leader="dot" w:pos="8306"/>
            </w:tabs>
            <w:ind w:firstLine="0" w:firstLineChars="0"/>
          </w:pPr>
          <w:r>
            <w:fldChar w:fldCharType="begin"/>
          </w:r>
          <w:r>
            <w:instrText xml:space="preserve"> HYPERLINK \l "_Toc10584" </w:instrText>
          </w:r>
          <w:r>
            <w:fldChar w:fldCharType="separate"/>
          </w:r>
          <w:r>
            <w:rPr>
              <w:rFonts w:hint="eastAsia"/>
            </w:rPr>
            <w:t>六、 结论</w:t>
          </w:r>
          <w:r>
            <w:tab/>
          </w:r>
          <w:r>
            <w:fldChar w:fldCharType="begin"/>
          </w:r>
          <w:r>
            <w:instrText xml:space="preserve"> PAGEREF _Toc10584 \h </w:instrText>
          </w:r>
          <w:r>
            <w:fldChar w:fldCharType="separate"/>
          </w:r>
          <w:r>
            <w:t>67</w:t>
          </w:r>
          <w:r>
            <w:fldChar w:fldCharType="end"/>
          </w:r>
          <w:r>
            <w:fldChar w:fldCharType="end"/>
          </w:r>
        </w:p>
        <w:p w14:paraId="03A82FA4">
          <w:pPr>
            <w:pStyle w:val="8"/>
            <w:tabs>
              <w:tab w:val="right" w:leader="dot" w:pos="8306"/>
            </w:tabs>
            <w:ind w:firstLine="0" w:firstLineChars="0"/>
          </w:pPr>
          <w:r>
            <w:fldChar w:fldCharType="begin"/>
          </w:r>
          <w:r>
            <w:instrText xml:space="preserve"> HYPERLINK \l "_Toc28457" </w:instrText>
          </w:r>
          <w:r>
            <w:fldChar w:fldCharType="separate"/>
          </w:r>
          <w:r>
            <w:rPr>
              <w:rFonts w:hint="eastAsia"/>
            </w:rPr>
            <w:t>附表</w:t>
          </w:r>
          <w:r>
            <w:tab/>
          </w:r>
          <w:r>
            <w:fldChar w:fldCharType="begin"/>
          </w:r>
          <w:r>
            <w:instrText xml:space="preserve"> PAGEREF _Toc28457 \h </w:instrText>
          </w:r>
          <w:r>
            <w:fldChar w:fldCharType="separate"/>
          </w:r>
          <w:r>
            <w:t>68</w:t>
          </w:r>
          <w:r>
            <w:fldChar w:fldCharType="end"/>
          </w:r>
          <w:r>
            <w:fldChar w:fldCharType="end"/>
          </w:r>
        </w:p>
        <w:p w14:paraId="66384AC4">
          <w:pPr>
            <w:ind w:firstLine="0" w:firstLineChars="0"/>
            <w:jc w:val="both"/>
            <w:rPr>
              <w:rFonts w:eastAsia="楷体_GB2312" w:cs="Times New Roman"/>
              <w:szCs w:val="36"/>
            </w:rPr>
          </w:pPr>
          <w:r>
            <w:rPr>
              <w:rFonts w:eastAsia="楷体_GB2312" w:cs="Times New Roman"/>
              <w:szCs w:val="36"/>
            </w:rPr>
            <w:fldChar w:fldCharType="end"/>
          </w:r>
        </w:p>
      </w:sdtContent>
    </w:sdt>
    <w:p w14:paraId="18993725">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w:t>
      </w:r>
    </w:p>
    <w:p w14:paraId="48E5362C">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附图1--项目地理位置图</w:t>
      </w:r>
    </w:p>
    <w:p w14:paraId="1C5C0483">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附图2--平面布置图</w:t>
      </w:r>
    </w:p>
    <w:p w14:paraId="1125D6DB">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附图3--周边概况图</w:t>
      </w:r>
    </w:p>
    <w:p w14:paraId="73B04B0D">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附图4--生态环境分区管控图</w:t>
      </w:r>
    </w:p>
    <w:p w14:paraId="4D3C141A">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附图5--项目三区三线图</w:t>
      </w:r>
    </w:p>
    <w:p w14:paraId="14DC1652">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附图6--项目用地性质图</w:t>
      </w:r>
    </w:p>
    <w:p w14:paraId="5A50F857">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附图7--总平面布置图</w:t>
      </w:r>
    </w:p>
    <w:p w14:paraId="6F54166B">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附图8--声环境功能区划图</w:t>
      </w:r>
    </w:p>
    <w:p w14:paraId="07ECE788">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w:t>
      </w:r>
    </w:p>
    <w:p w14:paraId="267B0C2C">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附件一 浙江省企业投资项目备案（赋码）信息表</w:t>
      </w:r>
    </w:p>
    <w:p w14:paraId="598EBD90">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附件二 建设单位营业执照及法人身份证</w:t>
      </w:r>
    </w:p>
    <w:p w14:paraId="540B2563">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附件三 房产证及土地证</w:t>
      </w:r>
    </w:p>
    <w:p w14:paraId="4AA62C44">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附件四 准入意见</w:t>
      </w:r>
    </w:p>
    <w:p w14:paraId="63FD1CB8">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附件五 审批申请</w:t>
      </w:r>
    </w:p>
    <w:p w14:paraId="0043ADE4">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附件六 授权委托书及委托人身份证</w:t>
      </w:r>
    </w:p>
    <w:p w14:paraId="3F72BEA6">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附件七 环评确认书</w:t>
      </w:r>
    </w:p>
    <w:p w14:paraId="3008B056">
      <w:pPr>
        <w:pStyle w:val="2"/>
        <w:rPr>
          <w:rFonts w:hint="eastAsia" w:ascii="华文楷体" w:hAnsi="华文楷体" w:eastAsia="华文楷体" w:cs="华文楷体"/>
          <w:sz w:val="24"/>
          <w:szCs w:val="24"/>
        </w:rPr>
      </w:pPr>
      <w:r>
        <w:rPr>
          <w:rFonts w:hint="eastAsia" w:ascii="华文楷体" w:hAnsi="华文楷体" w:eastAsia="华文楷体" w:cs="华文楷体"/>
          <w:sz w:val="24"/>
          <w:szCs w:val="24"/>
        </w:rPr>
        <w:t>附件八 内审单及其他审批附件</w:t>
      </w:r>
    </w:p>
    <w:p w14:paraId="5861A6C9">
      <w:pPr>
        <w:pStyle w:val="2"/>
        <w:rPr>
          <w:rFonts w:hint="eastAsia" w:ascii="华文楷体" w:hAnsi="华文楷体" w:eastAsia="华文楷体" w:cs="华文楷体"/>
          <w:sz w:val="24"/>
          <w:szCs w:val="24"/>
        </w:rPr>
        <w:sectPr>
          <w:footerReference r:id="rId5" w:type="default"/>
          <w:pgSz w:w="11906" w:h="16838"/>
          <w:pgMar w:top="1440" w:right="1800" w:bottom="1440" w:left="1800" w:header="851" w:footer="992" w:gutter="0"/>
          <w:pgNumType w:start="1"/>
          <w:cols w:space="425" w:num="1"/>
          <w:docGrid w:type="lines" w:linePitch="312" w:charSpace="0"/>
        </w:sectPr>
      </w:pPr>
    </w:p>
    <w:p w14:paraId="35485B2A">
      <w:pPr>
        <w:pStyle w:val="3"/>
        <w:numPr>
          <w:ilvl w:val="0"/>
          <w:numId w:val="2"/>
        </w:numPr>
      </w:pPr>
      <w:bookmarkStart w:id="3" w:name="_Toc4759"/>
      <w:r>
        <w:rPr>
          <w:rFonts w:hint="eastAsia"/>
        </w:rPr>
        <w:t>建设项目基本情况</w:t>
      </w:r>
      <w:bookmarkEnd w:id="3"/>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6"/>
        <w:gridCol w:w="2700"/>
        <w:gridCol w:w="1812"/>
        <w:gridCol w:w="2724"/>
      </w:tblGrid>
      <w:tr w14:paraId="0D0F64DA">
        <w:trPr>
          <w:trHeight w:val="454" w:hRule="atLeast"/>
        </w:trPr>
        <w:tc>
          <w:tcPr>
            <w:tcW w:w="1286" w:type="dxa"/>
            <w:vAlign w:val="center"/>
          </w:tcPr>
          <w:p w14:paraId="33DE348C">
            <w:pPr>
              <w:spacing w:line="240" w:lineRule="auto"/>
              <w:ind w:firstLine="0" w:firstLineChars="0"/>
              <w:jc w:val="center"/>
              <w:rPr>
                <w:szCs w:val="24"/>
              </w:rPr>
            </w:pPr>
            <w:r>
              <w:rPr>
                <w:rFonts w:hint="eastAsia"/>
                <w:szCs w:val="24"/>
              </w:rPr>
              <w:t>建设项目名称</w:t>
            </w:r>
          </w:p>
        </w:tc>
        <w:tc>
          <w:tcPr>
            <w:tcW w:w="7236" w:type="dxa"/>
            <w:gridSpan w:val="3"/>
            <w:vAlign w:val="center"/>
          </w:tcPr>
          <w:p w14:paraId="6E92B3FA">
            <w:pPr>
              <w:spacing w:line="240" w:lineRule="auto"/>
              <w:ind w:firstLine="0" w:firstLineChars="0"/>
              <w:jc w:val="center"/>
              <w:rPr>
                <w:szCs w:val="24"/>
              </w:rPr>
            </w:pPr>
            <w:r>
              <w:rPr>
                <w:rFonts w:hint="eastAsia"/>
                <w:szCs w:val="24"/>
              </w:rPr>
              <w:t>浙江三基色新材料有限公司新增注塑设备打样测试技改项目</w:t>
            </w:r>
          </w:p>
        </w:tc>
      </w:tr>
      <w:tr w14:paraId="72FE877A">
        <w:trPr>
          <w:trHeight w:val="454" w:hRule="atLeast"/>
        </w:trPr>
        <w:tc>
          <w:tcPr>
            <w:tcW w:w="1286" w:type="dxa"/>
            <w:vAlign w:val="center"/>
          </w:tcPr>
          <w:p w14:paraId="229CA962">
            <w:pPr>
              <w:spacing w:line="240" w:lineRule="auto"/>
              <w:ind w:firstLine="0" w:firstLineChars="0"/>
              <w:jc w:val="center"/>
              <w:rPr>
                <w:szCs w:val="24"/>
              </w:rPr>
            </w:pPr>
            <w:r>
              <w:rPr>
                <w:rFonts w:hint="eastAsia"/>
                <w:szCs w:val="24"/>
              </w:rPr>
              <w:t>项目代码</w:t>
            </w:r>
          </w:p>
        </w:tc>
        <w:tc>
          <w:tcPr>
            <w:tcW w:w="7236" w:type="dxa"/>
            <w:gridSpan w:val="3"/>
            <w:vAlign w:val="center"/>
          </w:tcPr>
          <w:p w14:paraId="6F1AD231">
            <w:pPr>
              <w:spacing w:line="240" w:lineRule="auto"/>
              <w:ind w:firstLine="0" w:firstLineChars="0"/>
              <w:jc w:val="center"/>
              <w:rPr>
                <w:szCs w:val="24"/>
              </w:rPr>
            </w:pPr>
            <w:r>
              <w:rPr>
                <w:rFonts w:hint="eastAsia"/>
                <w:szCs w:val="24"/>
              </w:rPr>
              <w:t>2503-330110-07-02-804773</w:t>
            </w:r>
          </w:p>
        </w:tc>
      </w:tr>
      <w:tr w14:paraId="1C434EB3">
        <w:trPr>
          <w:trHeight w:val="454" w:hRule="atLeast"/>
        </w:trPr>
        <w:tc>
          <w:tcPr>
            <w:tcW w:w="1286" w:type="dxa"/>
            <w:vAlign w:val="center"/>
          </w:tcPr>
          <w:p w14:paraId="29A03FE5">
            <w:pPr>
              <w:spacing w:line="240" w:lineRule="auto"/>
              <w:ind w:firstLine="0" w:firstLineChars="0"/>
              <w:jc w:val="center"/>
              <w:rPr>
                <w:szCs w:val="24"/>
              </w:rPr>
            </w:pPr>
            <w:r>
              <w:rPr>
                <w:rFonts w:hint="eastAsia"/>
                <w:szCs w:val="24"/>
              </w:rPr>
              <w:t>建设单位联系人</w:t>
            </w:r>
          </w:p>
        </w:tc>
        <w:tc>
          <w:tcPr>
            <w:tcW w:w="2700" w:type="dxa"/>
            <w:vAlign w:val="center"/>
          </w:tcPr>
          <w:p w14:paraId="03BFEF50">
            <w:pPr>
              <w:spacing w:line="240" w:lineRule="auto"/>
              <w:ind w:firstLine="0" w:firstLineChars="0"/>
              <w:jc w:val="center"/>
              <w:rPr>
                <w:szCs w:val="24"/>
              </w:rPr>
            </w:pPr>
          </w:p>
        </w:tc>
        <w:tc>
          <w:tcPr>
            <w:tcW w:w="1812" w:type="dxa"/>
            <w:vAlign w:val="center"/>
          </w:tcPr>
          <w:p w14:paraId="754C8F99">
            <w:pPr>
              <w:spacing w:line="240" w:lineRule="auto"/>
              <w:ind w:firstLine="0" w:firstLineChars="0"/>
              <w:jc w:val="center"/>
              <w:rPr>
                <w:szCs w:val="24"/>
              </w:rPr>
            </w:pPr>
            <w:r>
              <w:rPr>
                <w:rFonts w:hint="eastAsia"/>
                <w:szCs w:val="24"/>
              </w:rPr>
              <w:t>联系方式</w:t>
            </w:r>
          </w:p>
        </w:tc>
        <w:tc>
          <w:tcPr>
            <w:tcW w:w="2724" w:type="dxa"/>
            <w:vAlign w:val="center"/>
          </w:tcPr>
          <w:p w14:paraId="152DE1FC">
            <w:pPr>
              <w:spacing w:line="240" w:lineRule="auto"/>
              <w:ind w:firstLine="0" w:firstLineChars="0"/>
              <w:jc w:val="center"/>
              <w:rPr>
                <w:szCs w:val="24"/>
              </w:rPr>
            </w:pPr>
          </w:p>
        </w:tc>
      </w:tr>
      <w:tr w14:paraId="233377E7">
        <w:trPr>
          <w:trHeight w:val="454" w:hRule="atLeast"/>
        </w:trPr>
        <w:tc>
          <w:tcPr>
            <w:tcW w:w="1286" w:type="dxa"/>
            <w:vAlign w:val="center"/>
          </w:tcPr>
          <w:p w14:paraId="5D2EEDCF">
            <w:pPr>
              <w:spacing w:line="240" w:lineRule="auto"/>
              <w:ind w:firstLine="0" w:firstLineChars="0"/>
              <w:jc w:val="center"/>
              <w:rPr>
                <w:szCs w:val="24"/>
              </w:rPr>
            </w:pPr>
            <w:r>
              <w:rPr>
                <w:rFonts w:hint="eastAsia"/>
                <w:szCs w:val="24"/>
              </w:rPr>
              <w:t>建设地点</w:t>
            </w:r>
          </w:p>
        </w:tc>
        <w:tc>
          <w:tcPr>
            <w:tcW w:w="7236" w:type="dxa"/>
            <w:gridSpan w:val="3"/>
            <w:vAlign w:val="center"/>
          </w:tcPr>
          <w:p w14:paraId="6C6614A9">
            <w:pPr>
              <w:spacing w:line="240" w:lineRule="auto"/>
              <w:ind w:firstLine="0" w:firstLineChars="0"/>
              <w:jc w:val="center"/>
              <w:rPr>
                <w:szCs w:val="24"/>
              </w:rPr>
            </w:pPr>
            <w:r>
              <w:rPr>
                <w:rFonts w:hint="eastAsia"/>
                <w:szCs w:val="24"/>
                <w:u w:val="single"/>
              </w:rPr>
              <w:t xml:space="preserve">浙江 </w:t>
            </w:r>
            <w:r>
              <w:rPr>
                <w:rFonts w:hint="eastAsia"/>
                <w:szCs w:val="24"/>
              </w:rPr>
              <w:t>省（自治区）</w:t>
            </w:r>
            <w:r>
              <w:rPr>
                <w:rFonts w:hint="eastAsia"/>
                <w:szCs w:val="24"/>
                <w:u w:val="single"/>
              </w:rPr>
              <w:t xml:space="preserve">杭州 </w:t>
            </w:r>
            <w:r>
              <w:rPr>
                <w:rFonts w:hint="eastAsia"/>
                <w:szCs w:val="24"/>
              </w:rPr>
              <w:t xml:space="preserve">市 </w:t>
            </w:r>
            <w:r>
              <w:rPr>
                <w:rFonts w:hint="eastAsia"/>
                <w:szCs w:val="24"/>
                <w:u w:val="single"/>
              </w:rPr>
              <w:t xml:space="preserve">余杭 </w:t>
            </w:r>
            <w:r>
              <w:rPr>
                <w:rFonts w:hint="eastAsia"/>
                <w:szCs w:val="24"/>
              </w:rPr>
              <w:t>县（区）仁和街道三星路4号</w:t>
            </w:r>
          </w:p>
        </w:tc>
      </w:tr>
      <w:tr w14:paraId="00A133D3">
        <w:trPr>
          <w:trHeight w:val="454" w:hRule="atLeast"/>
        </w:trPr>
        <w:tc>
          <w:tcPr>
            <w:tcW w:w="1286" w:type="dxa"/>
            <w:vAlign w:val="center"/>
          </w:tcPr>
          <w:p w14:paraId="088BB0F6">
            <w:pPr>
              <w:spacing w:line="240" w:lineRule="auto"/>
              <w:ind w:firstLine="0" w:firstLineChars="0"/>
              <w:jc w:val="center"/>
              <w:rPr>
                <w:szCs w:val="24"/>
              </w:rPr>
            </w:pPr>
            <w:r>
              <w:rPr>
                <w:rFonts w:hint="eastAsia"/>
                <w:szCs w:val="24"/>
              </w:rPr>
              <w:t>地理坐标</w:t>
            </w:r>
          </w:p>
        </w:tc>
        <w:tc>
          <w:tcPr>
            <w:tcW w:w="7236" w:type="dxa"/>
            <w:gridSpan w:val="3"/>
            <w:vAlign w:val="center"/>
          </w:tcPr>
          <w:p w14:paraId="72109140">
            <w:pPr>
              <w:spacing w:line="240" w:lineRule="auto"/>
              <w:ind w:firstLine="0" w:firstLineChars="0"/>
              <w:jc w:val="center"/>
              <w:rPr>
                <w:szCs w:val="24"/>
              </w:rPr>
            </w:pPr>
            <w:r>
              <w:rPr>
                <w:rFonts w:hint="eastAsia"/>
                <w:szCs w:val="24"/>
              </w:rPr>
              <w:t>（东经：</w:t>
            </w:r>
            <w:r>
              <w:rPr>
                <w:rFonts w:hint="eastAsia"/>
                <w:szCs w:val="24"/>
                <w:u w:val="single"/>
              </w:rPr>
              <w:t xml:space="preserve"> 120 </w:t>
            </w:r>
            <w:r>
              <w:rPr>
                <w:rFonts w:hint="eastAsia"/>
                <w:szCs w:val="24"/>
              </w:rPr>
              <w:t>度</w:t>
            </w:r>
            <w:r>
              <w:rPr>
                <w:rFonts w:hint="eastAsia"/>
                <w:szCs w:val="24"/>
                <w:u w:val="single"/>
              </w:rPr>
              <w:t xml:space="preserve"> 04 </w:t>
            </w:r>
            <w:r>
              <w:rPr>
                <w:rFonts w:hint="eastAsia"/>
                <w:szCs w:val="24"/>
              </w:rPr>
              <w:t>分</w:t>
            </w:r>
            <w:r>
              <w:rPr>
                <w:rFonts w:hint="eastAsia"/>
                <w:szCs w:val="24"/>
                <w:u w:val="single"/>
              </w:rPr>
              <w:t xml:space="preserve"> 50.325 </w:t>
            </w:r>
            <w:r>
              <w:rPr>
                <w:rFonts w:hint="eastAsia"/>
                <w:szCs w:val="24"/>
              </w:rPr>
              <w:t>秒，北纬：</w:t>
            </w:r>
            <w:r>
              <w:rPr>
                <w:rFonts w:hint="eastAsia"/>
                <w:szCs w:val="24"/>
                <w:u w:val="single"/>
              </w:rPr>
              <w:t xml:space="preserve"> 30 </w:t>
            </w:r>
            <w:r>
              <w:rPr>
                <w:rFonts w:hint="eastAsia"/>
                <w:szCs w:val="24"/>
              </w:rPr>
              <w:t>度</w:t>
            </w:r>
            <w:r>
              <w:rPr>
                <w:rFonts w:hint="eastAsia"/>
                <w:szCs w:val="24"/>
                <w:u w:val="single"/>
              </w:rPr>
              <w:t xml:space="preserve"> 25 </w:t>
            </w:r>
            <w:r>
              <w:rPr>
                <w:rFonts w:hint="eastAsia"/>
                <w:szCs w:val="24"/>
              </w:rPr>
              <w:t>分</w:t>
            </w:r>
            <w:r>
              <w:rPr>
                <w:rFonts w:hint="eastAsia"/>
                <w:szCs w:val="24"/>
                <w:u w:val="single"/>
              </w:rPr>
              <w:t xml:space="preserve"> 45.915 </w:t>
            </w:r>
            <w:r>
              <w:rPr>
                <w:rFonts w:hint="eastAsia"/>
                <w:szCs w:val="24"/>
              </w:rPr>
              <w:t>秒）</w:t>
            </w:r>
          </w:p>
        </w:tc>
      </w:tr>
      <w:tr w14:paraId="4878875D">
        <w:trPr>
          <w:trHeight w:val="454" w:hRule="atLeast"/>
        </w:trPr>
        <w:tc>
          <w:tcPr>
            <w:tcW w:w="1286" w:type="dxa"/>
            <w:vAlign w:val="center"/>
          </w:tcPr>
          <w:p w14:paraId="434DC499">
            <w:pPr>
              <w:spacing w:line="240" w:lineRule="auto"/>
              <w:ind w:firstLine="0" w:firstLineChars="0"/>
              <w:jc w:val="center"/>
              <w:rPr>
                <w:szCs w:val="24"/>
              </w:rPr>
            </w:pPr>
            <w:r>
              <w:rPr>
                <w:rFonts w:hint="eastAsia"/>
                <w:szCs w:val="24"/>
              </w:rPr>
              <w:t>国民经济行业类别</w:t>
            </w:r>
          </w:p>
        </w:tc>
        <w:tc>
          <w:tcPr>
            <w:tcW w:w="2700" w:type="dxa"/>
            <w:vAlign w:val="center"/>
          </w:tcPr>
          <w:p w14:paraId="197BFC19">
            <w:pPr>
              <w:spacing w:line="240" w:lineRule="auto"/>
              <w:ind w:firstLine="0" w:firstLineChars="0"/>
              <w:jc w:val="both"/>
              <w:rPr>
                <w:szCs w:val="24"/>
              </w:rPr>
            </w:pPr>
            <w:r>
              <w:rPr>
                <w:rFonts w:hint="eastAsia"/>
                <w:szCs w:val="24"/>
              </w:rPr>
              <w:t>C2929 塑料零件及其他塑料制品制造</w:t>
            </w:r>
          </w:p>
        </w:tc>
        <w:tc>
          <w:tcPr>
            <w:tcW w:w="1812" w:type="dxa"/>
            <w:vAlign w:val="center"/>
          </w:tcPr>
          <w:p w14:paraId="44831A35">
            <w:pPr>
              <w:spacing w:line="240" w:lineRule="auto"/>
              <w:ind w:firstLine="0" w:firstLineChars="0"/>
              <w:jc w:val="center"/>
              <w:rPr>
                <w:szCs w:val="24"/>
              </w:rPr>
            </w:pPr>
            <w:r>
              <w:rPr>
                <w:rFonts w:hint="eastAsia"/>
                <w:szCs w:val="24"/>
              </w:rPr>
              <w:t>建设项目</w:t>
            </w:r>
          </w:p>
          <w:p w14:paraId="749135E6">
            <w:pPr>
              <w:spacing w:line="240" w:lineRule="auto"/>
              <w:ind w:firstLine="0" w:firstLineChars="0"/>
              <w:jc w:val="center"/>
              <w:rPr>
                <w:szCs w:val="24"/>
              </w:rPr>
            </w:pPr>
            <w:r>
              <w:rPr>
                <w:rFonts w:hint="eastAsia"/>
                <w:szCs w:val="24"/>
              </w:rPr>
              <w:t>行业类别</w:t>
            </w:r>
          </w:p>
        </w:tc>
        <w:tc>
          <w:tcPr>
            <w:tcW w:w="2724" w:type="dxa"/>
            <w:vAlign w:val="center"/>
          </w:tcPr>
          <w:p w14:paraId="01CD9FCF">
            <w:pPr>
              <w:spacing w:line="240" w:lineRule="auto"/>
              <w:ind w:firstLine="0" w:firstLineChars="0"/>
              <w:jc w:val="both"/>
              <w:rPr>
                <w:szCs w:val="24"/>
              </w:rPr>
            </w:pPr>
            <w:r>
              <w:rPr>
                <w:rFonts w:hint="eastAsia"/>
                <w:szCs w:val="24"/>
              </w:rPr>
              <w:t>二十六、橡胶和塑料制品业 29塑料制品业292</w:t>
            </w:r>
          </w:p>
        </w:tc>
      </w:tr>
      <w:tr w14:paraId="673D2E27">
        <w:trPr>
          <w:trHeight w:val="454" w:hRule="atLeast"/>
        </w:trPr>
        <w:tc>
          <w:tcPr>
            <w:tcW w:w="1286" w:type="dxa"/>
            <w:vAlign w:val="center"/>
          </w:tcPr>
          <w:p w14:paraId="52EDD959">
            <w:pPr>
              <w:spacing w:line="240" w:lineRule="auto"/>
              <w:ind w:firstLine="0" w:firstLineChars="0"/>
              <w:jc w:val="center"/>
              <w:rPr>
                <w:szCs w:val="24"/>
              </w:rPr>
            </w:pPr>
            <w:r>
              <w:rPr>
                <w:rFonts w:hint="eastAsia"/>
                <w:szCs w:val="24"/>
              </w:rPr>
              <w:t>建设性质</w:t>
            </w:r>
          </w:p>
        </w:tc>
        <w:tc>
          <w:tcPr>
            <w:tcW w:w="2700" w:type="dxa"/>
            <w:vAlign w:val="center"/>
          </w:tcPr>
          <w:p w14:paraId="09B7FEA8">
            <w:pPr>
              <w:spacing w:line="240" w:lineRule="auto"/>
              <w:ind w:firstLine="0" w:firstLineChars="0"/>
              <w:jc w:val="both"/>
              <w:rPr>
                <w:rFonts w:hint="eastAsia" w:ascii="宋体" w:hAnsi="宋体" w:cs="宋体"/>
                <w:color w:val="000000"/>
                <w:szCs w:val="24"/>
              </w:rPr>
            </w:pPr>
            <w:r>
              <w:rPr>
                <w:rFonts w:hint="eastAsia" w:ascii="宋体" w:hAnsi="宋体" w:cs="宋体"/>
                <w:color w:val="000000"/>
                <w:szCs w:val="24"/>
              </w:rPr>
              <w:sym w:font="Wingdings 2" w:char="00A3"/>
            </w:r>
            <w:r>
              <w:rPr>
                <w:rFonts w:hint="eastAsia" w:ascii="宋体" w:hAnsi="宋体" w:cs="宋体"/>
                <w:color w:val="000000"/>
                <w:szCs w:val="24"/>
              </w:rPr>
              <w:t>新建（迁建）</w:t>
            </w:r>
          </w:p>
          <w:p w14:paraId="72B125E8">
            <w:pPr>
              <w:pStyle w:val="2"/>
              <w:spacing w:line="240" w:lineRule="auto"/>
              <w:jc w:val="both"/>
              <w:rPr>
                <w:rFonts w:hint="eastAsia" w:ascii="宋体" w:hAnsi="宋体" w:cs="宋体"/>
                <w:color w:val="000000"/>
                <w:sz w:val="24"/>
                <w:szCs w:val="24"/>
              </w:rPr>
            </w:pPr>
            <w:r>
              <w:rPr>
                <w:rFonts w:hint="eastAsia" w:ascii="宋体" w:hAnsi="宋体" w:cs="宋体"/>
                <w:color w:val="000000"/>
                <w:sz w:val="24"/>
                <w:szCs w:val="24"/>
              </w:rPr>
              <w:sym w:font="Wingdings 2" w:char="0052"/>
            </w:r>
            <w:r>
              <w:rPr>
                <w:rFonts w:hint="eastAsia" w:ascii="宋体" w:hAnsi="宋体" w:cs="宋体"/>
                <w:color w:val="000000"/>
                <w:sz w:val="24"/>
                <w:szCs w:val="24"/>
              </w:rPr>
              <w:t>改建</w:t>
            </w:r>
          </w:p>
          <w:p w14:paraId="11081BF0">
            <w:pPr>
              <w:pStyle w:val="2"/>
              <w:spacing w:line="240" w:lineRule="auto"/>
              <w:jc w:val="both"/>
              <w:rPr>
                <w:rFonts w:hint="eastAsia" w:ascii="宋体" w:hAnsi="宋体" w:cs="宋体"/>
                <w:color w:val="000000"/>
                <w:sz w:val="24"/>
                <w:szCs w:val="24"/>
              </w:rPr>
            </w:pPr>
            <w:r>
              <w:rPr>
                <w:rFonts w:hint="eastAsia" w:ascii="宋体" w:hAnsi="宋体" w:cs="宋体"/>
                <w:color w:val="000000"/>
                <w:sz w:val="24"/>
                <w:szCs w:val="24"/>
              </w:rPr>
              <w:sym w:font="Wingdings 2" w:char="00A3"/>
            </w:r>
            <w:r>
              <w:rPr>
                <w:rFonts w:hint="eastAsia" w:ascii="宋体" w:hAnsi="宋体" w:cs="宋体"/>
                <w:color w:val="000000"/>
                <w:sz w:val="24"/>
                <w:szCs w:val="24"/>
              </w:rPr>
              <w:t>扩建</w:t>
            </w:r>
          </w:p>
          <w:p w14:paraId="7F2473F7">
            <w:pPr>
              <w:pStyle w:val="2"/>
              <w:spacing w:line="240" w:lineRule="auto"/>
              <w:jc w:val="both"/>
              <w:rPr>
                <w:rFonts w:hint="eastAsia" w:ascii="宋体" w:hAnsi="宋体" w:cs="宋体"/>
                <w:color w:val="000000"/>
                <w:sz w:val="24"/>
                <w:szCs w:val="24"/>
              </w:rPr>
            </w:pPr>
            <w:r>
              <w:rPr>
                <w:rFonts w:hint="eastAsia" w:ascii="宋体" w:hAnsi="宋体" w:cs="宋体"/>
                <w:color w:val="000000"/>
                <w:sz w:val="24"/>
                <w:szCs w:val="24"/>
              </w:rPr>
              <w:sym w:font="Wingdings 2" w:char="00A3"/>
            </w:r>
            <w:r>
              <w:rPr>
                <w:rFonts w:hint="eastAsia" w:ascii="宋体" w:hAnsi="宋体" w:cs="宋体"/>
                <w:color w:val="000000"/>
                <w:sz w:val="24"/>
                <w:szCs w:val="24"/>
              </w:rPr>
              <w:t>技术改造</w:t>
            </w:r>
          </w:p>
        </w:tc>
        <w:tc>
          <w:tcPr>
            <w:tcW w:w="1812" w:type="dxa"/>
            <w:vAlign w:val="center"/>
          </w:tcPr>
          <w:p w14:paraId="3481CA42">
            <w:pPr>
              <w:spacing w:line="240" w:lineRule="auto"/>
              <w:ind w:firstLine="0" w:firstLineChars="0"/>
              <w:jc w:val="center"/>
              <w:rPr>
                <w:szCs w:val="24"/>
              </w:rPr>
            </w:pPr>
            <w:r>
              <w:rPr>
                <w:rFonts w:hint="eastAsia"/>
                <w:szCs w:val="24"/>
              </w:rPr>
              <w:t>建设项目</w:t>
            </w:r>
          </w:p>
          <w:p w14:paraId="723925CF">
            <w:pPr>
              <w:spacing w:line="240" w:lineRule="auto"/>
              <w:ind w:firstLine="0" w:firstLineChars="0"/>
              <w:jc w:val="center"/>
              <w:rPr>
                <w:szCs w:val="24"/>
              </w:rPr>
            </w:pPr>
            <w:r>
              <w:rPr>
                <w:rFonts w:hint="eastAsia"/>
                <w:szCs w:val="24"/>
              </w:rPr>
              <w:t>申报情形</w:t>
            </w:r>
          </w:p>
        </w:tc>
        <w:tc>
          <w:tcPr>
            <w:tcW w:w="2724" w:type="dxa"/>
            <w:vAlign w:val="center"/>
          </w:tcPr>
          <w:p w14:paraId="156C5C41">
            <w:pPr>
              <w:spacing w:line="240" w:lineRule="auto"/>
              <w:ind w:firstLine="0" w:firstLineChars="0"/>
              <w:jc w:val="both"/>
              <w:rPr>
                <w:rFonts w:hint="eastAsia" w:ascii="宋体" w:hAnsi="宋体" w:cs="宋体"/>
                <w:color w:val="000000"/>
                <w:szCs w:val="24"/>
              </w:rPr>
            </w:pPr>
            <w:r>
              <w:rPr>
                <w:rFonts w:hint="eastAsia" w:ascii="宋体" w:hAnsi="宋体" w:cs="宋体"/>
                <w:color w:val="000000"/>
                <w:szCs w:val="24"/>
              </w:rPr>
              <w:sym w:font="Wingdings 2" w:char="0052"/>
            </w:r>
            <w:r>
              <w:rPr>
                <w:rFonts w:hint="eastAsia" w:ascii="宋体" w:hAnsi="宋体" w:cs="宋体"/>
                <w:color w:val="000000"/>
                <w:szCs w:val="24"/>
              </w:rPr>
              <w:t>首次申报项目</w:t>
            </w:r>
          </w:p>
          <w:p w14:paraId="791BEC5F">
            <w:pPr>
              <w:spacing w:line="240" w:lineRule="auto"/>
              <w:ind w:firstLine="0" w:firstLineChars="0"/>
              <w:jc w:val="both"/>
              <w:rPr>
                <w:rFonts w:hint="eastAsia" w:ascii="宋体" w:hAnsi="宋体" w:cs="宋体"/>
                <w:color w:val="000000"/>
                <w:szCs w:val="24"/>
              </w:rPr>
            </w:pPr>
            <w:r>
              <w:rPr>
                <w:rFonts w:hint="eastAsia" w:ascii="宋体" w:hAnsi="宋体" w:cs="宋体"/>
                <w:color w:val="000000"/>
                <w:szCs w:val="24"/>
              </w:rPr>
              <w:sym w:font="Wingdings 2" w:char="00A3"/>
            </w:r>
            <w:r>
              <w:rPr>
                <w:rFonts w:hint="eastAsia" w:ascii="宋体" w:hAnsi="宋体" w:cs="宋体"/>
                <w:color w:val="000000"/>
                <w:szCs w:val="24"/>
              </w:rPr>
              <w:t>不予批准后再次申报项目</w:t>
            </w:r>
          </w:p>
          <w:p w14:paraId="3F47F2A5">
            <w:pPr>
              <w:spacing w:line="240" w:lineRule="auto"/>
              <w:ind w:firstLine="0" w:firstLineChars="0"/>
              <w:jc w:val="both"/>
              <w:rPr>
                <w:rFonts w:hint="eastAsia" w:ascii="宋体" w:hAnsi="宋体" w:cs="宋体"/>
                <w:color w:val="000000"/>
                <w:szCs w:val="24"/>
              </w:rPr>
            </w:pPr>
            <w:r>
              <w:rPr>
                <w:rFonts w:hint="eastAsia" w:ascii="宋体" w:hAnsi="宋体" w:cs="宋体"/>
                <w:color w:val="000000"/>
                <w:szCs w:val="24"/>
              </w:rPr>
              <w:sym w:font="Wingdings 2" w:char="00A3"/>
            </w:r>
            <w:r>
              <w:rPr>
                <w:rFonts w:hint="eastAsia" w:ascii="宋体" w:hAnsi="宋体" w:cs="宋体"/>
                <w:color w:val="000000"/>
                <w:szCs w:val="24"/>
              </w:rPr>
              <w:t>超五年重新审核项目</w:t>
            </w:r>
          </w:p>
          <w:p w14:paraId="463480C7">
            <w:pPr>
              <w:spacing w:line="240" w:lineRule="auto"/>
              <w:ind w:firstLine="0" w:firstLineChars="0"/>
              <w:jc w:val="both"/>
              <w:rPr>
                <w:szCs w:val="24"/>
              </w:rPr>
            </w:pPr>
            <w:r>
              <w:rPr>
                <w:rFonts w:hint="eastAsia" w:ascii="宋体" w:hAnsi="宋体" w:cs="宋体"/>
                <w:color w:val="000000"/>
                <w:szCs w:val="24"/>
              </w:rPr>
              <w:sym w:font="Wingdings 2" w:char="00A3"/>
            </w:r>
            <w:r>
              <w:rPr>
                <w:rFonts w:hint="eastAsia" w:ascii="宋体" w:hAnsi="宋体" w:cs="宋体"/>
                <w:color w:val="000000"/>
                <w:szCs w:val="24"/>
              </w:rPr>
              <w:t>重大变动重新报批项目</w:t>
            </w:r>
          </w:p>
        </w:tc>
      </w:tr>
      <w:tr w14:paraId="214BD71B">
        <w:trPr>
          <w:trHeight w:val="454" w:hRule="atLeast"/>
        </w:trPr>
        <w:tc>
          <w:tcPr>
            <w:tcW w:w="1286" w:type="dxa"/>
            <w:vAlign w:val="center"/>
          </w:tcPr>
          <w:p w14:paraId="31208288">
            <w:pPr>
              <w:spacing w:line="240" w:lineRule="auto"/>
              <w:ind w:firstLine="0" w:firstLineChars="0"/>
              <w:jc w:val="center"/>
              <w:rPr>
                <w:szCs w:val="24"/>
              </w:rPr>
            </w:pPr>
            <w:r>
              <w:rPr>
                <w:rFonts w:hint="eastAsia"/>
                <w:szCs w:val="24"/>
              </w:rPr>
              <w:t>项目审批备案部门</w:t>
            </w:r>
          </w:p>
        </w:tc>
        <w:tc>
          <w:tcPr>
            <w:tcW w:w="2700" w:type="dxa"/>
            <w:vAlign w:val="center"/>
          </w:tcPr>
          <w:p w14:paraId="473C789E">
            <w:pPr>
              <w:spacing w:line="240" w:lineRule="auto"/>
              <w:ind w:firstLine="0" w:firstLineChars="0"/>
              <w:jc w:val="center"/>
              <w:rPr>
                <w:szCs w:val="24"/>
              </w:rPr>
            </w:pPr>
            <w:r>
              <w:rPr>
                <w:rFonts w:hint="eastAsia"/>
                <w:szCs w:val="24"/>
              </w:rPr>
              <w:t>余杭区经济和信息化局</w:t>
            </w:r>
          </w:p>
        </w:tc>
        <w:tc>
          <w:tcPr>
            <w:tcW w:w="1812" w:type="dxa"/>
            <w:vAlign w:val="center"/>
          </w:tcPr>
          <w:p w14:paraId="75EC1DBC">
            <w:pPr>
              <w:spacing w:line="240" w:lineRule="auto"/>
              <w:ind w:firstLine="0" w:firstLineChars="0"/>
              <w:jc w:val="center"/>
              <w:rPr>
                <w:szCs w:val="24"/>
              </w:rPr>
            </w:pPr>
            <w:r>
              <w:rPr>
                <w:rFonts w:hint="eastAsia"/>
                <w:szCs w:val="24"/>
              </w:rPr>
              <w:t>项目审批（核准/备案）文号（选填）</w:t>
            </w:r>
          </w:p>
        </w:tc>
        <w:tc>
          <w:tcPr>
            <w:tcW w:w="2724" w:type="dxa"/>
            <w:vAlign w:val="center"/>
          </w:tcPr>
          <w:p w14:paraId="7E3DBB6A">
            <w:pPr>
              <w:spacing w:line="240" w:lineRule="auto"/>
              <w:ind w:firstLine="0" w:firstLineChars="0"/>
              <w:jc w:val="center"/>
              <w:rPr>
                <w:szCs w:val="24"/>
              </w:rPr>
            </w:pPr>
            <w:r>
              <w:rPr>
                <w:rFonts w:hint="eastAsia"/>
                <w:szCs w:val="24"/>
              </w:rPr>
              <w:t>/</w:t>
            </w:r>
          </w:p>
        </w:tc>
      </w:tr>
      <w:tr w14:paraId="123156CA">
        <w:trPr>
          <w:trHeight w:val="454" w:hRule="atLeast"/>
        </w:trPr>
        <w:tc>
          <w:tcPr>
            <w:tcW w:w="1286" w:type="dxa"/>
            <w:vAlign w:val="center"/>
          </w:tcPr>
          <w:p w14:paraId="7587FB8D">
            <w:pPr>
              <w:spacing w:line="240" w:lineRule="auto"/>
              <w:ind w:firstLine="0" w:firstLineChars="0"/>
              <w:jc w:val="center"/>
              <w:rPr>
                <w:szCs w:val="24"/>
              </w:rPr>
            </w:pPr>
            <w:r>
              <w:rPr>
                <w:rFonts w:hint="eastAsia"/>
                <w:szCs w:val="24"/>
              </w:rPr>
              <w:t>总投资</w:t>
            </w:r>
          </w:p>
          <w:p w14:paraId="7CCA3AC4">
            <w:pPr>
              <w:pStyle w:val="2"/>
              <w:jc w:val="both"/>
              <w:rPr>
                <w:sz w:val="24"/>
                <w:szCs w:val="24"/>
              </w:rPr>
            </w:pPr>
            <w:r>
              <w:rPr>
                <w:rFonts w:hint="eastAsia"/>
                <w:sz w:val="24"/>
                <w:szCs w:val="24"/>
              </w:rPr>
              <w:t>（万元）</w:t>
            </w:r>
          </w:p>
        </w:tc>
        <w:tc>
          <w:tcPr>
            <w:tcW w:w="2700" w:type="dxa"/>
            <w:vAlign w:val="center"/>
          </w:tcPr>
          <w:p w14:paraId="753D7CCB">
            <w:pPr>
              <w:spacing w:line="240" w:lineRule="auto"/>
              <w:ind w:firstLine="0" w:firstLineChars="0"/>
              <w:jc w:val="center"/>
              <w:rPr>
                <w:szCs w:val="24"/>
              </w:rPr>
            </w:pPr>
            <w:r>
              <w:rPr>
                <w:rFonts w:hint="eastAsia"/>
                <w:szCs w:val="24"/>
              </w:rPr>
              <w:t>500</w:t>
            </w:r>
          </w:p>
        </w:tc>
        <w:tc>
          <w:tcPr>
            <w:tcW w:w="1812" w:type="dxa"/>
            <w:vAlign w:val="center"/>
          </w:tcPr>
          <w:p w14:paraId="52E960DF">
            <w:pPr>
              <w:spacing w:line="240" w:lineRule="auto"/>
              <w:ind w:firstLine="0" w:firstLineChars="0"/>
              <w:jc w:val="center"/>
              <w:rPr>
                <w:szCs w:val="24"/>
              </w:rPr>
            </w:pPr>
            <w:r>
              <w:rPr>
                <w:rFonts w:hint="eastAsia"/>
                <w:szCs w:val="24"/>
              </w:rPr>
              <w:t>环保投资</w:t>
            </w:r>
          </w:p>
          <w:p w14:paraId="5E361EDB">
            <w:pPr>
              <w:spacing w:line="240" w:lineRule="auto"/>
              <w:ind w:firstLine="0" w:firstLineChars="0"/>
              <w:jc w:val="center"/>
              <w:rPr>
                <w:szCs w:val="24"/>
              </w:rPr>
            </w:pPr>
            <w:r>
              <w:rPr>
                <w:rFonts w:hint="eastAsia"/>
                <w:szCs w:val="24"/>
              </w:rPr>
              <w:t>（万元）</w:t>
            </w:r>
          </w:p>
        </w:tc>
        <w:tc>
          <w:tcPr>
            <w:tcW w:w="2724" w:type="dxa"/>
            <w:vAlign w:val="center"/>
          </w:tcPr>
          <w:p w14:paraId="5D4A9B36">
            <w:pPr>
              <w:spacing w:line="240" w:lineRule="auto"/>
              <w:ind w:firstLine="0" w:firstLineChars="0"/>
              <w:jc w:val="center"/>
              <w:rPr>
                <w:szCs w:val="24"/>
              </w:rPr>
            </w:pPr>
            <w:r>
              <w:rPr>
                <w:rFonts w:hint="eastAsia"/>
                <w:szCs w:val="24"/>
              </w:rPr>
              <w:t>10</w:t>
            </w:r>
          </w:p>
        </w:tc>
      </w:tr>
      <w:tr w14:paraId="75F211B2">
        <w:trPr>
          <w:trHeight w:val="454" w:hRule="atLeast"/>
        </w:trPr>
        <w:tc>
          <w:tcPr>
            <w:tcW w:w="1286" w:type="dxa"/>
            <w:vAlign w:val="center"/>
          </w:tcPr>
          <w:p w14:paraId="09DB33A4">
            <w:pPr>
              <w:spacing w:line="240" w:lineRule="auto"/>
              <w:ind w:firstLine="0" w:firstLineChars="0"/>
              <w:jc w:val="center"/>
              <w:rPr>
                <w:szCs w:val="24"/>
              </w:rPr>
            </w:pPr>
            <w:r>
              <w:rPr>
                <w:rFonts w:hint="eastAsia"/>
                <w:szCs w:val="24"/>
              </w:rPr>
              <w:t>环保投资占比</w:t>
            </w:r>
          </w:p>
          <w:p w14:paraId="3958CD28">
            <w:pPr>
              <w:spacing w:line="240" w:lineRule="auto"/>
              <w:ind w:firstLine="0" w:firstLineChars="0"/>
              <w:jc w:val="center"/>
              <w:rPr>
                <w:szCs w:val="24"/>
              </w:rPr>
            </w:pPr>
            <w:r>
              <w:rPr>
                <w:rFonts w:hint="eastAsia"/>
                <w:szCs w:val="24"/>
              </w:rPr>
              <w:t>（%）</w:t>
            </w:r>
          </w:p>
        </w:tc>
        <w:tc>
          <w:tcPr>
            <w:tcW w:w="2700" w:type="dxa"/>
            <w:vAlign w:val="center"/>
          </w:tcPr>
          <w:p w14:paraId="1EC34250">
            <w:pPr>
              <w:spacing w:line="240" w:lineRule="auto"/>
              <w:ind w:firstLine="0" w:firstLineChars="0"/>
              <w:jc w:val="center"/>
              <w:rPr>
                <w:szCs w:val="24"/>
              </w:rPr>
            </w:pPr>
            <w:r>
              <w:rPr>
                <w:rFonts w:hint="eastAsia"/>
                <w:szCs w:val="24"/>
              </w:rPr>
              <w:t>2.0</w:t>
            </w:r>
          </w:p>
        </w:tc>
        <w:tc>
          <w:tcPr>
            <w:tcW w:w="1812" w:type="dxa"/>
            <w:vAlign w:val="center"/>
          </w:tcPr>
          <w:p w14:paraId="43D3B52E">
            <w:pPr>
              <w:spacing w:line="240" w:lineRule="auto"/>
              <w:ind w:firstLine="0" w:firstLineChars="0"/>
              <w:jc w:val="center"/>
              <w:rPr>
                <w:szCs w:val="24"/>
              </w:rPr>
            </w:pPr>
            <w:r>
              <w:rPr>
                <w:rFonts w:hint="eastAsia"/>
                <w:szCs w:val="24"/>
              </w:rPr>
              <w:t>施工工期</w:t>
            </w:r>
          </w:p>
        </w:tc>
        <w:tc>
          <w:tcPr>
            <w:tcW w:w="2724" w:type="dxa"/>
            <w:vAlign w:val="center"/>
          </w:tcPr>
          <w:p w14:paraId="2BDA6F71">
            <w:pPr>
              <w:spacing w:line="240" w:lineRule="auto"/>
              <w:ind w:firstLine="0" w:firstLineChars="0"/>
              <w:jc w:val="center"/>
              <w:rPr>
                <w:szCs w:val="24"/>
              </w:rPr>
            </w:pPr>
            <w:r>
              <w:rPr>
                <w:rFonts w:hint="eastAsia"/>
                <w:szCs w:val="24"/>
              </w:rPr>
              <w:t>2个月</w:t>
            </w:r>
          </w:p>
        </w:tc>
      </w:tr>
      <w:tr w14:paraId="3ED09B3E">
        <w:trPr>
          <w:trHeight w:val="454" w:hRule="atLeast"/>
        </w:trPr>
        <w:tc>
          <w:tcPr>
            <w:tcW w:w="1286" w:type="dxa"/>
            <w:vAlign w:val="center"/>
          </w:tcPr>
          <w:p w14:paraId="629DDD16">
            <w:pPr>
              <w:spacing w:line="240" w:lineRule="auto"/>
              <w:ind w:firstLine="0" w:firstLineChars="0"/>
              <w:jc w:val="center"/>
              <w:rPr>
                <w:szCs w:val="24"/>
              </w:rPr>
            </w:pPr>
            <w:r>
              <w:rPr>
                <w:rFonts w:hint="eastAsia"/>
                <w:szCs w:val="24"/>
              </w:rPr>
              <w:t>是否开工建设</w:t>
            </w:r>
          </w:p>
        </w:tc>
        <w:tc>
          <w:tcPr>
            <w:tcW w:w="2700" w:type="dxa"/>
            <w:vAlign w:val="center"/>
          </w:tcPr>
          <w:p w14:paraId="5D3785E8">
            <w:pPr>
              <w:spacing w:line="240" w:lineRule="auto"/>
              <w:ind w:firstLine="0" w:firstLineChars="0"/>
              <w:jc w:val="both"/>
              <w:rPr>
                <w:rFonts w:hint="eastAsia" w:ascii="宋体" w:hAnsi="宋体" w:cs="宋体"/>
                <w:color w:val="000000"/>
                <w:szCs w:val="24"/>
              </w:rPr>
            </w:pPr>
            <w:r>
              <w:rPr>
                <w:rFonts w:hint="eastAsia" w:ascii="宋体" w:hAnsi="宋体" w:cs="宋体"/>
                <w:color w:val="000000"/>
                <w:szCs w:val="24"/>
              </w:rPr>
              <w:sym w:font="Wingdings 2" w:char="0052"/>
            </w:r>
            <w:r>
              <w:rPr>
                <w:rFonts w:hint="eastAsia" w:ascii="宋体" w:hAnsi="宋体" w:cs="宋体"/>
                <w:color w:val="000000"/>
                <w:szCs w:val="24"/>
              </w:rPr>
              <w:t>否</w:t>
            </w:r>
          </w:p>
          <w:p w14:paraId="36190B38">
            <w:pPr>
              <w:pStyle w:val="2"/>
              <w:spacing w:line="240" w:lineRule="auto"/>
              <w:jc w:val="both"/>
              <w:rPr>
                <w:sz w:val="24"/>
                <w:szCs w:val="24"/>
              </w:rPr>
            </w:pPr>
            <w:r>
              <w:rPr>
                <w:rFonts w:hint="eastAsia" w:ascii="宋体" w:hAnsi="宋体" w:cs="宋体"/>
                <w:color w:val="000000"/>
                <w:sz w:val="24"/>
                <w:szCs w:val="24"/>
              </w:rPr>
              <w:sym w:font="Wingdings 2" w:char="00A3"/>
            </w:r>
            <w:r>
              <w:rPr>
                <w:rFonts w:hint="eastAsia" w:ascii="宋体" w:hAnsi="宋体" w:cs="宋体"/>
                <w:color w:val="000000"/>
                <w:sz w:val="24"/>
                <w:szCs w:val="24"/>
              </w:rPr>
              <w:t>是：</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 </w:t>
            </w:r>
          </w:p>
        </w:tc>
        <w:tc>
          <w:tcPr>
            <w:tcW w:w="1812" w:type="dxa"/>
            <w:vAlign w:val="center"/>
          </w:tcPr>
          <w:p w14:paraId="79D0396F">
            <w:pPr>
              <w:spacing w:line="240" w:lineRule="auto"/>
              <w:ind w:firstLine="0" w:firstLineChars="0"/>
              <w:jc w:val="center"/>
              <w:rPr>
                <w:szCs w:val="24"/>
              </w:rPr>
            </w:pPr>
            <w:r>
              <w:rPr>
                <w:rFonts w:hint="eastAsia"/>
                <w:szCs w:val="24"/>
              </w:rPr>
              <w:t>用地（用海）面积（m</w:t>
            </w:r>
            <w:r>
              <w:rPr>
                <w:rFonts w:hint="eastAsia"/>
                <w:szCs w:val="24"/>
                <w:vertAlign w:val="superscript"/>
              </w:rPr>
              <w:t>2</w:t>
            </w:r>
            <w:r>
              <w:rPr>
                <w:rFonts w:hint="eastAsia"/>
                <w:szCs w:val="24"/>
              </w:rPr>
              <w:t>）</w:t>
            </w:r>
          </w:p>
        </w:tc>
        <w:tc>
          <w:tcPr>
            <w:tcW w:w="2724" w:type="dxa"/>
            <w:vAlign w:val="center"/>
          </w:tcPr>
          <w:p w14:paraId="44384C36">
            <w:pPr>
              <w:spacing w:line="240" w:lineRule="auto"/>
              <w:ind w:firstLine="0" w:firstLineChars="0"/>
              <w:jc w:val="center"/>
              <w:rPr>
                <w:szCs w:val="24"/>
              </w:rPr>
            </w:pPr>
            <w:r>
              <w:rPr>
                <w:rFonts w:hint="eastAsia"/>
                <w:szCs w:val="24"/>
              </w:rPr>
              <w:t>4636.57</w:t>
            </w:r>
          </w:p>
        </w:tc>
      </w:tr>
      <w:tr w14:paraId="18E18D85">
        <w:trPr>
          <w:trHeight w:val="454" w:hRule="atLeast"/>
        </w:trPr>
        <w:tc>
          <w:tcPr>
            <w:tcW w:w="1286" w:type="dxa"/>
            <w:vAlign w:val="center"/>
          </w:tcPr>
          <w:p w14:paraId="63E07B61">
            <w:pPr>
              <w:spacing w:line="240" w:lineRule="auto"/>
              <w:ind w:firstLine="0" w:firstLineChars="0"/>
              <w:jc w:val="center"/>
              <w:rPr>
                <w:sz w:val="21"/>
                <w:szCs w:val="21"/>
              </w:rPr>
            </w:pPr>
            <w:r>
              <w:rPr>
                <w:rFonts w:hint="eastAsia"/>
                <w:szCs w:val="24"/>
              </w:rPr>
              <w:t>专项评价设置情况</w:t>
            </w:r>
          </w:p>
        </w:tc>
        <w:tc>
          <w:tcPr>
            <w:tcW w:w="7236" w:type="dxa"/>
            <w:gridSpan w:val="3"/>
            <w:vAlign w:val="center"/>
          </w:tcPr>
          <w:p w14:paraId="35EA1A9F">
            <w:pPr>
              <w:pStyle w:val="2"/>
              <w:spacing w:before="31" w:beforeLines="10"/>
              <w:ind w:firstLine="480" w:firstLineChars="200"/>
              <w:jc w:val="both"/>
              <w:rPr>
                <w:sz w:val="24"/>
                <w:szCs w:val="24"/>
              </w:rPr>
            </w:pPr>
            <w:r>
              <w:rPr>
                <w:rFonts w:hint="eastAsia"/>
                <w:sz w:val="24"/>
                <w:szCs w:val="24"/>
              </w:rPr>
              <w:t>根据《建设项目环境影响报告表编制技术指南（污染影响类）（试行）》，需要编制专项评价设置要求及本项目设置情况如下：</w:t>
            </w:r>
          </w:p>
          <w:p w14:paraId="710C0C31">
            <w:pPr>
              <w:pStyle w:val="14"/>
              <w:spacing w:before="156"/>
            </w:pPr>
            <w:r>
              <w:t xml:space="preserve">  本项目专项评价设置情况说明表</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2974"/>
              <w:gridCol w:w="2393"/>
              <w:gridCol w:w="658"/>
            </w:tblGrid>
            <w:tr w14:paraId="36A5BD98">
              <w:trPr>
                <w:trHeight w:val="340" w:hRule="atLeast"/>
              </w:trPr>
              <w:tc>
                <w:tcPr>
                  <w:tcW w:w="703" w:type="pct"/>
                  <w:vAlign w:val="center"/>
                </w:tcPr>
                <w:p w14:paraId="763CAA1C">
                  <w:pPr>
                    <w:spacing w:line="240" w:lineRule="auto"/>
                    <w:ind w:firstLine="0" w:firstLineChars="0"/>
                    <w:jc w:val="center"/>
                    <w:rPr>
                      <w:rFonts w:cs="Times New Roman"/>
                      <w:kern w:val="0"/>
                      <w:sz w:val="18"/>
                    </w:rPr>
                  </w:pPr>
                  <w:r>
                    <w:rPr>
                      <w:rFonts w:cs="Times New Roman"/>
                      <w:sz w:val="18"/>
                    </w:rPr>
                    <w:t>专项评价类别</w:t>
                  </w:r>
                </w:p>
              </w:tc>
              <w:tc>
                <w:tcPr>
                  <w:tcW w:w="2121" w:type="pct"/>
                  <w:vAlign w:val="center"/>
                </w:tcPr>
                <w:p w14:paraId="1056ED2F">
                  <w:pPr>
                    <w:spacing w:line="240" w:lineRule="auto"/>
                    <w:ind w:firstLine="0" w:firstLineChars="0"/>
                    <w:jc w:val="center"/>
                    <w:rPr>
                      <w:rFonts w:cs="Times New Roman"/>
                      <w:kern w:val="0"/>
                      <w:sz w:val="18"/>
                    </w:rPr>
                  </w:pPr>
                  <w:r>
                    <w:rPr>
                      <w:rFonts w:cs="Times New Roman"/>
                      <w:sz w:val="18"/>
                    </w:rPr>
                    <w:t>设置原则</w:t>
                  </w:r>
                </w:p>
              </w:tc>
              <w:tc>
                <w:tcPr>
                  <w:tcW w:w="1707" w:type="pct"/>
                  <w:vAlign w:val="center"/>
                </w:tcPr>
                <w:p w14:paraId="71D5E509">
                  <w:pPr>
                    <w:spacing w:line="240" w:lineRule="auto"/>
                    <w:ind w:firstLine="0" w:firstLineChars="0"/>
                    <w:jc w:val="center"/>
                    <w:rPr>
                      <w:rFonts w:cs="Times New Roman"/>
                      <w:kern w:val="0"/>
                      <w:sz w:val="18"/>
                    </w:rPr>
                  </w:pPr>
                  <w:r>
                    <w:rPr>
                      <w:rFonts w:cs="Times New Roman"/>
                      <w:sz w:val="18"/>
                    </w:rPr>
                    <w:t>本项目建设情况</w:t>
                  </w:r>
                </w:p>
              </w:tc>
              <w:tc>
                <w:tcPr>
                  <w:tcW w:w="467" w:type="pct"/>
                  <w:vAlign w:val="center"/>
                </w:tcPr>
                <w:p w14:paraId="35C0769E">
                  <w:pPr>
                    <w:spacing w:line="240" w:lineRule="auto"/>
                    <w:ind w:firstLine="0" w:firstLineChars="0"/>
                    <w:jc w:val="center"/>
                    <w:rPr>
                      <w:rFonts w:cs="Times New Roman"/>
                      <w:sz w:val="18"/>
                    </w:rPr>
                  </w:pPr>
                  <w:r>
                    <w:rPr>
                      <w:rFonts w:cs="Times New Roman"/>
                      <w:sz w:val="18"/>
                    </w:rPr>
                    <w:t>设置</w:t>
                  </w:r>
                </w:p>
                <w:p w14:paraId="3393580D">
                  <w:pPr>
                    <w:spacing w:line="240" w:lineRule="auto"/>
                    <w:ind w:firstLine="0" w:firstLineChars="0"/>
                    <w:jc w:val="center"/>
                    <w:rPr>
                      <w:rFonts w:cs="Times New Roman"/>
                      <w:kern w:val="0"/>
                      <w:sz w:val="18"/>
                    </w:rPr>
                  </w:pPr>
                  <w:r>
                    <w:rPr>
                      <w:rFonts w:cs="Times New Roman"/>
                      <w:sz w:val="18"/>
                    </w:rPr>
                    <w:t>情况</w:t>
                  </w:r>
                </w:p>
              </w:tc>
            </w:tr>
            <w:tr w14:paraId="0DE6602C">
              <w:trPr>
                <w:trHeight w:val="340" w:hRule="atLeast"/>
              </w:trPr>
              <w:tc>
                <w:tcPr>
                  <w:tcW w:w="703" w:type="pct"/>
                  <w:vAlign w:val="center"/>
                </w:tcPr>
                <w:p w14:paraId="0F674604">
                  <w:pPr>
                    <w:spacing w:line="240" w:lineRule="auto"/>
                    <w:ind w:firstLine="0" w:firstLineChars="0"/>
                    <w:jc w:val="center"/>
                    <w:rPr>
                      <w:rFonts w:cs="Times New Roman"/>
                      <w:kern w:val="0"/>
                      <w:sz w:val="18"/>
                    </w:rPr>
                  </w:pPr>
                  <w:r>
                    <w:rPr>
                      <w:rFonts w:cs="Times New Roman"/>
                      <w:sz w:val="18"/>
                    </w:rPr>
                    <w:t>大气</w:t>
                  </w:r>
                </w:p>
              </w:tc>
              <w:tc>
                <w:tcPr>
                  <w:tcW w:w="2121" w:type="pct"/>
                  <w:vAlign w:val="center"/>
                </w:tcPr>
                <w:p w14:paraId="07F5BA1C">
                  <w:pPr>
                    <w:spacing w:line="240" w:lineRule="auto"/>
                    <w:ind w:firstLine="0" w:firstLineChars="0"/>
                    <w:rPr>
                      <w:rFonts w:cs="Times New Roman"/>
                      <w:kern w:val="0"/>
                      <w:sz w:val="18"/>
                    </w:rPr>
                  </w:pPr>
                  <w:r>
                    <w:rPr>
                      <w:rFonts w:cs="Times New Roman"/>
                      <w:sz w:val="18"/>
                    </w:rPr>
                    <w:t>排放废气含有毒有害污染物</w:t>
                  </w:r>
                  <w:r>
                    <w:rPr>
                      <w:rFonts w:cs="Times New Roman"/>
                      <w:sz w:val="18"/>
                      <w:vertAlign w:val="superscript"/>
                    </w:rPr>
                    <w:t>1</w:t>
                  </w:r>
                  <w:r>
                    <w:rPr>
                      <w:rFonts w:cs="Times New Roman"/>
                      <w:sz w:val="18"/>
                    </w:rPr>
                    <w:t>、二噁英、苯并[a]芘、氰化物、氯气且厂界外500米范围内有环境空气保护目标</w:t>
                  </w:r>
                  <w:r>
                    <w:rPr>
                      <w:rFonts w:cs="Times New Roman"/>
                      <w:sz w:val="18"/>
                      <w:vertAlign w:val="superscript"/>
                    </w:rPr>
                    <w:t>2</w:t>
                  </w:r>
                  <w:r>
                    <w:rPr>
                      <w:rFonts w:cs="Times New Roman"/>
                      <w:sz w:val="18"/>
                    </w:rPr>
                    <w:t>的建设项目</w:t>
                  </w:r>
                </w:p>
              </w:tc>
              <w:tc>
                <w:tcPr>
                  <w:tcW w:w="1707" w:type="pct"/>
                  <w:vAlign w:val="center"/>
                </w:tcPr>
                <w:p w14:paraId="78F16F8D">
                  <w:pPr>
                    <w:spacing w:line="240" w:lineRule="auto"/>
                    <w:ind w:firstLine="0" w:firstLineChars="0"/>
                    <w:rPr>
                      <w:rFonts w:cs="Times New Roman"/>
                      <w:kern w:val="0"/>
                      <w:sz w:val="18"/>
                    </w:rPr>
                  </w:pPr>
                  <w:r>
                    <w:rPr>
                      <w:rFonts w:cs="Times New Roman"/>
                      <w:sz w:val="18"/>
                    </w:rPr>
                    <w:t>本项目厂界外500米范围内有环境空气保护目标，排放废气不涉及指南规定的废气污染物</w:t>
                  </w:r>
                </w:p>
              </w:tc>
              <w:tc>
                <w:tcPr>
                  <w:tcW w:w="467" w:type="pct"/>
                  <w:vAlign w:val="center"/>
                </w:tcPr>
                <w:p w14:paraId="61517AF1">
                  <w:pPr>
                    <w:spacing w:line="240" w:lineRule="auto"/>
                    <w:ind w:firstLine="0" w:firstLineChars="0"/>
                    <w:jc w:val="center"/>
                    <w:rPr>
                      <w:rFonts w:cs="Times New Roman"/>
                      <w:kern w:val="0"/>
                      <w:sz w:val="18"/>
                    </w:rPr>
                  </w:pPr>
                  <w:r>
                    <w:rPr>
                      <w:rFonts w:cs="Times New Roman"/>
                      <w:sz w:val="18"/>
                    </w:rPr>
                    <w:t>无</w:t>
                  </w:r>
                </w:p>
              </w:tc>
            </w:tr>
            <w:tr w14:paraId="18DACA25">
              <w:trPr>
                <w:trHeight w:val="340" w:hRule="atLeast"/>
              </w:trPr>
              <w:tc>
                <w:tcPr>
                  <w:tcW w:w="703" w:type="pct"/>
                  <w:vAlign w:val="center"/>
                </w:tcPr>
                <w:p w14:paraId="5A042BAF">
                  <w:pPr>
                    <w:spacing w:line="240" w:lineRule="auto"/>
                    <w:ind w:firstLine="0" w:firstLineChars="0"/>
                    <w:jc w:val="center"/>
                    <w:rPr>
                      <w:rFonts w:cs="Times New Roman"/>
                      <w:kern w:val="0"/>
                      <w:sz w:val="18"/>
                    </w:rPr>
                  </w:pPr>
                  <w:r>
                    <w:rPr>
                      <w:rFonts w:cs="Times New Roman"/>
                      <w:sz w:val="18"/>
                    </w:rPr>
                    <w:t>地表水</w:t>
                  </w:r>
                </w:p>
              </w:tc>
              <w:tc>
                <w:tcPr>
                  <w:tcW w:w="2121" w:type="pct"/>
                  <w:vAlign w:val="center"/>
                </w:tcPr>
                <w:p w14:paraId="6D0CBF26">
                  <w:pPr>
                    <w:spacing w:line="240" w:lineRule="auto"/>
                    <w:ind w:firstLine="0" w:firstLineChars="0"/>
                    <w:rPr>
                      <w:rFonts w:cs="Times New Roman"/>
                      <w:kern w:val="0"/>
                      <w:sz w:val="18"/>
                    </w:rPr>
                  </w:pPr>
                  <w:r>
                    <w:rPr>
                      <w:rFonts w:cs="Times New Roman"/>
                      <w:sz w:val="18"/>
                    </w:rPr>
                    <w:t>新增工业废水直排建设项目（槽罐车外送污水处理厂的除外）；新增废水直排的污水集中处理厂</w:t>
                  </w:r>
                </w:p>
              </w:tc>
              <w:tc>
                <w:tcPr>
                  <w:tcW w:w="1707" w:type="pct"/>
                  <w:vAlign w:val="center"/>
                </w:tcPr>
                <w:p w14:paraId="1D0E0832">
                  <w:pPr>
                    <w:spacing w:line="240" w:lineRule="auto"/>
                    <w:ind w:firstLine="0" w:firstLineChars="0"/>
                    <w:rPr>
                      <w:rFonts w:cs="Times New Roman"/>
                      <w:kern w:val="0"/>
                      <w:sz w:val="18"/>
                    </w:rPr>
                  </w:pPr>
                  <w:r>
                    <w:rPr>
                      <w:rFonts w:cs="Times New Roman"/>
                      <w:sz w:val="18"/>
                    </w:rPr>
                    <w:t>本项目生活污水进入</w:t>
                  </w:r>
                  <w:r>
                    <w:rPr>
                      <w:rFonts w:hint="eastAsia" w:cs="Times New Roman"/>
                      <w:sz w:val="18"/>
                    </w:rPr>
                    <w:t>良渚污水处理厂</w:t>
                  </w:r>
                  <w:r>
                    <w:rPr>
                      <w:rFonts w:cs="Times New Roman"/>
                      <w:sz w:val="18"/>
                    </w:rPr>
                    <w:t>处理，</w:t>
                  </w:r>
                  <w:r>
                    <w:rPr>
                      <w:rFonts w:hint="eastAsia" w:cs="Times New Roman"/>
                      <w:sz w:val="18"/>
                    </w:rPr>
                    <w:t>循环冷却水定期补充，不外排。</w:t>
                  </w:r>
                </w:p>
              </w:tc>
              <w:tc>
                <w:tcPr>
                  <w:tcW w:w="467" w:type="pct"/>
                  <w:vAlign w:val="center"/>
                </w:tcPr>
                <w:p w14:paraId="3E5D3583">
                  <w:pPr>
                    <w:spacing w:line="240" w:lineRule="auto"/>
                    <w:ind w:firstLine="0" w:firstLineChars="0"/>
                    <w:jc w:val="center"/>
                    <w:rPr>
                      <w:rFonts w:cs="Times New Roman"/>
                      <w:kern w:val="0"/>
                      <w:sz w:val="18"/>
                    </w:rPr>
                  </w:pPr>
                  <w:r>
                    <w:rPr>
                      <w:rFonts w:cs="Times New Roman"/>
                      <w:sz w:val="18"/>
                    </w:rPr>
                    <w:t>无</w:t>
                  </w:r>
                </w:p>
              </w:tc>
            </w:tr>
            <w:tr w14:paraId="441B02B8">
              <w:trPr>
                <w:trHeight w:val="340" w:hRule="atLeast"/>
              </w:trPr>
              <w:tc>
                <w:tcPr>
                  <w:tcW w:w="703" w:type="pct"/>
                  <w:vAlign w:val="center"/>
                </w:tcPr>
                <w:p w14:paraId="1C89A1F8">
                  <w:pPr>
                    <w:spacing w:line="240" w:lineRule="auto"/>
                    <w:ind w:firstLine="0" w:firstLineChars="0"/>
                    <w:jc w:val="center"/>
                    <w:rPr>
                      <w:rFonts w:cs="Times New Roman"/>
                      <w:kern w:val="0"/>
                      <w:sz w:val="18"/>
                    </w:rPr>
                  </w:pPr>
                  <w:r>
                    <w:rPr>
                      <w:rFonts w:cs="Times New Roman"/>
                      <w:sz w:val="18"/>
                    </w:rPr>
                    <w:t>环境风险</w:t>
                  </w:r>
                </w:p>
              </w:tc>
              <w:tc>
                <w:tcPr>
                  <w:tcW w:w="2121" w:type="pct"/>
                  <w:vAlign w:val="center"/>
                </w:tcPr>
                <w:p w14:paraId="6717673B">
                  <w:pPr>
                    <w:spacing w:line="240" w:lineRule="auto"/>
                    <w:ind w:firstLine="0" w:firstLineChars="0"/>
                    <w:rPr>
                      <w:rFonts w:cs="Times New Roman"/>
                      <w:kern w:val="0"/>
                      <w:sz w:val="18"/>
                    </w:rPr>
                  </w:pPr>
                  <w:r>
                    <w:rPr>
                      <w:rFonts w:cs="Times New Roman"/>
                      <w:sz w:val="18"/>
                    </w:rPr>
                    <w:t>有毒有害和易燃易爆危险物质存储量超过临界量</w:t>
                  </w:r>
                  <w:r>
                    <w:rPr>
                      <w:rFonts w:cs="Times New Roman"/>
                      <w:sz w:val="18"/>
                      <w:vertAlign w:val="superscript"/>
                    </w:rPr>
                    <w:t>3</w:t>
                  </w:r>
                  <w:r>
                    <w:rPr>
                      <w:rFonts w:cs="Times New Roman"/>
                      <w:sz w:val="18"/>
                    </w:rPr>
                    <w:t>的建设项目</w:t>
                  </w:r>
                </w:p>
              </w:tc>
              <w:tc>
                <w:tcPr>
                  <w:tcW w:w="1707" w:type="pct"/>
                  <w:vAlign w:val="center"/>
                </w:tcPr>
                <w:p w14:paraId="07E02EDC">
                  <w:pPr>
                    <w:spacing w:line="240" w:lineRule="auto"/>
                    <w:ind w:firstLine="0" w:firstLineChars="0"/>
                    <w:rPr>
                      <w:rFonts w:cs="Times New Roman"/>
                      <w:kern w:val="0"/>
                      <w:sz w:val="18"/>
                    </w:rPr>
                  </w:pPr>
                  <w:r>
                    <w:rPr>
                      <w:rFonts w:cs="Times New Roman"/>
                      <w:sz w:val="18"/>
                    </w:rPr>
                    <w:t>本项目危险物质</w:t>
                  </w:r>
                  <w:r>
                    <w:rPr>
                      <w:rFonts w:hint="eastAsia" w:cs="Times New Roman"/>
                      <w:sz w:val="18"/>
                    </w:rPr>
                    <w:t>存储量</w:t>
                  </w:r>
                  <w:r>
                    <w:rPr>
                      <w:rFonts w:cs="Times New Roman"/>
                      <w:sz w:val="18"/>
                    </w:rPr>
                    <w:t>未超过临界量</w:t>
                  </w:r>
                </w:p>
              </w:tc>
              <w:tc>
                <w:tcPr>
                  <w:tcW w:w="467" w:type="pct"/>
                  <w:vAlign w:val="center"/>
                </w:tcPr>
                <w:p w14:paraId="3E725B07">
                  <w:pPr>
                    <w:spacing w:line="240" w:lineRule="auto"/>
                    <w:ind w:firstLine="0" w:firstLineChars="0"/>
                    <w:jc w:val="center"/>
                    <w:rPr>
                      <w:rFonts w:cs="Times New Roman"/>
                      <w:kern w:val="0"/>
                      <w:sz w:val="18"/>
                    </w:rPr>
                  </w:pPr>
                  <w:r>
                    <w:rPr>
                      <w:rFonts w:cs="Times New Roman"/>
                      <w:sz w:val="18"/>
                    </w:rPr>
                    <w:t>无</w:t>
                  </w:r>
                </w:p>
              </w:tc>
            </w:tr>
            <w:tr w14:paraId="383B9E14">
              <w:trPr>
                <w:trHeight w:val="340" w:hRule="atLeast"/>
              </w:trPr>
              <w:tc>
                <w:tcPr>
                  <w:tcW w:w="703" w:type="pct"/>
                  <w:vAlign w:val="center"/>
                </w:tcPr>
                <w:p w14:paraId="5B442B41">
                  <w:pPr>
                    <w:spacing w:line="240" w:lineRule="auto"/>
                    <w:ind w:firstLine="0" w:firstLineChars="0"/>
                    <w:jc w:val="center"/>
                    <w:rPr>
                      <w:rFonts w:cs="Times New Roman"/>
                      <w:kern w:val="0"/>
                      <w:sz w:val="18"/>
                    </w:rPr>
                  </w:pPr>
                  <w:r>
                    <w:rPr>
                      <w:rFonts w:cs="Times New Roman"/>
                      <w:sz w:val="18"/>
                    </w:rPr>
                    <w:t>生态</w:t>
                  </w:r>
                </w:p>
              </w:tc>
              <w:tc>
                <w:tcPr>
                  <w:tcW w:w="2121" w:type="pct"/>
                  <w:vAlign w:val="center"/>
                </w:tcPr>
                <w:p w14:paraId="613C315B">
                  <w:pPr>
                    <w:spacing w:line="240" w:lineRule="auto"/>
                    <w:ind w:firstLine="0" w:firstLineChars="0"/>
                    <w:rPr>
                      <w:rFonts w:cs="Times New Roman"/>
                      <w:kern w:val="0"/>
                      <w:sz w:val="18"/>
                    </w:rPr>
                  </w:pPr>
                  <w:r>
                    <w:rPr>
                      <w:rFonts w:cs="Times New Roman"/>
                      <w:sz w:val="18"/>
                    </w:rPr>
                    <w:t>取水口下游500米范围内有重要水生生物的自然产卵场、索饵场、越冬场和洄游通道的新增河道取水的污染类建设项目</w:t>
                  </w:r>
                </w:p>
              </w:tc>
              <w:tc>
                <w:tcPr>
                  <w:tcW w:w="1707" w:type="pct"/>
                  <w:vAlign w:val="center"/>
                </w:tcPr>
                <w:p w14:paraId="5D3E5A9B">
                  <w:pPr>
                    <w:spacing w:line="240" w:lineRule="auto"/>
                    <w:ind w:firstLine="0" w:firstLineChars="0"/>
                    <w:rPr>
                      <w:rFonts w:cs="Times New Roman"/>
                      <w:kern w:val="0"/>
                      <w:sz w:val="18"/>
                    </w:rPr>
                  </w:pPr>
                  <w:r>
                    <w:rPr>
                      <w:rFonts w:cs="Times New Roman"/>
                      <w:sz w:val="18"/>
                    </w:rPr>
                    <w:t>本项目供水来自</w:t>
                  </w:r>
                  <w:r>
                    <w:rPr>
                      <w:rFonts w:hint="eastAsia" w:cs="Times New Roman"/>
                      <w:sz w:val="18"/>
                    </w:rPr>
                    <w:t>园区</w:t>
                  </w:r>
                  <w:r>
                    <w:rPr>
                      <w:rFonts w:cs="Times New Roman"/>
                      <w:sz w:val="18"/>
                    </w:rPr>
                    <w:t>供水管网，不涉及取水口</w:t>
                  </w:r>
                </w:p>
              </w:tc>
              <w:tc>
                <w:tcPr>
                  <w:tcW w:w="467" w:type="pct"/>
                  <w:vAlign w:val="center"/>
                </w:tcPr>
                <w:p w14:paraId="3C26D163">
                  <w:pPr>
                    <w:spacing w:line="240" w:lineRule="auto"/>
                    <w:ind w:firstLine="0" w:firstLineChars="0"/>
                    <w:jc w:val="center"/>
                    <w:rPr>
                      <w:rFonts w:cs="Times New Roman"/>
                      <w:kern w:val="0"/>
                      <w:sz w:val="18"/>
                    </w:rPr>
                  </w:pPr>
                  <w:r>
                    <w:rPr>
                      <w:rFonts w:cs="Times New Roman"/>
                      <w:sz w:val="18"/>
                    </w:rPr>
                    <w:t>无</w:t>
                  </w:r>
                </w:p>
              </w:tc>
            </w:tr>
            <w:tr w14:paraId="6481D920">
              <w:trPr>
                <w:trHeight w:val="340" w:hRule="atLeast"/>
              </w:trPr>
              <w:tc>
                <w:tcPr>
                  <w:tcW w:w="703" w:type="pct"/>
                  <w:vAlign w:val="center"/>
                </w:tcPr>
                <w:p w14:paraId="622C3A4F">
                  <w:pPr>
                    <w:spacing w:line="240" w:lineRule="auto"/>
                    <w:ind w:firstLine="0" w:firstLineChars="0"/>
                    <w:jc w:val="center"/>
                    <w:rPr>
                      <w:rFonts w:cs="Times New Roman"/>
                      <w:kern w:val="0"/>
                      <w:sz w:val="18"/>
                    </w:rPr>
                  </w:pPr>
                  <w:r>
                    <w:rPr>
                      <w:rFonts w:cs="Times New Roman"/>
                      <w:sz w:val="18"/>
                    </w:rPr>
                    <w:t>海洋</w:t>
                  </w:r>
                </w:p>
              </w:tc>
              <w:tc>
                <w:tcPr>
                  <w:tcW w:w="2121" w:type="pct"/>
                  <w:vAlign w:val="center"/>
                </w:tcPr>
                <w:p w14:paraId="55C5C8C2">
                  <w:pPr>
                    <w:spacing w:line="240" w:lineRule="auto"/>
                    <w:ind w:firstLine="0" w:firstLineChars="0"/>
                    <w:rPr>
                      <w:rFonts w:cs="Times New Roman"/>
                      <w:kern w:val="0"/>
                      <w:sz w:val="18"/>
                    </w:rPr>
                  </w:pPr>
                  <w:r>
                    <w:rPr>
                      <w:rFonts w:cs="Times New Roman"/>
                      <w:sz w:val="18"/>
                    </w:rPr>
                    <w:t>直接向海排放污染物的海洋工程建设项目</w:t>
                  </w:r>
                </w:p>
              </w:tc>
              <w:tc>
                <w:tcPr>
                  <w:tcW w:w="1707" w:type="pct"/>
                  <w:vAlign w:val="center"/>
                </w:tcPr>
                <w:p w14:paraId="1FB38F13">
                  <w:pPr>
                    <w:spacing w:line="240" w:lineRule="auto"/>
                    <w:ind w:firstLine="0" w:firstLineChars="0"/>
                    <w:rPr>
                      <w:rFonts w:cs="Times New Roman"/>
                      <w:kern w:val="0"/>
                      <w:sz w:val="18"/>
                    </w:rPr>
                  </w:pPr>
                  <w:r>
                    <w:rPr>
                      <w:rFonts w:cs="Times New Roman"/>
                      <w:sz w:val="18"/>
                    </w:rPr>
                    <w:t>本项目不涉及向海排放污染物</w:t>
                  </w:r>
                </w:p>
              </w:tc>
              <w:tc>
                <w:tcPr>
                  <w:tcW w:w="467" w:type="pct"/>
                  <w:vAlign w:val="center"/>
                </w:tcPr>
                <w:p w14:paraId="46848226">
                  <w:pPr>
                    <w:spacing w:line="240" w:lineRule="auto"/>
                    <w:ind w:firstLine="0" w:firstLineChars="0"/>
                    <w:jc w:val="center"/>
                    <w:rPr>
                      <w:rFonts w:cs="Times New Roman"/>
                      <w:kern w:val="0"/>
                      <w:sz w:val="18"/>
                    </w:rPr>
                  </w:pPr>
                  <w:r>
                    <w:rPr>
                      <w:rFonts w:cs="Times New Roman"/>
                      <w:sz w:val="18"/>
                    </w:rPr>
                    <w:t>无</w:t>
                  </w:r>
                </w:p>
              </w:tc>
            </w:tr>
            <w:tr w14:paraId="1F46C959">
              <w:trPr>
                <w:trHeight w:val="340" w:hRule="atLeast"/>
              </w:trPr>
              <w:tc>
                <w:tcPr>
                  <w:tcW w:w="5000" w:type="pct"/>
                  <w:gridSpan w:val="4"/>
                  <w:vAlign w:val="center"/>
                </w:tcPr>
                <w:p w14:paraId="64737AFD">
                  <w:pPr>
                    <w:spacing w:line="240" w:lineRule="auto"/>
                    <w:ind w:firstLine="0" w:firstLineChars="0"/>
                    <w:rPr>
                      <w:rFonts w:cs="Times New Roman"/>
                      <w:sz w:val="18"/>
                    </w:rPr>
                  </w:pPr>
                  <w:r>
                    <w:rPr>
                      <w:rFonts w:cs="Times New Roman"/>
                      <w:sz w:val="18"/>
                    </w:rPr>
                    <w:t>注：1.废气中有毒有害污染物指纳入《有毒有害大气污染物名录》的污染物（不包括无排放标准的污染物）。</w:t>
                  </w:r>
                </w:p>
                <w:p w14:paraId="3D4217FF">
                  <w:pPr>
                    <w:spacing w:line="240" w:lineRule="auto"/>
                    <w:ind w:firstLine="0" w:firstLineChars="0"/>
                    <w:rPr>
                      <w:rFonts w:cs="Times New Roman"/>
                      <w:sz w:val="18"/>
                    </w:rPr>
                  </w:pPr>
                  <w:r>
                    <w:rPr>
                      <w:rFonts w:cs="Times New Roman"/>
                      <w:sz w:val="18"/>
                    </w:rPr>
                    <w:t>2.环境空气保护目标指自然保护区、风景名胜区、居住区、文化区和农村地区中人群较集中的区域。</w:t>
                  </w:r>
                </w:p>
                <w:p w14:paraId="2B9F748B">
                  <w:pPr>
                    <w:spacing w:line="240" w:lineRule="auto"/>
                    <w:ind w:firstLine="0" w:firstLineChars="0"/>
                    <w:rPr>
                      <w:rFonts w:cs="Times New Roman"/>
                      <w:sz w:val="18"/>
                    </w:rPr>
                  </w:pPr>
                  <w:r>
                    <w:rPr>
                      <w:rFonts w:cs="Times New Roman"/>
                      <w:sz w:val="18"/>
                    </w:rPr>
                    <w:t>3.临界量及其计算方法可参考《建设项目环境风险评价技术导则》（HJ 169）附录B、附录C。</w:t>
                  </w:r>
                </w:p>
              </w:tc>
            </w:tr>
          </w:tbl>
          <w:p w14:paraId="79A70E6E">
            <w:pPr>
              <w:ind w:firstLine="480"/>
              <w:jc w:val="both"/>
              <w:rPr>
                <w:sz w:val="21"/>
                <w:szCs w:val="21"/>
              </w:rPr>
            </w:pPr>
            <w:r>
              <w:rPr>
                <w:rFonts w:hint="eastAsia"/>
                <w:szCs w:val="24"/>
              </w:rPr>
              <w:t>依据表1-1，本项目无需设置专项评价。</w:t>
            </w:r>
          </w:p>
        </w:tc>
      </w:tr>
      <w:tr w14:paraId="0DEFC10F">
        <w:trPr>
          <w:trHeight w:val="454" w:hRule="atLeast"/>
        </w:trPr>
        <w:tc>
          <w:tcPr>
            <w:tcW w:w="1286" w:type="dxa"/>
            <w:vAlign w:val="center"/>
          </w:tcPr>
          <w:p w14:paraId="1FFEEF06">
            <w:pPr>
              <w:spacing w:line="240" w:lineRule="auto"/>
              <w:ind w:firstLine="0" w:firstLineChars="0"/>
              <w:jc w:val="center"/>
              <w:rPr>
                <w:szCs w:val="24"/>
              </w:rPr>
            </w:pPr>
            <w:r>
              <w:rPr>
                <w:rFonts w:hint="eastAsia"/>
                <w:szCs w:val="24"/>
              </w:rPr>
              <w:t>规划情况</w:t>
            </w:r>
          </w:p>
        </w:tc>
        <w:tc>
          <w:tcPr>
            <w:tcW w:w="7236" w:type="dxa"/>
            <w:gridSpan w:val="3"/>
            <w:vAlign w:val="center"/>
          </w:tcPr>
          <w:p w14:paraId="12248C81">
            <w:pPr>
              <w:ind w:firstLine="0" w:firstLineChars="0"/>
              <w:jc w:val="both"/>
              <w:rPr>
                <w:rFonts w:cs="Times New Roman"/>
                <w:kern w:val="0"/>
                <w:szCs w:val="24"/>
              </w:rPr>
            </w:pPr>
            <w:r>
              <w:rPr>
                <w:rFonts w:hint="eastAsia" w:cs="Times New Roman"/>
                <w:kern w:val="0"/>
                <w:szCs w:val="24"/>
              </w:rPr>
              <w:t>规划名称：《余杭区钱开区单元（YH02）详细规划》</w:t>
            </w:r>
          </w:p>
          <w:p w14:paraId="1F2EE3BE">
            <w:pPr>
              <w:ind w:firstLine="0" w:firstLineChars="0"/>
              <w:jc w:val="both"/>
              <w:rPr>
                <w:rFonts w:cs="Times New Roman"/>
                <w:kern w:val="0"/>
                <w:szCs w:val="24"/>
              </w:rPr>
            </w:pPr>
            <w:r>
              <w:rPr>
                <w:rFonts w:hint="eastAsia" w:cs="Times New Roman"/>
                <w:kern w:val="0"/>
                <w:szCs w:val="24"/>
              </w:rPr>
              <w:t>审批机关：杭州市人民政府办公厅</w:t>
            </w:r>
          </w:p>
          <w:p w14:paraId="64E3B04F">
            <w:pPr>
              <w:ind w:firstLine="0" w:firstLineChars="0"/>
              <w:jc w:val="both"/>
              <w:rPr>
                <w:szCs w:val="24"/>
              </w:rPr>
            </w:pPr>
            <w:r>
              <w:rPr>
                <w:rFonts w:hint="eastAsia" w:cs="Times New Roman"/>
                <w:kern w:val="0"/>
                <w:szCs w:val="24"/>
              </w:rPr>
              <w:t>审批文件名称及文号：《杭州市人民政府关于杭州市滨江区西兴单元（BJ03）等8个单元详细规划的批复》（杭政函〔2024〕1号）</w:t>
            </w:r>
          </w:p>
        </w:tc>
      </w:tr>
      <w:tr w14:paraId="34AABF79">
        <w:trPr>
          <w:trHeight w:val="454" w:hRule="atLeast"/>
        </w:trPr>
        <w:tc>
          <w:tcPr>
            <w:tcW w:w="1286" w:type="dxa"/>
            <w:vAlign w:val="center"/>
          </w:tcPr>
          <w:p w14:paraId="41CE27AD">
            <w:pPr>
              <w:spacing w:line="240" w:lineRule="auto"/>
              <w:ind w:firstLine="0" w:firstLineChars="0"/>
              <w:jc w:val="center"/>
              <w:rPr>
                <w:szCs w:val="24"/>
              </w:rPr>
            </w:pPr>
            <w:r>
              <w:rPr>
                <w:rFonts w:hint="eastAsia"/>
                <w:szCs w:val="24"/>
              </w:rPr>
              <w:t>规划环境影响评价情况</w:t>
            </w:r>
          </w:p>
        </w:tc>
        <w:tc>
          <w:tcPr>
            <w:tcW w:w="7236" w:type="dxa"/>
            <w:gridSpan w:val="3"/>
            <w:vAlign w:val="center"/>
          </w:tcPr>
          <w:p w14:paraId="1CD4FFC7">
            <w:pPr>
              <w:ind w:firstLine="0" w:firstLineChars="0"/>
              <w:jc w:val="both"/>
              <w:rPr>
                <w:rFonts w:cs="Times New Roman"/>
                <w:kern w:val="0"/>
                <w:szCs w:val="24"/>
              </w:rPr>
            </w:pPr>
            <w:r>
              <w:rPr>
                <w:rFonts w:hint="eastAsia" w:cs="Times New Roman"/>
                <w:kern w:val="0"/>
                <w:szCs w:val="24"/>
              </w:rPr>
              <w:t>因本项目所在区域《余杭区钱开区单元（YH02）详细规划》规划环评暂未编制，故本次评价对照原《仁和先进制造业基地总体规划(2012-2030)环境影响报告书“六张清单”修订说明》等文件进行分析。</w:t>
            </w:r>
          </w:p>
          <w:p w14:paraId="3265264C">
            <w:pPr>
              <w:ind w:firstLine="0" w:firstLineChars="0"/>
              <w:jc w:val="both"/>
              <w:rPr>
                <w:rFonts w:cs="Times New Roman"/>
                <w:kern w:val="0"/>
                <w:szCs w:val="24"/>
              </w:rPr>
            </w:pPr>
            <w:r>
              <w:rPr>
                <w:rFonts w:hint="eastAsia" w:cs="Times New Roman"/>
                <w:kern w:val="0"/>
                <w:szCs w:val="24"/>
              </w:rPr>
              <w:t>1、规划文件名称：《仁和先进制造业基地（暂定名）总体规划(2012-2030)</w:t>
            </w:r>
          </w:p>
          <w:p w14:paraId="6D7B0381">
            <w:pPr>
              <w:ind w:firstLine="0" w:firstLineChars="0"/>
              <w:jc w:val="both"/>
              <w:rPr>
                <w:rFonts w:cs="Times New Roman"/>
                <w:kern w:val="0"/>
                <w:szCs w:val="24"/>
              </w:rPr>
            </w:pPr>
            <w:r>
              <w:rPr>
                <w:rFonts w:hint="eastAsia" w:cs="Times New Roman"/>
                <w:kern w:val="0"/>
                <w:szCs w:val="24"/>
              </w:rPr>
              <w:t>环境影响报告书》，杭州市余杭区环境保护局，余环函〔2014〕4号；</w:t>
            </w:r>
          </w:p>
          <w:p w14:paraId="23425A29">
            <w:pPr>
              <w:ind w:firstLine="0" w:firstLineChars="0"/>
              <w:jc w:val="both"/>
              <w:rPr>
                <w:rFonts w:cs="Times New Roman"/>
                <w:kern w:val="0"/>
                <w:szCs w:val="24"/>
              </w:rPr>
            </w:pPr>
            <w:r>
              <w:rPr>
                <w:rFonts w:hint="eastAsia" w:cs="Times New Roman"/>
                <w:kern w:val="0"/>
                <w:szCs w:val="24"/>
              </w:rPr>
              <w:t>2、《仁和先进制造业基地（暂定名）总体规划(2012-2030)规划调整环境</w:t>
            </w:r>
          </w:p>
          <w:p w14:paraId="438998C2">
            <w:pPr>
              <w:ind w:firstLine="0" w:firstLineChars="0"/>
              <w:jc w:val="both"/>
              <w:rPr>
                <w:rFonts w:cs="Times New Roman"/>
                <w:kern w:val="0"/>
                <w:szCs w:val="24"/>
              </w:rPr>
            </w:pPr>
            <w:r>
              <w:rPr>
                <w:rFonts w:hint="eastAsia" w:cs="Times New Roman"/>
                <w:kern w:val="0"/>
                <w:szCs w:val="24"/>
              </w:rPr>
              <w:t>影响补充报告》，杭州市余杭区环境保护局，余环函〔2016〕1号。</w:t>
            </w:r>
          </w:p>
          <w:p w14:paraId="10B6175B">
            <w:pPr>
              <w:pStyle w:val="2"/>
              <w:jc w:val="both"/>
              <w:rPr>
                <w:rStyle w:val="12"/>
                <w:sz w:val="24"/>
                <w:szCs w:val="24"/>
              </w:rPr>
            </w:pPr>
            <w:r>
              <w:rPr>
                <w:rFonts w:hint="eastAsia" w:cs="Times New Roman"/>
                <w:kern w:val="0"/>
                <w:sz w:val="24"/>
                <w:szCs w:val="24"/>
              </w:rPr>
              <w:t>3、《仁和先进制造业基地总体规划(2012-2030)环境影响报告书“六张清单”修订说明》。</w:t>
            </w:r>
          </w:p>
        </w:tc>
      </w:tr>
      <w:tr w14:paraId="1FE1B733">
        <w:trPr>
          <w:trHeight w:val="454" w:hRule="atLeast"/>
        </w:trPr>
        <w:tc>
          <w:tcPr>
            <w:tcW w:w="1286" w:type="dxa"/>
            <w:vAlign w:val="center"/>
          </w:tcPr>
          <w:p w14:paraId="15804E64">
            <w:pPr>
              <w:spacing w:line="240" w:lineRule="auto"/>
              <w:ind w:firstLine="0" w:firstLineChars="0"/>
              <w:jc w:val="center"/>
              <w:rPr>
                <w:szCs w:val="24"/>
              </w:rPr>
            </w:pPr>
            <w:r>
              <w:rPr>
                <w:rFonts w:hint="eastAsia"/>
                <w:szCs w:val="24"/>
              </w:rPr>
              <w:t>规划及规划环境影响评价符合性分析</w:t>
            </w:r>
          </w:p>
        </w:tc>
        <w:tc>
          <w:tcPr>
            <w:tcW w:w="7236" w:type="dxa"/>
            <w:gridSpan w:val="3"/>
            <w:vAlign w:val="center"/>
          </w:tcPr>
          <w:p w14:paraId="764C061A">
            <w:pPr>
              <w:ind w:firstLine="0" w:firstLineChars="0"/>
              <w:jc w:val="both"/>
              <w:rPr>
                <w:rFonts w:cs="Times New Roman"/>
                <w:kern w:val="0"/>
                <w:szCs w:val="24"/>
              </w:rPr>
            </w:pPr>
            <w:r>
              <w:rPr>
                <w:rFonts w:hint="eastAsia" w:cs="Times New Roman"/>
                <w:kern w:val="0"/>
                <w:szCs w:val="24"/>
              </w:rPr>
              <w:t>1、余杭区钱开区单元（YH02）详细规划符合性分析</w:t>
            </w:r>
          </w:p>
          <w:p w14:paraId="5D9300FD">
            <w:pPr>
              <w:ind w:firstLine="480"/>
              <w:jc w:val="both"/>
              <w:rPr>
                <w:szCs w:val="24"/>
              </w:rPr>
            </w:pPr>
            <w:r>
              <w:rPr>
                <w:rFonts w:hint="eastAsia"/>
                <w:szCs w:val="24"/>
              </w:rPr>
              <w:t>（1）规划范围</w:t>
            </w:r>
          </w:p>
          <w:p w14:paraId="6B99D954">
            <w:pPr>
              <w:ind w:firstLine="480"/>
              <w:jc w:val="both"/>
              <w:rPr>
                <w:szCs w:val="24"/>
              </w:rPr>
            </w:pPr>
            <w:r>
              <w:rPr>
                <w:rFonts w:hint="eastAsia"/>
                <w:szCs w:val="24"/>
              </w:rPr>
              <w:t>钱开区单元位于杭州市余杭区仁和街道。具体界线东至杭宁高速，南至仁和街道边界，西至东苕溪、仁和街道界限，北至杭州与德清交界处，单元面积约34.65平方公里。</w:t>
            </w:r>
          </w:p>
          <w:p w14:paraId="0833492E">
            <w:pPr>
              <w:ind w:firstLine="480"/>
              <w:jc w:val="both"/>
              <w:rPr>
                <w:szCs w:val="24"/>
              </w:rPr>
            </w:pPr>
            <w:r>
              <w:rPr>
                <w:rFonts w:hint="eastAsia"/>
                <w:szCs w:val="24"/>
              </w:rPr>
              <w:t>（2）产业定位</w:t>
            </w:r>
          </w:p>
          <w:p w14:paraId="328B1F49">
            <w:pPr>
              <w:ind w:firstLine="480"/>
              <w:jc w:val="both"/>
              <w:rPr>
                <w:szCs w:val="24"/>
              </w:rPr>
            </w:pPr>
            <w:r>
              <w:rPr>
                <w:rFonts w:hint="eastAsia"/>
                <w:szCs w:val="24"/>
              </w:rPr>
              <w:t>长三角智能制造产业示范区、长三角创新发展总部基地引领区、杭州产城人文融合发展样板区。</w:t>
            </w:r>
          </w:p>
          <w:p w14:paraId="1E3C087E">
            <w:pPr>
              <w:ind w:firstLine="480"/>
              <w:jc w:val="both"/>
              <w:rPr>
                <w:szCs w:val="24"/>
              </w:rPr>
            </w:pPr>
            <w:r>
              <w:rPr>
                <w:rFonts w:hint="eastAsia"/>
                <w:szCs w:val="24"/>
              </w:rPr>
              <w:t>（3）用地布局</w:t>
            </w:r>
          </w:p>
          <w:p w14:paraId="001E7C81">
            <w:pPr>
              <w:ind w:firstLine="480"/>
              <w:jc w:val="both"/>
              <w:rPr>
                <w:szCs w:val="24"/>
              </w:rPr>
            </w:pPr>
            <w:r>
              <w:rPr>
                <w:rFonts w:hint="eastAsia"/>
                <w:szCs w:val="24"/>
              </w:rPr>
              <w:t>以杭州市国土空间总体规划、余杭区国土空间分区规划等上位规划为指导，结合现状情况，尊重在建和已建项目，充分挖掘土地开发潜力。秉承产城融合发展理念，充分发挥钱江经济开发区产业平台价值；聚焦产业发展和生产生活服务需求，充分保障创新产业发展空间，提升创新创业人群生活就业环境品质；完善田园融合的蓝绿网络；加强内外道路交通组织及市政基础设施保障。</w:t>
            </w:r>
          </w:p>
          <w:p w14:paraId="2C9B1337">
            <w:pPr>
              <w:ind w:firstLine="480"/>
              <w:jc w:val="both"/>
              <w:rPr>
                <w:szCs w:val="24"/>
              </w:rPr>
            </w:pPr>
            <w:r>
              <w:rPr>
                <w:rFonts w:hint="eastAsia"/>
                <w:szCs w:val="24"/>
              </w:rPr>
              <w:t>（4）符合性分析</w:t>
            </w:r>
          </w:p>
          <w:p w14:paraId="543D0138">
            <w:pPr>
              <w:ind w:firstLine="480"/>
              <w:jc w:val="both"/>
              <w:rPr>
                <w:szCs w:val="24"/>
              </w:rPr>
            </w:pPr>
            <w:r>
              <w:rPr>
                <w:rFonts w:hint="eastAsia"/>
                <w:szCs w:val="24"/>
              </w:rPr>
              <w:t>项目位于浙江省杭州市余杭区仁和街道三星路4号，项目用地属于工业用地，符合用地规划。综上，项目建设符合《余杭区钱开区单元（YH02）详细规划》中用地性质要求。</w:t>
            </w:r>
          </w:p>
          <w:p w14:paraId="43649A35">
            <w:pPr>
              <w:ind w:firstLine="480"/>
              <w:jc w:val="both"/>
              <w:rPr>
                <w:szCs w:val="24"/>
              </w:rPr>
            </w:pPr>
            <w:r>
              <w:rPr>
                <w:rFonts w:hint="eastAsia"/>
                <w:szCs w:val="24"/>
              </w:rPr>
              <w:t>2、规划环评符合性分析</w:t>
            </w:r>
          </w:p>
          <w:p w14:paraId="057CCD6E">
            <w:pPr>
              <w:ind w:firstLine="480"/>
              <w:jc w:val="both"/>
              <w:rPr>
                <w:rFonts w:cs="Times New Roman"/>
                <w:kern w:val="0"/>
                <w:szCs w:val="24"/>
              </w:rPr>
            </w:pPr>
            <w:r>
              <w:rPr>
                <w:rFonts w:hint="eastAsia"/>
                <w:szCs w:val="24"/>
              </w:rPr>
              <w:t>本次评价对照原《仁和先进制造业基地总体规划(2012-2030)补充环境影响报告书》《仁和先进制造业基地总体规划(2012-2030)环境影响报告书“六张清单”修订说明》，符合性分析如下。</w:t>
            </w:r>
          </w:p>
        </w:tc>
      </w:tr>
    </w:tbl>
    <w:p w14:paraId="313DE8E2">
      <w:pPr>
        <w:ind w:firstLine="0" w:firstLineChars="0"/>
        <w:jc w:val="both"/>
      </w:pPr>
    </w:p>
    <w:p w14:paraId="2F1BF946">
      <w:pPr>
        <w:pStyle w:val="2"/>
      </w:pPr>
    </w:p>
    <w:p w14:paraId="5F36BDBB">
      <w:pPr>
        <w:ind w:firstLine="0" w:firstLineChars="0"/>
        <w:jc w:val="both"/>
        <w:sectPr>
          <w:pgSz w:w="11906" w:h="16838"/>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2735"/>
      </w:tblGrid>
      <w:tr w14:paraId="05D825A4">
        <w:tc>
          <w:tcPr>
            <w:tcW w:w="774" w:type="dxa"/>
            <w:vAlign w:val="center"/>
          </w:tcPr>
          <w:p w14:paraId="52199DD4">
            <w:pPr>
              <w:ind w:firstLine="0" w:firstLineChars="0"/>
              <w:jc w:val="center"/>
            </w:pPr>
          </w:p>
        </w:tc>
        <w:tc>
          <w:tcPr>
            <w:tcW w:w="13400" w:type="dxa"/>
          </w:tcPr>
          <w:p w14:paraId="3BC8A143">
            <w:pPr>
              <w:numPr>
                <w:ilvl w:val="0"/>
                <w:numId w:val="3"/>
              </w:numPr>
              <w:ind w:firstLine="480"/>
              <w:jc w:val="both"/>
              <w:rPr>
                <w:szCs w:val="24"/>
              </w:rPr>
            </w:pPr>
            <w:r>
              <w:rPr>
                <w:rFonts w:hint="eastAsia"/>
                <w:szCs w:val="24"/>
              </w:rPr>
              <w:t>生态空间清单符合性分析</w:t>
            </w:r>
          </w:p>
          <w:p w14:paraId="1ADF599D">
            <w:pPr>
              <w:pStyle w:val="14"/>
              <w:spacing w:before="156"/>
            </w:pPr>
            <w:r>
              <w:t xml:space="preserve">  生态空间清单</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89"/>
              <w:gridCol w:w="1151"/>
              <w:gridCol w:w="4597"/>
              <w:gridCol w:w="3661"/>
              <w:gridCol w:w="1108"/>
            </w:tblGrid>
            <w:tr w14:paraId="604F1623">
              <w:trPr>
                <w:trHeight w:val="830" w:hRule="atLeast"/>
              </w:trPr>
              <w:tc>
                <w:tcPr>
                  <w:tcW w:w="795" w:type="pct"/>
                  <w:vAlign w:val="center"/>
                </w:tcPr>
                <w:p w14:paraId="057DA073">
                  <w:pPr>
                    <w:spacing w:line="240" w:lineRule="auto"/>
                    <w:ind w:firstLine="0" w:firstLineChars="0"/>
                    <w:jc w:val="center"/>
                    <w:outlineLvl w:val="1"/>
                    <w:rPr>
                      <w:rFonts w:cs="Times New Roman"/>
                      <w:sz w:val="18"/>
                    </w:rPr>
                  </w:pPr>
                  <w:r>
                    <w:rPr>
                      <w:rFonts w:cs="Times New Roman"/>
                      <w:spacing w:val="-4"/>
                      <w:sz w:val="18"/>
                    </w:rPr>
                    <w:t>规划</w:t>
                  </w:r>
                  <w:r>
                    <w:rPr>
                      <w:rFonts w:cs="Times New Roman"/>
                      <w:spacing w:val="-11"/>
                      <w:sz w:val="18"/>
                    </w:rPr>
                    <w:t>区块</w:t>
                  </w:r>
                </w:p>
              </w:tc>
              <w:tc>
                <w:tcPr>
                  <w:tcW w:w="460" w:type="pct"/>
                  <w:vAlign w:val="center"/>
                </w:tcPr>
                <w:p w14:paraId="3F810909">
                  <w:pPr>
                    <w:spacing w:line="240" w:lineRule="auto"/>
                    <w:ind w:firstLine="0" w:firstLineChars="0"/>
                    <w:jc w:val="center"/>
                    <w:rPr>
                      <w:rFonts w:cs="Times New Roman"/>
                      <w:sz w:val="18"/>
                    </w:rPr>
                  </w:pPr>
                  <w:r>
                    <w:rPr>
                      <w:rFonts w:cs="Times New Roman"/>
                      <w:spacing w:val="-3"/>
                      <w:sz w:val="18"/>
                    </w:rPr>
                    <w:t>生态空间名称及编号</w:t>
                  </w:r>
                </w:p>
              </w:tc>
              <w:tc>
                <w:tcPr>
                  <w:tcW w:w="1837" w:type="pct"/>
                  <w:vAlign w:val="center"/>
                </w:tcPr>
                <w:p w14:paraId="54446D05">
                  <w:pPr>
                    <w:spacing w:line="240" w:lineRule="auto"/>
                    <w:ind w:firstLine="0" w:firstLineChars="0"/>
                    <w:jc w:val="center"/>
                    <w:outlineLvl w:val="1"/>
                    <w:rPr>
                      <w:rFonts w:cs="Times New Roman"/>
                      <w:sz w:val="18"/>
                    </w:rPr>
                  </w:pPr>
                  <w:r>
                    <w:rPr>
                      <w:rFonts w:cs="Times New Roman"/>
                      <w:spacing w:val="-1"/>
                      <w:sz w:val="18"/>
                    </w:rPr>
                    <w:t>生态空间范围示意图</w:t>
                  </w:r>
                </w:p>
              </w:tc>
              <w:tc>
                <w:tcPr>
                  <w:tcW w:w="1463" w:type="pct"/>
                  <w:vAlign w:val="center"/>
                </w:tcPr>
                <w:p w14:paraId="60172EFB">
                  <w:pPr>
                    <w:spacing w:line="240" w:lineRule="auto"/>
                    <w:ind w:firstLine="0" w:firstLineChars="0"/>
                    <w:jc w:val="center"/>
                    <w:outlineLvl w:val="1"/>
                    <w:rPr>
                      <w:rFonts w:cs="Times New Roman"/>
                      <w:sz w:val="18"/>
                    </w:rPr>
                  </w:pPr>
                  <w:r>
                    <w:rPr>
                      <w:rFonts w:cs="Times New Roman"/>
                      <w:spacing w:val="-3"/>
                      <w:sz w:val="18"/>
                    </w:rPr>
                    <w:t>管控要求</w:t>
                  </w:r>
                </w:p>
              </w:tc>
              <w:tc>
                <w:tcPr>
                  <w:tcW w:w="443" w:type="pct"/>
                  <w:vAlign w:val="center"/>
                </w:tcPr>
                <w:p w14:paraId="74724F0A">
                  <w:pPr>
                    <w:spacing w:line="240" w:lineRule="auto"/>
                    <w:ind w:firstLine="0" w:firstLineChars="0"/>
                    <w:jc w:val="center"/>
                    <w:outlineLvl w:val="1"/>
                    <w:rPr>
                      <w:rFonts w:cs="Times New Roman"/>
                      <w:sz w:val="18"/>
                    </w:rPr>
                  </w:pPr>
                  <w:r>
                    <w:rPr>
                      <w:rFonts w:cs="Times New Roman"/>
                      <w:spacing w:val="-5"/>
                      <w:sz w:val="18"/>
                    </w:rPr>
                    <w:t>用地</w:t>
                  </w:r>
                  <w:r>
                    <w:rPr>
                      <w:rFonts w:cs="Times New Roman"/>
                      <w:spacing w:val="-4"/>
                      <w:sz w:val="18"/>
                    </w:rPr>
                    <w:t>规划</w:t>
                  </w:r>
                </w:p>
              </w:tc>
            </w:tr>
            <w:tr w14:paraId="76288070">
              <w:trPr>
                <w:trHeight w:val="3149" w:hRule="atLeast"/>
              </w:trPr>
              <w:tc>
                <w:tcPr>
                  <w:tcW w:w="795" w:type="pct"/>
                  <w:vAlign w:val="center"/>
                </w:tcPr>
                <w:p w14:paraId="55111EF2">
                  <w:pPr>
                    <w:spacing w:line="240" w:lineRule="auto"/>
                    <w:ind w:firstLine="0" w:firstLineChars="0"/>
                    <w:jc w:val="center"/>
                    <w:outlineLvl w:val="1"/>
                    <w:rPr>
                      <w:rFonts w:cs="Times New Roman"/>
                      <w:sz w:val="18"/>
                    </w:rPr>
                  </w:pPr>
                  <w:r>
                    <w:rPr>
                      <w:rFonts w:cs="Times New Roman"/>
                      <w:spacing w:val="-4"/>
                      <w:sz w:val="18"/>
                    </w:rPr>
                    <w:t>余杭</w:t>
                  </w:r>
                  <w:r>
                    <w:rPr>
                      <w:rFonts w:cs="Times New Roman"/>
                      <w:spacing w:val="-11"/>
                      <w:sz w:val="18"/>
                    </w:rPr>
                    <w:t>区钱</w:t>
                  </w:r>
                  <w:r>
                    <w:rPr>
                      <w:rFonts w:cs="Times New Roman"/>
                      <w:spacing w:val="-4"/>
                      <w:sz w:val="18"/>
                    </w:rPr>
                    <w:t>江经济开发区产业集聚重点管控</w:t>
                  </w:r>
                  <w:r>
                    <w:rPr>
                      <w:rFonts w:cs="Times New Roman"/>
                      <w:spacing w:val="-5"/>
                      <w:sz w:val="18"/>
                    </w:rPr>
                    <w:t>单元</w:t>
                  </w:r>
                  <w:r>
                    <w:rPr>
                      <w:rFonts w:cs="Times New Roman"/>
                      <w:spacing w:val="-1"/>
                      <w:sz w:val="18"/>
                    </w:rPr>
                    <w:t>ZH33</w:t>
                  </w:r>
                  <w:r>
                    <w:rPr>
                      <w:rFonts w:cs="Times New Roman"/>
                      <w:spacing w:val="-3"/>
                      <w:sz w:val="18"/>
                    </w:rPr>
                    <w:t>0110</w:t>
                  </w:r>
                  <w:r>
                    <w:rPr>
                      <w:rFonts w:cs="Times New Roman"/>
                      <w:spacing w:val="-1"/>
                      <w:sz w:val="18"/>
                    </w:rPr>
                    <w:t>20010</w:t>
                  </w:r>
                </w:p>
              </w:tc>
              <w:tc>
                <w:tcPr>
                  <w:tcW w:w="460" w:type="pct"/>
                  <w:vAlign w:val="center"/>
                </w:tcPr>
                <w:p w14:paraId="0CDD08C7">
                  <w:pPr>
                    <w:spacing w:line="240" w:lineRule="auto"/>
                    <w:ind w:firstLine="0" w:firstLineChars="0"/>
                    <w:jc w:val="center"/>
                    <w:outlineLvl w:val="1"/>
                    <w:rPr>
                      <w:rFonts w:cs="Times New Roman"/>
                      <w:sz w:val="18"/>
                    </w:rPr>
                  </w:pPr>
                  <w:r>
                    <w:rPr>
                      <w:rFonts w:hint="eastAsia" w:cs="Times New Roman"/>
                      <w:spacing w:val="-3"/>
                      <w:sz w:val="18"/>
                    </w:rPr>
                    <w:t>产业</w:t>
                  </w:r>
                  <w:r>
                    <w:rPr>
                      <w:rFonts w:cs="Times New Roman"/>
                      <w:spacing w:val="-3"/>
                      <w:sz w:val="18"/>
                    </w:rPr>
                    <w:t>集聚重</w:t>
                  </w:r>
                  <w:r>
                    <w:rPr>
                      <w:rFonts w:cs="Times New Roman"/>
                      <w:spacing w:val="-5"/>
                      <w:sz w:val="18"/>
                    </w:rPr>
                    <w:t>点管控单元</w:t>
                  </w:r>
                </w:p>
              </w:tc>
              <w:tc>
                <w:tcPr>
                  <w:tcW w:w="1837" w:type="pct"/>
                  <w:vAlign w:val="center"/>
                </w:tcPr>
                <w:p w14:paraId="16A66C20">
                  <w:pPr>
                    <w:spacing w:line="240" w:lineRule="auto"/>
                    <w:ind w:firstLine="0" w:firstLineChars="0"/>
                    <w:jc w:val="center"/>
                    <w:rPr>
                      <w:rFonts w:cs="Times New Roman"/>
                      <w:sz w:val="18"/>
                    </w:rPr>
                  </w:pPr>
                  <w:r>
                    <w:rPr>
                      <w:rFonts w:cs="Times New Roman"/>
                      <w:position w:val="-40"/>
                      <w:sz w:val="18"/>
                    </w:rPr>
                    <w:drawing>
                      <wp:inline distT="0" distB="0" distL="0" distR="0">
                        <wp:extent cx="2764155" cy="1964055"/>
                        <wp:effectExtent l="0" t="0" r="9525" b="1905"/>
                        <wp:docPr id="21" name="IM 2"/>
                        <wp:cNvGraphicFramePr/>
                        <a:graphic xmlns:a="http://schemas.openxmlformats.org/drawingml/2006/main">
                          <a:graphicData uri="http://schemas.openxmlformats.org/drawingml/2006/picture">
                            <pic:pic xmlns:pic="http://schemas.openxmlformats.org/drawingml/2006/picture">
                              <pic:nvPicPr>
                                <pic:cNvPr id="21" name="IM 2"/>
                                <pic:cNvPicPr/>
                              </pic:nvPicPr>
                              <pic:blipFill>
                                <a:blip r:embed="rId7"/>
                                <a:stretch>
                                  <a:fillRect/>
                                </a:stretch>
                              </pic:blipFill>
                              <pic:spPr>
                                <a:xfrm>
                                  <a:off x="0" y="0"/>
                                  <a:ext cx="2764155" cy="1964055"/>
                                </a:xfrm>
                                <a:prstGeom prst="rect">
                                  <a:avLst/>
                                </a:prstGeom>
                              </pic:spPr>
                            </pic:pic>
                          </a:graphicData>
                        </a:graphic>
                      </wp:inline>
                    </w:drawing>
                  </w:r>
                </w:p>
              </w:tc>
              <w:tc>
                <w:tcPr>
                  <w:tcW w:w="1463" w:type="pct"/>
                  <w:vAlign w:val="center"/>
                </w:tcPr>
                <w:p w14:paraId="098EB316">
                  <w:pPr>
                    <w:spacing w:line="240" w:lineRule="auto"/>
                    <w:ind w:firstLine="0" w:firstLineChars="0"/>
                    <w:rPr>
                      <w:rFonts w:cs="Times New Roman"/>
                      <w:sz w:val="18"/>
                    </w:rPr>
                  </w:pPr>
                  <w:r>
                    <w:rPr>
                      <w:rFonts w:cs="Times New Roman"/>
                      <w:spacing w:val="-8"/>
                      <w:sz w:val="18"/>
                    </w:rPr>
                    <w:t>（1）根据产业集聚区块的功能</w:t>
                  </w:r>
                  <w:r>
                    <w:rPr>
                      <w:rFonts w:cs="Times New Roman"/>
                      <w:spacing w:val="-1"/>
                      <w:sz w:val="18"/>
                    </w:rPr>
                    <w:t>定位，建立分区差别化的产业准入条件。合理规划居住区与工业功能区，在居住区和工业区、工业企业之间设置防护绿地、生活绿地等隔离带。</w:t>
                  </w:r>
                </w:p>
                <w:p w14:paraId="427913F5">
                  <w:pPr>
                    <w:spacing w:line="240" w:lineRule="auto"/>
                    <w:ind w:firstLine="0" w:firstLineChars="0"/>
                    <w:rPr>
                      <w:rFonts w:cs="Times New Roman"/>
                      <w:sz w:val="18"/>
                    </w:rPr>
                  </w:pPr>
                  <w:r>
                    <w:rPr>
                      <w:rFonts w:cs="Times New Roman"/>
                      <w:spacing w:val="-8"/>
                      <w:sz w:val="18"/>
                    </w:rPr>
                    <w:t>（2）严格实施污染物总量控制</w:t>
                  </w:r>
                  <w:r>
                    <w:rPr>
                      <w:rFonts w:cs="Times New Roman"/>
                      <w:spacing w:val="-1"/>
                      <w:sz w:val="18"/>
                    </w:rPr>
                    <w:t>制度，根据区域环境质量改善</w:t>
                  </w:r>
                  <w:r>
                    <w:rPr>
                      <w:rFonts w:cs="Times New Roman"/>
                      <w:sz w:val="18"/>
                    </w:rPr>
                    <w:t xml:space="preserve">目标，削减污染物排放总量。 </w:t>
                  </w:r>
                  <w:r>
                    <w:rPr>
                      <w:rFonts w:cs="Times New Roman"/>
                      <w:spacing w:val="-1"/>
                      <w:sz w:val="18"/>
                    </w:rPr>
                    <w:t>所有企业实现雨污分流。</w:t>
                  </w:r>
                </w:p>
                <w:p w14:paraId="39FF63FD">
                  <w:pPr>
                    <w:spacing w:line="240" w:lineRule="auto"/>
                    <w:ind w:firstLine="0" w:firstLineChars="0"/>
                    <w:outlineLvl w:val="1"/>
                    <w:rPr>
                      <w:rFonts w:cs="Times New Roman"/>
                      <w:sz w:val="18"/>
                    </w:rPr>
                  </w:pPr>
                  <w:r>
                    <w:rPr>
                      <w:rFonts w:cs="Times New Roman"/>
                      <w:spacing w:val="-8"/>
                      <w:sz w:val="18"/>
                    </w:rPr>
                    <w:t>（3）强化工业集聚区企业环境</w:t>
                  </w:r>
                  <w:r>
                    <w:rPr>
                      <w:rFonts w:cs="Times New Roman"/>
                      <w:spacing w:val="-1"/>
                      <w:sz w:val="18"/>
                    </w:rPr>
                    <w:t>风险防范设施设备建设和正常运行监管，加强重点环境风险管控企业应急预案制定，建立常态化的企业隐患排查整治监管机制，加强风险防控体系建</w:t>
                  </w:r>
                  <w:r>
                    <w:rPr>
                      <w:rFonts w:cs="Times New Roman"/>
                      <w:spacing w:val="-5"/>
                      <w:sz w:val="18"/>
                    </w:rPr>
                    <w:t>设。</w:t>
                  </w:r>
                </w:p>
              </w:tc>
              <w:tc>
                <w:tcPr>
                  <w:tcW w:w="443" w:type="pct"/>
                  <w:vAlign w:val="center"/>
                </w:tcPr>
                <w:p w14:paraId="15ABAD6A">
                  <w:pPr>
                    <w:spacing w:line="240" w:lineRule="auto"/>
                    <w:ind w:firstLine="0" w:firstLineChars="0"/>
                    <w:jc w:val="center"/>
                    <w:outlineLvl w:val="1"/>
                    <w:rPr>
                      <w:rFonts w:cs="Times New Roman"/>
                      <w:sz w:val="18"/>
                    </w:rPr>
                  </w:pPr>
                  <w:r>
                    <w:rPr>
                      <w:rFonts w:cs="Times New Roman"/>
                      <w:spacing w:val="-4"/>
                      <w:sz w:val="18"/>
                    </w:rPr>
                    <w:t>工业、</w:t>
                  </w:r>
                  <w:r>
                    <w:rPr>
                      <w:rFonts w:cs="Times New Roman"/>
                      <w:spacing w:val="-14"/>
                      <w:sz w:val="18"/>
                    </w:rPr>
                    <w:t>居住、</w:t>
                  </w:r>
                  <w:r>
                    <w:rPr>
                      <w:rFonts w:cs="Times New Roman"/>
                      <w:spacing w:val="-4"/>
                      <w:sz w:val="18"/>
                    </w:rPr>
                    <w:t>村庄</w:t>
                  </w:r>
                  <w:r>
                    <w:rPr>
                      <w:rFonts w:cs="Times New Roman"/>
                      <w:sz w:val="18"/>
                    </w:rPr>
                    <w:t>等</w:t>
                  </w:r>
                </w:p>
              </w:tc>
            </w:tr>
          </w:tbl>
          <w:p w14:paraId="0AD44D17">
            <w:pPr>
              <w:ind w:firstLine="480"/>
              <w:jc w:val="both"/>
              <w:rPr>
                <w:szCs w:val="24"/>
              </w:rPr>
            </w:pPr>
            <w:r>
              <w:rPr>
                <w:rFonts w:hint="eastAsia"/>
                <w:szCs w:val="24"/>
              </w:rPr>
              <w:t>符合性分析：本项目位于余杭区钱江经济开发区产业集聚重点管控单元内，厂界与最近环境保护目标距离为218米，居住区和企业之间设置了防护绿地、生活绿地等隔离带；项目新增污染物总量可在区域内削减替代，不会改变所在地的环境质量水平；企业严格落实环境风险防范设施，并将及时编制应急预案，加强风险防控，本项目符合生态空间管控要求。</w:t>
            </w:r>
          </w:p>
          <w:p w14:paraId="0D9E1D56">
            <w:pPr>
              <w:ind w:firstLine="0" w:firstLineChars="0"/>
              <w:jc w:val="center"/>
              <w:rPr>
                <w:rFonts w:hint="eastAsia" w:ascii="黑体" w:hAnsi="黑体" w:eastAsia="黑体" w:cs="黑体"/>
                <w:szCs w:val="28"/>
              </w:rPr>
            </w:pPr>
          </w:p>
        </w:tc>
      </w:tr>
    </w:tbl>
    <w:p w14:paraId="5028BD4C">
      <w:pPr>
        <w:spacing w:line="240" w:lineRule="auto"/>
        <w:ind w:firstLine="0" w:firstLineChars="0"/>
        <w:rPr>
          <w:sz w:val="18"/>
        </w:rPr>
        <w:sectPr>
          <w:pgSz w:w="16838" w:h="11906" w:orient="landscape"/>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12703"/>
      </w:tblGrid>
      <w:tr w14:paraId="717F1789">
        <w:tc>
          <w:tcPr>
            <w:tcW w:w="774" w:type="dxa"/>
            <w:vAlign w:val="center"/>
          </w:tcPr>
          <w:p w14:paraId="45F2F9B4">
            <w:pPr>
              <w:ind w:firstLine="0" w:firstLineChars="0"/>
              <w:jc w:val="center"/>
            </w:pPr>
            <w:r>
              <w:rPr>
                <w:rFonts w:cs="Times New Roman"/>
                <w:kern w:val="0"/>
                <w:sz w:val="21"/>
                <w:szCs w:val="21"/>
              </w:rPr>
              <w:t>规划及规划环境影响评价符合性分析</w:t>
            </w:r>
          </w:p>
        </w:tc>
        <w:tc>
          <w:tcPr>
            <w:tcW w:w="13400" w:type="dxa"/>
          </w:tcPr>
          <w:p w14:paraId="15625A37">
            <w:pPr>
              <w:numPr>
                <w:ilvl w:val="0"/>
                <w:numId w:val="3"/>
              </w:numPr>
              <w:ind w:firstLine="480"/>
              <w:jc w:val="both"/>
              <w:rPr>
                <w:szCs w:val="24"/>
              </w:rPr>
            </w:pPr>
            <w:r>
              <w:rPr>
                <w:rFonts w:hint="eastAsia"/>
                <w:szCs w:val="24"/>
              </w:rPr>
              <w:t>现有问题整改措施清单符合性分析</w:t>
            </w:r>
          </w:p>
          <w:p w14:paraId="792BB210">
            <w:pPr>
              <w:pStyle w:val="14"/>
              <w:spacing w:before="156"/>
            </w:pPr>
            <w:r>
              <w:t xml:space="preserve">  现有问题整改措施清单</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8"/>
              <w:gridCol w:w="876"/>
              <w:gridCol w:w="4240"/>
              <w:gridCol w:w="4741"/>
              <w:gridCol w:w="1817"/>
            </w:tblGrid>
            <w:tr w14:paraId="0E837B48">
              <w:trPr>
                <w:trHeight w:val="340" w:hRule="atLeast"/>
                <w:jc w:val="center"/>
              </w:trPr>
              <w:tc>
                <w:tcPr>
                  <w:tcW w:w="671" w:type="pct"/>
                  <w:gridSpan w:val="2"/>
                  <w:vAlign w:val="center"/>
                </w:tcPr>
                <w:p w14:paraId="1C5B17F6">
                  <w:pPr>
                    <w:spacing w:line="240" w:lineRule="auto"/>
                    <w:ind w:firstLine="0" w:firstLineChars="0"/>
                    <w:jc w:val="center"/>
                    <w:rPr>
                      <w:rFonts w:cs="Times New Roman"/>
                      <w:sz w:val="18"/>
                    </w:rPr>
                  </w:pPr>
                  <w:r>
                    <w:rPr>
                      <w:rFonts w:cs="Times New Roman"/>
                      <w:sz w:val="18"/>
                    </w:rPr>
                    <w:t>类别</w:t>
                  </w:r>
                </w:p>
              </w:tc>
              <w:tc>
                <w:tcPr>
                  <w:tcW w:w="1699" w:type="pct"/>
                  <w:vAlign w:val="center"/>
                </w:tcPr>
                <w:p w14:paraId="6DB2ED7D">
                  <w:pPr>
                    <w:spacing w:line="240" w:lineRule="auto"/>
                    <w:ind w:firstLine="0" w:firstLineChars="0"/>
                    <w:jc w:val="center"/>
                    <w:outlineLvl w:val="1"/>
                    <w:rPr>
                      <w:rFonts w:cs="Times New Roman"/>
                      <w:sz w:val="18"/>
                    </w:rPr>
                  </w:pPr>
                  <w:r>
                    <w:rPr>
                      <w:rFonts w:cs="Times New Roman"/>
                      <w:sz w:val="18"/>
                    </w:rPr>
                    <w:t>存在的环保问题及主要原因</w:t>
                  </w:r>
                </w:p>
              </w:tc>
              <w:tc>
                <w:tcPr>
                  <w:tcW w:w="1900" w:type="pct"/>
                  <w:vAlign w:val="center"/>
                </w:tcPr>
                <w:p w14:paraId="044DCC4D">
                  <w:pPr>
                    <w:spacing w:line="240" w:lineRule="auto"/>
                    <w:ind w:firstLine="0" w:firstLineChars="0"/>
                    <w:jc w:val="center"/>
                    <w:outlineLvl w:val="1"/>
                    <w:rPr>
                      <w:rFonts w:cs="Times New Roman"/>
                      <w:sz w:val="18"/>
                    </w:rPr>
                  </w:pPr>
                  <w:r>
                    <w:rPr>
                      <w:rFonts w:cs="Times New Roman"/>
                      <w:sz w:val="18"/>
                    </w:rPr>
                    <w:t>整改建议/解决方案</w:t>
                  </w:r>
                </w:p>
              </w:tc>
              <w:tc>
                <w:tcPr>
                  <w:tcW w:w="728" w:type="pct"/>
                  <w:vAlign w:val="center"/>
                </w:tcPr>
                <w:p w14:paraId="37A34B10">
                  <w:pPr>
                    <w:spacing w:line="240" w:lineRule="auto"/>
                    <w:ind w:firstLine="0" w:firstLineChars="0"/>
                    <w:jc w:val="center"/>
                    <w:outlineLvl w:val="1"/>
                    <w:rPr>
                      <w:rFonts w:cs="Times New Roman"/>
                      <w:sz w:val="18"/>
                    </w:rPr>
                  </w:pPr>
                  <w:r>
                    <w:rPr>
                      <w:rFonts w:cs="Times New Roman"/>
                      <w:sz w:val="18"/>
                    </w:rPr>
                    <w:t>符合性分析</w:t>
                  </w:r>
                </w:p>
              </w:tc>
            </w:tr>
            <w:tr w14:paraId="2BB50F59">
              <w:trPr>
                <w:trHeight w:val="340" w:hRule="atLeast"/>
                <w:jc w:val="center"/>
              </w:trPr>
              <w:tc>
                <w:tcPr>
                  <w:tcW w:w="320" w:type="pct"/>
                  <w:vMerge w:val="restart"/>
                  <w:vAlign w:val="center"/>
                </w:tcPr>
                <w:p w14:paraId="651D4428">
                  <w:pPr>
                    <w:spacing w:line="240" w:lineRule="auto"/>
                    <w:ind w:firstLine="0" w:firstLineChars="0"/>
                    <w:jc w:val="center"/>
                    <w:outlineLvl w:val="1"/>
                    <w:rPr>
                      <w:rFonts w:cs="Times New Roman"/>
                      <w:sz w:val="18"/>
                    </w:rPr>
                  </w:pPr>
                  <w:r>
                    <w:rPr>
                      <w:rFonts w:cs="Times New Roman"/>
                      <w:sz w:val="18"/>
                    </w:rPr>
                    <w:t>产业结构与布局</w:t>
                  </w:r>
                </w:p>
              </w:tc>
              <w:tc>
                <w:tcPr>
                  <w:tcW w:w="351" w:type="pct"/>
                  <w:vAlign w:val="center"/>
                </w:tcPr>
                <w:p w14:paraId="2ECCABEB">
                  <w:pPr>
                    <w:spacing w:line="240" w:lineRule="auto"/>
                    <w:ind w:firstLine="0" w:firstLineChars="0"/>
                    <w:jc w:val="center"/>
                    <w:outlineLvl w:val="1"/>
                    <w:rPr>
                      <w:rFonts w:cs="Times New Roman"/>
                      <w:sz w:val="18"/>
                    </w:rPr>
                  </w:pPr>
                  <w:r>
                    <w:rPr>
                      <w:rFonts w:hint="eastAsia" w:cs="Times New Roman"/>
                      <w:sz w:val="18"/>
                    </w:rPr>
                    <w:t>产业结构</w:t>
                  </w:r>
                </w:p>
              </w:tc>
              <w:tc>
                <w:tcPr>
                  <w:tcW w:w="1699" w:type="pct"/>
                  <w:vAlign w:val="center"/>
                </w:tcPr>
                <w:p w14:paraId="7CEC13BC">
                  <w:pPr>
                    <w:spacing w:line="240" w:lineRule="auto"/>
                    <w:ind w:firstLine="0" w:firstLineChars="0"/>
                    <w:jc w:val="both"/>
                    <w:rPr>
                      <w:rFonts w:cs="Times New Roman"/>
                      <w:sz w:val="18"/>
                    </w:rPr>
                  </w:pPr>
                  <w:r>
                    <w:rPr>
                      <w:rFonts w:cs="Times New Roman"/>
                      <w:sz w:val="18"/>
                    </w:rPr>
                    <w:t>基地内非核心区块即远期开发区域内现有工业企业主要集中在装备制造、五金建材和纺织服装等加工行业，多属劳动密集型产业，产业结构层次还处于较低水平，产品结构较为单一，技术含量较低，尚无显著的优势主导产业，产业规模均较小且较为分散，未能形成集聚效应，对环境有一定的影响。</w:t>
                  </w:r>
                </w:p>
              </w:tc>
              <w:tc>
                <w:tcPr>
                  <w:tcW w:w="1900" w:type="pct"/>
                  <w:vAlign w:val="center"/>
                </w:tcPr>
                <w:p w14:paraId="07BE0A70">
                  <w:pPr>
                    <w:spacing w:line="240" w:lineRule="auto"/>
                    <w:ind w:firstLine="0" w:firstLineChars="0"/>
                    <w:rPr>
                      <w:rFonts w:cs="Times New Roman"/>
                      <w:sz w:val="18"/>
                    </w:rPr>
                  </w:pPr>
                  <w:r>
                    <w:rPr>
                      <w:rFonts w:cs="Times New Roman"/>
                      <w:sz w:val="18"/>
                    </w:rPr>
                    <w:t>①通过本次规划实施，一方面对基地内传统纺织服装等产业进行转型升级，拓展设计研发，优化产业结构；另一方面对先期入区的污染较重、能耗过高、产出效率低以及不符合基地产业定位的企业，引导其进行改造提升，并要求其在限定期限内按改造提升目标进行投资开发，对达不到要求的，责令企业退出。②禁止引进和建设负面清单中禁止类项目，限制发展低水平及其他重污染行业项目，重点发展高附加值、高科技含量、低污染的先进装备制造产业。</w:t>
                  </w:r>
                </w:p>
              </w:tc>
              <w:tc>
                <w:tcPr>
                  <w:tcW w:w="728" w:type="pct"/>
                  <w:vAlign w:val="center"/>
                </w:tcPr>
                <w:p w14:paraId="20A316F9">
                  <w:pPr>
                    <w:spacing w:line="240" w:lineRule="auto"/>
                    <w:ind w:firstLine="0" w:firstLineChars="0"/>
                    <w:jc w:val="both"/>
                    <w:outlineLvl w:val="1"/>
                    <w:rPr>
                      <w:rFonts w:cs="Times New Roman"/>
                      <w:sz w:val="18"/>
                    </w:rPr>
                  </w:pPr>
                  <w:r>
                    <w:rPr>
                      <w:rFonts w:cs="Times New Roman"/>
                      <w:sz w:val="18"/>
                    </w:rPr>
                    <w:t>本项目</w:t>
                  </w:r>
                  <w:r>
                    <w:rPr>
                      <w:rFonts w:hint="eastAsia" w:cs="Times New Roman"/>
                      <w:sz w:val="18"/>
                    </w:rPr>
                    <w:t>属于C2929塑料零件及其他塑料制品制造</w:t>
                  </w:r>
                  <w:r>
                    <w:rPr>
                      <w:rFonts w:cs="Times New Roman"/>
                      <w:sz w:val="18"/>
                    </w:rPr>
                    <w:t>，</w:t>
                  </w:r>
                  <w:r>
                    <w:rPr>
                      <w:rFonts w:hint="eastAsia" w:cs="Times New Roman"/>
                      <w:sz w:val="18"/>
                    </w:rPr>
                    <w:t>挤出、注塑废气采用水喷淋+水雾过滤器+活性炭吸附装置处理后可达标排放，不属于污染较重、能耗过高、产出效率低的企业，不属于禁止引进和建设负面清单中禁止类项目，</w:t>
                  </w:r>
                  <w:r>
                    <w:rPr>
                      <w:rFonts w:cs="Times New Roman"/>
                      <w:sz w:val="18"/>
                    </w:rPr>
                    <w:t>因此符合要求。</w:t>
                  </w:r>
                </w:p>
              </w:tc>
            </w:tr>
            <w:tr w14:paraId="2511EE67">
              <w:trPr>
                <w:trHeight w:val="340" w:hRule="atLeast"/>
                <w:jc w:val="center"/>
              </w:trPr>
              <w:tc>
                <w:tcPr>
                  <w:tcW w:w="320" w:type="pct"/>
                  <w:vMerge w:val="continue"/>
                  <w:vAlign w:val="center"/>
                </w:tcPr>
                <w:p w14:paraId="5C1A8858">
                  <w:pPr>
                    <w:spacing w:line="240" w:lineRule="auto"/>
                    <w:ind w:firstLine="0" w:firstLineChars="0"/>
                    <w:jc w:val="center"/>
                    <w:rPr>
                      <w:rFonts w:cs="Times New Roman"/>
                      <w:sz w:val="18"/>
                    </w:rPr>
                  </w:pPr>
                </w:p>
              </w:tc>
              <w:tc>
                <w:tcPr>
                  <w:tcW w:w="351" w:type="pct"/>
                  <w:vAlign w:val="center"/>
                </w:tcPr>
                <w:p w14:paraId="00ED8EF6">
                  <w:pPr>
                    <w:spacing w:line="240" w:lineRule="auto"/>
                    <w:ind w:firstLine="0" w:firstLineChars="0"/>
                    <w:jc w:val="center"/>
                    <w:outlineLvl w:val="1"/>
                    <w:rPr>
                      <w:rFonts w:cs="Times New Roman"/>
                      <w:sz w:val="18"/>
                    </w:rPr>
                  </w:pPr>
                  <w:r>
                    <w:rPr>
                      <w:rFonts w:hint="eastAsia" w:cs="Times New Roman"/>
                      <w:sz w:val="18"/>
                    </w:rPr>
                    <w:t>空间布局</w:t>
                  </w:r>
                </w:p>
              </w:tc>
              <w:tc>
                <w:tcPr>
                  <w:tcW w:w="1699" w:type="pct"/>
                  <w:vAlign w:val="center"/>
                </w:tcPr>
                <w:p w14:paraId="34921190">
                  <w:pPr>
                    <w:spacing w:line="240" w:lineRule="auto"/>
                    <w:ind w:firstLine="0" w:firstLineChars="0"/>
                    <w:jc w:val="both"/>
                    <w:rPr>
                      <w:rFonts w:cs="Times New Roman"/>
                      <w:sz w:val="18"/>
                    </w:rPr>
                  </w:pPr>
                  <w:r>
                    <w:rPr>
                      <w:rFonts w:cs="Times New Roman"/>
                      <w:sz w:val="18"/>
                    </w:rPr>
                    <w:t>仁和老镇区发展片区(二类居住用地为主)位于仁和北产业发展片区(二类工业用地为主)和仁和中产业发展片区(一类工业用地为主)之间。仁和老镇区原为獐山和云会集镇的居住用地，地处新老建设区域中间地带，规划实施后可能受到周边工业企业的污染影响。</w:t>
                  </w:r>
                </w:p>
              </w:tc>
              <w:tc>
                <w:tcPr>
                  <w:tcW w:w="1900" w:type="pct"/>
                  <w:vAlign w:val="center"/>
                </w:tcPr>
                <w:p w14:paraId="62B8A2DE">
                  <w:pPr>
                    <w:spacing w:line="240" w:lineRule="auto"/>
                    <w:ind w:firstLine="0" w:firstLineChars="0"/>
                    <w:jc w:val="both"/>
                    <w:rPr>
                      <w:rFonts w:cs="Times New Roman"/>
                      <w:sz w:val="18"/>
                    </w:rPr>
                  </w:pPr>
                  <w:r>
                    <w:rPr>
                      <w:rFonts w:cs="Times New Roman"/>
                      <w:sz w:val="18"/>
                    </w:rPr>
                    <w:t>①通过本次规划的实施，一方面对居民区周边的部分工业企业实施转型升级，开展环境治理，将周边的工业用地调整为一类工业用地、研发产业用地或商业商务用地，并在工业用地与居住用地之间进行绿化阻隔；另一方面对部分村庄实施搬迁整合，促使工业用地和居住用地实现“块状布局”。</w:t>
                  </w:r>
                </w:p>
                <w:p w14:paraId="604D1705">
                  <w:pPr>
                    <w:spacing w:line="240" w:lineRule="auto"/>
                    <w:ind w:firstLine="0" w:firstLineChars="0"/>
                    <w:rPr>
                      <w:rFonts w:cs="Times New Roman"/>
                      <w:sz w:val="18"/>
                    </w:rPr>
                  </w:pPr>
                  <w:r>
                    <w:rPr>
                      <w:rFonts w:cs="Times New Roman"/>
                      <w:sz w:val="18"/>
                    </w:rPr>
                    <w:t>②</w:t>
                  </w:r>
                  <w:r>
                    <w:rPr>
                      <w:rFonts w:hint="eastAsia" w:cs="Times New Roman"/>
                      <w:sz w:val="18"/>
                    </w:rPr>
                    <w:t>区</w:t>
                  </w:r>
                  <w:r>
                    <w:rPr>
                      <w:rFonts w:cs="Times New Roman"/>
                      <w:sz w:val="18"/>
                    </w:rPr>
                    <w:t>域内引进项目空间布局应符合《杭州市“三线一单”生态环境分区管控方案》中各片区管控要求。</w:t>
                  </w:r>
                </w:p>
              </w:tc>
              <w:tc>
                <w:tcPr>
                  <w:tcW w:w="728" w:type="pct"/>
                  <w:vAlign w:val="center"/>
                </w:tcPr>
                <w:p w14:paraId="0879006C">
                  <w:pPr>
                    <w:spacing w:line="240" w:lineRule="auto"/>
                    <w:ind w:firstLine="0" w:firstLineChars="0"/>
                    <w:jc w:val="both"/>
                    <w:outlineLvl w:val="1"/>
                    <w:rPr>
                      <w:rFonts w:cs="Times New Roman"/>
                      <w:sz w:val="18"/>
                    </w:rPr>
                  </w:pPr>
                  <w:r>
                    <w:rPr>
                      <w:rFonts w:cs="Times New Roman"/>
                      <w:sz w:val="18"/>
                    </w:rPr>
                    <w:t>本项目所在地用地性质为工业用地，</w:t>
                  </w:r>
                  <w:r>
                    <w:rPr>
                      <w:rFonts w:hint="eastAsia" w:cs="Times New Roman"/>
                      <w:sz w:val="18"/>
                    </w:rPr>
                    <w:t>与周边最近敏感点距离为218m。</w:t>
                  </w:r>
                  <w:r>
                    <w:rPr>
                      <w:rFonts w:cs="Times New Roman"/>
                      <w:sz w:val="18"/>
                    </w:rPr>
                    <w:t>企业与居民区之间设置了绿化带进行阻隔。</w:t>
                  </w:r>
                </w:p>
              </w:tc>
            </w:tr>
            <w:tr w14:paraId="23FC03FD">
              <w:trPr>
                <w:trHeight w:val="340" w:hRule="atLeast"/>
                <w:jc w:val="center"/>
              </w:trPr>
              <w:tc>
                <w:tcPr>
                  <w:tcW w:w="320" w:type="pct"/>
                  <w:vMerge w:val="restart"/>
                  <w:vAlign w:val="center"/>
                </w:tcPr>
                <w:p w14:paraId="3BF39D9D">
                  <w:pPr>
                    <w:spacing w:line="240" w:lineRule="auto"/>
                    <w:ind w:firstLine="0" w:firstLineChars="0"/>
                    <w:jc w:val="center"/>
                    <w:outlineLvl w:val="1"/>
                    <w:rPr>
                      <w:rFonts w:cs="Times New Roman"/>
                      <w:sz w:val="18"/>
                    </w:rPr>
                  </w:pPr>
                  <w:r>
                    <w:rPr>
                      <w:rFonts w:hint="eastAsia" w:cs="Times New Roman"/>
                      <w:sz w:val="18"/>
                    </w:rPr>
                    <w:t>污染防治与环境保护</w:t>
                  </w:r>
                </w:p>
              </w:tc>
              <w:tc>
                <w:tcPr>
                  <w:tcW w:w="351" w:type="pct"/>
                  <w:vMerge w:val="restart"/>
                  <w:vAlign w:val="center"/>
                </w:tcPr>
                <w:p w14:paraId="0BF272B8">
                  <w:pPr>
                    <w:spacing w:line="240" w:lineRule="auto"/>
                    <w:ind w:firstLine="0" w:firstLineChars="0"/>
                    <w:jc w:val="center"/>
                    <w:outlineLvl w:val="1"/>
                    <w:rPr>
                      <w:rFonts w:cs="Times New Roman"/>
                      <w:sz w:val="18"/>
                    </w:rPr>
                  </w:pPr>
                  <w:r>
                    <w:rPr>
                      <w:rFonts w:hint="eastAsia" w:cs="Times New Roman"/>
                      <w:sz w:val="18"/>
                    </w:rPr>
                    <w:t>环境质量</w:t>
                  </w:r>
                </w:p>
              </w:tc>
              <w:tc>
                <w:tcPr>
                  <w:tcW w:w="1699" w:type="pct"/>
                  <w:vAlign w:val="center"/>
                </w:tcPr>
                <w:p w14:paraId="6F27B8C9">
                  <w:pPr>
                    <w:spacing w:line="240" w:lineRule="auto"/>
                    <w:ind w:firstLine="0" w:firstLineChars="0"/>
                    <w:jc w:val="both"/>
                    <w:rPr>
                      <w:rFonts w:cs="Times New Roman"/>
                      <w:sz w:val="18"/>
                    </w:rPr>
                  </w:pPr>
                  <w:r>
                    <w:rPr>
                      <w:rFonts w:cs="Times New Roman"/>
                      <w:sz w:val="18"/>
                    </w:rPr>
                    <w:t>地表水环境：根据历年常规监测数据统计分析，随着“五水共治”工作的推进，基地纳污水体运河及良渚港水质指标虽然有逐年好转的趋势，但目前仍不能满足稳定达到相应水环境功能区划要求，主要超标因子为溶解氧、氨氮。造成水质超标的原因主要和上游来水水质较差、河流水体自净能力弱，沿河尚有部分零散分布的农居点生活污水未经处理直接排入，以及受到农业面源的污染等因素有关。</w:t>
                  </w:r>
                </w:p>
              </w:tc>
              <w:tc>
                <w:tcPr>
                  <w:tcW w:w="1900" w:type="pct"/>
                  <w:vAlign w:val="center"/>
                </w:tcPr>
                <w:p w14:paraId="61E8DCD8">
                  <w:pPr>
                    <w:spacing w:line="240" w:lineRule="auto"/>
                    <w:ind w:firstLine="0" w:firstLineChars="0"/>
                    <w:jc w:val="both"/>
                    <w:rPr>
                      <w:rFonts w:cs="Times New Roman"/>
                      <w:sz w:val="18"/>
                    </w:rPr>
                  </w:pPr>
                  <w:r>
                    <w:rPr>
                      <w:rFonts w:cs="Times New Roman"/>
                      <w:sz w:val="18"/>
                    </w:rPr>
                    <w:t>①持续深入推进“五水共治”，加快完善污水管网的铺设、连接以及污水提升泵站建设，尽快完成区域内污水全收集的目标；继续落实河道清淤治理等措施，将其作为常态化工作进行运行和管理；②开展“海绵城市”建设，开展城市初期径流雨水治理；③逐步在内河水系开展水生态修复工程，重建水生态系统；④对污水管网进行巡检，检查管道沉降、渗漏等情况，并及时进行检修；⑤现有农居在拆迁安置时，排水体制采用雨污分流制；⑥加强对生产企业的监督力度，确保企业废水治理设施正常运转，杜绝偷排漏排现象；有条件的企业逐步引导开展中水回用措施</w:t>
                  </w:r>
                  <w:r>
                    <w:rPr>
                      <w:rFonts w:hint="eastAsia" w:cs="Times New Roman"/>
                      <w:sz w:val="18"/>
                    </w:rPr>
                    <w:t>。</w:t>
                  </w:r>
                </w:p>
              </w:tc>
              <w:tc>
                <w:tcPr>
                  <w:tcW w:w="728" w:type="pct"/>
                  <w:vAlign w:val="center"/>
                </w:tcPr>
                <w:p w14:paraId="3D6D44FA">
                  <w:pPr>
                    <w:spacing w:line="240" w:lineRule="auto"/>
                    <w:ind w:firstLine="0" w:firstLineChars="0"/>
                    <w:jc w:val="both"/>
                    <w:outlineLvl w:val="1"/>
                    <w:rPr>
                      <w:rFonts w:cs="Times New Roman"/>
                      <w:sz w:val="18"/>
                    </w:rPr>
                  </w:pPr>
                  <w:r>
                    <w:rPr>
                      <w:rFonts w:cs="Times New Roman"/>
                      <w:sz w:val="18"/>
                    </w:rPr>
                    <w:t>本项目废水纳管达标排放，不会对运河和良渚港水质造成影响。</w:t>
                  </w:r>
                </w:p>
              </w:tc>
            </w:tr>
            <w:tr w14:paraId="374B0B6F">
              <w:trPr>
                <w:trHeight w:val="340" w:hRule="atLeast"/>
                <w:jc w:val="center"/>
              </w:trPr>
              <w:tc>
                <w:tcPr>
                  <w:tcW w:w="320" w:type="pct"/>
                  <w:vMerge w:val="continue"/>
                  <w:vAlign w:val="center"/>
                </w:tcPr>
                <w:p w14:paraId="1631BA3C">
                  <w:pPr>
                    <w:spacing w:line="240" w:lineRule="auto"/>
                    <w:ind w:firstLine="0" w:firstLineChars="0"/>
                    <w:jc w:val="center"/>
                    <w:rPr>
                      <w:rFonts w:cs="Times New Roman"/>
                      <w:sz w:val="18"/>
                    </w:rPr>
                  </w:pPr>
                </w:p>
              </w:tc>
              <w:tc>
                <w:tcPr>
                  <w:tcW w:w="351" w:type="pct"/>
                  <w:vMerge w:val="continue"/>
                  <w:vAlign w:val="center"/>
                </w:tcPr>
                <w:p w14:paraId="0CC2418D">
                  <w:pPr>
                    <w:spacing w:line="240" w:lineRule="auto"/>
                    <w:ind w:firstLine="0" w:firstLineChars="0"/>
                    <w:jc w:val="center"/>
                    <w:rPr>
                      <w:rFonts w:cs="Times New Roman"/>
                      <w:sz w:val="18"/>
                    </w:rPr>
                  </w:pPr>
                </w:p>
              </w:tc>
              <w:tc>
                <w:tcPr>
                  <w:tcW w:w="1699" w:type="pct"/>
                  <w:vAlign w:val="center"/>
                </w:tcPr>
                <w:p w14:paraId="13598914">
                  <w:pPr>
                    <w:spacing w:line="240" w:lineRule="auto"/>
                    <w:ind w:firstLine="0" w:firstLineChars="0"/>
                    <w:jc w:val="both"/>
                    <w:rPr>
                      <w:rFonts w:cs="Times New Roman"/>
                      <w:sz w:val="18"/>
                    </w:rPr>
                  </w:pPr>
                  <w:r>
                    <w:rPr>
                      <w:rFonts w:cs="Times New Roman"/>
                      <w:sz w:val="18"/>
                    </w:rPr>
                    <w:t>声环境：基地内杭宁高速、杭宁铁路、东西大道等交通干线横穿全境。由现状监测结果可知，目前基地内部分交通干线两侧夜间噪声不能满足《声环境质量标准》(GB3096-2008)中4a类标准要求。而随着城镇人口、车流量不断增加，若不采取必要的噪声防治措施，铁路、高速公路等交通干线噪声势必对基地内住宅、学校、医院等敏感点产生干扰。</w:t>
                  </w:r>
                </w:p>
              </w:tc>
              <w:tc>
                <w:tcPr>
                  <w:tcW w:w="1900" w:type="pct"/>
                  <w:vAlign w:val="center"/>
                </w:tcPr>
                <w:p w14:paraId="6CEC8959">
                  <w:pPr>
                    <w:spacing w:line="240" w:lineRule="auto"/>
                    <w:ind w:firstLine="0" w:firstLineChars="0"/>
                    <w:jc w:val="both"/>
                    <w:rPr>
                      <w:rFonts w:cs="Times New Roman"/>
                      <w:sz w:val="18"/>
                    </w:rPr>
                  </w:pPr>
                  <w:r>
                    <w:rPr>
                      <w:rFonts w:cs="Times New Roman"/>
                      <w:sz w:val="18"/>
                    </w:rPr>
                    <w:t>为减少城市快速路、主干道等设施对基地内居民生活、居住环境的影响，建议参照《关于加强环境噪声污染防治工作改善城乡声环境质量的指导意见》，在规划红线控制时，设置必要的噪声防护距离，在该防护距离内不建设噪声敏感建筑物。同时，应加强交通噪声源控制，合理设置防护绿地，并考虑对受交通噪声影响的敏感建筑物安装隔声门窗等，保证其室内适宜的声环境质量。</w:t>
                  </w:r>
                </w:p>
              </w:tc>
              <w:tc>
                <w:tcPr>
                  <w:tcW w:w="728" w:type="pct"/>
                  <w:vAlign w:val="center"/>
                </w:tcPr>
                <w:p w14:paraId="495E074E">
                  <w:pPr>
                    <w:spacing w:line="240" w:lineRule="auto"/>
                    <w:ind w:firstLine="0" w:firstLineChars="0"/>
                    <w:outlineLvl w:val="1"/>
                    <w:rPr>
                      <w:rFonts w:cs="Times New Roman"/>
                      <w:sz w:val="18"/>
                    </w:rPr>
                  </w:pPr>
                  <w:r>
                    <w:rPr>
                      <w:rFonts w:hint="eastAsia" w:cs="Times New Roman"/>
                      <w:sz w:val="18"/>
                    </w:rPr>
                    <w:t>本项目不涉及</w:t>
                  </w:r>
                  <w:r>
                    <w:rPr>
                      <w:rFonts w:cs="Times New Roman"/>
                      <w:sz w:val="18"/>
                    </w:rPr>
                    <w:t>。</w:t>
                  </w:r>
                </w:p>
              </w:tc>
            </w:tr>
            <w:tr w14:paraId="6F36F56E">
              <w:trPr>
                <w:trHeight w:val="340" w:hRule="atLeast"/>
                <w:jc w:val="center"/>
              </w:trPr>
              <w:tc>
                <w:tcPr>
                  <w:tcW w:w="320" w:type="pct"/>
                  <w:vMerge w:val="continue"/>
                  <w:vAlign w:val="center"/>
                </w:tcPr>
                <w:p w14:paraId="550281D5">
                  <w:pPr>
                    <w:spacing w:line="240" w:lineRule="auto"/>
                    <w:ind w:firstLine="0" w:firstLineChars="0"/>
                    <w:jc w:val="center"/>
                    <w:rPr>
                      <w:rFonts w:cs="Times New Roman"/>
                      <w:sz w:val="18"/>
                    </w:rPr>
                  </w:pPr>
                </w:p>
              </w:tc>
              <w:tc>
                <w:tcPr>
                  <w:tcW w:w="351" w:type="pct"/>
                  <w:vAlign w:val="center"/>
                </w:tcPr>
                <w:p w14:paraId="5C3BA06B">
                  <w:pPr>
                    <w:spacing w:line="240" w:lineRule="auto"/>
                    <w:ind w:firstLine="0" w:firstLineChars="0"/>
                    <w:jc w:val="center"/>
                    <w:outlineLvl w:val="1"/>
                    <w:rPr>
                      <w:rFonts w:cs="Times New Roman"/>
                      <w:sz w:val="18"/>
                    </w:rPr>
                  </w:pPr>
                  <w:r>
                    <w:rPr>
                      <w:rFonts w:hint="eastAsia" w:cs="Times New Roman"/>
                      <w:sz w:val="18"/>
                    </w:rPr>
                    <w:t>风险防范</w:t>
                  </w:r>
                </w:p>
              </w:tc>
              <w:tc>
                <w:tcPr>
                  <w:tcW w:w="1699" w:type="pct"/>
                  <w:vAlign w:val="center"/>
                </w:tcPr>
                <w:p w14:paraId="7686131E">
                  <w:pPr>
                    <w:spacing w:line="240" w:lineRule="auto"/>
                    <w:ind w:firstLine="0" w:firstLineChars="0"/>
                    <w:jc w:val="both"/>
                    <w:rPr>
                      <w:rFonts w:cs="Times New Roman"/>
                      <w:sz w:val="18"/>
                    </w:rPr>
                  </w:pPr>
                  <w:r>
                    <w:rPr>
                      <w:rFonts w:cs="Times New Roman"/>
                      <w:sz w:val="18"/>
                    </w:rPr>
                    <w:t>基地目前尚未编制区域环境污染事故应急预案，未成立环境风险应急小组。</w:t>
                  </w:r>
                </w:p>
              </w:tc>
              <w:tc>
                <w:tcPr>
                  <w:tcW w:w="1900" w:type="pct"/>
                  <w:vAlign w:val="center"/>
                </w:tcPr>
                <w:p w14:paraId="10985578">
                  <w:pPr>
                    <w:spacing w:line="240" w:lineRule="auto"/>
                    <w:ind w:firstLine="0" w:firstLineChars="0"/>
                    <w:jc w:val="both"/>
                    <w:rPr>
                      <w:rFonts w:cs="Times New Roman"/>
                      <w:sz w:val="18"/>
                    </w:rPr>
                  </w:pPr>
                  <w:r>
                    <w:rPr>
                      <w:rFonts w:cs="Times New Roman"/>
                      <w:sz w:val="18"/>
                    </w:rPr>
                    <w:t>以本次规划环评为契机，制定完善基地层面突发环境事件应急预案，成立环境风险应急小组，完善应急设施建设，并定期组织开展应急演练。</w:t>
                  </w:r>
                </w:p>
              </w:tc>
              <w:tc>
                <w:tcPr>
                  <w:tcW w:w="728" w:type="pct"/>
                  <w:vAlign w:val="center"/>
                </w:tcPr>
                <w:p w14:paraId="3F13A1E7">
                  <w:pPr>
                    <w:spacing w:line="240" w:lineRule="auto"/>
                    <w:ind w:firstLine="0" w:firstLineChars="0"/>
                    <w:jc w:val="both"/>
                    <w:outlineLvl w:val="1"/>
                    <w:rPr>
                      <w:rFonts w:cs="Times New Roman"/>
                      <w:sz w:val="18"/>
                    </w:rPr>
                  </w:pPr>
                  <w:r>
                    <w:rPr>
                      <w:rFonts w:hint="eastAsia" w:cs="Times New Roman"/>
                      <w:sz w:val="18"/>
                    </w:rPr>
                    <w:t>本项目环境风险较低，将按照相关要求编制</w:t>
                  </w:r>
                  <w:r>
                    <w:rPr>
                      <w:rFonts w:cs="Times New Roman"/>
                      <w:sz w:val="18"/>
                    </w:rPr>
                    <w:t>突发环境事件应急预案，</w:t>
                  </w:r>
                  <w:r>
                    <w:rPr>
                      <w:rFonts w:hint="eastAsia" w:cs="Times New Roman"/>
                      <w:sz w:val="18"/>
                    </w:rPr>
                    <w:t>采取必要的环境风险防范措施，</w:t>
                  </w:r>
                  <w:r>
                    <w:rPr>
                      <w:rFonts w:cs="Times New Roman"/>
                      <w:sz w:val="18"/>
                    </w:rPr>
                    <w:t>成立环境风险应急小组</w:t>
                  </w:r>
                  <w:r>
                    <w:rPr>
                      <w:rFonts w:hint="eastAsia" w:cs="Times New Roman"/>
                      <w:sz w:val="18"/>
                    </w:rPr>
                    <w:t>。</w:t>
                  </w:r>
                </w:p>
              </w:tc>
            </w:tr>
            <w:tr w14:paraId="0C5E72F9">
              <w:trPr>
                <w:trHeight w:val="340" w:hRule="atLeast"/>
                <w:jc w:val="center"/>
              </w:trPr>
              <w:tc>
                <w:tcPr>
                  <w:tcW w:w="320" w:type="pct"/>
                  <w:vAlign w:val="center"/>
                </w:tcPr>
                <w:p w14:paraId="2A7266FC">
                  <w:pPr>
                    <w:spacing w:line="240" w:lineRule="auto"/>
                    <w:ind w:firstLine="0" w:firstLineChars="0"/>
                    <w:jc w:val="center"/>
                    <w:outlineLvl w:val="1"/>
                    <w:rPr>
                      <w:rFonts w:cs="Times New Roman"/>
                      <w:sz w:val="18"/>
                    </w:rPr>
                  </w:pPr>
                  <w:r>
                    <w:rPr>
                      <w:rFonts w:cs="Times New Roman"/>
                      <w:sz w:val="18"/>
                    </w:rPr>
                    <w:t>资源利用</w:t>
                  </w:r>
                </w:p>
              </w:tc>
              <w:tc>
                <w:tcPr>
                  <w:tcW w:w="351" w:type="pct"/>
                  <w:vAlign w:val="center"/>
                </w:tcPr>
                <w:p w14:paraId="01E5AC4A">
                  <w:pPr>
                    <w:spacing w:line="240" w:lineRule="auto"/>
                    <w:ind w:firstLine="0" w:firstLineChars="0"/>
                    <w:jc w:val="center"/>
                    <w:outlineLvl w:val="1"/>
                    <w:rPr>
                      <w:rFonts w:cs="Times New Roman"/>
                      <w:sz w:val="18"/>
                    </w:rPr>
                  </w:pPr>
                  <w:r>
                    <w:rPr>
                      <w:rFonts w:hint="eastAsia" w:cs="Times New Roman"/>
                      <w:sz w:val="18"/>
                    </w:rPr>
                    <w:t>土地资源</w:t>
                  </w:r>
                </w:p>
              </w:tc>
              <w:tc>
                <w:tcPr>
                  <w:tcW w:w="1699" w:type="pct"/>
                  <w:vAlign w:val="center"/>
                </w:tcPr>
                <w:p w14:paraId="630F4515">
                  <w:pPr>
                    <w:spacing w:line="240" w:lineRule="auto"/>
                    <w:ind w:firstLine="0" w:firstLineChars="0"/>
                    <w:jc w:val="both"/>
                    <w:rPr>
                      <w:rFonts w:cs="Times New Roman"/>
                      <w:sz w:val="18"/>
                    </w:rPr>
                  </w:pPr>
                  <w:r>
                    <w:rPr>
                      <w:rFonts w:cs="Times New Roman"/>
                      <w:sz w:val="18"/>
                    </w:rPr>
                    <w:t>基地内部原有工业用地与未经改造的村庄建设用地普遍存在用地集约化不高的现象，老工业项目盲目圈地现象较为明显，土地集约利用率较低，单位面积土地产出率不高。</w:t>
                  </w:r>
                </w:p>
              </w:tc>
              <w:tc>
                <w:tcPr>
                  <w:tcW w:w="1900" w:type="pct"/>
                  <w:vAlign w:val="center"/>
                </w:tcPr>
                <w:p w14:paraId="5BDA2B4B">
                  <w:pPr>
                    <w:spacing w:line="240" w:lineRule="auto"/>
                    <w:ind w:firstLine="0" w:firstLineChars="0"/>
                    <w:jc w:val="center"/>
                    <w:rPr>
                      <w:rFonts w:cs="Times New Roman"/>
                      <w:sz w:val="18"/>
                    </w:rPr>
                  </w:pPr>
                  <w:r>
                    <w:rPr>
                      <w:rFonts w:cs="Times New Roman"/>
                      <w:sz w:val="18"/>
                    </w:rPr>
                    <w:t>在现状建设的基础上，加强老工业园区以及园中村等存量用地的改造利用，鼓励企业利用现有厂房、土地开展腾笼换鸟、</w:t>
                  </w:r>
                </w:p>
                <w:p w14:paraId="5BBBC5F8">
                  <w:pPr>
                    <w:spacing w:line="240" w:lineRule="auto"/>
                    <w:ind w:firstLine="0" w:firstLineChars="0"/>
                    <w:jc w:val="both"/>
                    <w:rPr>
                      <w:rFonts w:cs="Times New Roman"/>
                      <w:sz w:val="18"/>
                    </w:rPr>
                  </w:pPr>
                  <w:r>
                    <w:rPr>
                      <w:rFonts w:cs="Times New Roman"/>
                      <w:sz w:val="18"/>
                    </w:rPr>
                    <w:t>提升改造，并利用地下空间等途径提高建筑容积率和密度，加强土地高效集约利用。同时，通过产业结构优化升级提高土地产出率，并进一步提升基地功能和环境品质。</w:t>
                  </w:r>
                </w:p>
              </w:tc>
              <w:tc>
                <w:tcPr>
                  <w:tcW w:w="728" w:type="pct"/>
                  <w:vAlign w:val="center"/>
                </w:tcPr>
                <w:p w14:paraId="4DA6A03F">
                  <w:pPr>
                    <w:spacing w:line="240" w:lineRule="auto"/>
                    <w:ind w:firstLine="0" w:firstLineChars="0"/>
                    <w:jc w:val="both"/>
                    <w:outlineLvl w:val="1"/>
                    <w:rPr>
                      <w:rFonts w:cs="Times New Roman"/>
                      <w:sz w:val="18"/>
                    </w:rPr>
                  </w:pPr>
                  <w:r>
                    <w:rPr>
                      <w:rFonts w:hint="eastAsia" w:cs="Times New Roman"/>
                      <w:sz w:val="18"/>
                    </w:rPr>
                    <w:t>项目</w:t>
                  </w:r>
                  <w:r>
                    <w:rPr>
                      <w:rFonts w:cs="Times New Roman"/>
                      <w:sz w:val="18"/>
                    </w:rPr>
                    <w:t>选址位于杭州市</w:t>
                  </w:r>
                  <w:r>
                    <w:rPr>
                      <w:rFonts w:hint="eastAsia" w:cs="Times New Roman"/>
                      <w:sz w:val="18"/>
                    </w:rPr>
                    <w:t>余杭区仁和街道三星路4号，属于工业用地。</w:t>
                  </w:r>
                </w:p>
              </w:tc>
            </w:tr>
          </w:tbl>
          <w:p w14:paraId="1E6D6505">
            <w:pPr>
              <w:numPr>
                <w:ilvl w:val="0"/>
                <w:numId w:val="3"/>
              </w:numPr>
              <w:ind w:firstLine="480"/>
              <w:jc w:val="both"/>
              <w:rPr>
                <w:szCs w:val="24"/>
              </w:rPr>
            </w:pPr>
            <w:r>
              <w:rPr>
                <w:rFonts w:hint="eastAsia"/>
                <w:szCs w:val="24"/>
              </w:rPr>
              <w:t>污染物排放总量控制限值清单符合性</w:t>
            </w:r>
          </w:p>
          <w:p w14:paraId="65C92AE2">
            <w:pPr>
              <w:ind w:firstLine="480"/>
              <w:jc w:val="both"/>
              <w:rPr>
                <w:rFonts w:hint="eastAsia" w:ascii="黑体" w:hAnsi="黑体" w:eastAsia="黑体" w:cs="黑体"/>
                <w:szCs w:val="28"/>
              </w:rPr>
            </w:pPr>
            <w:r>
              <w:rPr>
                <w:szCs w:val="24"/>
              </w:rPr>
              <w:t>本项目排放的烟粉尘、VOCs按1:</w:t>
            </w:r>
            <w:r>
              <w:rPr>
                <w:rFonts w:hint="eastAsia"/>
                <w:szCs w:val="24"/>
              </w:rPr>
              <w:t>2</w:t>
            </w:r>
            <w:r>
              <w:rPr>
                <w:szCs w:val="24"/>
              </w:rPr>
              <w:t>替代削减</w:t>
            </w:r>
            <w:r>
              <w:rPr>
                <w:rFonts w:hint="eastAsia"/>
                <w:szCs w:val="24"/>
              </w:rPr>
              <w:t>，不会突破园区污染物总量管控限值</w:t>
            </w:r>
            <w:r>
              <w:rPr>
                <w:szCs w:val="24"/>
              </w:rPr>
              <w:t>。因此，项目符合污染物排放总量控制清单中的相关要求。</w:t>
            </w:r>
          </w:p>
        </w:tc>
      </w:tr>
    </w:tbl>
    <w:p w14:paraId="33B6D124">
      <w:pPr>
        <w:spacing w:line="240" w:lineRule="auto"/>
        <w:ind w:firstLine="0" w:firstLineChars="0"/>
        <w:rPr>
          <w:sz w:val="18"/>
        </w:rPr>
      </w:pPr>
    </w:p>
    <w:p w14:paraId="07821AFD">
      <w:pPr>
        <w:spacing w:line="240" w:lineRule="auto"/>
        <w:ind w:firstLine="0" w:firstLineChars="0"/>
        <w:rPr>
          <w:sz w:val="18"/>
        </w:rPr>
      </w:pPr>
    </w:p>
    <w:p w14:paraId="25520546">
      <w:pPr>
        <w:spacing w:line="240" w:lineRule="auto"/>
        <w:ind w:firstLine="0" w:firstLineChars="0"/>
        <w:rPr>
          <w:sz w:val="18"/>
        </w:rPr>
      </w:pPr>
    </w:p>
    <w:p w14:paraId="56A10C18">
      <w:pPr>
        <w:spacing w:line="240" w:lineRule="auto"/>
        <w:ind w:firstLine="0" w:firstLineChars="0"/>
        <w:rPr>
          <w:sz w:val="18"/>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12716"/>
      </w:tblGrid>
      <w:tr w14:paraId="40B6E12F">
        <w:tc>
          <w:tcPr>
            <w:tcW w:w="774" w:type="dxa"/>
            <w:vAlign w:val="center"/>
          </w:tcPr>
          <w:p w14:paraId="7B59E15D">
            <w:pPr>
              <w:ind w:firstLine="0" w:firstLineChars="0"/>
              <w:jc w:val="center"/>
            </w:pPr>
          </w:p>
        </w:tc>
        <w:tc>
          <w:tcPr>
            <w:tcW w:w="13400" w:type="dxa"/>
          </w:tcPr>
          <w:p w14:paraId="42279529">
            <w:pPr>
              <w:numPr>
                <w:ilvl w:val="0"/>
                <w:numId w:val="3"/>
              </w:numPr>
              <w:ind w:firstLine="480"/>
              <w:jc w:val="both"/>
              <w:rPr>
                <w:szCs w:val="24"/>
              </w:rPr>
            </w:pPr>
            <w:r>
              <w:rPr>
                <w:rFonts w:hint="eastAsia"/>
                <w:szCs w:val="24"/>
              </w:rPr>
              <w:t>规划优化调整建议清单符合性</w:t>
            </w:r>
          </w:p>
          <w:p w14:paraId="039220C9">
            <w:pPr>
              <w:pStyle w:val="14"/>
              <w:spacing w:before="156"/>
            </w:pPr>
            <w:r>
              <w:t xml:space="preserve">  规划优化调整建议清单</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9"/>
              <w:gridCol w:w="732"/>
              <w:gridCol w:w="829"/>
              <w:gridCol w:w="3605"/>
              <w:gridCol w:w="4484"/>
              <w:gridCol w:w="2036"/>
            </w:tblGrid>
            <w:tr w14:paraId="46AF63C4">
              <w:trPr>
                <w:trHeight w:val="340" w:hRule="atLeast"/>
                <w:jc w:val="center"/>
              </w:trPr>
              <w:tc>
                <w:tcPr>
                  <w:tcW w:w="613" w:type="pct"/>
                  <w:gridSpan w:val="2"/>
                  <w:vAlign w:val="center"/>
                </w:tcPr>
                <w:p w14:paraId="18007F29">
                  <w:pPr>
                    <w:spacing w:line="240" w:lineRule="auto"/>
                    <w:ind w:left="24" w:leftChars="10" w:right="24" w:rightChars="10" w:firstLine="0" w:firstLineChars="0"/>
                    <w:jc w:val="center"/>
                    <w:rPr>
                      <w:rFonts w:cs="Times New Roman"/>
                      <w:sz w:val="18"/>
                    </w:rPr>
                  </w:pPr>
                  <w:r>
                    <w:rPr>
                      <w:rFonts w:hint="eastAsia" w:cs="Times New Roman"/>
                      <w:sz w:val="18"/>
                    </w:rPr>
                    <w:t>调整类型</w:t>
                  </w:r>
                </w:p>
              </w:tc>
              <w:tc>
                <w:tcPr>
                  <w:tcW w:w="332" w:type="pct"/>
                  <w:vAlign w:val="center"/>
                </w:tcPr>
                <w:p w14:paraId="661B0DF3">
                  <w:pPr>
                    <w:spacing w:line="240" w:lineRule="auto"/>
                    <w:ind w:left="24" w:leftChars="10" w:right="24" w:rightChars="10" w:firstLine="0" w:firstLineChars="0"/>
                    <w:jc w:val="center"/>
                    <w:outlineLvl w:val="1"/>
                    <w:rPr>
                      <w:rFonts w:cs="Times New Roman"/>
                      <w:sz w:val="18"/>
                    </w:rPr>
                  </w:pPr>
                  <w:r>
                    <w:rPr>
                      <w:rFonts w:hint="eastAsia" w:cs="Times New Roman"/>
                      <w:sz w:val="18"/>
                    </w:rPr>
                    <w:t>规划期限</w:t>
                  </w:r>
                </w:p>
              </w:tc>
              <w:tc>
                <w:tcPr>
                  <w:tcW w:w="1443" w:type="pct"/>
                  <w:vAlign w:val="center"/>
                </w:tcPr>
                <w:p w14:paraId="36F31D1D">
                  <w:pPr>
                    <w:spacing w:line="240" w:lineRule="auto"/>
                    <w:ind w:left="24" w:leftChars="10" w:right="24" w:rightChars="10" w:firstLine="0" w:firstLineChars="0"/>
                    <w:jc w:val="center"/>
                    <w:outlineLvl w:val="1"/>
                    <w:rPr>
                      <w:rFonts w:cs="Times New Roman"/>
                      <w:sz w:val="18"/>
                    </w:rPr>
                  </w:pPr>
                  <w:r>
                    <w:rPr>
                      <w:rFonts w:hint="eastAsia" w:cs="Times New Roman"/>
                      <w:sz w:val="18"/>
                    </w:rPr>
                    <w:t>规划内容</w:t>
                  </w:r>
                </w:p>
              </w:tc>
              <w:tc>
                <w:tcPr>
                  <w:tcW w:w="1795" w:type="pct"/>
                  <w:vAlign w:val="center"/>
                </w:tcPr>
                <w:p w14:paraId="27B0A25A">
                  <w:pPr>
                    <w:spacing w:line="240" w:lineRule="auto"/>
                    <w:ind w:left="24" w:leftChars="10" w:right="24" w:rightChars="10" w:firstLine="0" w:firstLineChars="0"/>
                    <w:jc w:val="center"/>
                    <w:outlineLvl w:val="1"/>
                    <w:rPr>
                      <w:rFonts w:cs="Times New Roman"/>
                      <w:sz w:val="18"/>
                    </w:rPr>
                  </w:pPr>
                  <w:r>
                    <w:rPr>
                      <w:rFonts w:hint="eastAsia" w:cs="Times New Roman"/>
                      <w:sz w:val="18"/>
                    </w:rPr>
                    <w:t>调整建议</w:t>
                  </w:r>
                </w:p>
              </w:tc>
              <w:tc>
                <w:tcPr>
                  <w:tcW w:w="815" w:type="pct"/>
                  <w:vAlign w:val="center"/>
                </w:tcPr>
                <w:p w14:paraId="3E510EBE">
                  <w:pPr>
                    <w:spacing w:line="240" w:lineRule="auto"/>
                    <w:ind w:left="24" w:leftChars="10" w:right="24" w:rightChars="10" w:firstLine="0" w:firstLineChars="0"/>
                    <w:jc w:val="center"/>
                    <w:outlineLvl w:val="1"/>
                    <w:rPr>
                      <w:rFonts w:cs="Times New Roman"/>
                      <w:sz w:val="18"/>
                    </w:rPr>
                  </w:pPr>
                  <w:r>
                    <w:rPr>
                      <w:rFonts w:hint="eastAsia" w:cs="Times New Roman"/>
                      <w:sz w:val="18"/>
                    </w:rPr>
                    <w:t>符合性分析</w:t>
                  </w:r>
                </w:p>
              </w:tc>
            </w:tr>
            <w:tr w14:paraId="2B060BC4">
              <w:trPr>
                <w:trHeight w:val="340" w:hRule="atLeast"/>
                <w:jc w:val="center"/>
              </w:trPr>
              <w:tc>
                <w:tcPr>
                  <w:tcW w:w="320" w:type="pct"/>
                  <w:vAlign w:val="center"/>
                </w:tcPr>
                <w:p w14:paraId="519340C0">
                  <w:pPr>
                    <w:spacing w:line="240" w:lineRule="auto"/>
                    <w:ind w:left="24" w:leftChars="10" w:right="24" w:rightChars="10" w:firstLine="0" w:firstLineChars="0"/>
                    <w:jc w:val="center"/>
                    <w:outlineLvl w:val="1"/>
                    <w:rPr>
                      <w:rFonts w:cs="Times New Roman"/>
                      <w:sz w:val="18"/>
                    </w:rPr>
                  </w:pPr>
                  <w:r>
                    <w:rPr>
                      <w:rFonts w:hint="eastAsia" w:cs="Times New Roman"/>
                      <w:sz w:val="18"/>
                    </w:rPr>
                    <w:t>规划规模</w:t>
                  </w:r>
                </w:p>
              </w:tc>
              <w:tc>
                <w:tcPr>
                  <w:tcW w:w="293" w:type="pct"/>
                  <w:vAlign w:val="center"/>
                </w:tcPr>
                <w:p w14:paraId="1927EAD5">
                  <w:pPr>
                    <w:spacing w:line="240" w:lineRule="auto"/>
                    <w:ind w:left="24" w:leftChars="10" w:right="24" w:rightChars="10" w:firstLine="0" w:firstLineChars="0"/>
                    <w:jc w:val="center"/>
                    <w:outlineLvl w:val="1"/>
                    <w:rPr>
                      <w:rFonts w:cs="Times New Roman"/>
                      <w:sz w:val="18"/>
                    </w:rPr>
                  </w:pPr>
                  <w:r>
                    <w:rPr>
                      <w:rFonts w:hint="eastAsia" w:cs="Times New Roman"/>
                      <w:sz w:val="18"/>
                    </w:rPr>
                    <w:t>建设用地规模</w:t>
                  </w:r>
                </w:p>
              </w:tc>
              <w:tc>
                <w:tcPr>
                  <w:tcW w:w="332" w:type="pct"/>
                  <w:vAlign w:val="center"/>
                </w:tcPr>
                <w:p w14:paraId="2B68A221">
                  <w:pPr>
                    <w:spacing w:line="240" w:lineRule="auto"/>
                    <w:ind w:left="24" w:leftChars="10" w:right="24" w:rightChars="10" w:firstLine="0" w:firstLineChars="0"/>
                    <w:jc w:val="center"/>
                    <w:rPr>
                      <w:rFonts w:cs="Times New Roman"/>
                      <w:sz w:val="18"/>
                    </w:rPr>
                  </w:pPr>
                  <w:r>
                    <w:rPr>
                      <w:rFonts w:hint="eastAsia" w:cs="Times New Roman"/>
                      <w:sz w:val="18"/>
                    </w:rPr>
                    <w:t>规划近期(至2020年)</w:t>
                  </w:r>
                </w:p>
              </w:tc>
              <w:tc>
                <w:tcPr>
                  <w:tcW w:w="1443" w:type="pct"/>
                  <w:vAlign w:val="center"/>
                </w:tcPr>
                <w:p w14:paraId="6820A108">
                  <w:pPr>
                    <w:spacing w:line="240" w:lineRule="auto"/>
                    <w:ind w:left="24" w:leftChars="10" w:right="24" w:rightChars="10" w:firstLine="0" w:firstLineChars="0"/>
                    <w:jc w:val="both"/>
                    <w:rPr>
                      <w:rFonts w:cs="Times New Roman"/>
                      <w:sz w:val="18"/>
                    </w:rPr>
                  </w:pPr>
                  <w:r>
                    <w:rPr>
                      <w:rFonts w:cs="Times New Roman"/>
                      <w:sz w:val="18"/>
                    </w:rPr>
                    <w:t>规划近期即基地核心区范围涉及永久基本农田共约6.71公顷；规划建设用地未占用永久基本农田指标。主要集中在核心区饮用水源保护区陆域范围退让区内。</w:t>
                  </w:r>
                </w:p>
              </w:tc>
              <w:tc>
                <w:tcPr>
                  <w:tcW w:w="1795" w:type="pct"/>
                  <w:vAlign w:val="center"/>
                </w:tcPr>
                <w:p w14:paraId="46CE8FF7">
                  <w:pPr>
                    <w:spacing w:line="240" w:lineRule="auto"/>
                    <w:ind w:left="24" w:leftChars="10" w:right="24" w:rightChars="10" w:firstLine="0" w:firstLineChars="0"/>
                    <w:jc w:val="both"/>
                    <w:rPr>
                      <w:rFonts w:cs="Times New Roman"/>
                      <w:sz w:val="18"/>
                    </w:rPr>
                  </w:pPr>
                  <w:r>
                    <w:rPr>
                      <w:rFonts w:cs="Times New Roman"/>
                      <w:sz w:val="18"/>
                    </w:rPr>
                    <w:t>除法律规定的能源、交通、水利、军事设施等国家重点建设项目的选址，及国家高速公路、省级政府及其投资主管部门审批(核准)的地方铁路选址无法避让的外，坚决防止永久基本农田“非农化”，不得占用保护永久基本农田为建设用地。</w:t>
                  </w:r>
                </w:p>
              </w:tc>
              <w:tc>
                <w:tcPr>
                  <w:tcW w:w="815" w:type="pct"/>
                  <w:vAlign w:val="center"/>
                </w:tcPr>
                <w:p w14:paraId="7D75CB52">
                  <w:pPr>
                    <w:spacing w:line="240" w:lineRule="auto"/>
                    <w:ind w:left="24" w:leftChars="10" w:right="24" w:rightChars="10" w:firstLine="0" w:firstLineChars="0"/>
                    <w:jc w:val="both"/>
                    <w:rPr>
                      <w:rFonts w:cs="Times New Roman"/>
                      <w:sz w:val="18"/>
                    </w:rPr>
                  </w:pPr>
                  <w:r>
                    <w:rPr>
                      <w:rFonts w:cs="Times New Roman"/>
                      <w:sz w:val="18"/>
                    </w:rPr>
                    <w:t>本项目</w:t>
                  </w:r>
                  <w:r>
                    <w:rPr>
                      <w:rFonts w:hint="eastAsia" w:cs="Times New Roman"/>
                      <w:sz w:val="18"/>
                    </w:rPr>
                    <w:t>用地性质为工业用地</w:t>
                  </w:r>
                  <w:r>
                    <w:rPr>
                      <w:rFonts w:cs="Times New Roman"/>
                      <w:sz w:val="18"/>
                    </w:rPr>
                    <w:t>，不涉及永久基本农田。</w:t>
                  </w:r>
                </w:p>
              </w:tc>
            </w:tr>
            <w:tr w14:paraId="31F87BB1">
              <w:trPr>
                <w:trHeight w:val="340" w:hRule="atLeast"/>
                <w:jc w:val="center"/>
              </w:trPr>
              <w:tc>
                <w:tcPr>
                  <w:tcW w:w="945" w:type="pct"/>
                  <w:gridSpan w:val="3"/>
                  <w:vAlign w:val="center"/>
                </w:tcPr>
                <w:p w14:paraId="21FE252A">
                  <w:pPr>
                    <w:spacing w:line="240" w:lineRule="auto"/>
                    <w:ind w:left="24" w:leftChars="10" w:right="24" w:rightChars="10" w:firstLine="0" w:firstLineChars="0"/>
                    <w:jc w:val="center"/>
                    <w:rPr>
                      <w:rFonts w:cs="Times New Roman"/>
                      <w:sz w:val="18"/>
                    </w:rPr>
                  </w:pPr>
                  <w:r>
                    <w:rPr>
                      <w:rFonts w:hint="eastAsia" w:cs="Times New Roman"/>
                      <w:sz w:val="18"/>
                    </w:rPr>
                    <w:t>规划产业定位</w:t>
                  </w:r>
                </w:p>
              </w:tc>
              <w:tc>
                <w:tcPr>
                  <w:tcW w:w="1443" w:type="pct"/>
                  <w:vAlign w:val="center"/>
                </w:tcPr>
                <w:p w14:paraId="2DE47042">
                  <w:pPr>
                    <w:spacing w:line="240" w:lineRule="auto"/>
                    <w:ind w:left="24" w:leftChars="10" w:right="24" w:rightChars="10" w:firstLine="0" w:firstLineChars="0"/>
                    <w:jc w:val="both"/>
                    <w:rPr>
                      <w:rFonts w:cs="Times New Roman"/>
                      <w:sz w:val="18"/>
                    </w:rPr>
                  </w:pPr>
                  <w:r>
                    <w:rPr>
                      <w:rFonts w:cs="Times New Roman"/>
                      <w:sz w:val="18"/>
                    </w:rPr>
                    <w:t>仁和先进制造业基地形成以主导产业为引领，培育产业为特色，提升产业为补充，配套产业为支撑的“4+2+2+3”的现代产业体系。</w:t>
                  </w:r>
                </w:p>
              </w:tc>
              <w:tc>
                <w:tcPr>
                  <w:tcW w:w="1795" w:type="pct"/>
                  <w:vAlign w:val="center"/>
                </w:tcPr>
                <w:p w14:paraId="2FB37011">
                  <w:pPr>
                    <w:spacing w:line="240" w:lineRule="auto"/>
                    <w:ind w:left="24" w:leftChars="10" w:right="24" w:rightChars="10" w:firstLine="0" w:firstLineChars="0"/>
                    <w:jc w:val="both"/>
                    <w:rPr>
                      <w:rFonts w:cs="Times New Roman"/>
                      <w:sz w:val="18"/>
                    </w:rPr>
                  </w:pPr>
                  <w:r>
                    <w:rPr>
                      <w:rFonts w:cs="Times New Roman"/>
                      <w:sz w:val="18"/>
                    </w:rPr>
                    <w:t>根据产业集聚区块的功能定位，建立分区差别化的产业准入条件。</w:t>
                  </w:r>
                </w:p>
              </w:tc>
              <w:tc>
                <w:tcPr>
                  <w:tcW w:w="815" w:type="pct"/>
                  <w:vAlign w:val="center"/>
                </w:tcPr>
                <w:p w14:paraId="11DEF8B9">
                  <w:pPr>
                    <w:spacing w:line="240" w:lineRule="auto"/>
                    <w:ind w:left="24" w:leftChars="10" w:right="24" w:rightChars="10" w:firstLine="0" w:firstLineChars="0"/>
                    <w:jc w:val="both"/>
                    <w:rPr>
                      <w:rFonts w:cs="Times New Roman"/>
                      <w:sz w:val="18"/>
                    </w:rPr>
                  </w:pPr>
                  <w:r>
                    <w:rPr>
                      <w:rFonts w:cs="Times New Roman"/>
                      <w:sz w:val="18"/>
                    </w:rPr>
                    <w:t>本项目不属于禁止类项目。</w:t>
                  </w:r>
                </w:p>
              </w:tc>
            </w:tr>
            <w:tr w14:paraId="0AC05DDD">
              <w:trPr>
                <w:trHeight w:val="340" w:hRule="atLeast"/>
                <w:jc w:val="center"/>
              </w:trPr>
              <w:tc>
                <w:tcPr>
                  <w:tcW w:w="320" w:type="pct"/>
                  <w:vMerge w:val="restart"/>
                  <w:vAlign w:val="center"/>
                </w:tcPr>
                <w:p w14:paraId="24AE0EC4">
                  <w:pPr>
                    <w:spacing w:line="240" w:lineRule="auto"/>
                    <w:ind w:left="24" w:leftChars="10" w:right="24" w:rightChars="10" w:firstLine="0" w:firstLineChars="0"/>
                    <w:jc w:val="center"/>
                    <w:outlineLvl w:val="1"/>
                    <w:rPr>
                      <w:rFonts w:cs="Times New Roman"/>
                      <w:sz w:val="18"/>
                    </w:rPr>
                  </w:pPr>
                  <w:r>
                    <w:rPr>
                      <w:rFonts w:hint="eastAsia" w:cs="Times New Roman"/>
                      <w:sz w:val="18"/>
                    </w:rPr>
                    <w:t>环保基础设施规划</w:t>
                  </w:r>
                </w:p>
              </w:tc>
              <w:tc>
                <w:tcPr>
                  <w:tcW w:w="293" w:type="pct"/>
                  <w:vMerge w:val="restart"/>
                  <w:vAlign w:val="center"/>
                </w:tcPr>
                <w:p w14:paraId="44794A66">
                  <w:pPr>
                    <w:spacing w:line="240" w:lineRule="auto"/>
                    <w:ind w:left="24" w:leftChars="10" w:right="24" w:rightChars="10" w:firstLine="0" w:firstLineChars="0"/>
                    <w:jc w:val="center"/>
                    <w:outlineLvl w:val="1"/>
                    <w:rPr>
                      <w:rFonts w:cs="Times New Roman"/>
                      <w:sz w:val="18"/>
                    </w:rPr>
                  </w:pPr>
                  <w:r>
                    <w:rPr>
                      <w:rFonts w:hint="eastAsia" w:cs="Times New Roman"/>
                      <w:sz w:val="18"/>
                    </w:rPr>
                    <w:t>污水集中处理规划</w:t>
                  </w:r>
                </w:p>
              </w:tc>
              <w:tc>
                <w:tcPr>
                  <w:tcW w:w="332" w:type="pct"/>
                  <w:vAlign w:val="center"/>
                </w:tcPr>
                <w:p w14:paraId="7C27F2AF">
                  <w:pPr>
                    <w:spacing w:line="240" w:lineRule="auto"/>
                    <w:ind w:left="24" w:leftChars="10" w:right="24" w:rightChars="10" w:firstLine="0" w:firstLineChars="0"/>
                    <w:jc w:val="center"/>
                    <w:rPr>
                      <w:rFonts w:cs="Times New Roman"/>
                      <w:sz w:val="18"/>
                    </w:rPr>
                  </w:pPr>
                  <w:r>
                    <w:rPr>
                      <w:rFonts w:hint="eastAsia" w:cs="Times New Roman"/>
                      <w:sz w:val="18"/>
                    </w:rPr>
                    <w:t>规划近期(至2020年)</w:t>
                  </w:r>
                </w:p>
              </w:tc>
              <w:tc>
                <w:tcPr>
                  <w:tcW w:w="1443" w:type="pct"/>
                  <w:vMerge w:val="restart"/>
                  <w:vAlign w:val="center"/>
                </w:tcPr>
                <w:p w14:paraId="2396164B">
                  <w:pPr>
                    <w:spacing w:line="240" w:lineRule="auto"/>
                    <w:ind w:left="24" w:leftChars="10" w:right="24" w:rightChars="10" w:firstLine="0" w:firstLineChars="0"/>
                    <w:rPr>
                      <w:rFonts w:cs="Times New Roman"/>
                      <w:sz w:val="18"/>
                    </w:rPr>
                  </w:pPr>
                  <w:r>
                    <w:rPr>
                      <w:rFonts w:cs="Times New Roman"/>
                      <w:sz w:val="18"/>
                    </w:rPr>
                    <w:t>近期接入良渚污水厂处理，远期待良渚污水厂满负荷后，改为接入新规划的污水再生水厂；东北部区块污水仍属于塘栖污水系统。</w:t>
                  </w:r>
                </w:p>
                <w:p w14:paraId="4FE1F251">
                  <w:pPr>
                    <w:spacing w:line="240" w:lineRule="auto"/>
                    <w:ind w:left="24" w:leftChars="10" w:right="24" w:rightChars="10" w:firstLine="0" w:firstLineChars="0"/>
                    <w:jc w:val="both"/>
                    <w:rPr>
                      <w:rFonts w:cs="Times New Roman"/>
                      <w:sz w:val="18"/>
                    </w:rPr>
                  </w:pPr>
                  <w:r>
                    <w:rPr>
                      <w:rFonts w:cs="Times New Roman"/>
                      <w:sz w:val="18"/>
                    </w:rPr>
                    <w:t>规划区块分属于良渚污水系统、塘栖污水系统，污水接入良渚污水处理厂及塘栖污水处理厂。</w:t>
                  </w:r>
                </w:p>
                <w:p w14:paraId="2A19FAAC">
                  <w:pPr>
                    <w:spacing w:line="240" w:lineRule="auto"/>
                    <w:ind w:left="24" w:leftChars="10" w:right="24" w:rightChars="10" w:firstLine="0" w:firstLineChars="0"/>
                    <w:jc w:val="both"/>
                    <w:rPr>
                      <w:rFonts w:cs="Times New Roman"/>
                      <w:sz w:val="18"/>
                    </w:rPr>
                  </w:pPr>
                  <w:r>
                    <w:rPr>
                      <w:rFonts w:cs="Times New Roman"/>
                      <w:sz w:val="18"/>
                    </w:rPr>
                    <w:t>远期仁和东北部区块污水仍属于塘栖污水系统，污水经收集后向东输送至塘栖污水处理厂处理；远期待良渚厂满负荷后，其余区块的污水接入新规划的污水再生水厂，经过处理后加以回用。</w:t>
                  </w:r>
                </w:p>
                <w:p w14:paraId="41B26BE1">
                  <w:pPr>
                    <w:spacing w:line="240" w:lineRule="auto"/>
                    <w:ind w:left="24" w:leftChars="10" w:right="24" w:rightChars="10" w:firstLine="0" w:firstLineChars="0"/>
                    <w:jc w:val="both"/>
                    <w:rPr>
                      <w:rFonts w:cs="Times New Roman"/>
                      <w:sz w:val="18"/>
                    </w:rPr>
                  </w:pPr>
                  <w:r>
                    <w:rPr>
                      <w:rFonts w:cs="Times New Roman"/>
                      <w:sz w:val="18"/>
                    </w:rPr>
                    <w:t>再生水厂规模为12万立方米/日。</w:t>
                  </w:r>
                </w:p>
              </w:tc>
              <w:tc>
                <w:tcPr>
                  <w:tcW w:w="1795" w:type="pct"/>
                  <w:vMerge w:val="restart"/>
                  <w:vAlign w:val="center"/>
                </w:tcPr>
                <w:p w14:paraId="74E176F1">
                  <w:pPr>
                    <w:spacing w:line="240" w:lineRule="auto"/>
                    <w:ind w:left="24" w:leftChars="10" w:right="24" w:rightChars="10" w:firstLine="0" w:firstLineChars="0"/>
                    <w:jc w:val="both"/>
                    <w:rPr>
                      <w:rFonts w:cs="Times New Roman"/>
                      <w:sz w:val="18"/>
                    </w:rPr>
                  </w:pPr>
                  <w:r>
                    <w:rPr>
                      <w:rFonts w:cs="Times New Roman"/>
                      <w:sz w:val="18"/>
                    </w:rPr>
                    <w:t>上层规划新建仁和污水处理厂，收集处理仁和片区污水子系统的污水，处理尾水再生利用，近期污水处理规模2万m</w:t>
                  </w:r>
                  <w:r>
                    <w:rPr>
                      <w:rFonts w:cs="Times New Roman"/>
                      <w:sz w:val="18"/>
                      <w:vertAlign w:val="superscript"/>
                    </w:rPr>
                    <w:t>3</w:t>
                  </w:r>
                  <w:r>
                    <w:rPr>
                      <w:rFonts w:cs="Times New Roman"/>
                      <w:sz w:val="18"/>
                    </w:rPr>
                    <w:t>/d，远期5万m</w:t>
                  </w:r>
                  <w:r>
                    <w:rPr>
                      <w:rFonts w:cs="Times New Roman"/>
                      <w:sz w:val="18"/>
                      <w:vertAlign w:val="superscript"/>
                    </w:rPr>
                    <w:t>3</w:t>
                  </w:r>
                  <w:r>
                    <w:rPr>
                      <w:rFonts w:cs="Times New Roman"/>
                      <w:sz w:val="18"/>
                    </w:rPr>
                    <w:t>/d，未明确再生水厂的规模。本规划未考虑新建仁和污水处理厂，但提出再生水厂规模为12万立方米/日。建议根据上层规划修编增加仁和污水处理厂建设计划、规模等相关内容，并加快仁和污水处理厂和再生水厂的建设。</w:t>
                  </w:r>
                </w:p>
              </w:tc>
              <w:tc>
                <w:tcPr>
                  <w:tcW w:w="815" w:type="pct"/>
                  <w:vMerge w:val="restart"/>
                  <w:vAlign w:val="center"/>
                </w:tcPr>
                <w:p w14:paraId="089D0473">
                  <w:pPr>
                    <w:spacing w:line="240" w:lineRule="auto"/>
                    <w:ind w:left="24" w:leftChars="10" w:right="24" w:rightChars="10" w:firstLine="0" w:firstLineChars="0"/>
                    <w:jc w:val="both"/>
                    <w:rPr>
                      <w:rFonts w:cs="Times New Roman"/>
                      <w:sz w:val="18"/>
                    </w:rPr>
                  </w:pPr>
                  <w:r>
                    <w:rPr>
                      <w:rFonts w:cs="Times New Roman"/>
                      <w:sz w:val="18"/>
                    </w:rPr>
                    <w:t>本项目</w:t>
                  </w:r>
                  <w:r>
                    <w:rPr>
                      <w:rFonts w:hint="eastAsia" w:cs="Times New Roman"/>
                      <w:sz w:val="18"/>
                    </w:rPr>
                    <w:t>位于良渚污水处理厂收水范围内，且该污水处理厂尚有余量接受本项目外排废水</w:t>
                  </w:r>
                  <w:r>
                    <w:rPr>
                      <w:rFonts w:cs="Times New Roman"/>
                      <w:sz w:val="18"/>
                    </w:rPr>
                    <w:t>。</w:t>
                  </w:r>
                </w:p>
              </w:tc>
            </w:tr>
            <w:tr w14:paraId="0770BE47">
              <w:trPr>
                <w:trHeight w:val="340" w:hRule="atLeast"/>
                <w:jc w:val="center"/>
              </w:trPr>
              <w:tc>
                <w:tcPr>
                  <w:tcW w:w="320" w:type="pct"/>
                  <w:vMerge w:val="continue"/>
                  <w:vAlign w:val="center"/>
                </w:tcPr>
                <w:p w14:paraId="10DD8F9A">
                  <w:pPr>
                    <w:spacing w:line="240" w:lineRule="auto"/>
                    <w:ind w:left="24" w:leftChars="10" w:right="24" w:rightChars="10" w:firstLine="0" w:firstLineChars="0"/>
                    <w:jc w:val="center"/>
                    <w:rPr>
                      <w:rFonts w:cs="Times New Roman"/>
                      <w:sz w:val="18"/>
                    </w:rPr>
                  </w:pPr>
                </w:p>
              </w:tc>
              <w:tc>
                <w:tcPr>
                  <w:tcW w:w="293" w:type="pct"/>
                  <w:vMerge w:val="continue"/>
                  <w:vAlign w:val="center"/>
                </w:tcPr>
                <w:p w14:paraId="1EDAAFC9">
                  <w:pPr>
                    <w:spacing w:line="240" w:lineRule="auto"/>
                    <w:ind w:left="24" w:leftChars="10" w:right="24" w:rightChars="10" w:firstLine="0" w:firstLineChars="0"/>
                    <w:jc w:val="center"/>
                    <w:rPr>
                      <w:rFonts w:cs="Times New Roman"/>
                      <w:sz w:val="18"/>
                    </w:rPr>
                  </w:pPr>
                </w:p>
              </w:tc>
              <w:tc>
                <w:tcPr>
                  <w:tcW w:w="332" w:type="pct"/>
                  <w:vAlign w:val="center"/>
                </w:tcPr>
                <w:p w14:paraId="46966545">
                  <w:pPr>
                    <w:spacing w:line="240" w:lineRule="auto"/>
                    <w:ind w:left="24" w:leftChars="10" w:right="24" w:rightChars="10" w:firstLine="0" w:firstLineChars="0"/>
                    <w:jc w:val="center"/>
                    <w:rPr>
                      <w:rFonts w:cs="Times New Roman"/>
                      <w:sz w:val="18"/>
                    </w:rPr>
                  </w:pPr>
                  <w:r>
                    <w:rPr>
                      <w:rFonts w:hint="eastAsia" w:cs="Times New Roman"/>
                      <w:sz w:val="18"/>
                    </w:rPr>
                    <w:t>规划远期(至2030年)</w:t>
                  </w:r>
                </w:p>
              </w:tc>
              <w:tc>
                <w:tcPr>
                  <w:tcW w:w="1443" w:type="pct"/>
                  <w:vMerge w:val="continue"/>
                  <w:vAlign w:val="center"/>
                </w:tcPr>
                <w:p w14:paraId="12B7EB33">
                  <w:pPr>
                    <w:spacing w:line="240" w:lineRule="auto"/>
                    <w:ind w:left="24" w:leftChars="10" w:right="24" w:rightChars="10" w:firstLine="0" w:firstLineChars="0"/>
                    <w:rPr>
                      <w:rFonts w:cs="Times New Roman"/>
                      <w:sz w:val="18"/>
                    </w:rPr>
                  </w:pPr>
                </w:p>
              </w:tc>
              <w:tc>
                <w:tcPr>
                  <w:tcW w:w="1795" w:type="pct"/>
                  <w:vMerge w:val="continue"/>
                  <w:vAlign w:val="center"/>
                </w:tcPr>
                <w:p w14:paraId="34C6C2EB">
                  <w:pPr>
                    <w:spacing w:line="240" w:lineRule="auto"/>
                    <w:ind w:left="24" w:leftChars="10" w:right="24" w:rightChars="10" w:firstLine="0" w:firstLineChars="0"/>
                    <w:rPr>
                      <w:rFonts w:cs="Times New Roman"/>
                      <w:sz w:val="18"/>
                    </w:rPr>
                  </w:pPr>
                </w:p>
              </w:tc>
              <w:tc>
                <w:tcPr>
                  <w:tcW w:w="815" w:type="pct"/>
                  <w:vMerge w:val="continue"/>
                  <w:vAlign w:val="center"/>
                </w:tcPr>
                <w:p w14:paraId="48307E79">
                  <w:pPr>
                    <w:spacing w:line="240" w:lineRule="auto"/>
                    <w:ind w:left="24" w:leftChars="10" w:right="24" w:rightChars="10" w:firstLine="0" w:firstLineChars="0"/>
                    <w:rPr>
                      <w:rFonts w:cs="Times New Roman"/>
                      <w:sz w:val="18"/>
                    </w:rPr>
                  </w:pPr>
                </w:p>
              </w:tc>
            </w:tr>
          </w:tbl>
          <w:p w14:paraId="0B4066DD">
            <w:pPr>
              <w:ind w:firstLine="0" w:firstLineChars="0"/>
              <w:jc w:val="both"/>
              <w:rPr>
                <w:rFonts w:hint="eastAsia" w:ascii="黑体" w:hAnsi="黑体" w:eastAsia="黑体" w:cs="黑体"/>
                <w:szCs w:val="28"/>
              </w:rPr>
            </w:pPr>
          </w:p>
        </w:tc>
      </w:tr>
    </w:tbl>
    <w:p w14:paraId="42E9AB0E">
      <w:pPr>
        <w:spacing w:line="240" w:lineRule="auto"/>
        <w:ind w:firstLine="0" w:firstLineChars="0"/>
        <w:rPr>
          <w:sz w:val="18"/>
        </w:rPr>
        <w:sectPr>
          <w:pgSz w:w="16838" w:h="11906" w:orient="landscape"/>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2714"/>
      </w:tblGrid>
      <w:tr w14:paraId="7D5DB99B">
        <w:tc>
          <w:tcPr>
            <w:tcW w:w="774" w:type="dxa"/>
            <w:vAlign w:val="center"/>
          </w:tcPr>
          <w:p w14:paraId="19540FE8">
            <w:pPr>
              <w:ind w:firstLine="0" w:firstLineChars="0"/>
              <w:jc w:val="center"/>
            </w:pPr>
          </w:p>
        </w:tc>
        <w:tc>
          <w:tcPr>
            <w:tcW w:w="13400" w:type="dxa"/>
          </w:tcPr>
          <w:p w14:paraId="48F2E643">
            <w:pPr>
              <w:numPr>
                <w:ilvl w:val="0"/>
                <w:numId w:val="3"/>
              </w:numPr>
              <w:ind w:firstLine="480"/>
              <w:jc w:val="both"/>
              <w:rPr>
                <w:szCs w:val="24"/>
              </w:rPr>
            </w:pPr>
            <w:r>
              <w:rPr>
                <w:rFonts w:hint="eastAsia"/>
                <w:szCs w:val="24"/>
              </w:rPr>
              <w:t>环境准入清单符合性</w:t>
            </w:r>
          </w:p>
          <w:p w14:paraId="29786DE9">
            <w:pPr>
              <w:pStyle w:val="14"/>
              <w:spacing w:before="156"/>
            </w:pPr>
            <w:r>
              <w:t xml:space="preserve">  环境准入负面清单</w:t>
            </w:r>
          </w:p>
          <w:tbl>
            <w:tblPr>
              <w:tblStyle w:val="1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86"/>
              <w:gridCol w:w="1141"/>
              <w:gridCol w:w="1646"/>
              <w:gridCol w:w="1933"/>
              <w:gridCol w:w="3059"/>
              <w:gridCol w:w="3416"/>
            </w:tblGrid>
            <w:tr w14:paraId="27A2C5EF">
              <w:trPr>
                <w:trHeight w:val="340" w:hRule="atLeast"/>
                <w:jc w:val="center"/>
              </w:trPr>
              <w:tc>
                <w:tcPr>
                  <w:tcW w:w="515" w:type="pct"/>
                  <w:vAlign w:val="center"/>
                </w:tcPr>
                <w:p w14:paraId="0C1D47C2">
                  <w:pPr>
                    <w:spacing w:line="240" w:lineRule="auto"/>
                    <w:ind w:left="24" w:leftChars="10" w:right="24" w:rightChars="10" w:firstLine="0" w:firstLineChars="0"/>
                    <w:jc w:val="center"/>
                    <w:rPr>
                      <w:rFonts w:cs="Times New Roman"/>
                      <w:sz w:val="18"/>
                    </w:rPr>
                  </w:pPr>
                  <w:r>
                    <w:rPr>
                      <w:rFonts w:hint="eastAsia" w:cs="Times New Roman"/>
                      <w:sz w:val="18"/>
                    </w:rPr>
                    <w:t>分区</w:t>
                  </w:r>
                </w:p>
              </w:tc>
              <w:tc>
                <w:tcPr>
                  <w:tcW w:w="457" w:type="pct"/>
                  <w:vAlign w:val="center"/>
                </w:tcPr>
                <w:p w14:paraId="5A569539">
                  <w:pPr>
                    <w:spacing w:line="240" w:lineRule="auto"/>
                    <w:ind w:left="24" w:leftChars="10" w:right="24" w:rightChars="10" w:firstLine="0" w:firstLineChars="0"/>
                    <w:jc w:val="center"/>
                    <w:rPr>
                      <w:rFonts w:cs="Times New Roman"/>
                      <w:sz w:val="18"/>
                    </w:rPr>
                  </w:pPr>
                  <w:r>
                    <w:rPr>
                      <w:rFonts w:hint="eastAsia" w:cs="Times New Roman"/>
                      <w:sz w:val="18"/>
                    </w:rPr>
                    <w:t>分类</w:t>
                  </w:r>
                </w:p>
              </w:tc>
              <w:tc>
                <w:tcPr>
                  <w:tcW w:w="1433" w:type="pct"/>
                  <w:gridSpan w:val="2"/>
                  <w:vAlign w:val="center"/>
                </w:tcPr>
                <w:p w14:paraId="46A78AF1">
                  <w:pPr>
                    <w:spacing w:line="240" w:lineRule="auto"/>
                    <w:ind w:left="24" w:leftChars="10" w:right="24" w:rightChars="10" w:firstLine="0" w:firstLineChars="0"/>
                    <w:jc w:val="center"/>
                    <w:outlineLvl w:val="1"/>
                    <w:rPr>
                      <w:rFonts w:cs="Times New Roman"/>
                      <w:sz w:val="18"/>
                    </w:rPr>
                  </w:pPr>
                  <w:r>
                    <w:rPr>
                      <w:rFonts w:hint="eastAsia" w:cs="Times New Roman"/>
                      <w:sz w:val="18"/>
                    </w:rPr>
                    <w:t>行业类别</w:t>
                  </w:r>
                </w:p>
              </w:tc>
              <w:tc>
                <w:tcPr>
                  <w:tcW w:w="1225" w:type="pct"/>
                  <w:vAlign w:val="center"/>
                </w:tcPr>
                <w:p w14:paraId="248A1439">
                  <w:pPr>
                    <w:spacing w:line="240" w:lineRule="auto"/>
                    <w:ind w:left="24" w:leftChars="10" w:right="24" w:rightChars="10" w:firstLine="0" w:firstLineChars="0"/>
                    <w:jc w:val="center"/>
                    <w:outlineLvl w:val="1"/>
                    <w:rPr>
                      <w:rFonts w:cs="Times New Roman"/>
                      <w:sz w:val="18"/>
                    </w:rPr>
                  </w:pPr>
                  <w:r>
                    <w:rPr>
                      <w:rFonts w:hint="eastAsia" w:cs="Times New Roman"/>
                      <w:sz w:val="18"/>
                    </w:rPr>
                    <w:t>工艺清单</w:t>
                  </w:r>
                </w:p>
              </w:tc>
              <w:tc>
                <w:tcPr>
                  <w:tcW w:w="1368" w:type="pct"/>
                  <w:vAlign w:val="center"/>
                </w:tcPr>
                <w:p w14:paraId="60368BEC">
                  <w:pPr>
                    <w:spacing w:line="240" w:lineRule="auto"/>
                    <w:ind w:left="24" w:leftChars="10" w:right="24" w:rightChars="10" w:firstLine="0" w:firstLineChars="0"/>
                    <w:jc w:val="center"/>
                    <w:outlineLvl w:val="1"/>
                    <w:rPr>
                      <w:rFonts w:cs="Times New Roman"/>
                      <w:sz w:val="18"/>
                    </w:rPr>
                  </w:pPr>
                  <w:r>
                    <w:rPr>
                      <w:rFonts w:hint="eastAsia" w:cs="Times New Roman"/>
                      <w:sz w:val="18"/>
                    </w:rPr>
                    <w:t>产品清单</w:t>
                  </w:r>
                </w:p>
              </w:tc>
            </w:tr>
            <w:tr w14:paraId="43FA4DFA">
              <w:trPr>
                <w:trHeight w:val="340" w:hRule="atLeast"/>
                <w:jc w:val="center"/>
              </w:trPr>
              <w:tc>
                <w:tcPr>
                  <w:tcW w:w="515" w:type="pct"/>
                  <w:vMerge w:val="restart"/>
                  <w:vAlign w:val="center"/>
                </w:tcPr>
                <w:p w14:paraId="2A903C90">
                  <w:pPr>
                    <w:spacing w:line="240" w:lineRule="auto"/>
                    <w:ind w:left="24" w:leftChars="10" w:right="24" w:rightChars="10" w:firstLine="0" w:firstLineChars="0"/>
                    <w:jc w:val="center"/>
                    <w:outlineLvl w:val="1"/>
                    <w:rPr>
                      <w:rFonts w:cs="Times New Roman"/>
                      <w:sz w:val="18"/>
                    </w:rPr>
                  </w:pPr>
                  <w:r>
                    <w:rPr>
                      <w:rFonts w:hint="eastAsia" w:cs="Times New Roman"/>
                      <w:sz w:val="18"/>
                    </w:rPr>
                    <w:t>余杭区钱江经济开发区产业集聚重点管控单元及余杭区临平副城产业集聚重点管控单元</w:t>
                  </w:r>
                </w:p>
              </w:tc>
              <w:tc>
                <w:tcPr>
                  <w:tcW w:w="457" w:type="pct"/>
                  <w:vMerge w:val="restart"/>
                  <w:vAlign w:val="center"/>
                </w:tcPr>
                <w:p w14:paraId="7A7038E0">
                  <w:pPr>
                    <w:spacing w:line="240" w:lineRule="auto"/>
                    <w:ind w:left="24" w:leftChars="10" w:right="24" w:rightChars="10" w:firstLine="0" w:firstLineChars="0"/>
                    <w:jc w:val="center"/>
                    <w:outlineLvl w:val="1"/>
                    <w:rPr>
                      <w:rFonts w:cs="Times New Roman"/>
                      <w:sz w:val="18"/>
                    </w:rPr>
                  </w:pPr>
                  <w:r>
                    <w:rPr>
                      <w:rFonts w:hint="eastAsia" w:cs="Times New Roman"/>
                      <w:sz w:val="18"/>
                    </w:rPr>
                    <w:t>禁止准入类</w:t>
                  </w:r>
                </w:p>
              </w:tc>
              <w:tc>
                <w:tcPr>
                  <w:tcW w:w="659" w:type="pct"/>
                  <w:vMerge w:val="restart"/>
                  <w:vAlign w:val="center"/>
                </w:tcPr>
                <w:p w14:paraId="3E42DE0A">
                  <w:pPr>
                    <w:spacing w:line="240" w:lineRule="auto"/>
                    <w:ind w:left="24" w:leftChars="10" w:right="24" w:rightChars="10" w:firstLine="0" w:firstLineChars="0"/>
                    <w:jc w:val="center"/>
                    <w:rPr>
                      <w:rFonts w:cs="Times New Roman"/>
                      <w:sz w:val="18"/>
                    </w:rPr>
                  </w:pPr>
                  <w:r>
                    <w:rPr>
                      <w:rFonts w:hint="eastAsia" w:cs="Times New Roman"/>
                      <w:sz w:val="18"/>
                    </w:rPr>
                    <w:t>橡胶和塑料制品业</w:t>
                  </w:r>
                </w:p>
              </w:tc>
              <w:tc>
                <w:tcPr>
                  <w:tcW w:w="773" w:type="pct"/>
                  <w:vAlign w:val="center"/>
                </w:tcPr>
                <w:p w14:paraId="264CF86E">
                  <w:pPr>
                    <w:spacing w:line="240" w:lineRule="auto"/>
                    <w:ind w:left="24" w:leftChars="10" w:right="24" w:rightChars="10" w:firstLine="0" w:firstLineChars="0"/>
                    <w:jc w:val="center"/>
                    <w:rPr>
                      <w:rFonts w:cs="Times New Roman"/>
                      <w:sz w:val="18"/>
                    </w:rPr>
                  </w:pPr>
                  <w:r>
                    <w:rPr>
                      <w:rFonts w:hint="eastAsia" w:cs="Times New Roman"/>
                      <w:sz w:val="18"/>
                    </w:rPr>
                    <w:t>橡胶制品业</w:t>
                  </w:r>
                </w:p>
              </w:tc>
              <w:tc>
                <w:tcPr>
                  <w:tcW w:w="1225" w:type="pct"/>
                  <w:vAlign w:val="center"/>
                </w:tcPr>
                <w:p w14:paraId="71E362C8">
                  <w:pPr>
                    <w:spacing w:line="240" w:lineRule="auto"/>
                    <w:ind w:left="24" w:leftChars="10" w:right="24" w:rightChars="10" w:firstLine="0" w:firstLineChars="0"/>
                    <w:jc w:val="center"/>
                    <w:rPr>
                      <w:rFonts w:cs="Times New Roman"/>
                      <w:sz w:val="18"/>
                    </w:rPr>
                  </w:pPr>
                  <w:r>
                    <w:rPr>
                      <w:rFonts w:hint="eastAsia" w:cs="Times New Roman"/>
                      <w:sz w:val="18"/>
                    </w:rPr>
                    <w:t>/</w:t>
                  </w:r>
                </w:p>
              </w:tc>
              <w:tc>
                <w:tcPr>
                  <w:tcW w:w="1368" w:type="pct"/>
                  <w:vAlign w:val="center"/>
                </w:tcPr>
                <w:p w14:paraId="3B519628">
                  <w:pPr>
                    <w:spacing w:line="240" w:lineRule="auto"/>
                    <w:ind w:left="24" w:leftChars="10" w:right="24" w:rightChars="10" w:firstLine="0" w:firstLineChars="0"/>
                    <w:jc w:val="center"/>
                    <w:rPr>
                      <w:rFonts w:cs="Times New Roman"/>
                      <w:sz w:val="18"/>
                    </w:rPr>
                  </w:pPr>
                  <w:r>
                    <w:rPr>
                      <w:rFonts w:hint="eastAsia" w:cs="Times New Roman"/>
                      <w:sz w:val="18"/>
                    </w:rPr>
                    <w:t>橡胶制品生产项目</w:t>
                  </w:r>
                </w:p>
              </w:tc>
            </w:tr>
            <w:tr w14:paraId="4465C42E">
              <w:trPr>
                <w:trHeight w:val="340" w:hRule="atLeast"/>
                <w:jc w:val="center"/>
              </w:trPr>
              <w:tc>
                <w:tcPr>
                  <w:tcW w:w="515" w:type="pct"/>
                  <w:vMerge w:val="continue"/>
                  <w:vAlign w:val="center"/>
                </w:tcPr>
                <w:p w14:paraId="748E5AAA">
                  <w:pPr>
                    <w:spacing w:line="240" w:lineRule="auto"/>
                    <w:ind w:left="24" w:leftChars="10" w:right="24" w:rightChars="10" w:firstLine="0" w:firstLineChars="0"/>
                    <w:jc w:val="center"/>
                    <w:rPr>
                      <w:rFonts w:cs="Times New Roman"/>
                      <w:sz w:val="18"/>
                    </w:rPr>
                  </w:pPr>
                </w:p>
              </w:tc>
              <w:tc>
                <w:tcPr>
                  <w:tcW w:w="457" w:type="pct"/>
                  <w:vMerge w:val="continue"/>
                  <w:vAlign w:val="center"/>
                </w:tcPr>
                <w:p w14:paraId="14392CB6">
                  <w:pPr>
                    <w:spacing w:line="240" w:lineRule="auto"/>
                    <w:ind w:left="24" w:leftChars="10" w:right="24" w:rightChars="10" w:firstLine="0" w:firstLineChars="0"/>
                    <w:jc w:val="center"/>
                    <w:rPr>
                      <w:rFonts w:cs="Times New Roman"/>
                      <w:sz w:val="18"/>
                    </w:rPr>
                  </w:pPr>
                </w:p>
              </w:tc>
              <w:tc>
                <w:tcPr>
                  <w:tcW w:w="659" w:type="pct"/>
                  <w:vMerge w:val="continue"/>
                  <w:vAlign w:val="center"/>
                </w:tcPr>
                <w:p w14:paraId="70750CD1">
                  <w:pPr>
                    <w:spacing w:line="240" w:lineRule="auto"/>
                    <w:ind w:left="24" w:leftChars="10" w:right="24" w:rightChars="10" w:firstLine="0" w:firstLineChars="0"/>
                    <w:jc w:val="center"/>
                    <w:rPr>
                      <w:rFonts w:cs="Times New Roman"/>
                      <w:sz w:val="18"/>
                    </w:rPr>
                  </w:pPr>
                </w:p>
              </w:tc>
              <w:tc>
                <w:tcPr>
                  <w:tcW w:w="773" w:type="pct"/>
                  <w:vAlign w:val="center"/>
                </w:tcPr>
                <w:p w14:paraId="5579B1CC">
                  <w:pPr>
                    <w:spacing w:line="240" w:lineRule="auto"/>
                    <w:ind w:left="24" w:leftChars="10" w:right="24" w:rightChars="10" w:firstLine="0" w:firstLineChars="0"/>
                    <w:jc w:val="center"/>
                    <w:rPr>
                      <w:rFonts w:cs="Times New Roman"/>
                      <w:sz w:val="18"/>
                    </w:rPr>
                  </w:pPr>
                  <w:r>
                    <w:rPr>
                      <w:rFonts w:hint="eastAsia" w:cs="Times New Roman"/>
                      <w:sz w:val="18"/>
                    </w:rPr>
                    <w:t>塑料制品制造</w:t>
                  </w:r>
                </w:p>
              </w:tc>
              <w:tc>
                <w:tcPr>
                  <w:tcW w:w="1225" w:type="pct"/>
                  <w:vAlign w:val="center"/>
                </w:tcPr>
                <w:p w14:paraId="38A6D353">
                  <w:pPr>
                    <w:spacing w:line="240" w:lineRule="auto"/>
                    <w:ind w:left="24" w:leftChars="10" w:right="24" w:rightChars="10" w:firstLine="0" w:firstLineChars="0"/>
                    <w:jc w:val="center"/>
                    <w:rPr>
                      <w:rFonts w:cs="Times New Roman"/>
                      <w:sz w:val="18"/>
                    </w:rPr>
                  </w:pPr>
                  <w:r>
                    <w:rPr>
                      <w:rFonts w:hint="eastAsia" w:cs="Times New Roman"/>
                      <w:sz w:val="18"/>
                    </w:rPr>
                    <w:t>/</w:t>
                  </w:r>
                </w:p>
              </w:tc>
              <w:tc>
                <w:tcPr>
                  <w:tcW w:w="1368" w:type="pct"/>
                  <w:vAlign w:val="center"/>
                </w:tcPr>
                <w:p w14:paraId="7305E66C">
                  <w:pPr>
                    <w:spacing w:line="240" w:lineRule="auto"/>
                    <w:ind w:left="24" w:leftChars="10" w:right="24" w:rightChars="10" w:firstLine="0" w:firstLineChars="0"/>
                    <w:jc w:val="center"/>
                    <w:rPr>
                      <w:rFonts w:cs="Times New Roman"/>
                      <w:sz w:val="18"/>
                    </w:rPr>
                  </w:pPr>
                  <w:r>
                    <w:rPr>
                      <w:rFonts w:hint="eastAsia" w:cs="Times New Roman"/>
                      <w:sz w:val="18"/>
                    </w:rPr>
                    <w:t>1、超薄型(厚度低于0.025mm)塑料袋生产项目2、聚氯乙烯食品保鲜包装膜生产项目3、不可降解的一次性塑料制品项目</w:t>
                  </w:r>
                </w:p>
              </w:tc>
            </w:tr>
            <w:tr w14:paraId="65A22307">
              <w:trPr>
                <w:trHeight w:val="340" w:hRule="atLeast"/>
                <w:jc w:val="center"/>
              </w:trPr>
              <w:tc>
                <w:tcPr>
                  <w:tcW w:w="515" w:type="pct"/>
                  <w:vMerge w:val="continue"/>
                  <w:vAlign w:val="center"/>
                </w:tcPr>
                <w:p w14:paraId="0F23F7CC">
                  <w:pPr>
                    <w:spacing w:line="240" w:lineRule="auto"/>
                    <w:ind w:left="24" w:leftChars="10" w:right="24" w:rightChars="10" w:firstLine="0" w:firstLineChars="0"/>
                    <w:jc w:val="center"/>
                    <w:rPr>
                      <w:rFonts w:cs="Times New Roman"/>
                      <w:sz w:val="18"/>
                    </w:rPr>
                  </w:pPr>
                </w:p>
              </w:tc>
              <w:tc>
                <w:tcPr>
                  <w:tcW w:w="457" w:type="pct"/>
                  <w:vMerge w:val="restart"/>
                  <w:vAlign w:val="center"/>
                </w:tcPr>
                <w:p w14:paraId="71E613D7">
                  <w:pPr>
                    <w:spacing w:line="240" w:lineRule="auto"/>
                    <w:ind w:left="24" w:leftChars="10" w:right="24" w:rightChars="10" w:firstLine="0" w:firstLineChars="0"/>
                    <w:jc w:val="center"/>
                    <w:outlineLvl w:val="1"/>
                    <w:rPr>
                      <w:rFonts w:cs="Times New Roman"/>
                      <w:sz w:val="18"/>
                    </w:rPr>
                  </w:pPr>
                  <w:r>
                    <w:rPr>
                      <w:rFonts w:hint="eastAsia" w:cs="Times New Roman"/>
                      <w:sz w:val="18"/>
                    </w:rPr>
                    <w:t>限制准入类</w:t>
                  </w:r>
                </w:p>
              </w:tc>
              <w:tc>
                <w:tcPr>
                  <w:tcW w:w="659" w:type="pct"/>
                  <w:vMerge w:val="restart"/>
                  <w:vAlign w:val="center"/>
                </w:tcPr>
                <w:p w14:paraId="22940AEE">
                  <w:pPr>
                    <w:spacing w:line="240" w:lineRule="auto"/>
                    <w:ind w:left="24" w:leftChars="10" w:right="24" w:rightChars="10" w:firstLine="0" w:firstLineChars="0"/>
                    <w:jc w:val="center"/>
                    <w:rPr>
                      <w:rFonts w:cs="Times New Roman"/>
                      <w:sz w:val="18"/>
                    </w:rPr>
                  </w:pPr>
                  <w:r>
                    <w:rPr>
                      <w:rFonts w:hint="eastAsia" w:cs="Times New Roman"/>
                      <w:sz w:val="18"/>
                    </w:rPr>
                    <w:t>橡胶和塑料制品业</w:t>
                  </w:r>
                </w:p>
              </w:tc>
              <w:tc>
                <w:tcPr>
                  <w:tcW w:w="773" w:type="pct"/>
                  <w:vAlign w:val="center"/>
                </w:tcPr>
                <w:p w14:paraId="24740EA0">
                  <w:pPr>
                    <w:spacing w:line="240" w:lineRule="auto"/>
                    <w:ind w:left="24" w:leftChars="10" w:right="24" w:rightChars="10" w:firstLine="0" w:firstLineChars="0"/>
                    <w:jc w:val="center"/>
                    <w:rPr>
                      <w:rFonts w:cs="Times New Roman"/>
                      <w:sz w:val="18"/>
                    </w:rPr>
                  </w:pPr>
                  <w:r>
                    <w:rPr>
                      <w:rFonts w:hint="eastAsia" w:cs="Times New Roman"/>
                      <w:sz w:val="18"/>
                    </w:rPr>
                    <w:t>橡胶制品业</w:t>
                  </w:r>
                </w:p>
              </w:tc>
              <w:tc>
                <w:tcPr>
                  <w:tcW w:w="1225" w:type="pct"/>
                  <w:vAlign w:val="center"/>
                </w:tcPr>
                <w:p w14:paraId="1361D284">
                  <w:pPr>
                    <w:spacing w:line="240" w:lineRule="auto"/>
                    <w:ind w:left="24" w:leftChars="10" w:right="24" w:rightChars="10" w:firstLine="0" w:firstLineChars="0"/>
                    <w:jc w:val="center"/>
                    <w:rPr>
                      <w:rFonts w:cs="Times New Roman"/>
                      <w:sz w:val="18"/>
                    </w:rPr>
                  </w:pPr>
                  <w:r>
                    <w:rPr>
                      <w:rFonts w:hint="eastAsia" w:cs="Times New Roman"/>
                      <w:sz w:val="18"/>
                    </w:rPr>
                    <w:t>全部</w:t>
                  </w:r>
                </w:p>
              </w:tc>
              <w:tc>
                <w:tcPr>
                  <w:tcW w:w="1368" w:type="pct"/>
                  <w:vAlign w:val="center"/>
                </w:tcPr>
                <w:p w14:paraId="2AD5C2E2">
                  <w:pPr>
                    <w:spacing w:line="240" w:lineRule="auto"/>
                    <w:ind w:left="24" w:leftChars="10" w:right="24" w:rightChars="10" w:firstLine="0" w:firstLineChars="0"/>
                    <w:jc w:val="center"/>
                    <w:rPr>
                      <w:rFonts w:cs="Times New Roman"/>
                      <w:sz w:val="18"/>
                    </w:rPr>
                  </w:pPr>
                  <w:r>
                    <w:rPr>
                      <w:rFonts w:hint="eastAsia" w:cs="Times New Roman"/>
                      <w:sz w:val="18"/>
                    </w:rPr>
                    <w:t>全部</w:t>
                  </w:r>
                </w:p>
              </w:tc>
            </w:tr>
            <w:tr w14:paraId="75F839A0">
              <w:trPr>
                <w:trHeight w:val="340" w:hRule="atLeast"/>
                <w:jc w:val="center"/>
              </w:trPr>
              <w:tc>
                <w:tcPr>
                  <w:tcW w:w="515" w:type="pct"/>
                  <w:vMerge w:val="continue"/>
                  <w:vAlign w:val="center"/>
                </w:tcPr>
                <w:p w14:paraId="1826B5F6">
                  <w:pPr>
                    <w:spacing w:line="240" w:lineRule="auto"/>
                    <w:ind w:left="24" w:leftChars="10" w:right="24" w:rightChars="10" w:firstLine="0" w:firstLineChars="0"/>
                    <w:jc w:val="center"/>
                    <w:rPr>
                      <w:rFonts w:cs="Times New Roman"/>
                      <w:sz w:val="18"/>
                    </w:rPr>
                  </w:pPr>
                </w:p>
              </w:tc>
              <w:tc>
                <w:tcPr>
                  <w:tcW w:w="457" w:type="pct"/>
                  <w:vMerge w:val="continue"/>
                  <w:vAlign w:val="center"/>
                </w:tcPr>
                <w:p w14:paraId="201F5FDB">
                  <w:pPr>
                    <w:spacing w:line="240" w:lineRule="auto"/>
                    <w:ind w:left="24" w:leftChars="10" w:right="24" w:rightChars="10" w:firstLine="0" w:firstLineChars="0"/>
                    <w:jc w:val="center"/>
                    <w:rPr>
                      <w:rFonts w:cs="Times New Roman"/>
                      <w:sz w:val="18"/>
                    </w:rPr>
                  </w:pPr>
                </w:p>
              </w:tc>
              <w:tc>
                <w:tcPr>
                  <w:tcW w:w="659" w:type="pct"/>
                  <w:vMerge w:val="continue"/>
                  <w:vAlign w:val="center"/>
                </w:tcPr>
                <w:p w14:paraId="6EAD24F4">
                  <w:pPr>
                    <w:spacing w:line="240" w:lineRule="auto"/>
                    <w:ind w:left="24" w:leftChars="10" w:right="24" w:rightChars="10" w:firstLine="0" w:firstLineChars="0"/>
                    <w:jc w:val="center"/>
                    <w:rPr>
                      <w:rFonts w:cs="Times New Roman"/>
                      <w:sz w:val="18"/>
                    </w:rPr>
                  </w:pPr>
                </w:p>
              </w:tc>
              <w:tc>
                <w:tcPr>
                  <w:tcW w:w="773" w:type="pct"/>
                  <w:vAlign w:val="center"/>
                </w:tcPr>
                <w:p w14:paraId="036FA107">
                  <w:pPr>
                    <w:spacing w:line="240" w:lineRule="auto"/>
                    <w:ind w:left="24" w:leftChars="10" w:right="24" w:rightChars="10" w:firstLine="0" w:firstLineChars="0"/>
                    <w:jc w:val="center"/>
                    <w:rPr>
                      <w:rFonts w:cs="Times New Roman"/>
                      <w:sz w:val="18"/>
                    </w:rPr>
                  </w:pPr>
                  <w:r>
                    <w:rPr>
                      <w:rFonts w:hint="eastAsia" w:cs="Times New Roman"/>
                      <w:sz w:val="18"/>
                    </w:rPr>
                    <w:t>塑料制品制造</w:t>
                  </w:r>
                </w:p>
              </w:tc>
              <w:tc>
                <w:tcPr>
                  <w:tcW w:w="1225" w:type="pct"/>
                  <w:vAlign w:val="center"/>
                </w:tcPr>
                <w:p w14:paraId="6C812ABC">
                  <w:pPr>
                    <w:spacing w:line="240" w:lineRule="auto"/>
                    <w:ind w:left="24" w:leftChars="10" w:right="24" w:rightChars="10" w:firstLine="0" w:firstLineChars="0"/>
                    <w:jc w:val="center"/>
                    <w:rPr>
                      <w:rFonts w:cs="Times New Roman"/>
                      <w:sz w:val="18"/>
                    </w:rPr>
                  </w:pPr>
                  <w:r>
                    <w:rPr>
                      <w:rFonts w:hint="eastAsia" w:cs="Times New Roman"/>
                      <w:sz w:val="18"/>
                    </w:rPr>
                    <w:t>人造革、发泡胶等涉及有毒原材料的；有电镀工艺的</w:t>
                  </w:r>
                </w:p>
              </w:tc>
              <w:tc>
                <w:tcPr>
                  <w:tcW w:w="1368" w:type="pct"/>
                  <w:vAlign w:val="center"/>
                </w:tcPr>
                <w:p w14:paraId="32515A0C">
                  <w:pPr>
                    <w:spacing w:line="240" w:lineRule="auto"/>
                    <w:ind w:left="24" w:leftChars="10" w:right="24" w:rightChars="10" w:firstLine="0" w:firstLineChars="0"/>
                    <w:jc w:val="center"/>
                    <w:rPr>
                      <w:rFonts w:cs="Times New Roman"/>
                      <w:sz w:val="18"/>
                    </w:rPr>
                  </w:pPr>
                  <w:r>
                    <w:rPr>
                      <w:rFonts w:hint="eastAsia" w:cs="Times New Roman"/>
                      <w:sz w:val="18"/>
                    </w:rPr>
                    <w:t>纯挤塑、注塑加工建设项目</w:t>
                  </w:r>
                </w:p>
              </w:tc>
            </w:tr>
          </w:tbl>
          <w:p w14:paraId="4EC7A2F7">
            <w:pPr>
              <w:ind w:firstLine="480"/>
              <w:jc w:val="both"/>
              <w:rPr>
                <w:szCs w:val="24"/>
              </w:rPr>
            </w:pPr>
            <w:r>
              <w:rPr>
                <w:rFonts w:hint="eastAsia"/>
                <w:szCs w:val="24"/>
              </w:rPr>
              <w:t>符合性分析：本项目为C2929 塑料零件及其他塑料制品制造业，采用挤出、注塑生产工艺生产塑料粒子，但本项目实施后，对原有老旧设备进行更新淘汰，设备自动化程度得到提升，可确保本项目三废排放可以稳定达标。对照环境准入负面清单，本项目不属于禁止类准入项目，属于限制类准入项目，根据《浙江余杭经济开发区管委会投资促进处和产业发展处联审会议纪要》同意本项目实施，本项目建成后不新增现有工程塑料产品产能，故本项目符合环境准入负面清单中的相关要求。</w:t>
            </w:r>
          </w:p>
          <w:p w14:paraId="5BC3B0AD">
            <w:pPr>
              <w:ind w:firstLine="480"/>
              <w:jc w:val="both"/>
            </w:pPr>
            <w:r>
              <w:rPr>
                <w:rFonts w:hint="eastAsia"/>
                <w:szCs w:val="24"/>
              </w:rPr>
              <w:t>综上所述，本项目符合原《仁和先进制造业基地总体规划(2012-2030)补充环境影响报告书》《仁和先进制造业基地总体规划(2012-2030)环境影响报告书“六张清单”修订说明》中相关要求。</w:t>
            </w:r>
          </w:p>
        </w:tc>
      </w:tr>
    </w:tbl>
    <w:p w14:paraId="0FA66A92">
      <w:pPr>
        <w:spacing w:line="240" w:lineRule="auto"/>
        <w:ind w:firstLine="0" w:firstLineChars="0"/>
        <w:rPr>
          <w:sz w:val="18"/>
        </w:rPr>
        <w:sectPr>
          <w:pgSz w:w="16838" w:h="11906" w:orient="landscape"/>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2713"/>
      </w:tblGrid>
      <w:tr w14:paraId="730B5F03">
        <w:tc>
          <w:tcPr>
            <w:tcW w:w="774" w:type="dxa"/>
            <w:vAlign w:val="center"/>
          </w:tcPr>
          <w:p w14:paraId="7E530EDE">
            <w:pPr>
              <w:ind w:firstLine="0" w:firstLineChars="0"/>
              <w:jc w:val="center"/>
            </w:pPr>
          </w:p>
        </w:tc>
        <w:tc>
          <w:tcPr>
            <w:tcW w:w="13400" w:type="dxa"/>
          </w:tcPr>
          <w:p w14:paraId="536E64D1">
            <w:pPr>
              <w:ind w:firstLine="480"/>
              <w:jc w:val="both"/>
              <w:rPr>
                <w:rFonts w:cs="Times New Roman"/>
                <w:szCs w:val="24"/>
              </w:rPr>
            </w:pPr>
            <w:r>
              <w:rPr>
                <w:rFonts w:hint="eastAsia" w:cs="Times New Roman"/>
                <w:szCs w:val="24"/>
              </w:rPr>
              <w:t>3、仁和先进制造业基地（暂定名）总体规划（2012-2030）环境影响报告书审查意见及仁和先进制造业基地（暂定名）总体规划（2012-2030）调整环境影响补充报告审查意见符合性分析</w:t>
            </w:r>
          </w:p>
          <w:p w14:paraId="4D1E7DAB">
            <w:pPr>
              <w:ind w:firstLine="480"/>
              <w:jc w:val="both"/>
              <w:rPr>
                <w:rFonts w:cs="Times New Roman"/>
                <w:szCs w:val="24"/>
              </w:rPr>
            </w:pPr>
            <w:r>
              <w:rPr>
                <w:rFonts w:cs="Times New Roman"/>
                <w:szCs w:val="24"/>
              </w:rPr>
              <w:t>根据《关于仁和先进制造业基地（暂定名）总体规划（2012-2030）环境影响报告书审查意见的函》（余环函[2014]4号）和《仁和先进制造业基地（暂定名）总体规划（2012-2030）调整环境影响补充报告审查意见的函》（余环函[2016]1号），项目与其相符性见表1-6。</w:t>
            </w:r>
          </w:p>
          <w:p w14:paraId="25C7D77F">
            <w:pPr>
              <w:pStyle w:val="14"/>
              <w:spacing w:before="156"/>
            </w:pPr>
            <w:r>
              <w:t xml:space="preserve">  规划环评审查意见相符性分析情况一览表</w:t>
            </w:r>
          </w:p>
          <w:tbl>
            <w:tblPr>
              <w:tblStyle w:val="1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558"/>
              <w:gridCol w:w="3764"/>
              <w:gridCol w:w="1158"/>
            </w:tblGrid>
            <w:tr w14:paraId="5874DC14">
              <w:trPr>
                <w:trHeight w:val="340" w:hRule="atLeast"/>
                <w:jc w:val="center"/>
              </w:trPr>
              <w:tc>
                <w:tcPr>
                  <w:tcW w:w="3028" w:type="pct"/>
                  <w:vAlign w:val="center"/>
                </w:tcPr>
                <w:p w14:paraId="7EA2FCD3">
                  <w:pPr>
                    <w:spacing w:line="240" w:lineRule="auto"/>
                    <w:ind w:left="24" w:leftChars="10" w:right="24" w:rightChars="10" w:firstLine="0" w:firstLineChars="0"/>
                    <w:jc w:val="center"/>
                    <w:outlineLvl w:val="1"/>
                    <w:rPr>
                      <w:rFonts w:cs="Times New Roman"/>
                      <w:sz w:val="18"/>
                    </w:rPr>
                  </w:pPr>
                  <w:r>
                    <w:rPr>
                      <w:rFonts w:hint="eastAsia" w:cs="Times New Roman"/>
                      <w:sz w:val="18"/>
                    </w:rPr>
                    <w:t>审查意见</w:t>
                  </w:r>
                </w:p>
              </w:tc>
              <w:tc>
                <w:tcPr>
                  <w:tcW w:w="1508" w:type="pct"/>
                  <w:vAlign w:val="center"/>
                </w:tcPr>
                <w:p w14:paraId="4DCA14C0">
                  <w:pPr>
                    <w:spacing w:line="240" w:lineRule="auto"/>
                    <w:ind w:left="24" w:leftChars="10" w:right="24" w:rightChars="10" w:firstLine="0" w:firstLineChars="0"/>
                    <w:jc w:val="center"/>
                    <w:outlineLvl w:val="1"/>
                    <w:rPr>
                      <w:rFonts w:cs="Times New Roman"/>
                      <w:sz w:val="18"/>
                    </w:rPr>
                  </w:pPr>
                  <w:r>
                    <w:rPr>
                      <w:rFonts w:hint="eastAsia" w:cs="Times New Roman"/>
                      <w:sz w:val="18"/>
                    </w:rPr>
                    <w:t>本项目</w:t>
                  </w:r>
                </w:p>
              </w:tc>
              <w:tc>
                <w:tcPr>
                  <w:tcW w:w="463" w:type="pct"/>
                  <w:vAlign w:val="center"/>
                </w:tcPr>
                <w:p w14:paraId="5C8AEB61">
                  <w:pPr>
                    <w:spacing w:line="240" w:lineRule="auto"/>
                    <w:ind w:left="24" w:leftChars="10" w:right="24" w:rightChars="10" w:firstLine="0" w:firstLineChars="0"/>
                    <w:jc w:val="center"/>
                    <w:outlineLvl w:val="1"/>
                    <w:rPr>
                      <w:rFonts w:cs="Times New Roman"/>
                      <w:sz w:val="18"/>
                    </w:rPr>
                  </w:pPr>
                  <w:r>
                    <w:rPr>
                      <w:rFonts w:hint="eastAsia" w:cs="Times New Roman"/>
                      <w:sz w:val="18"/>
                    </w:rPr>
                    <w:t>符合性分析</w:t>
                  </w:r>
                </w:p>
              </w:tc>
            </w:tr>
            <w:tr w14:paraId="7A40BA10">
              <w:trPr>
                <w:trHeight w:val="340" w:hRule="atLeast"/>
                <w:jc w:val="center"/>
              </w:trPr>
              <w:tc>
                <w:tcPr>
                  <w:tcW w:w="3028" w:type="pct"/>
                  <w:vAlign w:val="center"/>
                </w:tcPr>
                <w:p w14:paraId="162BBE10">
                  <w:pPr>
                    <w:spacing w:line="240" w:lineRule="auto"/>
                    <w:ind w:left="24" w:leftChars="10" w:right="24" w:rightChars="10" w:firstLine="0" w:firstLineChars="0"/>
                    <w:jc w:val="both"/>
                    <w:rPr>
                      <w:rFonts w:cs="Times New Roman"/>
                      <w:sz w:val="18"/>
                    </w:rPr>
                  </w:pPr>
                  <w:r>
                    <w:rPr>
                      <w:rFonts w:cs="Times New Roman"/>
                      <w:sz w:val="18"/>
                    </w:rPr>
                    <w:t>进一步优化空间和规划布局。应合理规划居民住宅区、公共服务设施和商业网点等的建设。基地近期开发区域西面紧邻东苕溪饮用水源一级、二级保护区，须做好水源保护和风险防范措施。规划区域内良獐线等六级(含六级)以下内河航道禁止货运，以减少对饮用水源地的安全隐患。同时规划的实施须符合国家土地政策要求和其他上位规划要求。</w:t>
                  </w:r>
                </w:p>
              </w:tc>
              <w:tc>
                <w:tcPr>
                  <w:tcW w:w="1508" w:type="pct"/>
                  <w:vAlign w:val="center"/>
                </w:tcPr>
                <w:p w14:paraId="27273AA4">
                  <w:pPr>
                    <w:spacing w:line="240" w:lineRule="auto"/>
                    <w:ind w:left="24" w:leftChars="10" w:right="24" w:rightChars="10" w:firstLine="0" w:firstLineChars="0"/>
                    <w:jc w:val="both"/>
                    <w:rPr>
                      <w:rFonts w:cs="Times New Roman"/>
                      <w:sz w:val="18"/>
                    </w:rPr>
                  </w:pPr>
                  <w:r>
                    <w:rPr>
                      <w:rFonts w:cs="Times New Roman"/>
                      <w:sz w:val="18"/>
                    </w:rPr>
                    <w:t>根据</w:t>
                  </w:r>
                  <w:r>
                    <w:rPr>
                      <w:rFonts w:hint="eastAsia" w:cs="Times New Roman"/>
                      <w:sz w:val="18"/>
                    </w:rPr>
                    <w:t>《余杭区钱开区单元（YH02）详细规划》及国土空间规划</w:t>
                  </w:r>
                  <w:r>
                    <w:rPr>
                      <w:rFonts w:cs="Times New Roman"/>
                      <w:sz w:val="18"/>
                    </w:rPr>
                    <w:t>，</w:t>
                  </w:r>
                  <w:r>
                    <w:rPr>
                      <w:rFonts w:hint="eastAsia" w:cs="Times New Roman"/>
                      <w:sz w:val="18"/>
                    </w:rPr>
                    <w:t>本项目</w:t>
                  </w:r>
                  <w:r>
                    <w:rPr>
                      <w:rFonts w:cs="Times New Roman"/>
                      <w:sz w:val="18"/>
                    </w:rPr>
                    <w:t>用地性质属于工业用地。与敏感点之间设置绿化隔离带</w:t>
                  </w:r>
                  <w:r>
                    <w:rPr>
                      <w:rFonts w:hint="eastAsia" w:cs="Times New Roman"/>
                      <w:sz w:val="18"/>
                    </w:rPr>
                    <w:t>，项目周边不涉及</w:t>
                  </w:r>
                  <w:r>
                    <w:rPr>
                      <w:rFonts w:cs="Times New Roman"/>
                      <w:sz w:val="18"/>
                    </w:rPr>
                    <w:t>饮用水源</w:t>
                  </w:r>
                  <w:r>
                    <w:rPr>
                      <w:rFonts w:hint="eastAsia" w:cs="Times New Roman"/>
                      <w:sz w:val="18"/>
                    </w:rPr>
                    <w:t>保护区</w:t>
                  </w:r>
                  <w:r>
                    <w:rPr>
                      <w:rFonts w:cs="Times New Roman"/>
                      <w:sz w:val="18"/>
                    </w:rPr>
                    <w:t>。</w:t>
                  </w:r>
                </w:p>
              </w:tc>
              <w:tc>
                <w:tcPr>
                  <w:tcW w:w="463" w:type="pct"/>
                  <w:vAlign w:val="center"/>
                </w:tcPr>
                <w:p w14:paraId="27015C5A">
                  <w:pPr>
                    <w:spacing w:line="240" w:lineRule="auto"/>
                    <w:ind w:left="24" w:leftChars="10" w:right="24" w:rightChars="10" w:firstLine="0" w:firstLineChars="0"/>
                    <w:jc w:val="center"/>
                    <w:rPr>
                      <w:rFonts w:cs="Times New Roman"/>
                      <w:sz w:val="18"/>
                    </w:rPr>
                  </w:pPr>
                  <w:r>
                    <w:rPr>
                      <w:rFonts w:hint="eastAsia" w:cs="Times New Roman"/>
                      <w:sz w:val="18"/>
                    </w:rPr>
                    <w:t>符合</w:t>
                  </w:r>
                </w:p>
              </w:tc>
            </w:tr>
            <w:tr w14:paraId="6C5F98BD">
              <w:trPr>
                <w:trHeight w:val="340" w:hRule="atLeast"/>
                <w:jc w:val="center"/>
              </w:trPr>
              <w:tc>
                <w:tcPr>
                  <w:tcW w:w="3028" w:type="pct"/>
                  <w:vAlign w:val="center"/>
                </w:tcPr>
                <w:p w14:paraId="202F020F">
                  <w:pPr>
                    <w:spacing w:line="240" w:lineRule="auto"/>
                    <w:ind w:left="24" w:leftChars="10" w:right="24" w:rightChars="10" w:firstLine="0" w:firstLineChars="0"/>
                    <w:jc w:val="both"/>
                    <w:rPr>
                      <w:rFonts w:cs="Times New Roman"/>
                      <w:sz w:val="18"/>
                    </w:rPr>
                  </w:pPr>
                  <w:r>
                    <w:rPr>
                      <w:rFonts w:cs="Times New Roman"/>
                      <w:sz w:val="18"/>
                    </w:rPr>
                    <w:t>强化产业转型升级。严格项目环境准入，严格执行规划环评中提出的产业导向目录，并符合各级产业导向目录要求。推进区域内现有污染较大的电镀、印染类企业采用先进生产工艺和生产设备，实行清洁生产，尽可能减少企业生产过程中各类污染物的排放，对现有三类企业进行优化升级或者提升整治。</w:t>
                  </w:r>
                </w:p>
              </w:tc>
              <w:tc>
                <w:tcPr>
                  <w:tcW w:w="1508" w:type="pct"/>
                  <w:vAlign w:val="center"/>
                </w:tcPr>
                <w:p w14:paraId="466EB1DF">
                  <w:pPr>
                    <w:spacing w:line="240" w:lineRule="auto"/>
                    <w:ind w:left="24" w:leftChars="10" w:right="24" w:rightChars="10" w:firstLine="0" w:firstLineChars="0"/>
                    <w:jc w:val="both"/>
                    <w:rPr>
                      <w:rFonts w:cs="Times New Roman"/>
                      <w:sz w:val="18"/>
                    </w:rPr>
                  </w:pPr>
                  <w:r>
                    <w:rPr>
                      <w:rFonts w:cs="Times New Roman"/>
                      <w:sz w:val="18"/>
                    </w:rPr>
                    <w:t>本项目符合环境准入清单，不在规划环评中产业导向目录中的禁止发展类目中。不属于电镀、印染类等三类企业，并按要求进行清洁生产。</w:t>
                  </w:r>
                </w:p>
              </w:tc>
              <w:tc>
                <w:tcPr>
                  <w:tcW w:w="463" w:type="pct"/>
                  <w:vAlign w:val="center"/>
                </w:tcPr>
                <w:p w14:paraId="1FAA893C">
                  <w:pPr>
                    <w:spacing w:line="240" w:lineRule="auto"/>
                    <w:ind w:left="24" w:leftChars="10" w:right="24" w:rightChars="10" w:firstLine="0" w:firstLineChars="0"/>
                    <w:jc w:val="center"/>
                    <w:rPr>
                      <w:rFonts w:cs="Times New Roman"/>
                      <w:sz w:val="18"/>
                    </w:rPr>
                  </w:pPr>
                  <w:r>
                    <w:rPr>
                      <w:rFonts w:hint="eastAsia" w:cs="Times New Roman"/>
                      <w:sz w:val="18"/>
                    </w:rPr>
                    <w:t>符合</w:t>
                  </w:r>
                </w:p>
              </w:tc>
            </w:tr>
            <w:tr w14:paraId="4429D95E">
              <w:trPr>
                <w:trHeight w:val="340" w:hRule="atLeast"/>
                <w:jc w:val="center"/>
              </w:trPr>
              <w:tc>
                <w:tcPr>
                  <w:tcW w:w="3028" w:type="pct"/>
                  <w:vAlign w:val="center"/>
                </w:tcPr>
                <w:p w14:paraId="2A73719D">
                  <w:pPr>
                    <w:spacing w:line="240" w:lineRule="auto"/>
                    <w:ind w:left="24" w:leftChars="10" w:right="24" w:rightChars="10" w:firstLine="0" w:firstLineChars="0"/>
                    <w:jc w:val="both"/>
                    <w:rPr>
                      <w:rFonts w:cs="Times New Roman"/>
                      <w:sz w:val="18"/>
                    </w:rPr>
                  </w:pPr>
                  <w:r>
                    <w:rPr>
                      <w:rFonts w:cs="Times New Roman"/>
                      <w:sz w:val="18"/>
                    </w:rPr>
                    <w:t>严格落实污染物总量控制要求。区域应以天然气作为主要能源，大力强化基地内企业的无组织排放控制，建立区内VOCs排放清单申报管理制度，对企业无组织排放建立相应环保制度进行源削减，提升VOCs控制水平，削减排放量。</w:t>
                  </w:r>
                </w:p>
              </w:tc>
              <w:tc>
                <w:tcPr>
                  <w:tcW w:w="1508" w:type="pct"/>
                  <w:vAlign w:val="center"/>
                </w:tcPr>
                <w:p w14:paraId="29DA5DB1">
                  <w:pPr>
                    <w:spacing w:line="240" w:lineRule="auto"/>
                    <w:ind w:left="24" w:leftChars="10" w:right="24" w:rightChars="10" w:firstLine="0" w:firstLineChars="0"/>
                    <w:jc w:val="both"/>
                    <w:rPr>
                      <w:rFonts w:cs="Times New Roman"/>
                      <w:sz w:val="18"/>
                    </w:rPr>
                  </w:pPr>
                  <w:r>
                    <w:rPr>
                      <w:rFonts w:cs="Times New Roman"/>
                      <w:sz w:val="18"/>
                    </w:rPr>
                    <w:t>项目严格落实污染物总量控制要求，使用清洁能源，废气经收集处理后均能达标排放。</w:t>
                  </w:r>
                </w:p>
              </w:tc>
              <w:tc>
                <w:tcPr>
                  <w:tcW w:w="463" w:type="pct"/>
                  <w:vAlign w:val="center"/>
                </w:tcPr>
                <w:p w14:paraId="394917FB">
                  <w:pPr>
                    <w:spacing w:line="240" w:lineRule="auto"/>
                    <w:ind w:left="24" w:leftChars="10" w:right="24" w:rightChars="10" w:firstLine="0" w:firstLineChars="0"/>
                    <w:jc w:val="center"/>
                    <w:rPr>
                      <w:rFonts w:cs="Times New Roman"/>
                      <w:sz w:val="18"/>
                    </w:rPr>
                  </w:pPr>
                  <w:r>
                    <w:rPr>
                      <w:rFonts w:hint="eastAsia" w:cs="Times New Roman"/>
                      <w:sz w:val="18"/>
                    </w:rPr>
                    <w:t>符合</w:t>
                  </w:r>
                </w:p>
              </w:tc>
            </w:tr>
            <w:tr w14:paraId="774BA1C1">
              <w:trPr>
                <w:trHeight w:val="340" w:hRule="atLeast"/>
                <w:jc w:val="center"/>
              </w:trPr>
              <w:tc>
                <w:tcPr>
                  <w:tcW w:w="3028" w:type="pct"/>
                  <w:vAlign w:val="center"/>
                </w:tcPr>
                <w:p w14:paraId="1484B52E">
                  <w:pPr>
                    <w:spacing w:line="240" w:lineRule="auto"/>
                    <w:ind w:left="24" w:leftChars="10" w:right="24" w:rightChars="10" w:firstLine="0" w:firstLineChars="0"/>
                    <w:jc w:val="both"/>
                    <w:rPr>
                      <w:rFonts w:cs="Times New Roman"/>
                      <w:sz w:val="18"/>
                    </w:rPr>
                  </w:pPr>
                  <w:r>
                    <w:rPr>
                      <w:rFonts w:cs="Times New Roman"/>
                      <w:sz w:val="18"/>
                    </w:rPr>
                    <w:t>进一步深化污染整治，完善环境基础设施建设。严格实施清污分流、雨污分流，加快仁和北产业发展片区的配套污水管网等基础设施的建设，确保工业废水达标纳管排放，提高生活污水截污率，改善区域地表水环境质量;开展河道综合整治;加强农业面源污染防治;加快基地内其他区块的现有企业自备燃煤锅炉的治理工作，逐步实施煤改气工程</w:t>
                  </w:r>
                  <w:r>
                    <w:rPr>
                      <w:rFonts w:hint="eastAsia" w:cs="Times New Roman"/>
                      <w:sz w:val="18"/>
                    </w:rPr>
                    <w:t>；</w:t>
                  </w:r>
                  <w:r>
                    <w:rPr>
                      <w:rFonts w:cs="Times New Roman"/>
                      <w:sz w:val="18"/>
                    </w:rPr>
                    <w:t>区内企业应尽可能实施固废综合利用，对不具有综合利用价值的危险废物必须委托有资质单位实施集中处理，固体废物安全处置率达100%。</w:t>
                  </w:r>
                </w:p>
              </w:tc>
              <w:tc>
                <w:tcPr>
                  <w:tcW w:w="1508" w:type="pct"/>
                  <w:vAlign w:val="center"/>
                </w:tcPr>
                <w:p w14:paraId="42276ADF">
                  <w:pPr>
                    <w:spacing w:line="240" w:lineRule="auto"/>
                    <w:ind w:left="24" w:leftChars="10" w:right="24" w:rightChars="10" w:firstLine="0" w:firstLineChars="0"/>
                    <w:rPr>
                      <w:rFonts w:cs="Times New Roman"/>
                      <w:sz w:val="18"/>
                    </w:rPr>
                  </w:pPr>
                  <w:r>
                    <w:rPr>
                      <w:rFonts w:cs="Times New Roman"/>
                      <w:sz w:val="18"/>
                    </w:rPr>
                    <w:t>企业排水实施雨污分流，本项目废水经处理后纳管排放。项目使用清洁能源天然气进行供热，一般固废均委托综合利用，危险废物收集后均委托有资质单位处置，危废处置率能达到100%。</w:t>
                  </w:r>
                </w:p>
              </w:tc>
              <w:tc>
                <w:tcPr>
                  <w:tcW w:w="463" w:type="pct"/>
                  <w:vAlign w:val="center"/>
                </w:tcPr>
                <w:p w14:paraId="7D3BB996">
                  <w:pPr>
                    <w:spacing w:line="240" w:lineRule="auto"/>
                    <w:ind w:left="24" w:leftChars="10" w:right="24" w:rightChars="10" w:firstLine="0" w:firstLineChars="0"/>
                    <w:jc w:val="center"/>
                    <w:rPr>
                      <w:rFonts w:cs="Times New Roman"/>
                      <w:sz w:val="18"/>
                    </w:rPr>
                  </w:pPr>
                  <w:r>
                    <w:rPr>
                      <w:rFonts w:hint="eastAsia" w:cs="Times New Roman"/>
                      <w:sz w:val="18"/>
                    </w:rPr>
                    <w:t>符合</w:t>
                  </w:r>
                </w:p>
              </w:tc>
            </w:tr>
            <w:tr w14:paraId="18C59C7B">
              <w:trPr>
                <w:trHeight w:val="340" w:hRule="atLeast"/>
                <w:jc w:val="center"/>
              </w:trPr>
              <w:tc>
                <w:tcPr>
                  <w:tcW w:w="3028" w:type="pct"/>
                  <w:vAlign w:val="center"/>
                </w:tcPr>
                <w:p w14:paraId="2B896978">
                  <w:pPr>
                    <w:spacing w:line="240" w:lineRule="auto"/>
                    <w:ind w:left="24" w:leftChars="10" w:right="24" w:rightChars="10" w:firstLine="0" w:firstLineChars="0"/>
                    <w:jc w:val="both"/>
                    <w:rPr>
                      <w:rFonts w:cs="Times New Roman"/>
                      <w:sz w:val="18"/>
                    </w:rPr>
                  </w:pPr>
                  <w:r>
                    <w:rPr>
                      <w:rFonts w:cs="Times New Roman"/>
                      <w:sz w:val="18"/>
                    </w:rPr>
                    <w:t>加强环境风险防范。基地须建立和完善事故风险应急救援管理体系。编制区域风险应急预案，形成区域联动，并定期进行检查演练。重点企业按要求配置相应的环境风险防范措施和事故应急设施。防范事故发生后引发的次生环境污染影响。</w:t>
                  </w:r>
                </w:p>
              </w:tc>
              <w:tc>
                <w:tcPr>
                  <w:tcW w:w="1508" w:type="pct"/>
                  <w:vAlign w:val="center"/>
                </w:tcPr>
                <w:p w14:paraId="519FD9EA">
                  <w:pPr>
                    <w:spacing w:line="240" w:lineRule="auto"/>
                    <w:ind w:left="24" w:leftChars="10" w:right="24" w:rightChars="10" w:firstLine="0" w:firstLineChars="0"/>
                    <w:jc w:val="both"/>
                    <w:rPr>
                      <w:rFonts w:cs="Times New Roman"/>
                      <w:sz w:val="18"/>
                    </w:rPr>
                  </w:pPr>
                  <w:r>
                    <w:rPr>
                      <w:rFonts w:cs="Times New Roman"/>
                      <w:sz w:val="18"/>
                    </w:rPr>
                    <w:t>按照要求建立环境事故风险管控和应急救援体系，降低环境</w:t>
                  </w:r>
                  <w:r>
                    <w:rPr>
                      <w:rFonts w:hint="eastAsia" w:cs="Times New Roman"/>
                      <w:sz w:val="18"/>
                    </w:rPr>
                    <w:t>风险。</w:t>
                  </w:r>
                </w:p>
              </w:tc>
              <w:tc>
                <w:tcPr>
                  <w:tcW w:w="463" w:type="pct"/>
                  <w:vAlign w:val="center"/>
                </w:tcPr>
                <w:p w14:paraId="7C77BE1F">
                  <w:pPr>
                    <w:spacing w:line="240" w:lineRule="auto"/>
                    <w:ind w:left="24" w:leftChars="10" w:right="24" w:rightChars="10" w:firstLine="0" w:firstLineChars="0"/>
                    <w:jc w:val="center"/>
                    <w:rPr>
                      <w:rFonts w:cs="Times New Roman"/>
                      <w:sz w:val="18"/>
                    </w:rPr>
                  </w:pPr>
                  <w:r>
                    <w:rPr>
                      <w:rFonts w:hint="eastAsia" w:cs="Times New Roman"/>
                      <w:sz w:val="18"/>
                    </w:rPr>
                    <w:t>符合</w:t>
                  </w:r>
                </w:p>
              </w:tc>
            </w:tr>
            <w:tr w14:paraId="09BBFA00">
              <w:trPr>
                <w:trHeight w:val="340" w:hRule="atLeast"/>
                <w:jc w:val="center"/>
              </w:trPr>
              <w:tc>
                <w:tcPr>
                  <w:tcW w:w="3028" w:type="pct"/>
                  <w:vAlign w:val="center"/>
                </w:tcPr>
                <w:p w14:paraId="7010DFD7">
                  <w:pPr>
                    <w:spacing w:line="240" w:lineRule="auto"/>
                    <w:ind w:left="24" w:leftChars="10" w:right="24" w:rightChars="10" w:firstLine="0" w:firstLineChars="0"/>
                    <w:jc w:val="both"/>
                    <w:rPr>
                      <w:rFonts w:cs="Times New Roman"/>
                      <w:sz w:val="18"/>
                    </w:rPr>
                  </w:pPr>
                  <w:r>
                    <w:rPr>
                      <w:rFonts w:cs="Times New Roman"/>
                      <w:sz w:val="18"/>
                    </w:rPr>
                    <w:t>建立环境监管体系和跟踪评价机制。基地应加强环境监管体系的建设，建立污染物排放对受保护区域与环境功能的跟踪监测与评价体系;规划区须每隔5年一次或视规划实际变化情况及时进行环境影响跟踪评价。</w:t>
                  </w:r>
                </w:p>
              </w:tc>
              <w:tc>
                <w:tcPr>
                  <w:tcW w:w="1508" w:type="pct"/>
                  <w:vAlign w:val="center"/>
                </w:tcPr>
                <w:p w14:paraId="52682E0B">
                  <w:pPr>
                    <w:spacing w:line="240" w:lineRule="auto"/>
                    <w:ind w:left="24" w:leftChars="10" w:right="24" w:rightChars="10" w:firstLine="0" w:firstLineChars="0"/>
                    <w:rPr>
                      <w:rFonts w:cs="Times New Roman"/>
                      <w:sz w:val="18"/>
                    </w:rPr>
                  </w:pPr>
                  <w:r>
                    <w:rPr>
                      <w:rFonts w:hint="eastAsia" w:cs="Times New Roman"/>
                      <w:sz w:val="18"/>
                    </w:rPr>
                    <w:t>按要求执行。</w:t>
                  </w:r>
                </w:p>
              </w:tc>
              <w:tc>
                <w:tcPr>
                  <w:tcW w:w="463" w:type="pct"/>
                  <w:vAlign w:val="center"/>
                </w:tcPr>
                <w:p w14:paraId="01BB4E6A">
                  <w:pPr>
                    <w:spacing w:line="240" w:lineRule="auto"/>
                    <w:ind w:left="24" w:leftChars="10" w:right="24" w:rightChars="10" w:firstLine="0" w:firstLineChars="0"/>
                    <w:jc w:val="center"/>
                    <w:rPr>
                      <w:rFonts w:cs="Times New Roman"/>
                      <w:sz w:val="18"/>
                    </w:rPr>
                  </w:pPr>
                  <w:r>
                    <w:rPr>
                      <w:rFonts w:hint="eastAsia" w:cs="Times New Roman"/>
                      <w:sz w:val="18"/>
                    </w:rPr>
                    <w:t>符合</w:t>
                  </w:r>
                </w:p>
              </w:tc>
            </w:tr>
            <w:tr w14:paraId="5457DCA4">
              <w:trPr>
                <w:trHeight w:val="340" w:hRule="atLeast"/>
                <w:jc w:val="center"/>
              </w:trPr>
              <w:tc>
                <w:tcPr>
                  <w:tcW w:w="3028" w:type="pct"/>
                  <w:vAlign w:val="center"/>
                </w:tcPr>
                <w:p w14:paraId="0B727C0A">
                  <w:pPr>
                    <w:spacing w:line="240" w:lineRule="auto"/>
                    <w:ind w:left="24" w:leftChars="10" w:right="24" w:rightChars="10" w:firstLine="0" w:firstLineChars="0"/>
                    <w:jc w:val="both"/>
                    <w:rPr>
                      <w:rFonts w:cs="Times New Roman"/>
                      <w:sz w:val="18"/>
                    </w:rPr>
                  </w:pPr>
                  <w:r>
                    <w:rPr>
                      <w:rFonts w:cs="Times New Roman"/>
                      <w:sz w:val="18"/>
                    </w:rPr>
                    <w:t>规划包含的近期建设项目需重点关注的问题:规划区需严格建设项目环境准入门槛，该规划中所包含的近期建设项目在开展环境影响评价时，涉及区域环境概况、环境质量现状监测等方面可适当简化，但应特别注意用地性质，重视环境污染物排放总量、地面水污染防治、大气环境影响等制约作用</w:t>
                  </w:r>
                  <w:r>
                    <w:rPr>
                      <w:rFonts w:hint="eastAsia" w:cs="Times New Roman"/>
                      <w:sz w:val="18"/>
                    </w:rPr>
                    <w:t>，</w:t>
                  </w:r>
                  <w:r>
                    <w:rPr>
                      <w:rFonts w:cs="Times New Roman"/>
                      <w:sz w:val="18"/>
                    </w:rPr>
                    <w:t>重视项目选址对规划区总体结构与功能布局的影响，以及规划区环保基础设施对项目建设的支撑，强化污染防治和风险防范措施的落实</w:t>
                  </w:r>
                  <w:r>
                    <w:rPr>
                      <w:rFonts w:hint="eastAsia" w:cs="Times New Roman"/>
                      <w:sz w:val="18"/>
                    </w:rPr>
                    <w:t>。</w:t>
                  </w:r>
                </w:p>
              </w:tc>
              <w:tc>
                <w:tcPr>
                  <w:tcW w:w="1508" w:type="pct"/>
                  <w:vAlign w:val="center"/>
                </w:tcPr>
                <w:p w14:paraId="420D5248">
                  <w:pPr>
                    <w:spacing w:line="240" w:lineRule="auto"/>
                    <w:ind w:left="24" w:leftChars="10" w:right="24" w:rightChars="10" w:firstLine="0" w:firstLineChars="0"/>
                    <w:jc w:val="both"/>
                    <w:rPr>
                      <w:rFonts w:cs="Times New Roman"/>
                      <w:sz w:val="18"/>
                    </w:rPr>
                  </w:pPr>
                  <w:r>
                    <w:rPr>
                      <w:rFonts w:cs="Times New Roman"/>
                      <w:sz w:val="18"/>
                    </w:rPr>
                    <w:t>本项目符合环境准入清单，根据</w:t>
                  </w:r>
                  <w:r>
                    <w:rPr>
                      <w:rFonts w:hint="eastAsia" w:cs="Times New Roman"/>
                      <w:sz w:val="18"/>
                    </w:rPr>
                    <w:t>《余杭区钱开区单元（YH02）详细规划》及国土空间规划</w:t>
                  </w:r>
                  <w:r>
                    <w:rPr>
                      <w:rFonts w:cs="Times New Roman"/>
                      <w:sz w:val="18"/>
                    </w:rPr>
                    <w:t>，用地性质属于工业用地。项目将采取严格的污染防治对策，确保废水、废气、噪声等达标排放，固废得到安全合理地处理处置。</w:t>
                  </w:r>
                </w:p>
              </w:tc>
              <w:tc>
                <w:tcPr>
                  <w:tcW w:w="463" w:type="pct"/>
                  <w:vAlign w:val="center"/>
                </w:tcPr>
                <w:p w14:paraId="141A69C1">
                  <w:pPr>
                    <w:spacing w:line="240" w:lineRule="auto"/>
                    <w:ind w:left="24" w:leftChars="10" w:right="24" w:rightChars="10" w:firstLine="0" w:firstLineChars="0"/>
                    <w:jc w:val="center"/>
                    <w:rPr>
                      <w:rFonts w:cs="Times New Roman"/>
                      <w:sz w:val="18"/>
                    </w:rPr>
                  </w:pPr>
                  <w:r>
                    <w:rPr>
                      <w:rFonts w:hint="eastAsia" w:cs="Times New Roman"/>
                      <w:sz w:val="18"/>
                    </w:rPr>
                    <w:t>符合</w:t>
                  </w:r>
                </w:p>
              </w:tc>
            </w:tr>
            <w:tr w14:paraId="24D7BDC4">
              <w:trPr>
                <w:trHeight w:val="340" w:hRule="atLeast"/>
                <w:jc w:val="center"/>
              </w:trPr>
              <w:tc>
                <w:tcPr>
                  <w:tcW w:w="3028" w:type="pct"/>
                  <w:vAlign w:val="center"/>
                </w:tcPr>
                <w:p w14:paraId="49B85D03">
                  <w:pPr>
                    <w:spacing w:line="240" w:lineRule="auto"/>
                    <w:ind w:left="24" w:leftChars="10" w:right="24" w:rightChars="10" w:firstLine="0" w:firstLineChars="0"/>
                    <w:jc w:val="both"/>
                    <w:rPr>
                      <w:rFonts w:cs="Times New Roman"/>
                      <w:sz w:val="18"/>
                    </w:rPr>
                  </w:pPr>
                  <w:r>
                    <w:rPr>
                      <w:rFonts w:cs="Times New Roman"/>
                      <w:sz w:val="18"/>
                    </w:rPr>
                    <w:t>规划调整后，仁和先进制造业基地在规划近期、远期内各类污染物产排总量预测值基本不变，规划实施过程中通过全面落实各项污染防治措施，加强环境管理与监控，可有效控制规划实施所产生的不良影响，确保污染物排放总量满足区域环境容量控制限值要求，规划的实施可满足所在区域环境功能区要求。</w:t>
                  </w:r>
                </w:p>
              </w:tc>
              <w:tc>
                <w:tcPr>
                  <w:tcW w:w="1508" w:type="pct"/>
                  <w:vAlign w:val="center"/>
                </w:tcPr>
                <w:p w14:paraId="40D52956">
                  <w:pPr>
                    <w:spacing w:line="240" w:lineRule="auto"/>
                    <w:ind w:left="24" w:leftChars="10" w:right="24" w:rightChars="10" w:firstLine="0" w:firstLineChars="0"/>
                    <w:rPr>
                      <w:rFonts w:cs="Times New Roman"/>
                      <w:sz w:val="18"/>
                    </w:rPr>
                  </w:pPr>
                  <w:r>
                    <w:rPr>
                      <w:rFonts w:cs="Times New Roman"/>
                      <w:sz w:val="18"/>
                    </w:rPr>
                    <w:t>项目将采取严格的污染防治对策，确保</w:t>
                  </w:r>
                </w:p>
                <w:p w14:paraId="4C9F9BA3">
                  <w:pPr>
                    <w:spacing w:line="240" w:lineRule="auto"/>
                    <w:ind w:left="24" w:leftChars="10" w:right="24" w:rightChars="10" w:firstLine="0" w:firstLineChars="0"/>
                    <w:jc w:val="both"/>
                    <w:rPr>
                      <w:rFonts w:cs="Times New Roman"/>
                      <w:sz w:val="18"/>
                    </w:rPr>
                  </w:pPr>
                  <w:r>
                    <w:rPr>
                      <w:rFonts w:cs="Times New Roman"/>
                      <w:sz w:val="18"/>
                    </w:rPr>
                    <w:t>废水、废气、噪声等达标排放，固废得到安全合理地处理处置，污染物排放总量满足区域环境容量控制限值要求，满足</w:t>
                  </w:r>
                  <w:r>
                    <w:rPr>
                      <w:rFonts w:hint="eastAsia" w:cs="Times New Roman"/>
                      <w:sz w:val="18"/>
                    </w:rPr>
                    <w:t>区域环境功能区</w:t>
                  </w:r>
                  <w:r>
                    <w:rPr>
                      <w:rFonts w:cs="Times New Roman"/>
                      <w:sz w:val="18"/>
                    </w:rPr>
                    <w:t>要求</w:t>
                  </w:r>
                  <w:r>
                    <w:rPr>
                      <w:rFonts w:hint="eastAsia" w:cs="Times New Roman"/>
                      <w:sz w:val="18"/>
                    </w:rPr>
                    <w:t>。</w:t>
                  </w:r>
                </w:p>
              </w:tc>
              <w:tc>
                <w:tcPr>
                  <w:tcW w:w="463" w:type="pct"/>
                  <w:vAlign w:val="center"/>
                </w:tcPr>
                <w:p w14:paraId="22229C6D">
                  <w:pPr>
                    <w:spacing w:line="240" w:lineRule="auto"/>
                    <w:ind w:left="24" w:leftChars="10" w:right="24" w:rightChars="10" w:firstLine="0" w:firstLineChars="0"/>
                    <w:jc w:val="center"/>
                    <w:rPr>
                      <w:rFonts w:cs="Times New Roman"/>
                      <w:sz w:val="18"/>
                    </w:rPr>
                  </w:pPr>
                  <w:r>
                    <w:rPr>
                      <w:rFonts w:hint="eastAsia" w:cs="Times New Roman"/>
                      <w:sz w:val="18"/>
                    </w:rPr>
                    <w:t>符合</w:t>
                  </w:r>
                </w:p>
              </w:tc>
            </w:tr>
            <w:tr w14:paraId="73F5BB1B">
              <w:trPr>
                <w:trHeight w:val="340" w:hRule="atLeast"/>
                <w:jc w:val="center"/>
              </w:trPr>
              <w:tc>
                <w:tcPr>
                  <w:tcW w:w="5000" w:type="pct"/>
                  <w:gridSpan w:val="3"/>
                  <w:vAlign w:val="center"/>
                </w:tcPr>
                <w:p w14:paraId="0397DC94">
                  <w:pPr>
                    <w:spacing w:line="240" w:lineRule="auto"/>
                    <w:ind w:left="24" w:leftChars="10" w:right="24" w:rightChars="10" w:firstLine="0" w:firstLineChars="0"/>
                    <w:jc w:val="both"/>
                    <w:rPr>
                      <w:rFonts w:cs="Times New Roman"/>
                      <w:sz w:val="18"/>
                    </w:rPr>
                  </w:pPr>
                  <w:r>
                    <w:rPr>
                      <w:rFonts w:hint="eastAsia" w:cs="Times New Roman"/>
                      <w:sz w:val="18"/>
                    </w:rPr>
                    <w:t>结论：综上所述，本项目在严格落实本评价提出的总量控制要求、风险防控措施等相关环保措施的前提下，符合仁和先进制造业基地（暂定名）总体规划（2012-2030）调整环境影响补充报告及其审查意见的相关要求。</w:t>
                  </w:r>
                </w:p>
              </w:tc>
            </w:tr>
          </w:tbl>
          <w:p w14:paraId="3517F47E">
            <w:pPr>
              <w:ind w:firstLine="0" w:firstLineChars="0"/>
              <w:jc w:val="both"/>
              <w:rPr>
                <w:rFonts w:hint="eastAsia" w:ascii="黑体" w:hAnsi="黑体" w:eastAsia="黑体" w:cs="黑体"/>
                <w:szCs w:val="28"/>
              </w:rPr>
            </w:pPr>
          </w:p>
        </w:tc>
      </w:tr>
    </w:tbl>
    <w:p w14:paraId="1648DCBF">
      <w:pPr>
        <w:ind w:firstLine="0" w:firstLineChars="0"/>
        <w:jc w:val="both"/>
        <w:sectPr>
          <w:pgSz w:w="16838" w:h="11906" w:orient="landscape"/>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7878"/>
      </w:tblGrid>
      <w:tr w14:paraId="3C7C1429">
        <w:trPr>
          <w:trHeight w:val="9061" w:hRule="atLeast"/>
        </w:trPr>
        <w:tc>
          <w:tcPr>
            <w:tcW w:w="644" w:type="dxa"/>
            <w:vAlign w:val="center"/>
          </w:tcPr>
          <w:p w14:paraId="0449392C">
            <w:pPr>
              <w:autoSpaceDE w:val="0"/>
              <w:autoSpaceDN w:val="0"/>
              <w:adjustRightInd w:val="0"/>
              <w:snapToGrid w:val="0"/>
              <w:spacing w:line="240" w:lineRule="auto"/>
              <w:ind w:firstLine="0" w:firstLineChars="0"/>
              <w:jc w:val="center"/>
            </w:pPr>
            <w:r>
              <w:rPr>
                <w:rFonts w:cs="Times New Roman"/>
                <w:kern w:val="0"/>
                <w:sz w:val="21"/>
                <w:szCs w:val="21"/>
              </w:rPr>
              <w:t>其他符合性分析</w:t>
            </w:r>
          </w:p>
        </w:tc>
        <w:tc>
          <w:tcPr>
            <w:tcW w:w="7878" w:type="dxa"/>
            <w:vAlign w:val="center"/>
          </w:tcPr>
          <w:p w14:paraId="0822FFCA">
            <w:pPr>
              <w:ind w:firstLine="420" w:firstLineChars="0"/>
              <w:jc w:val="both"/>
              <w:rPr>
                <w:rFonts w:cs="Times New Roman"/>
                <w:b/>
                <w:bCs/>
                <w:kern w:val="0"/>
                <w:szCs w:val="24"/>
              </w:rPr>
            </w:pPr>
            <w:r>
              <w:rPr>
                <w:rFonts w:hint="eastAsia" w:cs="Times New Roman"/>
                <w:b/>
                <w:bCs/>
                <w:kern w:val="0"/>
                <w:szCs w:val="24"/>
              </w:rPr>
              <w:t>1</w:t>
            </w:r>
            <w:r>
              <w:rPr>
                <w:rFonts w:cs="Times New Roman"/>
                <w:b/>
                <w:bCs/>
                <w:kern w:val="0"/>
                <w:szCs w:val="24"/>
              </w:rPr>
              <w:t>、</w:t>
            </w:r>
            <w:r>
              <w:rPr>
                <w:rFonts w:hint="eastAsia" w:cs="Times New Roman"/>
                <w:b/>
                <w:bCs/>
                <w:kern w:val="0"/>
                <w:szCs w:val="24"/>
              </w:rPr>
              <w:t>审批原则符合性分析</w:t>
            </w:r>
          </w:p>
          <w:p w14:paraId="41BBA1B4">
            <w:pPr>
              <w:ind w:firstLine="480"/>
              <w:jc w:val="both"/>
              <w:rPr>
                <w:rFonts w:cs="Times New Roman"/>
                <w:szCs w:val="24"/>
              </w:rPr>
            </w:pPr>
            <w:r>
              <w:rPr>
                <w:rFonts w:hint="eastAsia" w:cs="Times New Roman"/>
                <w:szCs w:val="24"/>
              </w:rPr>
              <w:t>一、建设项目环保审批原则</w:t>
            </w:r>
          </w:p>
          <w:p w14:paraId="56374E81">
            <w:pPr>
              <w:ind w:firstLine="480"/>
              <w:jc w:val="both"/>
              <w:rPr>
                <w:rFonts w:cs="Times New Roman"/>
                <w:szCs w:val="24"/>
              </w:rPr>
            </w:pPr>
            <w:r>
              <w:rPr>
                <w:rFonts w:hint="eastAsia" w:cs="Times New Roman"/>
                <w:szCs w:val="24"/>
              </w:rPr>
              <w:t>（1）生态环境分区管控动态更新方案符合性分析</w:t>
            </w:r>
          </w:p>
          <w:p w14:paraId="22CB9C15">
            <w:pPr>
              <w:ind w:firstLine="480"/>
              <w:jc w:val="both"/>
              <w:rPr>
                <w:rFonts w:cs="Times New Roman"/>
                <w:szCs w:val="24"/>
              </w:rPr>
            </w:pPr>
            <w:r>
              <w:rPr>
                <w:rFonts w:cs="Times New Roman"/>
                <w:szCs w:val="24"/>
              </w:rPr>
              <w:t>项目位于</w:t>
            </w:r>
            <w:r>
              <w:rPr>
                <w:rFonts w:hint="eastAsia" w:cs="Times New Roman"/>
                <w:szCs w:val="24"/>
              </w:rPr>
              <w:t>浙江省杭州市余杭区仁和街道三星路4号，</w:t>
            </w:r>
            <w:r>
              <w:rPr>
                <w:rFonts w:cs="Times New Roman"/>
                <w:szCs w:val="24"/>
              </w:rPr>
              <w:t>对照《杭州市生态环境分区管控动态更新方案》，本项目属于</w:t>
            </w:r>
            <w:r>
              <w:rPr>
                <w:rFonts w:hint="eastAsia" w:cs="Times New Roman"/>
                <w:szCs w:val="24"/>
              </w:rPr>
              <w:t>余杭区浙江余杭经济开发区产业集聚重点管控单元（原余杭区钱江经济开发区产业集聚重点管控单元）ZH33011020009</w:t>
            </w:r>
            <w:r>
              <w:rPr>
                <w:rFonts w:cs="Times New Roman"/>
                <w:szCs w:val="24"/>
              </w:rPr>
              <w:t>，符合性分析见下表。</w:t>
            </w:r>
          </w:p>
          <w:p w14:paraId="782F96B6">
            <w:pPr>
              <w:pStyle w:val="14"/>
              <w:spacing w:before="156"/>
            </w:pPr>
            <w:r>
              <w:t xml:space="preserve">  生态环境分区管控动态更新方案符合性分析</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3450"/>
              <w:gridCol w:w="2660"/>
              <w:gridCol w:w="703"/>
            </w:tblGrid>
            <w:tr w14:paraId="1A79F459">
              <w:trPr>
                <w:trHeight w:val="340" w:hRule="atLeast"/>
              </w:trPr>
              <w:tc>
                <w:tcPr>
                  <w:tcW w:w="4289" w:type="dxa"/>
                  <w:gridSpan w:val="2"/>
                  <w:vAlign w:val="center"/>
                </w:tcPr>
                <w:p w14:paraId="54B5B017">
                  <w:pPr>
                    <w:spacing w:line="240" w:lineRule="auto"/>
                    <w:ind w:firstLine="0" w:firstLineChars="0"/>
                    <w:jc w:val="center"/>
                    <w:rPr>
                      <w:rFonts w:cs="Times New Roman"/>
                      <w:sz w:val="18"/>
                    </w:rPr>
                  </w:pPr>
                  <w:r>
                    <w:rPr>
                      <w:rFonts w:hint="eastAsia" w:cs="Times New Roman"/>
                      <w:sz w:val="18"/>
                    </w:rPr>
                    <w:t>相关要求</w:t>
                  </w:r>
                </w:p>
              </w:tc>
              <w:tc>
                <w:tcPr>
                  <w:tcW w:w="2660" w:type="dxa"/>
                  <w:vAlign w:val="center"/>
                </w:tcPr>
                <w:p w14:paraId="59313274">
                  <w:pPr>
                    <w:spacing w:line="240" w:lineRule="auto"/>
                    <w:ind w:firstLine="0" w:firstLineChars="0"/>
                    <w:jc w:val="center"/>
                    <w:rPr>
                      <w:rFonts w:cs="Times New Roman"/>
                      <w:sz w:val="18"/>
                    </w:rPr>
                  </w:pPr>
                  <w:r>
                    <w:rPr>
                      <w:rFonts w:hint="eastAsia" w:cs="Times New Roman"/>
                      <w:sz w:val="18"/>
                    </w:rPr>
                    <w:t>本项目情况</w:t>
                  </w:r>
                </w:p>
              </w:tc>
              <w:tc>
                <w:tcPr>
                  <w:tcW w:w="703" w:type="dxa"/>
                  <w:vAlign w:val="center"/>
                </w:tcPr>
                <w:p w14:paraId="4F696CA6">
                  <w:pPr>
                    <w:spacing w:line="240" w:lineRule="auto"/>
                    <w:ind w:firstLine="0" w:firstLineChars="0"/>
                    <w:jc w:val="center"/>
                    <w:rPr>
                      <w:rFonts w:cs="Times New Roman"/>
                      <w:sz w:val="18"/>
                    </w:rPr>
                  </w:pPr>
                  <w:r>
                    <w:rPr>
                      <w:rFonts w:hint="eastAsia" w:cs="Times New Roman"/>
                      <w:sz w:val="18"/>
                    </w:rPr>
                    <w:t>是否符合</w:t>
                  </w:r>
                </w:p>
              </w:tc>
            </w:tr>
            <w:tr w14:paraId="5997BB94">
              <w:trPr>
                <w:trHeight w:val="340" w:hRule="atLeast"/>
              </w:trPr>
              <w:tc>
                <w:tcPr>
                  <w:tcW w:w="839" w:type="dxa"/>
                  <w:vAlign w:val="center"/>
                </w:tcPr>
                <w:p w14:paraId="539FBE37">
                  <w:pPr>
                    <w:spacing w:line="240" w:lineRule="auto"/>
                    <w:ind w:firstLine="0" w:firstLineChars="0"/>
                    <w:jc w:val="center"/>
                    <w:rPr>
                      <w:rFonts w:cs="Times New Roman"/>
                      <w:sz w:val="18"/>
                    </w:rPr>
                  </w:pPr>
                  <w:r>
                    <w:rPr>
                      <w:rFonts w:hint="eastAsia" w:cs="Times New Roman"/>
                      <w:sz w:val="18"/>
                    </w:rPr>
                    <w:t>空间布局约束</w:t>
                  </w:r>
                </w:p>
              </w:tc>
              <w:tc>
                <w:tcPr>
                  <w:tcW w:w="3450" w:type="dxa"/>
                  <w:vAlign w:val="center"/>
                </w:tcPr>
                <w:p w14:paraId="3251338D">
                  <w:pPr>
                    <w:spacing w:line="240" w:lineRule="auto"/>
                    <w:ind w:firstLine="0" w:firstLineChars="0"/>
                    <w:jc w:val="both"/>
                    <w:rPr>
                      <w:rFonts w:cs="Times New Roman"/>
                      <w:sz w:val="18"/>
                    </w:rPr>
                  </w:pPr>
                  <w:r>
                    <w:rPr>
                      <w:rFonts w:cs="Times New Roman"/>
                      <w:sz w:val="18"/>
                    </w:rPr>
                    <w:t>根据产业集聚区块的功能定位，建立分区差别化的产业准入条件。合理规划布局居住、医疗卫生、文化教育等功能区块，与工业区块、工业企业之间设置防护绿地、生活绿地等隔离带。</w:t>
                  </w:r>
                </w:p>
              </w:tc>
              <w:tc>
                <w:tcPr>
                  <w:tcW w:w="2660" w:type="dxa"/>
                  <w:vAlign w:val="center"/>
                </w:tcPr>
                <w:p w14:paraId="70336D74">
                  <w:pPr>
                    <w:spacing w:line="240" w:lineRule="auto"/>
                    <w:ind w:firstLine="0" w:firstLineChars="0"/>
                    <w:jc w:val="both"/>
                    <w:rPr>
                      <w:rFonts w:cs="Times New Roman"/>
                      <w:sz w:val="18"/>
                    </w:rPr>
                  </w:pPr>
                  <w:r>
                    <w:rPr>
                      <w:rFonts w:cs="Times New Roman"/>
                      <w:sz w:val="18"/>
                    </w:rPr>
                    <w:t>本项目位于工业区内，厂区周边设置绿化带，</w:t>
                  </w:r>
                  <w:r>
                    <w:rPr>
                      <w:rFonts w:hint="eastAsia" w:cs="Times New Roman"/>
                      <w:sz w:val="18"/>
                    </w:rPr>
                    <w:t>与周边居住用地形成有效隔离，</w:t>
                  </w:r>
                  <w:r>
                    <w:rPr>
                      <w:rFonts w:cs="Times New Roman"/>
                      <w:sz w:val="18"/>
                    </w:rPr>
                    <w:t>符合空间布局要求。</w:t>
                  </w:r>
                </w:p>
              </w:tc>
              <w:tc>
                <w:tcPr>
                  <w:tcW w:w="703" w:type="dxa"/>
                  <w:vAlign w:val="center"/>
                </w:tcPr>
                <w:p w14:paraId="7FFAF50C">
                  <w:pPr>
                    <w:spacing w:line="240" w:lineRule="auto"/>
                    <w:ind w:firstLine="0" w:firstLineChars="0"/>
                    <w:jc w:val="center"/>
                    <w:rPr>
                      <w:rFonts w:cs="Times New Roman"/>
                      <w:sz w:val="18"/>
                    </w:rPr>
                  </w:pPr>
                  <w:r>
                    <w:rPr>
                      <w:rFonts w:hint="eastAsia" w:cs="Times New Roman"/>
                      <w:sz w:val="18"/>
                    </w:rPr>
                    <w:t>符合</w:t>
                  </w:r>
                </w:p>
              </w:tc>
            </w:tr>
            <w:tr w14:paraId="387D2124">
              <w:trPr>
                <w:trHeight w:val="340" w:hRule="atLeast"/>
              </w:trPr>
              <w:tc>
                <w:tcPr>
                  <w:tcW w:w="839" w:type="dxa"/>
                  <w:vAlign w:val="center"/>
                </w:tcPr>
                <w:p w14:paraId="2D03FE19">
                  <w:pPr>
                    <w:spacing w:line="240" w:lineRule="auto"/>
                    <w:ind w:firstLine="0" w:firstLineChars="0"/>
                    <w:jc w:val="center"/>
                    <w:rPr>
                      <w:rFonts w:cs="Times New Roman"/>
                      <w:sz w:val="18"/>
                    </w:rPr>
                  </w:pPr>
                  <w:r>
                    <w:rPr>
                      <w:rFonts w:hint="eastAsia" w:cs="Times New Roman"/>
                      <w:sz w:val="18"/>
                    </w:rPr>
                    <w:t>污染物排放管控</w:t>
                  </w:r>
                </w:p>
              </w:tc>
              <w:tc>
                <w:tcPr>
                  <w:tcW w:w="3450" w:type="dxa"/>
                  <w:vAlign w:val="center"/>
                </w:tcPr>
                <w:p w14:paraId="0D37DD0D">
                  <w:pPr>
                    <w:spacing w:line="240" w:lineRule="auto"/>
                    <w:ind w:firstLine="0" w:firstLineChars="0"/>
                    <w:jc w:val="both"/>
                    <w:rPr>
                      <w:rFonts w:cs="Times New Roman"/>
                      <w:sz w:val="18"/>
                    </w:rPr>
                  </w:pPr>
                  <w:r>
                    <w:rPr>
                      <w:rFonts w:cs="Times New Roman"/>
                      <w:sz w:val="18"/>
                    </w:rPr>
                    <w:t>严格实施污染物总量控制制度，根据区域环境质量改善目标，削减污染物排放总量。所有企业实现雨污分流。</w:t>
                  </w:r>
                </w:p>
              </w:tc>
              <w:tc>
                <w:tcPr>
                  <w:tcW w:w="2660" w:type="dxa"/>
                  <w:vAlign w:val="center"/>
                </w:tcPr>
                <w:p w14:paraId="3327F8A4">
                  <w:pPr>
                    <w:spacing w:line="240" w:lineRule="auto"/>
                    <w:ind w:firstLine="0" w:firstLineChars="0"/>
                    <w:jc w:val="both"/>
                    <w:rPr>
                      <w:rFonts w:cs="Times New Roman"/>
                      <w:sz w:val="18"/>
                    </w:rPr>
                  </w:pPr>
                  <w:r>
                    <w:rPr>
                      <w:rFonts w:cs="Times New Roman"/>
                      <w:sz w:val="18"/>
                    </w:rPr>
                    <w:t>本项目会严格实施污染物总量控制制度，且本项目排放的污染物均达标排放。</w:t>
                  </w:r>
                </w:p>
              </w:tc>
              <w:tc>
                <w:tcPr>
                  <w:tcW w:w="703" w:type="dxa"/>
                  <w:vAlign w:val="center"/>
                </w:tcPr>
                <w:p w14:paraId="1F7A78E8">
                  <w:pPr>
                    <w:spacing w:line="240" w:lineRule="auto"/>
                    <w:ind w:firstLine="0" w:firstLineChars="0"/>
                    <w:jc w:val="center"/>
                    <w:rPr>
                      <w:rFonts w:cs="Times New Roman"/>
                      <w:sz w:val="18"/>
                    </w:rPr>
                  </w:pPr>
                  <w:r>
                    <w:rPr>
                      <w:rFonts w:hint="eastAsia" w:cs="Times New Roman"/>
                      <w:sz w:val="18"/>
                    </w:rPr>
                    <w:t>符合</w:t>
                  </w:r>
                </w:p>
              </w:tc>
            </w:tr>
            <w:tr w14:paraId="153EB44A">
              <w:trPr>
                <w:trHeight w:val="340" w:hRule="atLeast"/>
              </w:trPr>
              <w:tc>
                <w:tcPr>
                  <w:tcW w:w="839" w:type="dxa"/>
                  <w:vAlign w:val="center"/>
                </w:tcPr>
                <w:p w14:paraId="336D3925">
                  <w:pPr>
                    <w:spacing w:line="240" w:lineRule="auto"/>
                    <w:ind w:firstLine="0" w:firstLineChars="0"/>
                    <w:jc w:val="center"/>
                    <w:rPr>
                      <w:rFonts w:cs="Times New Roman"/>
                      <w:sz w:val="18"/>
                    </w:rPr>
                  </w:pPr>
                  <w:r>
                    <w:rPr>
                      <w:rFonts w:hint="eastAsia" w:cs="Times New Roman"/>
                      <w:sz w:val="18"/>
                    </w:rPr>
                    <w:t>环境风险防控</w:t>
                  </w:r>
                </w:p>
              </w:tc>
              <w:tc>
                <w:tcPr>
                  <w:tcW w:w="3450" w:type="dxa"/>
                  <w:vAlign w:val="center"/>
                </w:tcPr>
                <w:p w14:paraId="00361CD5">
                  <w:pPr>
                    <w:spacing w:line="240" w:lineRule="auto"/>
                    <w:ind w:firstLine="0" w:firstLineChars="0"/>
                    <w:jc w:val="both"/>
                    <w:rPr>
                      <w:rFonts w:cs="Times New Roman"/>
                      <w:sz w:val="18"/>
                    </w:rPr>
                  </w:pPr>
                  <w:r>
                    <w:rPr>
                      <w:rFonts w:cs="Times New Roman"/>
                      <w:sz w:val="18"/>
                    </w:rPr>
                    <w:t>强化工业集聚区企业环境风险防范设施设备建设和正常运行监管，加强重点环境风险管控企业应急预案制定，建立常态化的企业隐患排查整治监管机制，加强风险防控体系建设。</w:t>
                  </w:r>
                </w:p>
              </w:tc>
              <w:tc>
                <w:tcPr>
                  <w:tcW w:w="2660" w:type="dxa"/>
                  <w:vAlign w:val="center"/>
                </w:tcPr>
                <w:p w14:paraId="36FCC96F">
                  <w:pPr>
                    <w:spacing w:line="240" w:lineRule="auto"/>
                    <w:ind w:firstLine="0" w:firstLineChars="0"/>
                    <w:jc w:val="both"/>
                    <w:rPr>
                      <w:rFonts w:cs="Times New Roman"/>
                      <w:sz w:val="18"/>
                    </w:rPr>
                  </w:pPr>
                  <w:r>
                    <w:rPr>
                      <w:rFonts w:cs="Times New Roman"/>
                      <w:sz w:val="18"/>
                    </w:rPr>
                    <w:t>本项目排放的污染物均达标排放，要求企业建成后做好风险防范措施，加强环境风险防控。</w:t>
                  </w:r>
                </w:p>
              </w:tc>
              <w:tc>
                <w:tcPr>
                  <w:tcW w:w="703" w:type="dxa"/>
                  <w:vAlign w:val="center"/>
                </w:tcPr>
                <w:p w14:paraId="1AC867B1">
                  <w:pPr>
                    <w:spacing w:line="240" w:lineRule="auto"/>
                    <w:ind w:firstLine="0" w:firstLineChars="0"/>
                    <w:jc w:val="center"/>
                    <w:rPr>
                      <w:rFonts w:cs="Times New Roman"/>
                      <w:sz w:val="18"/>
                    </w:rPr>
                  </w:pPr>
                  <w:r>
                    <w:rPr>
                      <w:rFonts w:hint="eastAsia" w:cs="Times New Roman"/>
                      <w:sz w:val="18"/>
                    </w:rPr>
                    <w:t>符合</w:t>
                  </w:r>
                </w:p>
              </w:tc>
            </w:tr>
          </w:tbl>
          <w:p w14:paraId="21973D32">
            <w:pPr>
              <w:ind w:firstLine="480"/>
              <w:jc w:val="both"/>
              <w:rPr>
                <w:rFonts w:cs="Times New Roman"/>
                <w:szCs w:val="24"/>
              </w:rPr>
            </w:pPr>
            <w:r>
              <w:rPr>
                <w:rFonts w:cs="Times New Roman"/>
                <w:szCs w:val="24"/>
              </w:rPr>
              <w:t>综上，本项目符合《杭州市生态环境分区管控动态更新方案》相关要求</w:t>
            </w:r>
            <w:r>
              <w:rPr>
                <w:rFonts w:hint="eastAsia" w:cs="Times New Roman"/>
                <w:szCs w:val="24"/>
              </w:rPr>
              <w:t>。</w:t>
            </w:r>
          </w:p>
          <w:p w14:paraId="4213777D">
            <w:pPr>
              <w:ind w:firstLine="480"/>
              <w:jc w:val="both"/>
              <w:rPr>
                <w:rFonts w:cs="Times New Roman"/>
                <w:szCs w:val="24"/>
              </w:rPr>
            </w:pPr>
            <w:r>
              <w:rPr>
                <w:rFonts w:hint="eastAsia" w:cs="Times New Roman"/>
                <w:szCs w:val="24"/>
              </w:rPr>
              <w:t>（2）《关于以改善环境质量为核心加强环境影响评价管理的通知》（环环评[2016]150号）中“三线一单”符合性分析</w:t>
            </w:r>
          </w:p>
          <w:p w14:paraId="7FDBC575">
            <w:pPr>
              <w:ind w:firstLine="480"/>
              <w:jc w:val="both"/>
              <w:rPr>
                <w:rFonts w:cs="Times New Roman"/>
                <w:szCs w:val="24"/>
              </w:rPr>
            </w:pPr>
            <w:r>
              <w:rPr>
                <w:rFonts w:cs="Times New Roman"/>
                <w:szCs w:val="24"/>
              </w:rPr>
              <w:t>根据《浙江省建设项目环境保护管理办法》（2021年修正）等相关要求，本次环境影响评价与“三线一单”（即生态保护红线、环境质量底线、资源利用上线和生态环境准入清单）进行对照分析，本项目符合性分析如下：</w:t>
            </w:r>
          </w:p>
          <w:p w14:paraId="2D330B8C">
            <w:pPr>
              <w:ind w:firstLine="480"/>
              <w:jc w:val="both"/>
              <w:rPr>
                <w:rFonts w:cs="Times New Roman"/>
                <w:szCs w:val="24"/>
              </w:rPr>
            </w:pPr>
            <w:r>
              <w:rPr>
                <w:rFonts w:hint="eastAsia" w:cs="Times New Roman"/>
                <w:szCs w:val="24"/>
              </w:rPr>
              <w:t>a、生态保护红线</w:t>
            </w:r>
          </w:p>
          <w:p w14:paraId="1A4EBF05">
            <w:pPr>
              <w:ind w:firstLine="480"/>
              <w:jc w:val="both"/>
              <w:rPr>
                <w:rFonts w:cs="Times New Roman"/>
                <w:szCs w:val="24"/>
              </w:rPr>
            </w:pPr>
            <w:r>
              <w:rPr>
                <w:rFonts w:cs="Times New Roman"/>
                <w:szCs w:val="24"/>
              </w:rPr>
              <w:t>本项目位于</w:t>
            </w:r>
            <w:r>
              <w:rPr>
                <w:rFonts w:hint="eastAsia" w:cs="Times New Roman"/>
                <w:szCs w:val="24"/>
              </w:rPr>
              <w:t>余杭区</w:t>
            </w:r>
            <w:r>
              <w:rPr>
                <w:rFonts w:cs="Times New Roman"/>
                <w:szCs w:val="24"/>
              </w:rPr>
              <w:t>仁和街道三星路4号。</w:t>
            </w:r>
            <w:r>
              <w:rPr>
                <w:rFonts w:hint="eastAsia" w:cs="Times New Roman"/>
                <w:szCs w:val="24"/>
              </w:rPr>
              <w:t>根据余杭区“三区三线”图，本项目位于城镇开发边界内，不涉及永久基本农田和生态保护红线，满足生态保护红线要求。</w:t>
            </w:r>
          </w:p>
          <w:p w14:paraId="5A02EF64">
            <w:pPr>
              <w:ind w:firstLine="480"/>
              <w:jc w:val="both"/>
              <w:rPr>
                <w:rFonts w:cs="Times New Roman"/>
                <w:szCs w:val="24"/>
              </w:rPr>
            </w:pPr>
            <w:r>
              <w:rPr>
                <w:rFonts w:hint="eastAsia" w:cs="Times New Roman"/>
                <w:szCs w:val="24"/>
              </w:rPr>
              <w:t>b、环境质量底线</w:t>
            </w:r>
          </w:p>
          <w:p w14:paraId="3DA6C198">
            <w:pPr>
              <w:ind w:firstLine="480"/>
              <w:jc w:val="both"/>
              <w:rPr>
                <w:rFonts w:cs="Times New Roman"/>
                <w:szCs w:val="24"/>
              </w:rPr>
            </w:pPr>
            <w:r>
              <w:rPr>
                <w:rFonts w:hint="eastAsia" w:cs="Times New Roman"/>
                <w:szCs w:val="24"/>
              </w:rPr>
              <w:t>①大气环境质量现状：根</w:t>
            </w:r>
            <w:r>
              <w:rPr>
                <w:rFonts w:cs="Times New Roman"/>
                <w:szCs w:val="24"/>
              </w:rPr>
              <w:t>据</w:t>
            </w:r>
            <w:r>
              <w:rPr>
                <w:rFonts w:hint="eastAsia" w:cs="Times New Roman"/>
                <w:szCs w:val="24"/>
              </w:rPr>
              <w:t>《2024年杭州市余杭区生态环境状况公报》，</w:t>
            </w:r>
            <w:r>
              <w:rPr>
                <w:rFonts w:cs="Times New Roman"/>
                <w:szCs w:val="24"/>
              </w:rPr>
              <w:t>杭州市</w:t>
            </w:r>
            <w:r>
              <w:rPr>
                <w:rFonts w:hint="eastAsia" w:cs="Times New Roman"/>
                <w:szCs w:val="24"/>
              </w:rPr>
              <w:t>余杭区大气环境质量现状为不达标区。</w:t>
            </w:r>
          </w:p>
          <w:p w14:paraId="415DBE22">
            <w:pPr>
              <w:ind w:firstLine="480"/>
              <w:jc w:val="both"/>
              <w:rPr>
                <w:rFonts w:cs="Times New Roman"/>
                <w:szCs w:val="24"/>
              </w:rPr>
            </w:pPr>
            <w:r>
              <w:rPr>
                <w:rFonts w:cs="Times New Roman"/>
                <w:szCs w:val="24"/>
              </w:rPr>
              <w:t>本项目运营期产生的废气经</w:t>
            </w:r>
            <w:r>
              <w:rPr>
                <w:rFonts w:hint="eastAsia" w:cs="Times New Roman"/>
                <w:szCs w:val="24"/>
              </w:rPr>
              <w:t>废气处理装置</w:t>
            </w:r>
            <w:r>
              <w:rPr>
                <w:rFonts w:cs="Times New Roman"/>
                <w:szCs w:val="24"/>
              </w:rPr>
              <w:t>处理后能够达标排放，不会对环境空气质量底线造成冲击。</w:t>
            </w:r>
          </w:p>
          <w:p w14:paraId="4453F6FE">
            <w:pPr>
              <w:ind w:firstLine="480"/>
              <w:jc w:val="both"/>
              <w:rPr>
                <w:rFonts w:cs="Times New Roman"/>
                <w:szCs w:val="24"/>
              </w:rPr>
            </w:pPr>
            <w:r>
              <w:rPr>
                <w:rFonts w:cs="Times New Roman"/>
                <w:szCs w:val="24"/>
              </w:rPr>
              <w:t>②</w:t>
            </w:r>
            <w:r>
              <w:rPr>
                <w:rFonts w:hint="eastAsia" w:cs="Times New Roman"/>
                <w:szCs w:val="24"/>
              </w:rPr>
              <w:t>声环境质量现状：本项目运营期噪声设备安置在厂房内，同时通过采取安装减振装置等措施，能够确保厂界噪声达标排放，能够维持项目所在区域声环境质量。</w:t>
            </w:r>
          </w:p>
          <w:p w14:paraId="6437438A">
            <w:pPr>
              <w:ind w:firstLine="480"/>
              <w:jc w:val="both"/>
              <w:rPr>
                <w:rFonts w:cs="Times New Roman"/>
                <w:szCs w:val="24"/>
              </w:rPr>
            </w:pPr>
            <w:r>
              <w:rPr>
                <w:rFonts w:cs="Times New Roman"/>
                <w:szCs w:val="24"/>
              </w:rPr>
              <w:t>③</w:t>
            </w:r>
            <w:r>
              <w:rPr>
                <w:rFonts w:hint="eastAsia" w:cs="Times New Roman"/>
                <w:szCs w:val="24"/>
              </w:rPr>
              <w:t>水环境质量现状：本项目附近水体及最终纳污水体良渚港各类监测指标均能达到《地表</w:t>
            </w:r>
            <w:r>
              <w:rPr>
                <w:rFonts w:cs="Times New Roman"/>
                <w:szCs w:val="24"/>
              </w:rPr>
              <w:t>水环境质量标准》(GB3838-2002)中</w:t>
            </w:r>
            <w:r>
              <w:rPr>
                <w:rFonts w:hint="eastAsia" w:cs="Times New Roman"/>
                <w:szCs w:val="24"/>
              </w:rPr>
              <w:t>相应</w:t>
            </w:r>
            <w:r>
              <w:rPr>
                <w:rFonts w:cs="Times New Roman"/>
                <w:szCs w:val="24"/>
              </w:rPr>
              <w:t>标</w:t>
            </w:r>
            <w:r>
              <w:rPr>
                <w:rFonts w:hint="eastAsia" w:cs="Times New Roman"/>
                <w:szCs w:val="24"/>
              </w:rPr>
              <w:t>准限值要求。</w:t>
            </w:r>
          </w:p>
          <w:p w14:paraId="3726FA19">
            <w:pPr>
              <w:ind w:firstLine="480"/>
              <w:jc w:val="both"/>
              <w:rPr>
                <w:rFonts w:cs="Times New Roman"/>
                <w:szCs w:val="24"/>
              </w:rPr>
            </w:pPr>
            <w:r>
              <w:rPr>
                <w:rFonts w:cs="Times New Roman"/>
                <w:szCs w:val="24"/>
              </w:rPr>
              <w:t>本项目运营期污水</w:t>
            </w:r>
            <w:r>
              <w:rPr>
                <w:rFonts w:hint="eastAsia" w:cs="Times New Roman"/>
                <w:szCs w:val="24"/>
              </w:rPr>
              <w:t>依托良渚污水处理厂处理，</w:t>
            </w:r>
            <w:r>
              <w:rPr>
                <w:rFonts w:cs="Times New Roman"/>
                <w:szCs w:val="24"/>
              </w:rPr>
              <w:t>不会对地表水质量底线造成冲击。</w:t>
            </w:r>
          </w:p>
          <w:p w14:paraId="6D55594F">
            <w:pPr>
              <w:ind w:firstLine="480"/>
              <w:jc w:val="both"/>
              <w:rPr>
                <w:rFonts w:cs="Times New Roman"/>
                <w:szCs w:val="24"/>
              </w:rPr>
            </w:pPr>
            <w:r>
              <w:rPr>
                <w:rFonts w:cs="Times New Roman"/>
                <w:szCs w:val="24"/>
              </w:rPr>
              <w:t>综上，本项目实施后废气、废水、噪声经治理后均能达标排放，各类固废有效处置。根据环境影响分析，在采取本环评提出的相关防治措施后，各类污染物可达标排放，环境质量不会产生超标现象，本项目的实施不会对区域环境质量底线造成冲击。</w:t>
            </w:r>
          </w:p>
          <w:p w14:paraId="7E502FCB">
            <w:pPr>
              <w:ind w:firstLine="480"/>
              <w:jc w:val="both"/>
              <w:rPr>
                <w:rFonts w:cs="Times New Roman"/>
                <w:szCs w:val="24"/>
              </w:rPr>
            </w:pPr>
            <w:r>
              <w:rPr>
                <w:rFonts w:hint="eastAsia" w:cs="Times New Roman"/>
                <w:szCs w:val="24"/>
              </w:rPr>
              <w:t>c、资源利用上线</w:t>
            </w:r>
          </w:p>
          <w:p w14:paraId="654687F0">
            <w:pPr>
              <w:ind w:firstLine="480"/>
              <w:jc w:val="both"/>
              <w:rPr>
                <w:rFonts w:cs="Times New Roman"/>
                <w:szCs w:val="24"/>
              </w:rPr>
            </w:pPr>
            <w:r>
              <w:rPr>
                <w:rFonts w:cs="Times New Roman"/>
                <w:szCs w:val="24"/>
              </w:rPr>
              <w:t>本项目用水来自</w:t>
            </w:r>
            <w:r>
              <w:rPr>
                <w:rFonts w:hint="eastAsia" w:cs="Times New Roman"/>
                <w:szCs w:val="24"/>
              </w:rPr>
              <w:t>市政</w:t>
            </w:r>
            <w:r>
              <w:rPr>
                <w:rFonts w:cs="Times New Roman"/>
                <w:szCs w:val="24"/>
              </w:rPr>
              <w:t>供水管网。本项目建成运行后通过内部管理、设备选择、原辅材料的选用和管理、废物回收利用、污染治理等多方面采取合理可行的防治措施，以“节能、降耗、减污”为目标，有效地控制污染。项目的水、气等资源利用不会突破区域的资源利用上线</w:t>
            </w:r>
            <w:r>
              <w:rPr>
                <w:rFonts w:hint="eastAsia" w:cs="Times New Roman"/>
                <w:szCs w:val="24"/>
              </w:rPr>
              <w:t>。</w:t>
            </w:r>
          </w:p>
          <w:p w14:paraId="5DD9F281">
            <w:pPr>
              <w:ind w:firstLine="480"/>
              <w:jc w:val="both"/>
              <w:rPr>
                <w:rFonts w:cs="Times New Roman"/>
                <w:szCs w:val="24"/>
              </w:rPr>
            </w:pPr>
            <w:r>
              <w:rPr>
                <w:rFonts w:hint="eastAsia" w:cs="Times New Roman"/>
                <w:szCs w:val="24"/>
              </w:rPr>
              <w:t>d、环境准入负面清单</w:t>
            </w:r>
          </w:p>
          <w:p w14:paraId="0D39236C">
            <w:pPr>
              <w:ind w:firstLine="480"/>
              <w:jc w:val="both"/>
              <w:rPr>
                <w:rFonts w:cs="Times New Roman"/>
                <w:szCs w:val="24"/>
              </w:rPr>
            </w:pPr>
            <w:r>
              <w:rPr>
                <w:rFonts w:cs="Times New Roman"/>
                <w:szCs w:val="24"/>
              </w:rPr>
              <w:t>根据《杭州市生态环境分区管控动态更新方案》，本项目</w:t>
            </w:r>
            <w:r>
              <w:rPr>
                <w:rFonts w:hint="eastAsia" w:cs="Times New Roman"/>
                <w:szCs w:val="24"/>
              </w:rPr>
              <w:t>符合准入要求</w:t>
            </w:r>
            <w:r>
              <w:rPr>
                <w:rFonts w:cs="Times New Roman"/>
                <w:szCs w:val="24"/>
              </w:rPr>
              <w:t>。</w:t>
            </w:r>
          </w:p>
          <w:p w14:paraId="64109091">
            <w:pPr>
              <w:ind w:firstLine="480"/>
              <w:jc w:val="both"/>
              <w:rPr>
                <w:rFonts w:cs="Times New Roman"/>
                <w:szCs w:val="24"/>
              </w:rPr>
            </w:pPr>
            <w:r>
              <w:rPr>
                <w:rFonts w:cs="Times New Roman"/>
                <w:szCs w:val="24"/>
              </w:rPr>
              <w:t>综上，本项目符合“三线一单”控制要求。</w:t>
            </w:r>
          </w:p>
          <w:p w14:paraId="6A86FC91">
            <w:pPr>
              <w:ind w:firstLine="480"/>
              <w:jc w:val="both"/>
              <w:rPr>
                <w:rFonts w:cs="Times New Roman"/>
                <w:szCs w:val="24"/>
              </w:rPr>
            </w:pPr>
            <w:r>
              <w:rPr>
                <w:rFonts w:hint="eastAsia" w:cs="Times New Roman"/>
                <w:szCs w:val="24"/>
              </w:rPr>
              <w:t>（3）三区三线符合性分析</w:t>
            </w:r>
          </w:p>
          <w:p w14:paraId="5794241C">
            <w:pPr>
              <w:ind w:firstLine="480"/>
              <w:jc w:val="both"/>
              <w:rPr>
                <w:rFonts w:cs="Times New Roman"/>
                <w:szCs w:val="24"/>
              </w:rPr>
            </w:pPr>
            <w:r>
              <w:rPr>
                <w:rFonts w:hint="eastAsia" w:cs="Times New Roman"/>
                <w:szCs w:val="24"/>
              </w:rPr>
              <w:t>2022年9月30日，自然资源部同意浙江省启用“三区三线”划定成果，全省1652万亩永久基本农田、5514万亩生态保护红线以及1445万亩城镇开发边界的空间矢量数据全部上图落位，成为今后省域国土空间开发保护新格局的重要控制底线。</w:t>
            </w:r>
          </w:p>
          <w:p w14:paraId="693A336A">
            <w:pPr>
              <w:ind w:firstLine="480"/>
              <w:jc w:val="both"/>
              <w:rPr>
                <w:rFonts w:cs="Times New Roman"/>
                <w:szCs w:val="24"/>
              </w:rPr>
            </w:pPr>
            <w:r>
              <w:rPr>
                <w:rFonts w:hint="eastAsia" w:cs="Times New Roman"/>
                <w:szCs w:val="24"/>
              </w:rPr>
              <w:t>根据《关于启用"三区三线"划定成果的通知》及杭州市“三区三线”划定成果；</w:t>
            </w:r>
            <w:r>
              <w:rPr>
                <w:rFonts w:cs="Times New Roman"/>
                <w:szCs w:val="24"/>
              </w:rPr>
              <w:t>本项目位于杭州市</w:t>
            </w:r>
            <w:r>
              <w:rPr>
                <w:rFonts w:hint="eastAsia" w:cs="Times New Roman"/>
                <w:szCs w:val="24"/>
              </w:rPr>
              <w:t>余杭区</w:t>
            </w:r>
            <w:r>
              <w:rPr>
                <w:rFonts w:cs="Times New Roman"/>
                <w:szCs w:val="24"/>
              </w:rPr>
              <w:t>仁和街道三星路4号，</w:t>
            </w:r>
            <w:r>
              <w:rPr>
                <w:rFonts w:hint="eastAsia" w:cs="Times New Roman"/>
                <w:szCs w:val="24"/>
              </w:rPr>
              <w:t>属于</w:t>
            </w:r>
            <w:r>
              <w:rPr>
                <w:rFonts w:cs="Times New Roman"/>
                <w:szCs w:val="24"/>
              </w:rPr>
              <w:t>余杭区</w:t>
            </w:r>
            <w:r>
              <w:rPr>
                <w:rFonts w:hint="eastAsia" w:cs="Times New Roman"/>
                <w:szCs w:val="24"/>
              </w:rPr>
              <w:t>产业集聚重点管控区</w:t>
            </w:r>
            <w:r>
              <w:rPr>
                <w:rFonts w:cs="Times New Roman"/>
                <w:szCs w:val="24"/>
              </w:rPr>
              <w:t>，用地性质为工业用地。项目在生态空间划定的生态保护红线范围外，且周边无自然生态红线区，不触及生态保护红线</w:t>
            </w:r>
            <w:r>
              <w:rPr>
                <w:rFonts w:hint="eastAsia" w:cs="Times New Roman"/>
                <w:szCs w:val="24"/>
              </w:rPr>
              <w:t>。</w:t>
            </w:r>
          </w:p>
          <w:p w14:paraId="78D36343">
            <w:pPr>
              <w:ind w:firstLine="480"/>
              <w:jc w:val="both"/>
              <w:rPr>
                <w:rFonts w:cs="Times New Roman"/>
                <w:szCs w:val="24"/>
              </w:rPr>
            </w:pPr>
            <w:r>
              <w:rPr>
                <w:rFonts w:hint="eastAsia" w:cs="Times New Roman"/>
                <w:szCs w:val="24"/>
              </w:rPr>
              <w:t>二、排放污染物应当符合国家、省规定的污染物排放标准和重点污染物排放总量控制要求</w:t>
            </w:r>
          </w:p>
          <w:p w14:paraId="609407E9">
            <w:pPr>
              <w:ind w:firstLine="480"/>
              <w:jc w:val="both"/>
              <w:rPr>
                <w:rFonts w:cs="Times New Roman"/>
                <w:szCs w:val="24"/>
              </w:rPr>
            </w:pPr>
            <w:r>
              <w:rPr>
                <w:rFonts w:cs="Times New Roman"/>
                <w:szCs w:val="24"/>
              </w:rPr>
              <w:t>根据环境影响分析，预计项目实施后，废气经处理后可实现达标排放，</w:t>
            </w:r>
            <w:r>
              <w:rPr>
                <w:rFonts w:hint="eastAsia" w:cs="Times New Roman"/>
                <w:szCs w:val="24"/>
              </w:rPr>
              <w:t>排入良渚污水处理厂处理；</w:t>
            </w:r>
            <w:r>
              <w:rPr>
                <w:rFonts w:cs="Times New Roman"/>
                <w:szCs w:val="24"/>
              </w:rPr>
              <w:t>噪声可达标排放，各类固废均能得到合理化处置。</w:t>
            </w:r>
          </w:p>
          <w:p w14:paraId="2A00582D">
            <w:pPr>
              <w:ind w:firstLine="480"/>
              <w:jc w:val="both"/>
              <w:rPr>
                <w:rFonts w:cs="Times New Roman"/>
                <w:szCs w:val="24"/>
              </w:rPr>
            </w:pPr>
            <w:r>
              <w:rPr>
                <w:rFonts w:cs="Times New Roman"/>
                <w:szCs w:val="24"/>
              </w:rPr>
              <w:t>因此本项目排放污染物符合国家、省规定的污染物排放标准。本项目污染物排放总量新增指标可通过区域削减等途径解决。因此，本建设项目排放污染物符合国家、省规定的主要污染物排放总量控制要求</w:t>
            </w:r>
            <w:r>
              <w:rPr>
                <w:rFonts w:hint="eastAsia" w:cs="Times New Roman"/>
                <w:szCs w:val="24"/>
              </w:rPr>
              <w:t>。</w:t>
            </w:r>
          </w:p>
          <w:p w14:paraId="6A438AB7">
            <w:pPr>
              <w:ind w:firstLine="480"/>
              <w:jc w:val="both"/>
              <w:rPr>
                <w:rFonts w:cs="Times New Roman"/>
                <w:szCs w:val="24"/>
              </w:rPr>
            </w:pPr>
            <w:r>
              <w:rPr>
                <w:rFonts w:hint="eastAsia" w:cs="Times New Roman"/>
                <w:szCs w:val="24"/>
              </w:rPr>
              <w:t>三、国土空间规划、国家和省产业政策符合性分析</w:t>
            </w:r>
          </w:p>
          <w:p w14:paraId="3C2D7C8D">
            <w:pPr>
              <w:ind w:firstLine="480"/>
              <w:jc w:val="both"/>
              <w:rPr>
                <w:rFonts w:cs="Times New Roman"/>
                <w:szCs w:val="24"/>
              </w:rPr>
            </w:pPr>
            <w:r>
              <w:rPr>
                <w:rFonts w:hint="eastAsia" w:cs="Times New Roman"/>
                <w:szCs w:val="24"/>
              </w:rPr>
              <w:t>①土地利用规划符合性</w:t>
            </w:r>
          </w:p>
          <w:p w14:paraId="3810008B">
            <w:pPr>
              <w:ind w:firstLine="480"/>
              <w:jc w:val="both"/>
              <w:rPr>
                <w:rFonts w:cs="Times New Roman"/>
                <w:szCs w:val="24"/>
              </w:rPr>
            </w:pPr>
            <w:r>
              <w:rPr>
                <w:rFonts w:cs="Times New Roman"/>
                <w:szCs w:val="24"/>
              </w:rPr>
              <w:t>本项目位于杭州市</w:t>
            </w:r>
            <w:r>
              <w:rPr>
                <w:rFonts w:hint="eastAsia" w:cs="Times New Roman"/>
                <w:szCs w:val="24"/>
              </w:rPr>
              <w:t>余杭区</w:t>
            </w:r>
            <w:r>
              <w:rPr>
                <w:rFonts w:cs="Times New Roman"/>
                <w:szCs w:val="24"/>
              </w:rPr>
              <w:t>仁和街道三星路4号。根据</w:t>
            </w:r>
            <w:r>
              <w:rPr>
                <w:rFonts w:hint="eastAsia" w:cs="Times New Roman"/>
                <w:szCs w:val="24"/>
              </w:rPr>
              <w:t>余杭区国土空间规划及本项目</w:t>
            </w:r>
            <w:r>
              <w:rPr>
                <w:rFonts w:cs="Times New Roman"/>
                <w:szCs w:val="24"/>
              </w:rPr>
              <w:t>不动产权证，项目用地性质为工业用地，符合</w:t>
            </w:r>
            <w:r>
              <w:rPr>
                <w:rFonts w:hint="eastAsia" w:cs="Times New Roman"/>
                <w:szCs w:val="24"/>
              </w:rPr>
              <w:t>用地</w:t>
            </w:r>
            <w:r>
              <w:rPr>
                <w:rFonts w:cs="Times New Roman"/>
                <w:szCs w:val="24"/>
              </w:rPr>
              <w:t>规划要求</w:t>
            </w:r>
            <w:r>
              <w:rPr>
                <w:rFonts w:hint="eastAsia" w:cs="Times New Roman"/>
                <w:szCs w:val="24"/>
              </w:rPr>
              <w:t>。</w:t>
            </w:r>
          </w:p>
          <w:p w14:paraId="58F1ADBC">
            <w:pPr>
              <w:ind w:firstLine="480"/>
              <w:jc w:val="both"/>
              <w:rPr>
                <w:rFonts w:cs="Times New Roman"/>
                <w:szCs w:val="24"/>
              </w:rPr>
            </w:pPr>
            <w:r>
              <w:rPr>
                <w:rFonts w:cs="Times New Roman"/>
                <w:szCs w:val="24"/>
              </w:rPr>
              <w:t>②</w:t>
            </w:r>
            <w:r>
              <w:rPr>
                <w:rFonts w:hint="eastAsia" w:cs="Times New Roman"/>
                <w:szCs w:val="24"/>
              </w:rPr>
              <w:t>产业政策符合性分析</w:t>
            </w:r>
          </w:p>
          <w:p w14:paraId="4AA2EBF3">
            <w:pPr>
              <w:ind w:firstLine="480"/>
              <w:jc w:val="both"/>
              <w:rPr>
                <w:rFonts w:cs="Times New Roman"/>
                <w:szCs w:val="24"/>
              </w:rPr>
            </w:pPr>
            <w:r>
              <w:rPr>
                <w:rFonts w:hint="eastAsia" w:cs="Times New Roman"/>
                <w:szCs w:val="24"/>
              </w:rPr>
              <w:t>根据《产业结构调整指导目录（2024年本）》，本项目不属于限制类和淘汰类项目；不属于《市场准入负面清单（2025年版）》中禁止建设的项目；不属于《长江经济带发展负面清单指南（试行，2022年版）浙江省实施细则》(浙长江办〔2022〕6号)中禁止建设的项目；对照《杭州市产业发展导向目录（2024年本）》，本项目不属于淘汰、禁止及限制建设类项目。因此，本项目建设符合国家及地方的相关产业政策要求。</w:t>
            </w:r>
          </w:p>
          <w:p w14:paraId="67429D45">
            <w:pPr>
              <w:ind w:firstLine="420" w:firstLineChars="0"/>
              <w:jc w:val="both"/>
              <w:rPr>
                <w:rFonts w:cs="Times New Roman"/>
                <w:b/>
                <w:bCs/>
                <w:kern w:val="0"/>
                <w:sz w:val="21"/>
                <w:szCs w:val="21"/>
              </w:rPr>
            </w:pPr>
            <w:r>
              <w:rPr>
                <w:rFonts w:cs="Times New Roman"/>
                <w:b/>
                <w:bCs/>
                <w:kern w:val="0"/>
                <w:sz w:val="21"/>
                <w:szCs w:val="21"/>
              </w:rPr>
              <w:t>2、与其他政策符合性分析</w:t>
            </w:r>
          </w:p>
          <w:p w14:paraId="019851A9">
            <w:pPr>
              <w:ind w:firstLine="480"/>
              <w:jc w:val="both"/>
              <w:rPr>
                <w:rFonts w:cs="Times New Roman"/>
                <w:szCs w:val="24"/>
              </w:rPr>
            </w:pPr>
            <w:r>
              <w:rPr>
                <w:rFonts w:hint="eastAsia" w:cs="Times New Roman"/>
                <w:szCs w:val="24"/>
              </w:rPr>
              <w:t>一、“四性五不准”符合性分析</w:t>
            </w:r>
          </w:p>
          <w:p w14:paraId="4B8181F5">
            <w:pPr>
              <w:ind w:firstLine="480"/>
              <w:jc w:val="both"/>
              <w:rPr>
                <w:rFonts w:cs="Times New Roman"/>
                <w:szCs w:val="24"/>
              </w:rPr>
            </w:pPr>
            <w:r>
              <w:rPr>
                <w:rFonts w:cs="Times New Roman"/>
                <w:szCs w:val="24"/>
              </w:rPr>
              <w:t>根据</w:t>
            </w:r>
            <w:r>
              <w:rPr>
                <w:rFonts w:hint="eastAsia" w:cs="Times New Roman"/>
                <w:szCs w:val="24"/>
              </w:rPr>
              <w:t>《</w:t>
            </w:r>
            <w:r>
              <w:rPr>
                <w:rFonts w:cs="Times New Roman"/>
                <w:szCs w:val="24"/>
              </w:rPr>
              <w:t>建设项目环境保护管理条例</w:t>
            </w:r>
            <w:r>
              <w:rPr>
                <w:rFonts w:hint="eastAsia" w:cs="Times New Roman"/>
                <w:szCs w:val="24"/>
              </w:rPr>
              <w:t>》</w:t>
            </w:r>
            <w:r>
              <w:rPr>
                <w:rFonts w:cs="Times New Roman"/>
                <w:szCs w:val="24"/>
              </w:rPr>
              <w:t>（2017年07月16日修正版），本项目“四性五不准”符合性分析如下：</w:t>
            </w:r>
          </w:p>
          <w:p w14:paraId="42636B5F">
            <w:pPr>
              <w:pStyle w:val="14"/>
              <w:spacing w:before="156"/>
            </w:pPr>
            <w:r>
              <w:t xml:space="preserve">  “四性五不准”符合性分析</w:t>
            </w:r>
          </w:p>
          <w:tbl>
            <w:tblPr>
              <w:tblStyle w:val="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
              <w:gridCol w:w="2525"/>
              <w:gridCol w:w="3457"/>
              <w:gridCol w:w="1051"/>
            </w:tblGrid>
            <w:tr w14:paraId="5995EFC2">
              <w:trPr>
                <w:trHeight w:val="340" w:hRule="atLeast"/>
              </w:trPr>
              <w:tc>
                <w:tcPr>
                  <w:tcW w:w="2052" w:type="pct"/>
                  <w:gridSpan w:val="2"/>
                  <w:vAlign w:val="center"/>
                </w:tcPr>
                <w:p w14:paraId="7B1AF8DE">
                  <w:pPr>
                    <w:spacing w:line="240" w:lineRule="auto"/>
                    <w:ind w:firstLine="0" w:firstLineChars="0"/>
                    <w:jc w:val="center"/>
                    <w:rPr>
                      <w:rFonts w:cs="Times New Roman"/>
                      <w:bCs/>
                      <w:kern w:val="0"/>
                      <w:sz w:val="18"/>
                    </w:rPr>
                  </w:pPr>
                  <w:r>
                    <w:rPr>
                      <w:rFonts w:hint="eastAsia" w:cs="Times New Roman"/>
                      <w:bCs/>
                      <w:kern w:val="0"/>
                      <w:sz w:val="18"/>
                    </w:rPr>
                    <w:t>内容</w:t>
                  </w:r>
                </w:p>
              </w:tc>
              <w:tc>
                <w:tcPr>
                  <w:tcW w:w="2260" w:type="pct"/>
                  <w:vAlign w:val="center"/>
                </w:tcPr>
                <w:p w14:paraId="54CA694A">
                  <w:pPr>
                    <w:spacing w:line="240" w:lineRule="auto"/>
                    <w:ind w:firstLine="0" w:firstLineChars="0"/>
                    <w:jc w:val="center"/>
                    <w:rPr>
                      <w:rFonts w:cs="Times New Roman"/>
                      <w:bCs/>
                      <w:kern w:val="0"/>
                      <w:sz w:val="18"/>
                    </w:rPr>
                  </w:pPr>
                  <w:r>
                    <w:rPr>
                      <w:rFonts w:hint="eastAsia" w:cs="Times New Roman"/>
                      <w:bCs/>
                      <w:kern w:val="0"/>
                      <w:sz w:val="18"/>
                    </w:rPr>
                    <w:t>本项目情况</w:t>
                  </w:r>
                </w:p>
              </w:tc>
              <w:tc>
                <w:tcPr>
                  <w:tcW w:w="687" w:type="pct"/>
                  <w:vAlign w:val="center"/>
                </w:tcPr>
                <w:p w14:paraId="74361379">
                  <w:pPr>
                    <w:spacing w:line="240" w:lineRule="auto"/>
                    <w:ind w:firstLine="0" w:firstLineChars="0"/>
                    <w:jc w:val="center"/>
                    <w:rPr>
                      <w:rFonts w:cs="Times New Roman"/>
                      <w:bCs/>
                      <w:kern w:val="0"/>
                      <w:sz w:val="18"/>
                    </w:rPr>
                  </w:pPr>
                  <w:r>
                    <w:rPr>
                      <w:rFonts w:hint="eastAsia" w:cs="Times New Roman"/>
                      <w:bCs/>
                      <w:kern w:val="0"/>
                      <w:sz w:val="18"/>
                    </w:rPr>
                    <w:t>是否</w:t>
                  </w:r>
                  <w:r>
                    <w:rPr>
                      <w:rFonts w:cs="Times New Roman"/>
                      <w:bCs/>
                      <w:kern w:val="0"/>
                      <w:sz w:val="18"/>
                    </w:rPr>
                    <w:t>符合</w:t>
                  </w:r>
                </w:p>
              </w:tc>
            </w:tr>
            <w:tr w14:paraId="3F6FF2AE">
              <w:trPr>
                <w:trHeight w:val="340" w:hRule="atLeast"/>
              </w:trPr>
              <w:tc>
                <w:tcPr>
                  <w:tcW w:w="401" w:type="pct"/>
                  <w:vMerge w:val="restart"/>
                  <w:vAlign w:val="center"/>
                </w:tcPr>
                <w:p w14:paraId="681BC768">
                  <w:pPr>
                    <w:spacing w:line="240" w:lineRule="auto"/>
                    <w:ind w:firstLine="0" w:firstLineChars="0"/>
                    <w:jc w:val="center"/>
                    <w:rPr>
                      <w:rFonts w:cs="Times New Roman"/>
                      <w:bCs/>
                      <w:kern w:val="0"/>
                      <w:sz w:val="18"/>
                    </w:rPr>
                  </w:pPr>
                  <w:r>
                    <w:rPr>
                      <w:rFonts w:hint="eastAsia" w:cs="Times New Roman"/>
                      <w:bCs/>
                      <w:kern w:val="0"/>
                      <w:sz w:val="18"/>
                    </w:rPr>
                    <w:t>四性</w:t>
                  </w:r>
                </w:p>
              </w:tc>
              <w:tc>
                <w:tcPr>
                  <w:tcW w:w="1650" w:type="pct"/>
                  <w:vAlign w:val="center"/>
                </w:tcPr>
                <w:p w14:paraId="0CBDCA22">
                  <w:pPr>
                    <w:spacing w:line="240" w:lineRule="auto"/>
                    <w:ind w:firstLine="0" w:firstLineChars="0"/>
                    <w:rPr>
                      <w:rFonts w:cs="Times New Roman"/>
                      <w:bCs/>
                      <w:kern w:val="0"/>
                      <w:sz w:val="18"/>
                    </w:rPr>
                  </w:pPr>
                  <w:r>
                    <w:rPr>
                      <w:rFonts w:hint="eastAsia" w:cs="Times New Roman"/>
                      <w:bCs/>
                      <w:kern w:val="0"/>
                      <w:sz w:val="18"/>
                    </w:rPr>
                    <w:t>建设项目的环境可行性</w:t>
                  </w:r>
                </w:p>
              </w:tc>
              <w:tc>
                <w:tcPr>
                  <w:tcW w:w="2260" w:type="pct"/>
                  <w:vAlign w:val="center"/>
                </w:tcPr>
                <w:p w14:paraId="68003CA9">
                  <w:pPr>
                    <w:spacing w:line="240" w:lineRule="auto"/>
                    <w:ind w:firstLine="0" w:firstLineChars="0"/>
                    <w:rPr>
                      <w:rFonts w:cs="Times New Roman"/>
                      <w:bCs/>
                      <w:kern w:val="0"/>
                      <w:sz w:val="18"/>
                    </w:rPr>
                  </w:pPr>
                  <w:r>
                    <w:rPr>
                      <w:rFonts w:hint="eastAsia" w:cs="Times New Roman"/>
                      <w:bCs/>
                      <w:kern w:val="0"/>
                      <w:sz w:val="18"/>
                    </w:rPr>
                    <w:t>本项目符合产业政策、达标排放、选址规划、《杭州市生态环境分区管控动态更新方案》、总量控制原则及环境质量要求等，从环保角度看，本项目在所选场地上实施是可行的。</w:t>
                  </w:r>
                </w:p>
              </w:tc>
              <w:tc>
                <w:tcPr>
                  <w:tcW w:w="687" w:type="pct"/>
                  <w:vAlign w:val="center"/>
                </w:tcPr>
                <w:p w14:paraId="6C241614">
                  <w:pPr>
                    <w:spacing w:line="240" w:lineRule="auto"/>
                    <w:ind w:firstLine="0" w:firstLineChars="0"/>
                    <w:jc w:val="center"/>
                    <w:rPr>
                      <w:rFonts w:cs="Times New Roman"/>
                      <w:bCs/>
                      <w:kern w:val="0"/>
                      <w:sz w:val="18"/>
                    </w:rPr>
                  </w:pPr>
                  <w:r>
                    <w:rPr>
                      <w:rFonts w:hint="eastAsia" w:cs="Times New Roman"/>
                      <w:bCs/>
                      <w:kern w:val="0"/>
                      <w:sz w:val="18"/>
                    </w:rPr>
                    <w:t>符合</w:t>
                  </w:r>
                </w:p>
              </w:tc>
            </w:tr>
            <w:tr w14:paraId="62D8F1F0">
              <w:trPr>
                <w:trHeight w:val="340" w:hRule="atLeast"/>
              </w:trPr>
              <w:tc>
                <w:tcPr>
                  <w:tcW w:w="401" w:type="pct"/>
                  <w:vMerge w:val="continue"/>
                  <w:vAlign w:val="center"/>
                </w:tcPr>
                <w:p w14:paraId="44BDC8F7">
                  <w:pPr>
                    <w:spacing w:line="240" w:lineRule="auto"/>
                    <w:ind w:firstLine="0" w:firstLineChars="0"/>
                    <w:jc w:val="center"/>
                    <w:rPr>
                      <w:rFonts w:cs="Times New Roman"/>
                      <w:bCs/>
                      <w:kern w:val="0"/>
                      <w:sz w:val="18"/>
                    </w:rPr>
                  </w:pPr>
                </w:p>
              </w:tc>
              <w:tc>
                <w:tcPr>
                  <w:tcW w:w="1650" w:type="pct"/>
                  <w:vAlign w:val="center"/>
                </w:tcPr>
                <w:p w14:paraId="3FD377B5">
                  <w:pPr>
                    <w:spacing w:line="240" w:lineRule="auto"/>
                    <w:ind w:firstLine="0" w:firstLineChars="0"/>
                    <w:rPr>
                      <w:rFonts w:cs="Times New Roman"/>
                      <w:bCs/>
                      <w:kern w:val="0"/>
                      <w:sz w:val="18"/>
                    </w:rPr>
                  </w:pPr>
                  <w:r>
                    <w:rPr>
                      <w:rFonts w:hint="eastAsia" w:cs="Times New Roman"/>
                      <w:bCs/>
                      <w:kern w:val="0"/>
                      <w:sz w:val="18"/>
                    </w:rPr>
                    <w:t>环境影响分析预测评估的可靠性</w:t>
                  </w:r>
                </w:p>
              </w:tc>
              <w:tc>
                <w:tcPr>
                  <w:tcW w:w="2260" w:type="pct"/>
                  <w:vAlign w:val="center"/>
                </w:tcPr>
                <w:p w14:paraId="2EA43BA3">
                  <w:pPr>
                    <w:spacing w:line="240" w:lineRule="auto"/>
                    <w:ind w:firstLine="0" w:firstLineChars="0"/>
                    <w:rPr>
                      <w:rFonts w:cs="Times New Roman"/>
                      <w:bCs/>
                      <w:kern w:val="0"/>
                      <w:sz w:val="18"/>
                    </w:rPr>
                  </w:pPr>
                  <w:r>
                    <w:rPr>
                      <w:rFonts w:hint="eastAsia" w:cs="Times New Roman"/>
                      <w:bCs/>
                      <w:kern w:val="0"/>
                      <w:sz w:val="18"/>
                    </w:rPr>
                    <w:t>本评价类比同类型企业并根据本项目设计产能、原辅材料消耗量等进行废水、废气环境影响分析预测，参考《环境影响评价技术导则 声环境》（HJT2.4-2021）要求，对噪声影响进行了预测分析，其环境影响分析预测评估具有可靠性。</w:t>
                  </w:r>
                </w:p>
              </w:tc>
              <w:tc>
                <w:tcPr>
                  <w:tcW w:w="687" w:type="pct"/>
                  <w:vAlign w:val="center"/>
                </w:tcPr>
                <w:p w14:paraId="6D90B0BB">
                  <w:pPr>
                    <w:spacing w:line="240" w:lineRule="auto"/>
                    <w:ind w:firstLine="0" w:firstLineChars="0"/>
                    <w:jc w:val="center"/>
                    <w:rPr>
                      <w:rFonts w:cs="Times New Roman"/>
                      <w:bCs/>
                      <w:kern w:val="0"/>
                      <w:sz w:val="18"/>
                    </w:rPr>
                  </w:pPr>
                  <w:r>
                    <w:rPr>
                      <w:rFonts w:hint="eastAsia" w:cs="Times New Roman"/>
                      <w:bCs/>
                      <w:kern w:val="0"/>
                      <w:sz w:val="18"/>
                    </w:rPr>
                    <w:t>符合</w:t>
                  </w:r>
                </w:p>
              </w:tc>
            </w:tr>
            <w:tr w14:paraId="1405BC05">
              <w:trPr>
                <w:trHeight w:val="340" w:hRule="atLeast"/>
              </w:trPr>
              <w:tc>
                <w:tcPr>
                  <w:tcW w:w="401" w:type="pct"/>
                  <w:vMerge w:val="continue"/>
                  <w:vAlign w:val="center"/>
                </w:tcPr>
                <w:p w14:paraId="37C675B4">
                  <w:pPr>
                    <w:spacing w:line="240" w:lineRule="auto"/>
                    <w:ind w:firstLine="0" w:firstLineChars="0"/>
                    <w:jc w:val="center"/>
                    <w:rPr>
                      <w:rFonts w:cs="Times New Roman"/>
                      <w:bCs/>
                      <w:kern w:val="0"/>
                      <w:sz w:val="18"/>
                    </w:rPr>
                  </w:pPr>
                </w:p>
              </w:tc>
              <w:tc>
                <w:tcPr>
                  <w:tcW w:w="1650" w:type="pct"/>
                  <w:vAlign w:val="center"/>
                </w:tcPr>
                <w:p w14:paraId="539E5B59">
                  <w:pPr>
                    <w:spacing w:line="240" w:lineRule="auto"/>
                    <w:ind w:firstLine="0" w:firstLineChars="0"/>
                    <w:rPr>
                      <w:rFonts w:cs="Times New Roman"/>
                      <w:bCs/>
                      <w:kern w:val="0"/>
                      <w:sz w:val="18"/>
                    </w:rPr>
                  </w:pPr>
                  <w:r>
                    <w:rPr>
                      <w:rFonts w:hint="eastAsia" w:cs="Times New Roman"/>
                      <w:bCs/>
                      <w:kern w:val="0"/>
                      <w:sz w:val="18"/>
                    </w:rPr>
                    <w:t>环境保护措施的有效性</w:t>
                  </w:r>
                </w:p>
              </w:tc>
              <w:tc>
                <w:tcPr>
                  <w:tcW w:w="2260" w:type="pct"/>
                  <w:vAlign w:val="center"/>
                </w:tcPr>
                <w:p w14:paraId="7D2340D1">
                  <w:pPr>
                    <w:spacing w:line="240" w:lineRule="auto"/>
                    <w:ind w:firstLine="0" w:firstLineChars="0"/>
                    <w:rPr>
                      <w:rFonts w:cs="Times New Roman"/>
                      <w:bCs/>
                      <w:kern w:val="0"/>
                      <w:sz w:val="18"/>
                    </w:rPr>
                  </w:pPr>
                  <w:r>
                    <w:rPr>
                      <w:rFonts w:hint="eastAsia" w:cs="Times New Roman"/>
                      <w:bCs/>
                      <w:kern w:val="0"/>
                      <w:sz w:val="18"/>
                    </w:rPr>
                    <w:t>本项目只要切实落实本环评报告提出的各项污染防治措施，各类污染物均可得到有效控制并能做到达标排放或者不对外直接排放，因此其环境保护措施是可靠合理的。</w:t>
                  </w:r>
                </w:p>
              </w:tc>
              <w:tc>
                <w:tcPr>
                  <w:tcW w:w="687" w:type="pct"/>
                  <w:vAlign w:val="center"/>
                </w:tcPr>
                <w:p w14:paraId="4C7A89D0">
                  <w:pPr>
                    <w:spacing w:line="240" w:lineRule="auto"/>
                    <w:ind w:firstLine="0" w:firstLineChars="0"/>
                    <w:jc w:val="center"/>
                    <w:rPr>
                      <w:rFonts w:cs="Times New Roman"/>
                      <w:bCs/>
                      <w:kern w:val="0"/>
                      <w:sz w:val="18"/>
                    </w:rPr>
                  </w:pPr>
                  <w:r>
                    <w:rPr>
                      <w:rFonts w:hint="eastAsia" w:cs="Times New Roman"/>
                      <w:bCs/>
                      <w:kern w:val="0"/>
                      <w:sz w:val="18"/>
                    </w:rPr>
                    <w:t>符合</w:t>
                  </w:r>
                </w:p>
              </w:tc>
            </w:tr>
            <w:tr w14:paraId="13ABCC67">
              <w:trPr>
                <w:trHeight w:val="340" w:hRule="atLeast"/>
              </w:trPr>
              <w:tc>
                <w:tcPr>
                  <w:tcW w:w="401" w:type="pct"/>
                  <w:vMerge w:val="continue"/>
                  <w:vAlign w:val="center"/>
                </w:tcPr>
                <w:p w14:paraId="3B0ABBEC">
                  <w:pPr>
                    <w:spacing w:line="240" w:lineRule="auto"/>
                    <w:ind w:firstLine="0" w:firstLineChars="0"/>
                    <w:jc w:val="center"/>
                    <w:rPr>
                      <w:rFonts w:cs="Times New Roman"/>
                      <w:bCs/>
                      <w:kern w:val="0"/>
                      <w:sz w:val="18"/>
                    </w:rPr>
                  </w:pPr>
                </w:p>
              </w:tc>
              <w:tc>
                <w:tcPr>
                  <w:tcW w:w="1650" w:type="pct"/>
                  <w:vAlign w:val="center"/>
                </w:tcPr>
                <w:p w14:paraId="25D817BD">
                  <w:pPr>
                    <w:spacing w:line="240" w:lineRule="auto"/>
                    <w:ind w:firstLine="0" w:firstLineChars="0"/>
                    <w:rPr>
                      <w:rFonts w:cs="Times New Roman"/>
                      <w:bCs/>
                      <w:kern w:val="0"/>
                      <w:sz w:val="18"/>
                    </w:rPr>
                  </w:pPr>
                  <w:r>
                    <w:rPr>
                      <w:rFonts w:hint="eastAsia" w:cs="Times New Roman"/>
                      <w:bCs/>
                      <w:kern w:val="0"/>
                      <w:sz w:val="18"/>
                    </w:rPr>
                    <w:t>环境影响评价结论的科学性</w:t>
                  </w:r>
                </w:p>
              </w:tc>
              <w:tc>
                <w:tcPr>
                  <w:tcW w:w="2260" w:type="pct"/>
                  <w:vAlign w:val="center"/>
                </w:tcPr>
                <w:p w14:paraId="6E1380AE">
                  <w:pPr>
                    <w:spacing w:line="240" w:lineRule="auto"/>
                    <w:ind w:firstLine="0" w:firstLineChars="0"/>
                    <w:rPr>
                      <w:rFonts w:cs="Times New Roman"/>
                      <w:bCs/>
                      <w:kern w:val="0"/>
                      <w:sz w:val="18"/>
                    </w:rPr>
                  </w:pPr>
                  <w:r>
                    <w:rPr>
                      <w:rFonts w:hint="eastAsia" w:cs="Times New Roman"/>
                      <w:bCs/>
                      <w:kern w:val="0"/>
                      <w:sz w:val="18"/>
                    </w:rPr>
                    <w:t>本环评结论客观、过程公开、评价公正，并综合考虑建设项目实施后对各种环境因素可能造成的影响，环境结论是科学的。</w:t>
                  </w:r>
                </w:p>
              </w:tc>
              <w:tc>
                <w:tcPr>
                  <w:tcW w:w="687" w:type="pct"/>
                  <w:vAlign w:val="center"/>
                </w:tcPr>
                <w:p w14:paraId="7D3C76F0">
                  <w:pPr>
                    <w:spacing w:line="240" w:lineRule="auto"/>
                    <w:ind w:firstLine="0" w:firstLineChars="0"/>
                    <w:jc w:val="center"/>
                    <w:rPr>
                      <w:rFonts w:cs="Times New Roman"/>
                      <w:bCs/>
                      <w:kern w:val="0"/>
                      <w:sz w:val="18"/>
                    </w:rPr>
                  </w:pPr>
                  <w:r>
                    <w:rPr>
                      <w:rFonts w:hint="eastAsia" w:cs="Times New Roman"/>
                      <w:bCs/>
                      <w:kern w:val="0"/>
                      <w:sz w:val="18"/>
                    </w:rPr>
                    <w:t>符合</w:t>
                  </w:r>
                </w:p>
              </w:tc>
            </w:tr>
            <w:tr w14:paraId="48CF6D2E">
              <w:trPr>
                <w:trHeight w:val="340" w:hRule="atLeast"/>
              </w:trPr>
              <w:tc>
                <w:tcPr>
                  <w:tcW w:w="401" w:type="pct"/>
                  <w:vMerge w:val="restart"/>
                  <w:vAlign w:val="center"/>
                </w:tcPr>
                <w:p w14:paraId="40CD3E98">
                  <w:pPr>
                    <w:spacing w:line="240" w:lineRule="auto"/>
                    <w:ind w:firstLine="0" w:firstLineChars="0"/>
                    <w:jc w:val="center"/>
                    <w:rPr>
                      <w:rFonts w:cs="Times New Roman"/>
                      <w:bCs/>
                      <w:kern w:val="0"/>
                      <w:sz w:val="18"/>
                    </w:rPr>
                  </w:pPr>
                  <w:r>
                    <w:rPr>
                      <w:rFonts w:hint="eastAsia" w:cs="Times New Roman"/>
                      <w:bCs/>
                      <w:kern w:val="0"/>
                      <w:sz w:val="18"/>
                    </w:rPr>
                    <w:t>五不准</w:t>
                  </w:r>
                </w:p>
              </w:tc>
              <w:tc>
                <w:tcPr>
                  <w:tcW w:w="1650" w:type="pct"/>
                  <w:vAlign w:val="center"/>
                </w:tcPr>
                <w:p w14:paraId="1CE72962">
                  <w:pPr>
                    <w:spacing w:line="240" w:lineRule="auto"/>
                    <w:ind w:firstLine="0" w:firstLineChars="0"/>
                    <w:rPr>
                      <w:rFonts w:cs="Times New Roman"/>
                      <w:bCs/>
                      <w:kern w:val="0"/>
                      <w:sz w:val="18"/>
                    </w:rPr>
                  </w:pPr>
                  <w:r>
                    <w:rPr>
                      <w:rFonts w:hint="eastAsia" w:cs="Times New Roman"/>
                      <w:bCs/>
                      <w:kern w:val="0"/>
                      <w:sz w:val="18"/>
                    </w:rPr>
                    <w:t>建设项目类型及其选址、布局、规模等不符合环境保护法律法规和相关法定规定</w:t>
                  </w:r>
                </w:p>
              </w:tc>
              <w:tc>
                <w:tcPr>
                  <w:tcW w:w="2260" w:type="pct"/>
                  <w:vAlign w:val="center"/>
                </w:tcPr>
                <w:p w14:paraId="6B2B581C">
                  <w:pPr>
                    <w:spacing w:line="240" w:lineRule="auto"/>
                    <w:ind w:firstLine="0" w:firstLineChars="0"/>
                    <w:rPr>
                      <w:rFonts w:cs="Times New Roman"/>
                      <w:bCs/>
                      <w:kern w:val="0"/>
                      <w:sz w:val="18"/>
                    </w:rPr>
                  </w:pPr>
                  <w:r>
                    <w:rPr>
                      <w:rFonts w:hint="eastAsia" w:cs="Times New Roman"/>
                      <w:bCs/>
                      <w:kern w:val="0"/>
                      <w:sz w:val="18"/>
                    </w:rPr>
                    <w:t>本项目的建设符合当地国土空间规划，符合国家、地方产业政策，各类污染物均可得到有效控制并能做到达标排放或者不对外直接排放，对环境影响不大，环境风险很小，项目实施不会改变所在地环境质量水平和环境功能，可实现经济效益、社会效益、环境效益的统一，符合环境保护法律法规和相关法定规划。</w:t>
                  </w:r>
                </w:p>
              </w:tc>
              <w:tc>
                <w:tcPr>
                  <w:tcW w:w="687" w:type="pct"/>
                  <w:vAlign w:val="center"/>
                </w:tcPr>
                <w:p w14:paraId="78E01D42">
                  <w:pPr>
                    <w:spacing w:line="240" w:lineRule="auto"/>
                    <w:ind w:firstLine="0" w:firstLineChars="0"/>
                    <w:jc w:val="center"/>
                    <w:rPr>
                      <w:rFonts w:cs="Times New Roman"/>
                      <w:bCs/>
                      <w:kern w:val="0"/>
                      <w:sz w:val="18"/>
                    </w:rPr>
                  </w:pPr>
                  <w:r>
                    <w:rPr>
                      <w:rFonts w:hint="eastAsia" w:cs="Times New Roman"/>
                      <w:bCs/>
                      <w:kern w:val="0"/>
                      <w:sz w:val="18"/>
                    </w:rPr>
                    <w:t>符合</w:t>
                  </w:r>
                </w:p>
              </w:tc>
            </w:tr>
            <w:tr w14:paraId="037987D6">
              <w:trPr>
                <w:trHeight w:val="340" w:hRule="atLeast"/>
              </w:trPr>
              <w:tc>
                <w:tcPr>
                  <w:tcW w:w="401" w:type="pct"/>
                  <w:vMerge w:val="continue"/>
                  <w:vAlign w:val="center"/>
                </w:tcPr>
                <w:p w14:paraId="589C4F75">
                  <w:pPr>
                    <w:spacing w:line="240" w:lineRule="auto"/>
                    <w:ind w:firstLine="0" w:firstLineChars="0"/>
                    <w:jc w:val="center"/>
                    <w:rPr>
                      <w:rFonts w:cs="Times New Roman"/>
                      <w:bCs/>
                      <w:kern w:val="0"/>
                      <w:sz w:val="18"/>
                    </w:rPr>
                  </w:pPr>
                </w:p>
              </w:tc>
              <w:tc>
                <w:tcPr>
                  <w:tcW w:w="1650" w:type="pct"/>
                  <w:vAlign w:val="center"/>
                </w:tcPr>
                <w:p w14:paraId="7FA11BDC">
                  <w:pPr>
                    <w:spacing w:line="240" w:lineRule="auto"/>
                    <w:ind w:firstLine="0" w:firstLineChars="0"/>
                    <w:rPr>
                      <w:rFonts w:cs="Times New Roman"/>
                      <w:bCs/>
                      <w:kern w:val="0"/>
                      <w:sz w:val="18"/>
                    </w:rPr>
                  </w:pPr>
                  <w:r>
                    <w:rPr>
                      <w:rFonts w:hint="eastAsia" w:cs="Times New Roman"/>
                      <w:bCs/>
                      <w:kern w:val="0"/>
                      <w:sz w:val="18"/>
                    </w:rPr>
                    <w:t>所在区域环境质量未达到国家或者地方环境质量标准，且建设项目拟采取的措施不能满足区域环境质量改善目标管理要求</w:t>
                  </w:r>
                </w:p>
              </w:tc>
              <w:tc>
                <w:tcPr>
                  <w:tcW w:w="2260" w:type="pct"/>
                  <w:vAlign w:val="center"/>
                </w:tcPr>
                <w:p w14:paraId="62B6B763">
                  <w:pPr>
                    <w:spacing w:line="240" w:lineRule="auto"/>
                    <w:ind w:firstLine="0" w:firstLineChars="0"/>
                    <w:rPr>
                      <w:rFonts w:cs="Times New Roman"/>
                      <w:bCs/>
                      <w:kern w:val="0"/>
                      <w:sz w:val="18"/>
                    </w:rPr>
                  </w:pPr>
                  <w:r>
                    <w:rPr>
                      <w:rFonts w:hint="eastAsia" w:cs="Times New Roman"/>
                      <w:bCs/>
                      <w:kern w:val="0"/>
                      <w:sz w:val="18"/>
                    </w:rPr>
                    <w:t>本项目所在区域地表水、声环境及大气环境指标均满足相应的环境质量标准，在采取相关污染防治措施基础上，项目建成后不会降低区域环境质量等级。</w:t>
                  </w:r>
                </w:p>
              </w:tc>
              <w:tc>
                <w:tcPr>
                  <w:tcW w:w="687" w:type="pct"/>
                  <w:vAlign w:val="center"/>
                </w:tcPr>
                <w:p w14:paraId="16A64388">
                  <w:pPr>
                    <w:spacing w:line="240" w:lineRule="auto"/>
                    <w:ind w:firstLine="0" w:firstLineChars="0"/>
                    <w:jc w:val="center"/>
                    <w:rPr>
                      <w:rFonts w:cs="Times New Roman"/>
                      <w:bCs/>
                      <w:kern w:val="0"/>
                      <w:sz w:val="18"/>
                    </w:rPr>
                  </w:pPr>
                  <w:r>
                    <w:rPr>
                      <w:rFonts w:hint="eastAsia" w:cs="Times New Roman"/>
                      <w:bCs/>
                      <w:kern w:val="0"/>
                      <w:sz w:val="18"/>
                    </w:rPr>
                    <w:t>符合</w:t>
                  </w:r>
                </w:p>
              </w:tc>
            </w:tr>
            <w:tr w14:paraId="729A4955">
              <w:trPr>
                <w:trHeight w:val="340" w:hRule="atLeast"/>
              </w:trPr>
              <w:tc>
                <w:tcPr>
                  <w:tcW w:w="401" w:type="pct"/>
                  <w:vMerge w:val="continue"/>
                  <w:vAlign w:val="center"/>
                </w:tcPr>
                <w:p w14:paraId="685CBE88">
                  <w:pPr>
                    <w:spacing w:line="240" w:lineRule="auto"/>
                    <w:ind w:firstLine="0" w:firstLineChars="0"/>
                    <w:jc w:val="center"/>
                    <w:rPr>
                      <w:rFonts w:cs="Times New Roman"/>
                      <w:bCs/>
                      <w:kern w:val="0"/>
                      <w:sz w:val="18"/>
                    </w:rPr>
                  </w:pPr>
                </w:p>
              </w:tc>
              <w:tc>
                <w:tcPr>
                  <w:tcW w:w="1650" w:type="pct"/>
                  <w:vAlign w:val="center"/>
                </w:tcPr>
                <w:p w14:paraId="49066489">
                  <w:pPr>
                    <w:spacing w:line="240" w:lineRule="auto"/>
                    <w:ind w:firstLine="0" w:firstLineChars="0"/>
                    <w:rPr>
                      <w:rFonts w:cs="Times New Roman"/>
                      <w:bCs/>
                      <w:kern w:val="0"/>
                      <w:sz w:val="18"/>
                    </w:rPr>
                  </w:pPr>
                  <w:r>
                    <w:rPr>
                      <w:rFonts w:hint="eastAsia" w:cs="Times New Roman"/>
                      <w:bCs/>
                      <w:kern w:val="0"/>
                      <w:sz w:val="18"/>
                    </w:rPr>
                    <w:t>建设项目采取的污染防治措施无法确保污染物排放达到国家和地方排放标准，或者未采取必要措施预防和控制生态破坏</w:t>
                  </w:r>
                </w:p>
              </w:tc>
              <w:tc>
                <w:tcPr>
                  <w:tcW w:w="2260" w:type="pct"/>
                  <w:vAlign w:val="center"/>
                </w:tcPr>
                <w:p w14:paraId="154BC2A6">
                  <w:pPr>
                    <w:spacing w:line="240" w:lineRule="auto"/>
                    <w:ind w:firstLine="0" w:firstLineChars="0"/>
                    <w:rPr>
                      <w:rFonts w:cs="Times New Roman"/>
                      <w:bCs/>
                      <w:kern w:val="0"/>
                      <w:sz w:val="18"/>
                    </w:rPr>
                  </w:pPr>
                  <w:r>
                    <w:rPr>
                      <w:rFonts w:hint="eastAsia" w:cs="Times New Roman"/>
                      <w:bCs/>
                      <w:kern w:val="0"/>
                      <w:sz w:val="18"/>
                    </w:rPr>
                    <w:t>只要切实落实本环评报告提出的各项污染防治措施，各类污染物均可得到有效控制并能做到达标排放，因此其环境保护措施是可靠合理的。</w:t>
                  </w:r>
                </w:p>
              </w:tc>
              <w:tc>
                <w:tcPr>
                  <w:tcW w:w="687" w:type="pct"/>
                  <w:vAlign w:val="center"/>
                </w:tcPr>
                <w:p w14:paraId="16771CD8">
                  <w:pPr>
                    <w:spacing w:line="240" w:lineRule="auto"/>
                    <w:ind w:firstLine="0" w:firstLineChars="0"/>
                    <w:jc w:val="center"/>
                    <w:rPr>
                      <w:rFonts w:cs="Times New Roman"/>
                      <w:bCs/>
                      <w:kern w:val="0"/>
                      <w:sz w:val="18"/>
                    </w:rPr>
                  </w:pPr>
                  <w:r>
                    <w:rPr>
                      <w:rFonts w:hint="eastAsia" w:cs="Times New Roman"/>
                      <w:bCs/>
                      <w:kern w:val="0"/>
                      <w:sz w:val="18"/>
                    </w:rPr>
                    <w:t>符合</w:t>
                  </w:r>
                </w:p>
              </w:tc>
            </w:tr>
            <w:tr w14:paraId="4B71604E">
              <w:trPr>
                <w:trHeight w:val="340" w:hRule="atLeast"/>
              </w:trPr>
              <w:tc>
                <w:tcPr>
                  <w:tcW w:w="401" w:type="pct"/>
                  <w:vMerge w:val="continue"/>
                  <w:vAlign w:val="center"/>
                </w:tcPr>
                <w:p w14:paraId="23FC2AEE">
                  <w:pPr>
                    <w:spacing w:line="240" w:lineRule="auto"/>
                    <w:ind w:firstLine="0" w:firstLineChars="0"/>
                    <w:jc w:val="center"/>
                    <w:rPr>
                      <w:rFonts w:cs="Times New Roman"/>
                      <w:bCs/>
                      <w:kern w:val="0"/>
                      <w:sz w:val="18"/>
                    </w:rPr>
                  </w:pPr>
                </w:p>
              </w:tc>
              <w:tc>
                <w:tcPr>
                  <w:tcW w:w="1650" w:type="pct"/>
                  <w:vAlign w:val="center"/>
                </w:tcPr>
                <w:p w14:paraId="1C07B96A">
                  <w:pPr>
                    <w:spacing w:line="240" w:lineRule="auto"/>
                    <w:ind w:firstLine="0" w:firstLineChars="0"/>
                    <w:rPr>
                      <w:rFonts w:cs="Times New Roman"/>
                      <w:bCs/>
                      <w:kern w:val="0"/>
                      <w:sz w:val="18"/>
                    </w:rPr>
                  </w:pPr>
                  <w:r>
                    <w:rPr>
                      <w:rFonts w:hint="eastAsia" w:cs="Times New Roman"/>
                      <w:bCs/>
                      <w:kern w:val="0"/>
                      <w:sz w:val="18"/>
                    </w:rPr>
                    <w:t>改建、扩建和技术改造项目，未针对项目原有环境污染和生态破坏提出有效防治措施</w:t>
                  </w:r>
                </w:p>
              </w:tc>
              <w:tc>
                <w:tcPr>
                  <w:tcW w:w="2260" w:type="pct"/>
                  <w:vAlign w:val="center"/>
                </w:tcPr>
                <w:p w14:paraId="6F60DFE3">
                  <w:pPr>
                    <w:spacing w:line="240" w:lineRule="auto"/>
                    <w:ind w:firstLine="0" w:firstLineChars="0"/>
                    <w:rPr>
                      <w:rFonts w:cs="Times New Roman"/>
                      <w:bCs/>
                      <w:kern w:val="0"/>
                      <w:sz w:val="18"/>
                    </w:rPr>
                  </w:pPr>
                  <w:r>
                    <w:rPr>
                      <w:rFonts w:hint="eastAsia" w:cs="Times New Roman"/>
                      <w:bCs/>
                      <w:kern w:val="0"/>
                      <w:sz w:val="18"/>
                    </w:rPr>
                    <w:t>本项目属于改建项目，涉及原有环境污染问题已在下文现有工程章节进行补充分析</w:t>
                  </w:r>
                </w:p>
              </w:tc>
              <w:tc>
                <w:tcPr>
                  <w:tcW w:w="687" w:type="pct"/>
                  <w:vAlign w:val="center"/>
                </w:tcPr>
                <w:p w14:paraId="7279F322">
                  <w:pPr>
                    <w:spacing w:line="240" w:lineRule="auto"/>
                    <w:ind w:firstLine="0" w:firstLineChars="0"/>
                    <w:jc w:val="center"/>
                    <w:rPr>
                      <w:rFonts w:cs="Times New Roman"/>
                      <w:bCs/>
                      <w:kern w:val="0"/>
                      <w:sz w:val="18"/>
                    </w:rPr>
                  </w:pPr>
                  <w:r>
                    <w:rPr>
                      <w:rFonts w:hint="eastAsia" w:cs="Times New Roman"/>
                      <w:bCs/>
                      <w:kern w:val="0"/>
                      <w:sz w:val="18"/>
                    </w:rPr>
                    <w:t>符合</w:t>
                  </w:r>
                </w:p>
              </w:tc>
            </w:tr>
            <w:tr w14:paraId="52A127E6">
              <w:trPr>
                <w:trHeight w:val="340" w:hRule="atLeast"/>
              </w:trPr>
              <w:tc>
                <w:tcPr>
                  <w:tcW w:w="401" w:type="pct"/>
                  <w:vMerge w:val="continue"/>
                  <w:vAlign w:val="center"/>
                </w:tcPr>
                <w:p w14:paraId="57885B0A">
                  <w:pPr>
                    <w:spacing w:line="240" w:lineRule="auto"/>
                    <w:ind w:firstLine="0" w:firstLineChars="0"/>
                    <w:jc w:val="center"/>
                    <w:rPr>
                      <w:rFonts w:cs="Times New Roman"/>
                      <w:bCs/>
                      <w:kern w:val="0"/>
                      <w:sz w:val="18"/>
                    </w:rPr>
                  </w:pPr>
                </w:p>
              </w:tc>
              <w:tc>
                <w:tcPr>
                  <w:tcW w:w="1650" w:type="pct"/>
                  <w:vAlign w:val="center"/>
                </w:tcPr>
                <w:p w14:paraId="25196C25">
                  <w:pPr>
                    <w:spacing w:line="240" w:lineRule="auto"/>
                    <w:ind w:firstLine="0" w:firstLineChars="0"/>
                    <w:rPr>
                      <w:rFonts w:cs="Times New Roman"/>
                      <w:bCs/>
                      <w:kern w:val="0"/>
                      <w:sz w:val="18"/>
                    </w:rPr>
                  </w:pPr>
                  <w:r>
                    <w:rPr>
                      <w:rFonts w:hint="eastAsia" w:cs="Times New Roman"/>
                      <w:bCs/>
                      <w:kern w:val="0"/>
                      <w:sz w:val="18"/>
                    </w:rPr>
                    <w:t>建设项目的环境影响报告书、环境影响报告表的基础资料数据明显不实，内容存在重大缺陷、遗漏，或者环境影响评价结论不明确、不合理</w:t>
                  </w:r>
                </w:p>
              </w:tc>
              <w:tc>
                <w:tcPr>
                  <w:tcW w:w="2260" w:type="pct"/>
                  <w:vAlign w:val="center"/>
                </w:tcPr>
                <w:p w14:paraId="5B56954A">
                  <w:pPr>
                    <w:spacing w:line="240" w:lineRule="auto"/>
                    <w:ind w:firstLine="0" w:firstLineChars="0"/>
                    <w:rPr>
                      <w:rFonts w:cs="Times New Roman"/>
                      <w:bCs/>
                      <w:kern w:val="0"/>
                      <w:sz w:val="18"/>
                    </w:rPr>
                  </w:pPr>
                  <w:r>
                    <w:rPr>
                      <w:rFonts w:hint="eastAsia" w:cs="Times New Roman"/>
                      <w:bCs/>
                      <w:kern w:val="0"/>
                      <w:sz w:val="18"/>
                    </w:rPr>
                    <w:t>本报告基础资料数据具有真实性。</w:t>
                  </w:r>
                </w:p>
              </w:tc>
              <w:tc>
                <w:tcPr>
                  <w:tcW w:w="687" w:type="pct"/>
                  <w:vAlign w:val="center"/>
                </w:tcPr>
                <w:p w14:paraId="23AA2D86">
                  <w:pPr>
                    <w:spacing w:line="240" w:lineRule="auto"/>
                    <w:ind w:firstLine="0" w:firstLineChars="0"/>
                    <w:jc w:val="center"/>
                    <w:rPr>
                      <w:rFonts w:cs="Times New Roman"/>
                      <w:bCs/>
                      <w:kern w:val="0"/>
                      <w:sz w:val="18"/>
                    </w:rPr>
                  </w:pPr>
                  <w:r>
                    <w:rPr>
                      <w:rFonts w:hint="eastAsia" w:cs="Times New Roman"/>
                      <w:bCs/>
                      <w:kern w:val="0"/>
                      <w:sz w:val="18"/>
                    </w:rPr>
                    <w:t>符合</w:t>
                  </w:r>
                </w:p>
              </w:tc>
            </w:tr>
          </w:tbl>
          <w:p w14:paraId="0B848191">
            <w:pPr>
              <w:ind w:firstLine="480"/>
              <w:jc w:val="both"/>
              <w:rPr>
                <w:rFonts w:cs="Times New Roman"/>
                <w:szCs w:val="24"/>
              </w:rPr>
            </w:pPr>
            <w:r>
              <w:rPr>
                <w:rFonts w:hint="eastAsia" w:cs="Times New Roman"/>
                <w:szCs w:val="24"/>
              </w:rPr>
              <w:t>二、关于印发太湖流域水环境综合治理总体方案的通知（发改地区〔2022〕959号）的符合性分析</w:t>
            </w:r>
          </w:p>
          <w:p w14:paraId="756B5770">
            <w:pPr>
              <w:ind w:firstLine="480"/>
              <w:jc w:val="both"/>
              <w:rPr>
                <w:rFonts w:cs="Times New Roman"/>
                <w:szCs w:val="24"/>
              </w:rPr>
            </w:pPr>
            <w:r>
              <w:rPr>
                <w:rFonts w:hint="eastAsia" w:cs="Times New Roman"/>
                <w:szCs w:val="24"/>
              </w:rPr>
              <w:t>根据发改地区〔2022〕959号关于印发《太湖流域水环境综合治理总体方案》的通知，本项目具体相符性分析如下。</w:t>
            </w:r>
          </w:p>
          <w:p w14:paraId="320653A2">
            <w:pPr>
              <w:pStyle w:val="14"/>
              <w:spacing w:before="156"/>
            </w:pPr>
            <w:r>
              <w:t xml:space="preserve">  《太湖流域水环境综合治理总体方案》符合性分析</w:t>
            </w:r>
          </w:p>
          <w:tbl>
            <w:tblPr>
              <w:tblStyle w:val="1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121"/>
              <w:gridCol w:w="2107"/>
              <w:gridCol w:w="693"/>
            </w:tblGrid>
            <w:tr w14:paraId="562CD71F">
              <w:trPr>
                <w:trHeight w:val="340" w:hRule="atLeast"/>
              </w:trPr>
              <w:tc>
                <w:tcPr>
                  <w:tcW w:w="476" w:type="pct"/>
                  <w:vAlign w:val="center"/>
                </w:tcPr>
                <w:p w14:paraId="37C32FB7">
                  <w:pPr>
                    <w:spacing w:line="240" w:lineRule="auto"/>
                    <w:ind w:firstLine="0" w:firstLineChars="0"/>
                    <w:jc w:val="center"/>
                    <w:rPr>
                      <w:rFonts w:cs="Times New Roman"/>
                      <w:bCs/>
                      <w:kern w:val="0"/>
                      <w:sz w:val="18"/>
                    </w:rPr>
                  </w:pPr>
                  <w:r>
                    <w:rPr>
                      <w:rFonts w:hint="eastAsia" w:cs="Times New Roman"/>
                      <w:bCs/>
                      <w:kern w:val="0"/>
                      <w:sz w:val="18"/>
                    </w:rPr>
                    <w:t>序号</w:t>
                  </w:r>
                </w:p>
              </w:tc>
              <w:tc>
                <w:tcPr>
                  <w:tcW w:w="2693" w:type="pct"/>
                  <w:vAlign w:val="center"/>
                </w:tcPr>
                <w:p w14:paraId="560A4C5B">
                  <w:pPr>
                    <w:spacing w:line="240" w:lineRule="auto"/>
                    <w:ind w:firstLine="0" w:firstLineChars="0"/>
                    <w:jc w:val="center"/>
                    <w:rPr>
                      <w:rFonts w:cs="Times New Roman"/>
                      <w:bCs/>
                      <w:kern w:val="0"/>
                      <w:sz w:val="18"/>
                    </w:rPr>
                  </w:pPr>
                  <w:r>
                    <w:rPr>
                      <w:rFonts w:hint="eastAsia" w:cs="Times New Roman"/>
                      <w:bCs/>
                      <w:kern w:val="0"/>
                      <w:sz w:val="18"/>
                    </w:rPr>
                    <w:t>文件要求</w:t>
                  </w:r>
                </w:p>
              </w:tc>
              <w:tc>
                <w:tcPr>
                  <w:tcW w:w="1377" w:type="pct"/>
                  <w:vAlign w:val="center"/>
                </w:tcPr>
                <w:p w14:paraId="642026D5">
                  <w:pPr>
                    <w:spacing w:line="240" w:lineRule="auto"/>
                    <w:ind w:firstLine="0" w:firstLineChars="0"/>
                    <w:jc w:val="center"/>
                    <w:rPr>
                      <w:rFonts w:cs="Times New Roman"/>
                      <w:bCs/>
                      <w:kern w:val="0"/>
                      <w:sz w:val="18"/>
                    </w:rPr>
                  </w:pPr>
                  <w:r>
                    <w:rPr>
                      <w:rFonts w:hint="eastAsia" w:cs="Times New Roman"/>
                      <w:bCs/>
                      <w:kern w:val="0"/>
                      <w:sz w:val="18"/>
                    </w:rPr>
                    <w:t>本项目情况</w:t>
                  </w:r>
                </w:p>
              </w:tc>
              <w:tc>
                <w:tcPr>
                  <w:tcW w:w="452" w:type="pct"/>
                  <w:vAlign w:val="center"/>
                </w:tcPr>
                <w:p w14:paraId="407EA92C">
                  <w:pPr>
                    <w:spacing w:line="240" w:lineRule="auto"/>
                    <w:ind w:firstLine="0" w:firstLineChars="0"/>
                    <w:jc w:val="center"/>
                    <w:rPr>
                      <w:rFonts w:cs="Times New Roman"/>
                      <w:bCs/>
                      <w:kern w:val="0"/>
                      <w:sz w:val="18"/>
                    </w:rPr>
                  </w:pPr>
                  <w:r>
                    <w:rPr>
                      <w:rFonts w:hint="eastAsia" w:cs="Times New Roman"/>
                      <w:bCs/>
                      <w:kern w:val="0"/>
                      <w:sz w:val="18"/>
                    </w:rPr>
                    <w:t>是否符合</w:t>
                  </w:r>
                </w:p>
              </w:tc>
            </w:tr>
            <w:tr w14:paraId="4AA4D5F8">
              <w:trPr>
                <w:trHeight w:val="340" w:hRule="atLeast"/>
              </w:trPr>
              <w:tc>
                <w:tcPr>
                  <w:tcW w:w="476" w:type="pct"/>
                  <w:vAlign w:val="center"/>
                </w:tcPr>
                <w:p w14:paraId="1145ADCF">
                  <w:pPr>
                    <w:spacing w:line="240" w:lineRule="auto"/>
                    <w:ind w:firstLine="0" w:firstLineChars="0"/>
                    <w:jc w:val="center"/>
                    <w:rPr>
                      <w:rFonts w:cs="Times New Roman"/>
                      <w:bCs/>
                      <w:kern w:val="0"/>
                      <w:sz w:val="18"/>
                    </w:rPr>
                  </w:pPr>
                  <w:r>
                    <w:rPr>
                      <w:rFonts w:hint="eastAsia" w:cs="Times New Roman"/>
                      <w:bCs/>
                      <w:kern w:val="0"/>
                      <w:sz w:val="18"/>
                    </w:rPr>
                    <w:t>1</w:t>
                  </w:r>
                </w:p>
              </w:tc>
              <w:tc>
                <w:tcPr>
                  <w:tcW w:w="2693" w:type="pct"/>
                  <w:vAlign w:val="center"/>
                </w:tcPr>
                <w:p w14:paraId="3929A71B">
                  <w:pPr>
                    <w:spacing w:line="240" w:lineRule="auto"/>
                    <w:ind w:firstLine="0" w:firstLineChars="0"/>
                    <w:jc w:val="both"/>
                    <w:rPr>
                      <w:rFonts w:cs="Times New Roman"/>
                      <w:bCs/>
                      <w:kern w:val="0"/>
                      <w:sz w:val="18"/>
                    </w:rPr>
                  </w:pPr>
                  <w:r>
                    <w:rPr>
                      <w:rFonts w:hint="eastAsia" w:cs="Times New Roman"/>
                      <w:bCs/>
                      <w:kern w:val="0"/>
                      <w:sz w:val="18"/>
                    </w:rPr>
                    <w:t>督促企业依法持证排污、按证排污，严格落实总磷许可排放浓度和许可排放量要求。持续强化涉水行业污染整治，基于水生态环境质量改善需要，大力推进印染、化工、造纸、钢铁、电镀、食品(啤酒、味精)等重点行业企业废水深度处理。实施工业园区限值限量管理，全面推进工业园区污水管网排查整治和污水收集处理设施建设，加快实施管网混错接改造、管网更新、破损修复改造等，依法推动园区生产废水应纳尽纳。推进化工园区雨污分流改造和初期雨水收集处理，鼓励有条件的园区实施化工企业废水分类收集、分质处理、一企一管、明管输送、实时监测。</w:t>
                  </w:r>
                </w:p>
              </w:tc>
              <w:tc>
                <w:tcPr>
                  <w:tcW w:w="1377" w:type="pct"/>
                  <w:vAlign w:val="center"/>
                </w:tcPr>
                <w:p w14:paraId="0DFC8689">
                  <w:pPr>
                    <w:spacing w:line="240" w:lineRule="auto"/>
                    <w:ind w:firstLine="0" w:firstLineChars="0"/>
                    <w:jc w:val="both"/>
                    <w:rPr>
                      <w:rFonts w:cs="Times New Roman"/>
                      <w:bCs/>
                      <w:kern w:val="0"/>
                      <w:sz w:val="18"/>
                    </w:rPr>
                  </w:pPr>
                  <w:r>
                    <w:rPr>
                      <w:rFonts w:hint="eastAsia" w:cs="Times New Roman"/>
                      <w:bCs/>
                      <w:kern w:val="0"/>
                      <w:sz w:val="18"/>
                    </w:rPr>
                    <w:t>本项目处于环评阶段，将按照相关要求申领排污许可证，严格落实企业排污主体责任，本项目属二类工业项目，不属于重点行业企业，项目依托现有雨污管网，实施雨污分流制。</w:t>
                  </w:r>
                </w:p>
              </w:tc>
              <w:tc>
                <w:tcPr>
                  <w:tcW w:w="452" w:type="pct"/>
                  <w:vAlign w:val="center"/>
                </w:tcPr>
                <w:p w14:paraId="2BC1F370">
                  <w:pPr>
                    <w:spacing w:line="240" w:lineRule="auto"/>
                    <w:ind w:firstLine="0" w:firstLineChars="0"/>
                    <w:jc w:val="center"/>
                    <w:rPr>
                      <w:rFonts w:cs="Times New Roman"/>
                      <w:bCs/>
                      <w:kern w:val="0"/>
                      <w:sz w:val="18"/>
                    </w:rPr>
                  </w:pPr>
                  <w:r>
                    <w:rPr>
                      <w:rFonts w:hint="eastAsia" w:cs="Times New Roman"/>
                      <w:bCs/>
                      <w:kern w:val="0"/>
                      <w:sz w:val="18"/>
                    </w:rPr>
                    <w:t>符合</w:t>
                  </w:r>
                </w:p>
              </w:tc>
            </w:tr>
            <w:tr w14:paraId="44071467">
              <w:trPr>
                <w:trHeight w:val="340" w:hRule="atLeast"/>
              </w:trPr>
              <w:tc>
                <w:tcPr>
                  <w:tcW w:w="476" w:type="pct"/>
                  <w:vAlign w:val="center"/>
                </w:tcPr>
                <w:p w14:paraId="30B17378">
                  <w:pPr>
                    <w:spacing w:line="240" w:lineRule="auto"/>
                    <w:ind w:firstLine="0" w:firstLineChars="0"/>
                    <w:jc w:val="center"/>
                    <w:rPr>
                      <w:rFonts w:cs="Times New Roman"/>
                      <w:bCs/>
                      <w:kern w:val="0"/>
                      <w:sz w:val="18"/>
                    </w:rPr>
                  </w:pPr>
                  <w:r>
                    <w:rPr>
                      <w:rFonts w:hint="eastAsia" w:cs="Times New Roman"/>
                      <w:bCs/>
                      <w:kern w:val="0"/>
                      <w:sz w:val="18"/>
                    </w:rPr>
                    <w:t>2</w:t>
                  </w:r>
                </w:p>
              </w:tc>
              <w:tc>
                <w:tcPr>
                  <w:tcW w:w="2693" w:type="pct"/>
                  <w:vAlign w:val="center"/>
                </w:tcPr>
                <w:p w14:paraId="22A79D69">
                  <w:pPr>
                    <w:spacing w:line="240" w:lineRule="auto"/>
                    <w:ind w:firstLine="0" w:firstLineChars="0"/>
                    <w:jc w:val="both"/>
                    <w:rPr>
                      <w:rFonts w:cs="Times New Roman"/>
                      <w:bCs/>
                      <w:kern w:val="0"/>
                      <w:sz w:val="18"/>
                    </w:rPr>
                  </w:pPr>
                  <w:r>
                    <w:rPr>
                      <w:rFonts w:hint="eastAsia" w:cs="Times New Roman"/>
                      <w:bCs/>
                      <w:kern w:val="0"/>
                      <w:sz w:val="18"/>
                    </w:rPr>
                    <w:t>加快城中村、老旧城区、新建小区、城乡结合部污水收集管网建设，加强洗车、洗衣等服务行业污水收集，加快补齐城镇污水收集管网短板。加快完善城镇污水管网修复改造，实施混错接、漏接、老旧破损管网更新修复，提升污水收集效能。加强新改建地区雨污分流，逐步推进雨污分流管网改造。因地制宜实施排水管网改造，降低溢流污染。到2025年，基本实现城市和县城污水管网全覆盖。因地制宜加快连接港区管网建设，做好船舶生活污水收集处理。</w:t>
                  </w:r>
                </w:p>
              </w:tc>
              <w:tc>
                <w:tcPr>
                  <w:tcW w:w="1377" w:type="pct"/>
                  <w:vAlign w:val="center"/>
                </w:tcPr>
                <w:p w14:paraId="134E7E51">
                  <w:pPr>
                    <w:spacing w:line="240" w:lineRule="auto"/>
                    <w:ind w:firstLine="0" w:firstLineChars="0"/>
                    <w:jc w:val="both"/>
                    <w:rPr>
                      <w:rFonts w:cs="Times New Roman"/>
                      <w:bCs/>
                      <w:kern w:val="0"/>
                      <w:sz w:val="18"/>
                    </w:rPr>
                  </w:pPr>
                  <w:r>
                    <w:rPr>
                      <w:rFonts w:hint="eastAsia" w:cs="Times New Roman"/>
                      <w:bCs/>
                      <w:kern w:val="0"/>
                      <w:sz w:val="18"/>
                    </w:rPr>
                    <w:t>本项目所在区域污水管网已铺设到位，可以满足本项目废水纳管排放需求。</w:t>
                  </w:r>
                </w:p>
              </w:tc>
              <w:tc>
                <w:tcPr>
                  <w:tcW w:w="452" w:type="pct"/>
                  <w:vAlign w:val="center"/>
                </w:tcPr>
                <w:p w14:paraId="4550B39B">
                  <w:pPr>
                    <w:spacing w:line="240" w:lineRule="auto"/>
                    <w:ind w:firstLine="0" w:firstLineChars="0"/>
                    <w:jc w:val="center"/>
                    <w:rPr>
                      <w:rFonts w:cs="Times New Roman"/>
                      <w:bCs/>
                      <w:kern w:val="0"/>
                      <w:sz w:val="18"/>
                    </w:rPr>
                  </w:pPr>
                  <w:r>
                    <w:rPr>
                      <w:rFonts w:hint="eastAsia" w:cs="Times New Roman"/>
                      <w:bCs/>
                      <w:kern w:val="0"/>
                      <w:sz w:val="18"/>
                    </w:rPr>
                    <w:t>符合</w:t>
                  </w:r>
                </w:p>
              </w:tc>
            </w:tr>
            <w:tr w14:paraId="35C0799B">
              <w:trPr>
                <w:trHeight w:val="340" w:hRule="atLeast"/>
              </w:trPr>
              <w:tc>
                <w:tcPr>
                  <w:tcW w:w="476" w:type="pct"/>
                  <w:vAlign w:val="center"/>
                </w:tcPr>
                <w:p w14:paraId="5EA69E1D">
                  <w:pPr>
                    <w:spacing w:line="240" w:lineRule="auto"/>
                    <w:ind w:firstLine="0" w:firstLineChars="0"/>
                    <w:jc w:val="center"/>
                    <w:rPr>
                      <w:rFonts w:cs="Times New Roman"/>
                      <w:bCs/>
                      <w:kern w:val="0"/>
                      <w:sz w:val="18"/>
                    </w:rPr>
                  </w:pPr>
                  <w:r>
                    <w:rPr>
                      <w:rFonts w:hint="eastAsia" w:cs="Times New Roman"/>
                      <w:bCs/>
                      <w:kern w:val="0"/>
                      <w:sz w:val="18"/>
                    </w:rPr>
                    <w:t>3</w:t>
                  </w:r>
                </w:p>
              </w:tc>
              <w:tc>
                <w:tcPr>
                  <w:tcW w:w="2693" w:type="pct"/>
                  <w:vAlign w:val="center"/>
                </w:tcPr>
                <w:p w14:paraId="390CB18D">
                  <w:pPr>
                    <w:spacing w:line="240" w:lineRule="auto"/>
                    <w:ind w:firstLine="0" w:firstLineChars="0"/>
                    <w:jc w:val="both"/>
                    <w:rPr>
                      <w:rFonts w:cs="Times New Roman"/>
                      <w:bCs/>
                      <w:kern w:val="0"/>
                      <w:sz w:val="18"/>
                    </w:rPr>
                  </w:pPr>
                  <w:r>
                    <w:rPr>
                      <w:rFonts w:hint="eastAsia" w:cs="Times New Roman"/>
                      <w:bCs/>
                      <w:kern w:val="0"/>
                      <w:sz w:val="18"/>
                    </w:rPr>
                    <w:t>严禁落地国家和本地产业结构调整目录明确的限制类、淘汰类工艺、装备、产品与项目，依法推动污染企业退出。继续推进城市建成区内造纸、印染、化工等污染较重企业有序搬迁改造或依法关闭，推动环太湖生态环境敏感区内不符合产业发展政策、存在重大安全隐患且不具备整治条件的企业依法关闭或搬迁至合规工业园。推进太湖流域等重要饮用水水源地300米范围内重点排污企业逐步退出。除战略性新兴产业项目外，太湖流域原则上不再审批其他生产性新增氮磷污染物的工业类建设项目。</w:t>
                  </w:r>
                </w:p>
              </w:tc>
              <w:tc>
                <w:tcPr>
                  <w:tcW w:w="1377" w:type="pct"/>
                  <w:vAlign w:val="center"/>
                </w:tcPr>
                <w:p w14:paraId="37044118">
                  <w:pPr>
                    <w:spacing w:line="240" w:lineRule="auto"/>
                    <w:ind w:firstLine="0" w:firstLineChars="0"/>
                    <w:jc w:val="both"/>
                    <w:rPr>
                      <w:rFonts w:cs="Times New Roman"/>
                      <w:bCs/>
                      <w:kern w:val="0"/>
                      <w:sz w:val="18"/>
                    </w:rPr>
                  </w:pPr>
                  <w:r>
                    <w:rPr>
                      <w:rFonts w:hint="eastAsia" w:cs="Times New Roman"/>
                      <w:bCs/>
                      <w:kern w:val="0"/>
                      <w:sz w:val="18"/>
                    </w:rPr>
                    <w:t>本项目属于二类工业项目；不属于国家和本地产业结构调整目录明确的限制类、淘汰类；不属于生产性新增氮磷污染物的工业类建设项目。</w:t>
                  </w:r>
                </w:p>
              </w:tc>
              <w:tc>
                <w:tcPr>
                  <w:tcW w:w="452" w:type="pct"/>
                  <w:vAlign w:val="center"/>
                </w:tcPr>
                <w:p w14:paraId="39420B83">
                  <w:pPr>
                    <w:spacing w:line="240" w:lineRule="auto"/>
                    <w:ind w:firstLine="0" w:firstLineChars="0"/>
                    <w:jc w:val="center"/>
                    <w:rPr>
                      <w:rFonts w:cs="Times New Roman"/>
                      <w:bCs/>
                      <w:kern w:val="0"/>
                      <w:sz w:val="18"/>
                    </w:rPr>
                  </w:pPr>
                  <w:r>
                    <w:rPr>
                      <w:rFonts w:hint="eastAsia" w:cs="Times New Roman"/>
                      <w:bCs/>
                      <w:kern w:val="0"/>
                      <w:sz w:val="18"/>
                    </w:rPr>
                    <w:t>符合</w:t>
                  </w:r>
                </w:p>
              </w:tc>
            </w:tr>
          </w:tbl>
          <w:p w14:paraId="3406010E">
            <w:pPr>
              <w:ind w:firstLine="480"/>
              <w:jc w:val="both"/>
              <w:rPr>
                <w:rFonts w:cs="Times New Roman"/>
                <w:szCs w:val="24"/>
              </w:rPr>
            </w:pPr>
            <w:r>
              <w:rPr>
                <w:rFonts w:hint="eastAsia" w:cs="Times New Roman"/>
                <w:szCs w:val="24"/>
              </w:rPr>
              <w:t>由上表可知，本项目的建设符合国家发展改革委等部门关于印发《太湖流域水环境综合治理总体方案》的通知（发改地区〔2022〕959号）中的要求。</w:t>
            </w:r>
          </w:p>
          <w:p w14:paraId="65635671">
            <w:pPr>
              <w:ind w:firstLine="480"/>
              <w:jc w:val="both"/>
              <w:rPr>
                <w:rFonts w:cs="Times New Roman"/>
                <w:szCs w:val="24"/>
              </w:rPr>
            </w:pPr>
            <w:r>
              <w:rPr>
                <w:rFonts w:hint="eastAsia" w:cs="Times New Roman"/>
                <w:szCs w:val="24"/>
              </w:rPr>
              <w:t>三、与《太湖流域管理条例》符合性分析</w:t>
            </w:r>
          </w:p>
          <w:p w14:paraId="2EF81D85">
            <w:pPr>
              <w:ind w:firstLine="480"/>
              <w:jc w:val="both"/>
              <w:rPr>
                <w:rFonts w:cs="Times New Roman"/>
                <w:szCs w:val="24"/>
              </w:rPr>
            </w:pPr>
            <w:r>
              <w:rPr>
                <w:rFonts w:hint="eastAsia" w:cs="Times New Roman"/>
                <w:szCs w:val="24"/>
              </w:rPr>
              <w:t>《太湖流域管理条例》已经于2011年8月24日国务院第169次常务会议通过，自2011年11月1日起施行。该条例所称太湖流域，包括江苏省、浙江省、上海市(以下称两省一市)长江以南，钱塘江以北，天目山、茅山流域分水岭以东的区域，本项目所在的浙江省杭州市余杭区位于太湖流域内。项目与《太湖流域管理条例》相关要求符合性分析详见下表。</w:t>
            </w:r>
          </w:p>
          <w:p w14:paraId="7F914371">
            <w:pPr>
              <w:pStyle w:val="14"/>
              <w:spacing w:before="156"/>
            </w:pPr>
            <w:r>
              <w:t xml:space="preserve">  《太湖流域管理条例》符合性分析</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
              <w:gridCol w:w="3915"/>
              <w:gridCol w:w="2527"/>
              <w:gridCol w:w="626"/>
            </w:tblGrid>
            <w:tr w14:paraId="45526BA8">
              <w:trPr>
                <w:trHeight w:val="340" w:hRule="atLeast"/>
              </w:trPr>
              <w:tc>
                <w:tcPr>
                  <w:tcW w:w="380" w:type="pct"/>
                  <w:vAlign w:val="center"/>
                </w:tcPr>
                <w:p w14:paraId="02D534E0">
                  <w:pPr>
                    <w:spacing w:line="240" w:lineRule="auto"/>
                    <w:ind w:firstLine="0" w:firstLineChars="0"/>
                    <w:jc w:val="center"/>
                    <w:rPr>
                      <w:rFonts w:cs="Times New Roman"/>
                      <w:bCs/>
                      <w:kern w:val="0"/>
                      <w:sz w:val="18"/>
                    </w:rPr>
                  </w:pPr>
                  <w:r>
                    <w:rPr>
                      <w:rFonts w:cs="Times New Roman"/>
                      <w:bCs/>
                      <w:kern w:val="0"/>
                      <w:sz w:val="18"/>
                    </w:rPr>
                    <w:t>序号</w:t>
                  </w:r>
                </w:p>
              </w:tc>
              <w:tc>
                <w:tcPr>
                  <w:tcW w:w="2558" w:type="pct"/>
                  <w:vAlign w:val="center"/>
                </w:tcPr>
                <w:p w14:paraId="485A1B5D">
                  <w:pPr>
                    <w:spacing w:line="240" w:lineRule="auto"/>
                    <w:ind w:firstLine="0" w:firstLineChars="0"/>
                    <w:jc w:val="center"/>
                    <w:rPr>
                      <w:rFonts w:cs="Times New Roman"/>
                      <w:bCs/>
                      <w:kern w:val="0"/>
                      <w:sz w:val="18"/>
                    </w:rPr>
                  </w:pPr>
                  <w:r>
                    <w:rPr>
                      <w:rFonts w:cs="Times New Roman"/>
                      <w:bCs/>
                      <w:kern w:val="0"/>
                      <w:sz w:val="18"/>
                    </w:rPr>
                    <w:t>相关要求</w:t>
                  </w:r>
                </w:p>
              </w:tc>
              <w:tc>
                <w:tcPr>
                  <w:tcW w:w="1651" w:type="pct"/>
                  <w:vAlign w:val="center"/>
                </w:tcPr>
                <w:p w14:paraId="43D89C26">
                  <w:pPr>
                    <w:spacing w:line="240" w:lineRule="auto"/>
                    <w:ind w:firstLine="0" w:firstLineChars="0"/>
                    <w:jc w:val="center"/>
                    <w:rPr>
                      <w:rFonts w:cs="Times New Roman"/>
                      <w:bCs/>
                      <w:kern w:val="0"/>
                      <w:sz w:val="18"/>
                    </w:rPr>
                  </w:pPr>
                  <w:r>
                    <w:rPr>
                      <w:rFonts w:hint="eastAsia" w:cs="Times New Roman"/>
                      <w:bCs/>
                      <w:kern w:val="0"/>
                      <w:sz w:val="18"/>
                    </w:rPr>
                    <w:t>本项目情况</w:t>
                  </w:r>
                </w:p>
              </w:tc>
              <w:tc>
                <w:tcPr>
                  <w:tcW w:w="409" w:type="pct"/>
                  <w:vAlign w:val="center"/>
                </w:tcPr>
                <w:p w14:paraId="67EB34B8">
                  <w:pPr>
                    <w:spacing w:line="240" w:lineRule="auto"/>
                    <w:ind w:firstLine="0" w:firstLineChars="0"/>
                    <w:jc w:val="center"/>
                    <w:rPr>
                      <w:rFonts w:cs="Times New Roman"/>
                      <w:bCs/>
                      <w:kern w:val="0"/>
                      <w:sz w:val="18"/>
                    </w:rPr>
                  </w:pPr>
                  <w:r>
                    <w:rPr>
                      <w:rFonts w:hint="eastAsia" w:cs="Times New Roman"/>
                      <w:bCs/>
                      <w:kern w:val="0"/>
                      <w:sz w:val="18"/>
                    </w:rPr>
                    <w:t>是否符合</w:t>
                  </w:r>
                </w:p>
              </w:tc>
            </w:tr>
            <w:tr w14:paraId="13914157">
              <w:trPr>
                <w:trHeight w:val="340" w:hRule="atLeast"/>
              </w:trPr>
              <w:tc>
                <w:tcPr>
                  <w:tcW w:w="380" w:type="pct"/>
                  <w:vAlign w:val="center"/>
                </w:tcPr>
                <w:p w14:paraId="05F8ECB1">
                  <w:pPr>
                    <w:spacing w:line="240" w:lineRule="auto"/>
                    <w:ind w:firstLine="0" w:firstLineChars="0"/>
                    <w:jc w:val="center"/>
                    <w:rPr>
                      <w:rFonts w:cs="Times New Roman"/>
                      <w:bCs/>
                      <w:kern w:val="0"/>
                      <w:sz w:val="18"/>
                    </w:rPr>
                  </w:pPr>
                  <w:r>
                    <w:rPr>
                      <w:rFonts w:cs="Times New Roman"/>
                      <w:bCs/>
                      <w:kern w:val="0"/>
                      <w:sz w:val="18"/>
                    </w:rPr>
                    <w:t>1</w:t>
                  </w:r>
                </w:p>
              </w:tc>
              <w:tc>
                <w:tcPr>
                  <w:tcW w:w="2558" w:type="pct"/>
                  <w:vAlign w:val="center"/>
                </w:tcPr>
                <w:p w14:paraId="399D01EA">
                  <w:pPr>
                    <w:spacing w:line="240" w:lineRule="auto"/>
                    <w:ind w:firstLine="0" w:firstLineChars="0"/>
                    <w:jc w:val="both"/>
                    <w:rPr>
                      <w:rFonts w:cs="Times New Roman"/>
                      <w:bCs/>
                      <w:kern w:val="0"/>
                      <w:sz w:val="18"/>
                    </w:rPr>
                  </w:pPr>
                  <w:r>
                    <w:rPr>
                      <w:rFonts w:hint="eastAsia" w:cs="Times New Roman"/>
                      <w:bCs/>
                      <w:kern w:val="0"/>
                      <w:sz w:val="18"/>
                    </w:rPr>
                    <w:t>排污单位排放水污染物，不得超过经核定的水污染物排放总量，并应当按照规定设置便于检查、采样的规范化排污口，悬挂标志牌；不得私设暗管或者采取其他规避监管的方式排放水污染物。禁止在太湖流域设置不符合国家产业政策和水环境综合治理要求的造纸、制革、酒精、淀粉、冶金、酿造、印染、电镀等排放水污染物的生产项目，现有的生产项目不能实现达标排放的，应当依法关闭。</w:t>
                  </w:r>
                </w:p>
              </w:tc>
              <w:tc>
                <w:tcPr>
                  <w:tcW w:w="1651" w:type="pct"/>
                  <w:vAlign w:val="center"/>
                </w:tcPr>
                <w:p w14:paraId="575F5003">
                  <w:pPr>
                    <w:spacing w:line="240" w:lineRule="auto"/>
                    <w:ind w:firstLine="0" w:firstLineChars="0"/>
                    <w:jc w:val="both"/>
                    <w:rPr>
                      <w:rFonts w:cs="Times New Roman"/>
                      <w:bCs/>
                      <w:kern w:val="0"/>
                      <w:sz w:val="18"/>
                    </w:rPr>
                  </w:pPr>
                  <w:r>
                    <w:rPr>
                      <w:rFonts w:hint="eastAsia" w:cs="Times New Roman"/>
                      <w:bCs/>
                      <w:kern w:val="0"/>
                      <w:sz w:val="18"/>
                    </w:rPr>
                    <w:t>项目严格按照总量控制原则，并设置规范排污口；本项目实施后，在采取评价要求的环境保护措施的前提下，可以确保本项目外排污染物达标排放。项目不属于造纸、制革、酒精、淀粉、冶金、酿造、印染、电镀行业，符合太湖流域产业政策及清洁生产要求。</w:t>
                  </w:r>
                </w:p>
              </w:tc>
              <w:tc>
                <w:tcPr>
                  <w:tcW w:w="409" w:type="pct"/>
                  <w:vAlign w:val="center"/>
                </w:tcPr>
                <w:p w14:paraId="7E8D7367">
                  <w:pPr>
                    <w:spacing w:line="240" w:lineRule="auto"/>
                    <w:ind w:firstLine="0" w:firstLineChars="0"/>
                    <w:jc w:val="center"/>
                    <w:rPr>
                      <w:rFonts w:cs="Times New Roman"/>
                      <w:bCs/>
                      <w:kern w:val="0"/>
                      <w:sz w:val="18"/>
                    </w:rPr>
                  </w:pPr>
                  <w:r>
                    <w:rPr>
                      <w:rFonts w:cs="Times New Roman"/>
                      <w:bCs/>
                      <w:kern w:val="0"/>
                      <w:sz w:val="18"/>
                    </w:rPr>
                    <w:t>符合</w:t>
                  </w:r>
                </w:p>
              </w:tc>
            </w:tr>
            <w:tr w14:paraId="32BEFD6F">
              <w:trPr>
                <w:trHeight w:val="340" w:hRule="atLeast"/>
              </w:trPr>
              <w:tc>
                <w:tcPr>
                  <w:tcW w:w="380" w:type="pct"/>
                  <w:vAlign w:val="center"/>
                </w:tcPr>
                <w:p w14:paraId="46845117">
                  <w:pPr>
                    <w:spacing w:line="240" w:lineRule="auto"/>
                    <w:ind w:firstLine="0" w:firstLineChars="0"/>
                    <w:jc w:val="center"/>
                    <w:rPr>
                      <w:rFonts w:cs="Times New Roman"/>
                      <w:bCs/>
                      <w:kern w:val="0"/>
                      <w:sz w:val="18"/>
                    </w:rPr>
                  </w:pPr>
                  <w:r>
                    <w:rPr>
                      <w:rFonts w:cs="Times New Roman"/>
                      <w:bCs/>
                      <w:kern w:val="0"/>
                      <w:sz w:val="18"/>
                    </w:rPr>
                    <w:t>2</w:t>
                  </w:r>
                </w:p>
              </w:tc>
              <w:tc>
                <w:tcPr>
                  <w:tcW w:w="2558" w:type="pct"/>
                  <w:vAlign w:val="center"/>
                </w:tcPr>
                <w:p w14:paraId="5D27B8D2">
                  <w:pPr>
                    <w:spacing w:line="240" w:lineRule="auto"/>
                    <w:ind w:firstLine="0" w:firstLineChars="0"/>
                    <w:jc w:val="both"/>
                    <w:rPr>
                      <w:rFonts w:cs="Times New Roman"/>
                      <w:bCs/>
                      <w:kern w:val="0"/>
                      <w:sz w:val="18"/>
                    </w:rPr>
                  </w:pPr>
                  <w:r>
                    <w:rPr>
                      <w:rFonts w:hint="eastAsia" w:cs="Times New Roman"/>
                      <w:bCs/>
                      <w:kern w:val="0"/>
                      <w:sz w:val="18"/>
                    </w:rPr>
                    <w:t>新孟河、望虞河以外的其他主要入太湖河道，自河口1万m上溯至5万m河道岸线内及其岸线两侧各1000m范围内，禁止下列行为：</w:t>
                  </w:r>
                </w:p>
                <w:p w14:paraId="57EA257B">
                  <w:pPr>
                    <w:spacing w:line="240" w:lineRule="auto"/>
                    <w:ind w:firstLine="0" w:firstLineChars="0"/>
                    <w:jc w:val="both"/>
                    <w:rPr>
                      <w:rFonts w:cs="Times New Roman"/>
                      <w:bCs/>
                      <w:kern w:val="0"/>
                      <w:sz w:val="18"/>
                    </w:rPr>
                  </w:pPr>
                  <w:r>
                    <w:rPr>
                      <w:rFonts w:hint="eastAsia" w:cs="Times New Roman"/>
                      <w:bCs/>
                      <w:kern w:val="0"/>
                      <w:sz w:val="18"/>
                    </w:rPr>
                    <w:t>(一)新建、扩建化工、医药生产项目；</w:t>
                  </w:r>
                </w:p>
                <w:p w14:paraId="4CACCDAE">
                  <w:pPr>
                    <w:spacing w:line="240" w:lineRule="auto"/>
                    <w:ind w:firstLine="0" w:firstLineChars="0"/>
                    <w:jc w:val="both"/>
                    <w:rPr>
                      <w:rFonts w:cs="Times New Roman"/>
                      <w:bCs/>
                      <w:kern w:val="0"/>
                      <w:sz w:val="18"/>
                    </w:rPr>
                  </w:pPr>
                  <w:r>
                    <w:rPr>
                      <w:rFonts w:hint="eastAsia" w:cs="Times New Roman"/>
                      <w:bCs/>
                      <w:kern w:val="0"/>
                      <w:sz w:val="18"/>
                    </w:rPr>
                    <w:t>(二)新建、扩建污水集中处理设施排污口以外的排污口；</w:t>
                  </w:r>
                </w:p>
                <w:p w14:paraId="1C5B5891">
                  <w:pPr>
                    <w:spacing w:line="240" w:lineRule="auto"/>
                    <w:ind w:firstLine="0" w:firstLineChars="0"/>
                    <w:jc w:val="both"/>
                    <w:rPr>
                      <w:rFonts w:cs="Times New Roman"/>
                      <w:bCs/>
                      <w:kern w:val="0"/>
                      <w:sz w:val="18"/>
                    </w:rPr>
                  </w:pPr>
                  <w:r>
                    <w:rPr>
                      <w:rFonts w:hint="eastAsia" w:cs="Times New Roman"/>
                      <w:bCs/>
                      <w:kern w:val="0"/>
                      <w:sz w:val="18"/>
                    </w:rPr>
                    <w:t>(三)扩大水产养殖规模。</w:t>
                  </w:r>
                </w:p>
              </w:tc>
              <w:tc>
                <w:tcPr>
                  <w:tcW w:w="1651" w:type="pct"/>
                  <w:vAlign w:val="center"/>
                </w:tcPr>
                <w:p w14:paraId="776169AC">
                  <w:pPr>
                    <w:spacing w:line="240" w:lineRule="auto"/>
                    <w:ind w:firstLine="0" w:firstLineChars="0"/>
                    <w:jc w:val="both"/>
                    <w:rPr>
                      <w:rFonts w:cs="Times New Roman"/>
                      <w:bCs/>
                      <w:kern w:val="0"/>
                      <w:sz w:val="18"/>
                    </w:rPr>
                  </w:pPr>
                  <w:r>
                    <w:rPr>
                      <w:rFonts w:hint="eastAsia" w:cs="Times New Roman"/>
                      <w:bCs/>
                      <w:kern w:val="0"/>
                      <w:sz w:val="18"/>
                    </w:rPr>
                    <w:t>本项目选址不属于太湖及主要入太湖河道相关岸线范围内。</w:t>
                  </w:r>
                </w:p>
              </w:tc>
              <w:tc>
                <w:tcPr>
                  <w:tcW w:w="409" w:type="pct"/>
                  <w:vAlign w:val="center"/>
                </w:tcPr>
                <w:p w14:paraId="6F1FD1C2">
                  <w:pPr>
                    <w:spacing w:line="240" w:lineRule="auto"/>
                    <w:ind w:firstLine="0" w:firstLineChars="0"/>
                    <w:jc w:val="center"/>
                    <w:rPr>
                      <w:rFonts w:cs="Times New Roman"/>
                      <w:bCs/>
                      <w:kern w:val="0"/>
                      <w:sz w:val="18"/>
                    </w:rPr>
                  </w:pPr>
                  <w:r>
                    <w:rPr>
                      <w:rFonts w:cs="Times New Roman"/>
                      <w:bCs/>
                      <w:kern w:val="0"/>
                      <w:sz w:val="18"/>
                    </w:rPr>
                    <w:t>符合</w:t>
                  </w:r>
                </w:p>
              </w:tc>
            </w:tr>
            <w:tr w14:paraId="38746FF0">
              <w:trPr>
                <w:trHeight w:val="340" w:hRule="atLeast"/>
              </w:trPr>
              <w:tc>
                <w:tcPr>
                  <w:tcW w:w="380" w:type="pct"/>
                  <w:vAlign w:val="center"/>
                </w:tcPr>
                <w:p w14:paraId="640D4BD6">
                  <w:pPr>
                    <w:spacing w:line="240" w:lineRule="auto"/>
                    <w:ind w:firstLine="0" w:firstLineChars="0"/>
                    <w:jc w:val="center"/>
                    <w:rPr>
                      <w:rFonts w:cs="Times New Roman"/>
                      <w:bCs/>
                      <w:kern w:val="0"/>
                      <w:sz w:val="18"/>
                    </w:rPr>
                  </w:pPr>
                  <w:r>
                    <w:rPr>
                      <w:rFonts w:cs="Times New Roman"/>
                      <w:bCs/>
                      <w:kern w:val="0"/>
                      <w:sz w:val="18"/>
                    </w:rPr>
                    <w:t>3</w:t>
                  </w:r>
                </w:p>
              </w:tc>
              <w:tc>
                <w:tcPr>
                  <w:tcW w:w="2558" w:type="pct"/>
                  <w:vAlign w:val="center"/>
                </w:tcPr>
                <w:p w14:paraId="6D2339A4">
                  <w:pPr>
                    <w:spacing w:line="240" w:lineRule="auto"/>
                    <w:ind w:firstLine="0" w:firstLineChars="0"/>
                    <w:jc w:val="both"/>
                    <w:rPr>
                      <w:rFonts w:cs="Times New Roman"/>
                      <w:bCs/>
                      <w:kern w:val="0"/>
                      <w:sz w:val="18"/>
                    </w:rPr>
                  </w:pPr>
                  <w:r>
                    <w:rPr>
                      <w:rFonts w:hint="eastAsia" w:cs="Times New Roman"/>
                      <w:bCs/>
                      <w:kern w:val="0"/>
                      <w:sz w:val="18"/>
                    </w:rPr>
                    <w:t>太湖岸线内和岸线周边5000米范围内，淀山湖岸线内和岸线周边2000米范围内，太浦河、新孟河、望虞河岸线内和岸线两侧各1000米范围内，其他主要入太湖河道自河口上溯至1万米河道岸线内及其岸线两侧各1000米范围内，禁止下列行为：</w:t>
                  </w:r>
                </w:p>
                <w:p w14:paraId="7B672DCE">
                  <w:pPr>
                    <w:spacing w:line="240" w:lineRule="auto"/>
                    <w:ind w:firstLine="0" w:firstLineChars="0"/>
                    <w:jc w:val="both"/>
                    <w:rPr>
                      <w:rFonts w:cs="Times New Roman"/>
                      <w:bCs/>
                      <w:kern w:val="0"/>
                      <w:sz w:val="18"/>
                    </w:rPr>
                  </w:pPr>
                  <w:r>
                    <w:rPr>
                      <w:rFonts w:hint="eastAsia" w:cs="Times New Roman"/>
                      <w:bCs/>
                      <w:kern w:val="0"/>
                      <w:sz w:val="18"/>
                    </w:rPr>
                    <w:t>(一)设置剧毒物质、危险化学品的贮存、输送设施和废物回收场、垃圾场；</w:t>
                  </w:r>
                </w:p>
                <w:p w14:paraId="405520F6">
                  <w:pPr>
                    <w:spacing w:line="240" w:lineRule="auto"/>
                    <w:ind w:firstLine="0" w:firstLineChars="0"/>
                    <w:jc w:val="both"/>
                    <w:rPr>
                      <w:rFonts w:cs="Times New Roman"/>
                      <w:bCs/>
                      <w:kern w:val="0"/>
                      <w:sz w:val="18"/>
                    </w:rPr>
                  </w:pPr>
                  <w:r>
                    <w:rPr>
                      <w:rFonts w:hint="eastAsia" w:cs="Times New Roman"/>
                      <w:bCs/>
                      <w:kern w:val="0"/>
                      <w:sz w:val="18"/>
                    </w:rPr>
                    <w:t>(二)设置水上餐饮经营设施；</w:t>
                  </w:r>
                </w:p>
                <w:p w14:paraId="1CDE5137">
                  <w:pPr>
                    <w:spacing w:line="240" w:lineRule="auto"/>
                    <w:ind w:firstLine="0" w:firstLineChars="0"/>
                    <w:jc w:val="both"/>
                    <w:rPr>
                      <w:rFonts w:cs="Times New Roman"/>
                      <w:bCs/>
                      <w:kern w:val="0"/>
                      <w:sz w:val="18"/>
                    </w:rPr>
                  </w:pPr>
                  <w:r>
                    <w:rPr>
                      <w:rFonts w:hint="eastAsia" w:cs="Times New Roman"/>
                      <w:bCs/>
                      <w:kern w:val="0"/>
                      <w:sz w:val="18"/>
                    </w:rPr>
                    <w:t>(三)新建、扩建高尔夫球场；</w:t>
                  </w:r>
                </w:p>
                <w:p w14:paraId="17DE6846">
                  <w:pPr>
                    <w:spacing w:line="240" w:lineRule="auto"/>
                    <w:ind w:firstLine="0" w:firstLineChars="0"/>
                    <w:jc w:val="both"/>
                    <w:rPr>
                      <w:rFonts w:cs="Times New Roman"/>
                      <w:bCs/>
                      <w:kern w:val="0"/>
                      <w:sz w:val="18"/>
                    </w:rPr>
                  </w:pPr>
                  <w:r>
                    <w:rPr>
                      <w:rFonts w:hint="eastAsia" w:cs="Times New Roman"/>
                      <w:bCs/>
                      <w:kern w:val="0"/>
                      <w:sz w:val="18"/>
                    </w:rPr>
                    <w:t>(四)新建、扩建畜禽养殖场；</w:t>
                  </w:r>
                </w:p>
                <w:p w14:paraId="4A530F3C">
                  <w:pPr>
                    <w:spacing w:line="240" w:lineRule="auto"/>
                    <w:ind w:firstLine="0" w:firstLineChars="0"/>
                    <w:jc w:val="both"/>
                    <w:rPr>
                      <w:rFonts w:cs="Times New Roman"/>
                      <w:bCs/>
                      <w:kern w:val="0"/>
                      <w:sz w:val="18"/>
                    </w:rPr>
                  </w:pPr>
                  <w:r>
                    <w:rPr>
                      <w:rFonts w:hint="eastAsia" w:cs="Times New Roman"/>
                      <w:bCs/>
                      <w:kern w:val="0"/>
                      <w:sz w:val="18"/>
                    </w:rPr>
                    <w:t>(五)新建、扩建向水体排放污染物的建设项目；</w:t>
                  </w:r>
                </w:p>
                <w:p w14:paraId="6F7C4769">
                  <w:pPr>
                    <w:spacing w:line="240" w:lineRule="auto"/>
                    <w:ind w:firstLine="0" w:firstLineChars="0"/>
                    <w:jc w:val="both"/>
                    <w:rPr>
                      <w:rFonts w:cs="Times New Roman"/>
                      <w:bCs/>
                      <w:kern w:val="0"/>
                      <w:sz w:val="18"/>
                    </w:rPr>
                  </w:pPr>
                  <w:r>
                    <w:rPr>
                      <w:rFonts w:hint="eastAsia" w:cs="Times New Roman"/>
                      <w:bCs/>
                      <w:kern w:val="0"/>
                      <w:sz w:val="18"/>
                    </w:rPr>
                    <w:t>(六)本条例第二十九条规定的行为。</w:t>
                  </w:r>
                </w:p>
              </w:tc>
              <w:tc>
                <w:tcPr>
                  <w:tcW w:w="1651" w:type="pct"/>
                  <w:vAlign w:val="center"/>
                </w:tcPr>
                <w:p w14:paraId="0DCC8673">
                  <w:pPr>
                    <w:spacing w:line="240" w:lineRule="auto"/>
                    <w:ind w:firstLine="0" w:firstLineChars="0"/>
                    <w:jc w:val="both"/>
                    <w:rPr>
                      <w:rFonts w:cs="Times New Roman"/>
                      <w:bCs/>
                      <w:kern w:val="0"/>
                      <w:sz w:val="18"/>
                    </w:rPr>
                  </w:pPr>
                  <w:r>
                    <w:rPr>
                      <w:rFonts w:hint="eastAsia" w:cs="Times New Roman"/>
                      <w:bCs/>
                      <w:kern w:val="0"/>
                      <w:sz w:val="18"/>
                    </w:rPr>
                    <w:t>本项目选址不属于太湖及主要入太湖河道相关岸线范围内。</w:t>
                  </w:r>
                </w:p>
              </w:tc>
              <w:tc>
                <w:tcPr>
                  <w:tcW w:w="409" w:type="pct"/>
                  <w:vAlign w:val="center"/>
                </w:tcPr>
                <w:p w14:paraId="7A4EB4A1">
                  <w:pPr>
                    <w:spacing w:line="240" w:lineRule="auto"/>
                    <w:ind w:firstLine="0" w:firstLineChars="0"/>
                    <w:jc w:val="center"/>
                    <w:rPr>
                      <w:rFonts w:cs="Times New Roman"/>
                      <w:bCs/>
                      <w:kern w:val="0"/>
                      <w:sz w:val="18"/>
                    </w:rPr>
                  </w:pPr>
                  <w:r>
                    <w:rPr>
                      <w:rFonts w:cs="Times New Roman"/>
                      <w:bCs/>
                      <w:kern w:val="0"/>
                      <w:sz w:val="18"/>
                    </w:rPr>
                    <w:t>符合</w:t>
                  </w:r>
                </w:p>
              </w:tc>
            </w:tr>
          </w:tbl>
          <w:p w14:paraId="65F70FF2">
            <w:pPr>
              <w:numPr>
                <w:ilvl w:val="0"/>
                <w:numId w:val="4"/>
              </w:numPr>
              <w:ind w:firstLine="480"/>
              <w:jc w:val="both"/>
              <w:rPr>
                <w:rFonts w:cs="Times New Roman"/>
                <w:szCs w:val="24"/>
              </w:rPr>
            </w:pPr>
            <w:r>
              <w:rPr>
                <w:rFonts w:hint="eastAsia" w:cs="Times New Roman"/>
                <w:szCs w:val="24"/>
              </w:rPr>
              <w:t>与《浙江省“十四五”挥发性有机物综合治理方案》的符合性分析</w:t>
            </w:r>
          </w:p>
          <w:p w14:paraId="522B94E0">
            <w:pPr>
              <w:ind w:firstLine="480"/>
              <w:jc w:val="both"/>
              <w:rPr>
                <w:rFonts w:cs="Times New Roman"/>
                <w:szCs w:val="24"/>
              </w:rPr>
            </w:pPr>
            <w:r>
              <w:rPr>
                <w:rFonts w:hint="eastAsia" w:cs="Times New Roman"/>
                <w:szCs w:val="24"/>
              </w:rPr>
              <w:t>为深入推进“十四五”挥发性有机物治理，进一步改善环境空气质量，浙江省生态环境厅发布了《浙江省“十四五”挥发性有机物综合治理方案》（浙环发〔2021〕10号），本项目符合性分析见下表。</w:t>
            </w:r>
          </w:p>
          <w:p w14:paraId="6CFB26AB">
            <w:pPr>
              <w:pStyle w:val="14"/>
              <w:spacing w:before="156"/>
            </w:pPr>
            <w:r>
              <w:t xml:space="preserve">  </w:t>
            </w:r>
            <w:r>
              <w:rPr>
                <w:rFonts w:hint="eastAsia"/>
              </w:rPr>
              <w:t>《浙江省“十四五”挥发性有机物综合治理方案》</w:t>
            </w:r>
            <w:r>
              <w:t>符合性分析</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3817"/>
              <w:gridCol w:w="2364"/>
              <w:gridCol w:w="739"/>
            </w:tblGrid>
            <w:tr w14:paraId="77B1AD7A">
              <w:trPr>
                <w:trHeight w:val="340" w:hRule="atLeast"/>
              </w:trPr>
              <w:tc>
                <w:tcPr>
                  <w:tcW w:w="732" w:type="dxa"/>
                  <w:vAlign w:val="center"/>
                </w:tcPr>
                <w:p w14:paraId="7A077164">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项目</w:t>
                  </w:r>
                </w:p>
              </w:tc>
              <w:tc>
                <w:tcPr>
                  <w:tcW w:w="3817" w:type="dxa"/>
                  <w:vAlign w:val="center"/>
                </w:tcPr>
                <w:p w14:paraId="0A961287">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文件要求</w:t>
                  </w:r>
                </w:p>
              </w:tc>
              <w:tc>
                <w:tcPr>
                  <w:tcW w:w="2364" w:type="dxa"/>
                  <w:vAlign w:val="center"/>
                </w:tcPr>
                <w:p w14:paraId="3A5168A2">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本项目情况</w:t>
                  </w:r>
                </w:p>
              </w:tc>
              <w:tc>
                <w:tcPr>
                  <w:tcW w:w="739" w:type="dxa"/>
                  <w:vAlign w:val="center"/>
                </w:tcPr>
                <w:p w14:paraId="6027F367">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符合性</w:t>
                  </w:r>
                </w:p>
              </w:tc>
            </w:tr>
            <w:tr w14:paraId="1B9B5183">
              <w:trPr>
                <w:trHeight w:val="340" w:hRule="atLeast"/>
              </w:trPr>
              <w:tc>
                <w:tcPr>
                  <w:tcW w:w="732" w:type="dxa"/>
                  <w:vAlign w:val="center"/>
                </w:tcPr>
                <w:p w14:paraId="76591335">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优化产业结构</w:t>
                  </w:r>
                </w:p>
              </w:tc>
              <w:tc>
                <w:tcPr>
                  <w:tcW w:w="3817" w:type="dxa"/>
                  <w:vAlign w:val="center"/>
                </w:tcPr>
                <w:p w14:paraId="5242DC0D">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引导石化、化工、工业涂装、包装印刷、合成革、化纤、纺织印染等重点行业合理布局，限制高VOCs排放化工类建设项目，禁止建设生产和使用VOCs含量限值不符合国家标准的涂料、油墨、胶粘剂、清洗剂等项目。贯彻落实《产业结构调整指导目录》《国家鼓励的有毒有害原料（产品）替代品目录》，依法依规淘汰涉VOCs排放工艺和装备，加大引导退出限制类工艺和装备力度，从源头减少涉VOCs污染物产生。</w:t>
                  </w:r>
                </w:p>
              </w:tc>
              <w:tc>
                <w:tcPr>
                  <w:tcW w:w="2364" w:type="dxa"/>
                  <w:vAlign w:val="center"/>
                </w:tcPr>
                <w:p w14:paraId="6A00CC0A">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项目为C2929 塑料零件及其他塑料制品制造，不属于石化、化工、包装印刷、合成革、化纤、纺织印染等行业；</w:t>
                  </w:r>
                  <w:r>
                    <w:rPr>
                      <w:rFonts w:hint="eastAsia" w:ascii="Times New Roman" w:hAnsi="Times New Roman" w:eastAsia="宋体" w:cs="Times New Roman"/>
                      <w:bCs/>
                      <w:kern w:val="0"/>
                      <w:sz w:val="18"/>
                      <w:szCs w:val="18"/>
                    </w:rPr>
                    <w:t>本项目不使用</w:t>
                  </w:r>
                  <w:r>
                    <w:rPr>
                      <w:rFonts w:ascii="Times New Roman" w:hAnsi="Times New Roman" w:eastAsia="宋体" w:cs="Times New Roman"/>
                      <w:bCs/>
                      <w:kern w:val="0"/>
                      <w:sz w:val="18"/>
                      <w:szCs w:val="18"/>
                    </w:rPr>
                    <w:t>涂料、油墨、胶粘剂、清洗剂</w:t>
                  </w:r>
                  <w:r>
                    <w:rPr>
                      <w:rFonts w:hint="eastAsia" w:ascii="Times New Roman" w:hAnsi="Times New Roman" w:eastAsia="宋体" w:cs="Times New Roman"/>
                      <w:bCs/>
                      <w:kern w:val="0"/>
                      <w:sz w:val="18"/>
                      <w:szCs w:val="18"/>
                    </w:rPr>
                    <w:t>等，不涉及限制类工艺和装备</w:t>
                  </w:r>
                  <w:r>
                    <w:rPr>
                      <w:rFonts w:ascii="Times New Roman" w:hAnsi="Times New Roman" w:eastAsia="宋体" w:cs="Times New Roman"/>
                      <w:bCs/>
                      <w:kern w:val="0"/>
                      <w:sz w:val="18"/>
                      <w:szCs w:val="18"/>
                    </w:rPr>
                    <w:t>。</w:t>
                  </w:r>
                </w:p>
              </w:tc>
              <w:tc>
                <w:tcPr>
                  <w:tcW w:w="739" w:type="dxa"/>
                  <w:vAlign w:val="center"/>
                </w:tcPr>
                <w:p w14:paraId="3BA09C5C">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w:t>
                  </w:r>
                </w:p>
              </w:tc>
            </w:tr>
            <w:tr w14:paraId="58DF6139">
              <w:trPr>
                <w:trHeight w:val="340" w:hRule="atLeast"/>
              </w:trPr>
              <w:tc>
                <w:tcPr>
                  <w:tcW w:w="732" w:type="dxa"/>
                  <w:vAlign w:val="center"/>
                </w:tcPr>
                <w:p w14:paraId="3092CB22">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严格环境准入</w:t>
                  </w:r>
                </w:p>
              </w:tc>
              <w:tc>
                <w:tcPr>
                  <w:tcW w:w="3817" w:type="dxa"/>
                  <w:vAlign w:val="center"/>
                </w:tcPr>
                <w:p w14:paraId="0A87A834">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严格执行“三线一单”为核心的生态环境分区管控体系，制（修）订纺织印染（数码喷印）等行业绿色准入指导意见。严格执行建设项目新增VOCs排放量区域削减替代规定，削减措施原则上应优先来源于纳入排污许可管理的排污单位采取的治理措施，并与建设项目位于同一设区市。上一年度环境空气质量达标的区域，对石化等行业的建设项目VOCs排放量实行等量削减；上一年度环境空气质量不达标的区域，对石化等行业的建设项目VOCs排放量实行2倍量削减，直至达标后的下一年再恢复等量削减。</w:t>
                  </w:r>
                </w:p>
              </w:tc>
              <w:tc>
                <w:tcPr>
                  <w:tcW w:w="2364" w:type="dxa"/>
                  <w:vAlign w:val="center"/>
                </w:tcPr>
                <w:p w14:paraId="114C85FF">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本项目实施</w:t>
                  </w:r>
                  <w:r>
                    <w:rPr>
                      <w:rFonts w:hint="eastAsia" w:ascii="Times New Roman" w:hAnsi="Times New Roman" w:eastAsia="宋体" w:cs="Times New Roman"/>
                      <w:bCs/>
                      <w:kern w:val="0"/>
                      <w:sz w:val="18"/>
                      <w:szCs w:val="18"/>
                    </w:rPr>
                    <w:t>后不新增VOCs总量指标</w:t>
                  </w:r>
                  <w:r>
                    <w:rPr>
                      <w:rFonts w:ascii="Times New Roman" w:hAnsi="Times New Roman" w:eastAsia="宋体" w:cs="Times New Roman"/>
                      <w:bCs/>
                      <w:kern w:val="0"/>
                      <w:sz w:val="18"/>
                      <w:szCs w:val="18"/>
                    </w:rPr>
                    <w:t>。该厂区现有项目已审批年排放VOCs</w:t>
                  </w:r>
                  <w:r>
                    <w:rPr>
                      <w:rFonts w:hint="eastAsia" w:ascii="Times New Roman" w:hAnsi="Times New Roman" w:eastAsia="宋体" w:cs="Times New Roman"/>
                      <w:bCs/>
                      <w:kern w:val="0"/>
                      <w:sz w:val="18"/>
                      <w:szCs w:val="18"/>
                    </w:rPr>
                    <w:t>可以满足本项目的生产需求，</w:t>
                  </w:r>
                  <w:r>
                    <w:rPr>
                      <w:rFonts w:ascii="Times New Roman" w:hAnsi="Times New Roman" w:eastAsia="宋体" w:cs="Times New Roman"/>
                      <w:bCs/>
                      <w:kern w:val="0"/>
                      <w:sz w:val="18"/>
                      <w:szCs w:val="18"/>
                    </w:rPr>
                    <w:t>企业具体需经当地主管部门审核同意后方可投入生产。</w:t>
                  </w:r>
                </w:p>
              </w:tc>
              <w:tc>
                <w:tcPr>
                  <w:tcW w:w="739" w:type="dxa"/>
                  <w:vAlign w:val="center"/>
                </w:tcPr>
                <w:p w14:paraId="3FBD3678">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w:t>
                  </w:r>
                </w:p>
              </w:tc>
            </w:tr>
            <w:tr w14:paraId="285FD481">
              <w:trPr>
                <w:trHeight w:val="340" w:hRule="atLeast"/>
              </w:trPr>
              <w:tc>
                <w:tcPr>
                  <w:tcW w:w="732" w:type="dxa"/>
                  <w:vAlign w:val="center"/>
                </w:tcPr>
                <w:p w14:paraId="0CA1BA6D">
                  <w:pPr>
                    <w:pStyle w:val="17"/>
                    <w:spacing w:line="240" w:lineRule="auto"/>
                    <w:ind w:firstLine="0" w:firstLineChars="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全面提升生产工艺绿色化水平</w:t>
                  </w:r>
                </w:p>
              </w:tc>
              <w:tc>
                <w:tcPr>
                  <w:tcW w:w="3817" w:type="dxa"/>
                  <w:vAlign w:val="center"/>
                </w:tcPr>
                <w:p w14:paraId="33799E99">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石化、化工等行业应采用原辅材料利用率高、废弃物产生量少的生产工艺，提升生产装备水平，采用密闭化、连续化、自动化、管道化等生产技术，鼓励工艺装置采取重力流布置，推广采用油品在线调和技术、密闭式循环水冷却系统等。工业涂装行业重点推进使用紧凑式涂装工艺，推广采用辊涂、静电喷涂、高压无气喷涂、空气辅助无气喷涂、热喷涂、超临界二氧化碳喷涂等技术，鼓励企业采用自动化、智能化喷涂设备替代人工喷涂，减少使用空气喷涂技术。包装印刷行业推广使用无溶剂复合、共挤出复合技术，鼓励采用水性凹印、醇水凹印、辐射固化凹印、柔版印刷、无水胶印等印刷工艺。鼓励生产工艺装备落后、在既有基础上整改困难的企业推倒重建，从车间布局、工艺装备等方面全面提升治理水平。</w:t>
                  </w:r>
                </w:p>
              </w:tc>
              <w:tc>
                <w:tcPr>
                  <w:tcW w:w="2364" w:type="dxa"/>
                  <w:vAlign w:val="center"/>
                </w:tcPr>
                <w:p w14:paraId="5BC6137F">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项目不属于石化、化工、包装印刷行业。</w:t>
                  </w:r>
                </w:p>
              </w:tc>
              <w:tc>
                <w:tcPr>
                  <w:tcW w:w="739" w:type="dxa"/>
                  <w:vAlign w:val="center"/>
                </w:tcPr>
                <w:p w14:paraId="58E6C6A7">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w:t>
                  </w:r>
                </w:p>
              </w:tc>
            </w:tr>
            <w:tr w14:paraId="064CEDC4">
              <w:trPr>
                <w:trHeight w:val="340" w:hRule="atLeast"/>
              </w:trPr>
              <w:tc>
                <w:tcPr>
                  <w:tcW w:w="732" w:type="dxa"/>
                  <w:vAlign w:val="center"/>
                </w:tcPr>
                <w:p w14:paraId="7F68188C">
                  <w:pPr>
                    <w:pStyle w:val="17"/>
                    <w:spacing w:line="240" w:lineRule="auto"/>
                    <w:ind w:firstLine="0" w:firstLineChars="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大力推进低VOCs含量原辅材料的源头替代</w:t>
                  </w:r>
                </w:p>
              </w:tc>
              <w:tc>
                <w:tcPr>
                  <w:tcW w:w="3817" w:type="dxa"/>
                  <w:vAlign w:val="center"/>
                </w:tcPr>
                <w:p w14:paraId="5782C232">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全面排查使用溶剂型工业涂料、油墨、胶粘剂、清洗剂等原辅材料的企业，各地应结合本地产业特点和本方案指导目录，制定低VOCs含量原辅材料源头替代实施计划，明确分行业源头替代时间表，按照“可替尽替、应代尽代”的原则，实施一批替代溶剂型原辅材料的项目。加快低VOCs含量原辅材料研发、生产和应用，在更多技术成熟领域逐渐推广使用低VOCs含量原辅材料，到2025年，溶剂型工业涂料、油墨、胶粘剂等使用量下降比例达到国家要求。</w:t>
                  </w:r>
                </w:p>
              </w:tc>
              <w:tc>
                <w:tcPr>
                  <w:tcW w:w="2364" w:type="dxa"/>
                  <w:vAlign w:val="center"/>
                </w:tcPr>
                <w:p w14:paraId="4E60E46F">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项目不使用溶剂型工业涂料、油墨</w:t>
                  </w:r>
                  <w:r>
                    <w:rPr>
                      <w:rFonts w:hint="eastAsia" w:ascii="Times New Roman" w:hAnsi="Times New Roman" w:eastAsia="宋体" w:cs="Times New Roman"/>
                      <w:bCs/>
                      <w:kern w:val="0"/>
                      <w:sz w:val="18"/>
                      <w:szCs w:val="18"/>
                    </w:rPr>
                    <w:t>。</w:t>
                  </w:r>
                </w:p>
              </w:tc>
              <w:tc>
                <w:tcPr>
                  <w:tcW w:w="739" w:type="dxa"/>
                  <w:vAlign w:val="center"/>
                </w:tcPr>
                <w:p w14:paraId="76286238">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w:t>
                  </w:r>
                </w:p>
              </w:tc>
            </w:tr>
            <w:tr w14:paraId="79E0B8F0">
              <w:trPr>
                <w:trHeight w:val="340" w:hRule="atLeast"/>
              </w:trPr>
              <w:tc>
                <w:tcPr>
                  <w:tcW w:w="732" w:type="dxa"/>
                  <w:vAlign w:val="center"/>
                </w:tcPr>
                <w:p w14:paraId="504A2F93">
                  <w:pPr>
                    <w:pStyle w:val="17"/>
                    <w:spacing w:line="240" w:lineRule="auto"/>
                    <w:ind w:firstLine="0" w:firstLineChars="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严格控制无组织排放</w:t>
                  </w:r>
                </w:p>
              </w:tc>
              <w:tc>
                <w:tcPr>
                  <w:tcW w:w="3817" w:type="dxa"/>
                  <w:vAlign w:val="center"/>
                </w:tcPr>
                <w:p w14:paraId="490FFD28">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在保证安全前提下，加强含VOCs物料全方位、全链条、全环节密闭管理，做好VOCs物料储存、转移和输送、设备与管线组件泄漏、敞开液面逸散以及工艺过程等无组织排放环节的管理。生产应优先采用密闭设备、在密闭空间中操作或采用全密闭集气罩收集方式，原则上应保持微负压状态，并根据相关规范合理设置通风量；采用局部集气罩的，距集气罩开口面最远处的VOCs无组织排放位置控制风速应不低于0.3米/秒。对VOCs物料储罐和污水集输、储存、处理设施开展排查，督促企业按要求开展专项治理。</w:t>
                  </w:r>
                </w:p>
              </w:tc>
              <w:tc>
                <w:tcPr>
                  <w:tcW w:w="2364" w:type="dxa"/>
                  <w:vAlign w:val="center"/>
                </w:tcPr>
                <w:p w14:paraId="056FD0CF">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w:t>
                  </w:r>
                  <w:r>
                    <w:rPr>
                      <w:rFonts w:hint="eastAsia" w:ascii="Times New Roman" w:hAnsi="Times New Roman" w:eastAsia="宋体" w:cs="Times New Roman"/>
                      <w:bCs/>
                      <w:kern w:val="0"/>
                      <w:sz w:val="18"/>
                      <w:szCs w:val="18"/>
                    </w:rPr>
                    <w:t>注塑机</w:t>
                  </w:r>
                  <w:r>
                    <w:rPr>
                      <w:rFonts w:ascii="Times New Roman" w:hAnsi="Times New Roman" w:eastAsia="宋体" w:cs="Times New Roman"/>
                      <w:bCs/>
                      <w:kern w:val="0"/>
                      <w:sz w:val="18"/>
                      <w:szCs w:val="18"/>
                    </w:rPr>
                    <w:t>设置密闭的通道，减小VOCs无组织排放量</w:t>
                  </w:r>
                  <w:r>
                    <w:rPr>
                      <w:rFonts w:hint="eastAsia" w:ascii="Times New Roman" w:hAnsi="Times New Roman" w:eastAsia="宋体" w:cs="Times New Roman"/>
                      <w:bCs/>
                      <w:kern w:val="0"/>
                      <w:sz w:val="18"/>
                      <w:szCs w:val="18"/>
                    </w:rPr>
                    <w:t>，挤出机采用集气罩软帘收集，且废气收集采用软管收集，进一步加强VOCs收集效率。</w:t>
                  </w:r>
                </w:p>
              </w:tc>
              <w:tc>
                <w:tcPr>
                  <w:tcW w:w="739" w:type="dxa"/>
                  <w:vAlign w:val="center"/>
                </w:tcPr>
                <w:p w14:paraId="2DAA508B">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w:t>
                  </w:r>
                </w:p>
              </w:tc>
            </w:tr>
            <w:tr w14:paraId="1C7D21C4">
              <w:trPr>
                <w:trHeight w:val="340" w:hRule="atLeast"/>
              </w:trPr>
              <w:tc>
                <w:tcPr>
                  <w:tcW w:w="732" w:type="dxa"/>
                  <w:vAlign w:val="center"/>
                </w:tcPr>
                <w:p w14:paraId="3D23C43A">
                  <w:pPr>
                    <w:pStyle w:val="17"/>
                    <w:spacing w:line="240" w:lineRule="auto"/>
                    <w:ind w:firstLine="0" w:firstLineChars="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建设适宜高效的治理设施</w:t>
                  </w:r>
                </w:p>
              </w:tc>
              <w:tc>
                <w:tcPr>
                  <w:tcW w:w="3817" w:type="dxa"/>
                  <w:vAlign w:val="center"/>
                </w:tcPr>
                <w:p w14:paraId="202BB46C">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企业新建治理设施或对现有治理设施实施改造，应结合排放VOCs产生特征、生产工况等合理选择治理技术，对治理难度大、单一治理工艺难以稳定达标的，要采用多种技术的组合工艺。采用活性炭吸附技术的，吸附装置和活性炭应符合相关技术要求，并按要求足量添加、定期更换活性炭。组织开展使用光催化、光氧化、低温等离子、一次性活性炭或上述组合技术等VOCs治理设施排查，对达不到要求的，应当更换或升级改造，实现稳定达标排放。到2025年，完成5000家低效VOCs治理设施改造升级，石化行业的VOCs综合去除效率达到70%以上，化工、工业涂装、包装印刷、合成革等行业的VOCs综合去除效率达到60%以上。</w:t>
                  </w:r>
                </w:p>
              </w:tc>
              <w:tc>
                <w:tcPr>
                  <w:tcW w:w="2364" w:type="dxa"/>
                  <w:vAlign w:val="center"/>
                </w:tcPr>
                <w:p w14:paraId="47B5546C">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w:t>
                  </w:r>
                  <w:r>
                    <w:rPr>
                      <w:rFonts w:hint="eastAsia" w:ascii="Times New Roman" w:hAnsi="Times New Roman" w:eastAsia="宋体" w:cs="Times New Roman"/>
                      <w:bCs/>
                      <w:kern w:val="0"/>
                      <w:sz w:val="18"/>
                      <w:szCs w:val="18"/>
                    </w:rPr>
                    <w:t>注塑废气采用水喷淋+水雾过滤器+活性炭吸附处理，属于组合工艺，本项目将严格按照《关于加强低效挥发性有机物治理设施改造升级工作的通知》（杭环便函[2022]192号）中相关要求，采用LY/T3284规定的优级品颗粒活性炭，碘吸附值不低于800mg/g或四氯化碳化碳吸附率不低于60%，本项目水喷淋+水雾过滤器+活性炭吸附处理效率综合按照90%计算。</w:t>
                  </w:r>
                </w:p>
              </w:tc>
              <w:tc>
                <w:tcPr>
                  <w:tcW w:w="739" w:type="dxa"/>
                  <w:vAlign w:val="center"/>
                </w:tcPr>
                <w:p w14:paraId="12748E20">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w:t>
                  </w:r>
                </w:p>
              </w:tc>
            </w:tr>
            <w:tr w14:paraId="55D5C143">
              <w:trPr>
                <w:trHeight w:val="340" w:hRule="atLeast"/>
              </w:trPr>
              <w:tc>
                <w:tcPr>
                  <w:tcW w:w="732" w:type="dxa"/>
                  <w:vAlign w:val="center"/>
                </w:tcPr>
                <w:p w14:paraId="07852244">
                  <w:pPr>
                    <w:pStyle w:val="17"/>
                    <w:spacing w:line="240" w:lineRule="auto"/>
                    <w:ind w:firstLine="0" w:firstLineChars="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加强治理设施运行管理</w:t>
                  </w:r>
                </w:p>
              </w:tc>
              <w:tc>
                <w:tcPr>
                  <w:tcW w:w="3817" w:type="dxa"/>
                  <w:vAlign w:val="center"/>
                </w:tcPr>
                <w:p w14:paraId="198037D0">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按照治理设施较生产设备“先启后停”的原则提升治理设施投运率。根据处理工艺要求，在治理设施达到正常运行条件后方可启动生产设备，在生产设备停止、残留VOCs收集处理完毕后，方可停运治理设施。VOCs治理设施发生故障或检修时，对应生产设备应停止运行，待检修完毕后投入使用；因安全等因素生产设备不能停止或不能及时停止运行的，应设置废气应急处理设施或采取其他替代措施。</w:t>
                  </w:r>
                </w:p>
              </w:tc>
              <w:tc>
                <w:tcPr>
                  <w:tcW w:w="2364" w:type="dxa"/>
                  <w:vAlign w:val="center"/>
                </w:tcPr>
                <w:p w14:paraId="66E9E760">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要求项目生产期间，在治理设施达到正常运行条件后方可启动生产设备，在生产设备停止、残留VOCs收集处理完毕后，方可停运治理设施。VOCs治理设施发生故障或检修时，对应生产设备应停止运行，待检修完毕后投入使用。</w:t>
                  </w:r>
                </w:p>
              </w:tc>
              <w:tc>
                <w:tcPr>
                  <w:tcW w:w="739" w:type="dxa"/>
                  <w:vAlign w:val="center"/>
                </w:tcPr>
                <w:p w14:paraId="365E2C49">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w:t>
                  </w:r>
                </w:p>
              </w:tc>
            </w:tr>
            <w:tr w14:paraId="454E629D">
              <w:trPr>
                <w:trHeight w:val="340" w:hRule="atLeast"/>
              </w:trPr>
              <w:tc>
                <w:tcPr>
                  <w:tcW w:w="732" w:type="dxa"/>
                  <w:vAlign w:val="center"/>
                </w:tcPr>
                <w:p w14:paraId="046411E4">
                  <w:pPr>
                    <w:pStyle w:val="17"/>
                    <w:spacing w:line="240" w:lineRule="auto"/>
                    <w:ind w:firstLine="0" w:firstLineChars="0"/>
                    <w:jc w:val="center"/>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规范应急旁路排放管理</w:t>
                  </w:r>
                </w:p>
              </w:tc>
              <w:tc>
                <w:tcPr>
                  <w:tcW w:w="3817" w:type="dxa"/>
                  <w:vAlign w:val="center"/>
                </w:tcPr>
                <w:p w14:paraId="0E0F168C">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推动取消石化、化工、工业涂装、包装印刷、纺织印染等行业非必要的含VOCs排放的旁路。因安全等因素确须保留的，企业应将保留的应急旁路报当地生态环境部门。应急旁路在非紧急情况下保持关闭，并通过铅封、安装监控（如流量、温度、压差、阀门开度、视频等）设施等加强监管，开启后应做好台账记录并及时向当地生态环境部门报告。</w:t>
                  </w:r>
                </w:p>
              </w:tc>
              <w:tc>
                <w:tcPr>
                  <w:tcW w:w="2364" w:type="dxa"/>
                  <w:vAlign w:val="center"/>
                </w:tcPr>
                <w:p w14:paraId="73E0AD9B">
                  <w:pPr>
                    <w:pStyle w:val="17"/>
                    <w:spacing w:line="240" w:lineRule="auto"/>
                    <w:ind w:firstLine="0" w:firstLineChars="0"/>
                    <w:jc w:val="both"/>
                    <w:rPr>
                      <w:rFonts w:ascii="Times New Roman" w:hAnsi="Times New Roman" w:eastAsia="宋体" w:cs="Times New Roman"/>
                      <w:bCs/>
                      <w:kern w:val="0"/>
                      <w:sz w:val="18"/>
                      <w:szCs w:val="18"/>
                    </w:rPr>
                  </w:pPr>
                  <w:r>
                    <w:rPr>
                      <w:rFonts w:ascii="Times New Roman" w:hAnsi="Times New Roman" w:eastAsia="宋体" w:cs="Times New Roman"/>
                      <w:bCs/>
                      <w:kern w:val="0"/>
                      <w:sz w:val="18"/>
                      <w:szCs w:val="18"/>
                    </w:rPr>
                    <w:t>项目废气处理设施未设置VOCs排放旁路，一旦废气处理设施发生故障，建设单位应立即停产。</w:t>
                  </w:r>
                </w:p>
              </w:tc>
              <w:tc>
                <w:tcPr>
                  <w:tcW w:w="739" w:type="dxa"/>
                  <w:vAlign w:val="center"/>
                </w:tcPr>
                <w:p w14:paraId="0D710EB8">
                  <w:pPr>
                    <w:pStyle w:val="17"/>
                    <w:spacing w:line="240" w:lineRule="auto"/>
                    <w:ind w:firstLine="0" w:firstLineChars="0"/>
                    <w:jc w:val="center"/>
                    <w:rPr>
                      <w:rFonts w:ascii="Times New Roman" w:hAnsi="Times New Roman" w:eastAsia="宋体" w:cs="Times New Roman"/>
                      <w:bCs/>
                      <w:kern w:val="0"/>
                      <w:sz w:val="18"/>
                      <w:szCs w:val="18"/>
                    </w:rPr>
                  </w:pPr>
                  <w:r>
                    <w:rPr>
                      <w:rFonts w:hint="eastAsia" w:ascii="Times New Roman" w:hAnsi="Times New Roman" w:eastAsia="宋体" w:cs="Times New Roman"/>
                      <w:bCs/>
                      <w:kern w:val="0"/>
                      <w:sz w:val="18"/>
                      <w:szCs w:val="18"/>
                    </w:rPr>
                    <w:t>符合</w:t>
                  </w:r>
                </w:p>
              </w:tc>
            </w:tr>
          </w:tbl>
          <w:p w14:paraId="6B29FC98">
            <w:pPr>
              <w:ind w:firstLine="480"/>
              <w:jc w:val="both"/>
              <w:rPr>
                <w:rFonts w:cs="Times New Roman"/>
                <w:szCs w:val="24"/>
              </w:rPr>
            </w:pPr>
            <w:r>
              <w:rPr>
                <w:rFonts w:hint="eastAsia" w:cs="Times New Roman"/>
                <w:szCs w:val="24"/>
              </w:rPr>
              <w:t>五、与《长江经济带发展负面清单指南（试行，2022年版）浙江省实施细则》符合性分析</w:t>
            </w:r>
          </w:p>
          <w:p w14:paraId="44CC5213">
            <w:pPr>
              <w:ind w:firstLine="480"/>
              <w:jc w:val="both"/>
              <w:rPr>
                <w:rFonts w:cs="Times New Roman"/>
                <w:szCs w:val="24"/>
              </w:rPr>
            </w:pPr>
            <w:r>
              <w:rPr>
                <w:rFonts w:hint="eastAsia" w:cs="Times New Roman"/>
                <w:szCs w:val="24"/>
              </w:rPr>
              <w:t>对照文件要求，本项目符合性分析具体见下表。</w:t>
            </w:r>
          </w:p>
          <w:p w14:paraId="6D756A4E">
            <w:pPr>
              <w:pStyle w:val="14"/>
              <w:spacing w:before="156"/>
            </w:pPr>
            <w:r>
              <w:t xml:space="preserve">  长江经济带发展负面清单符合性分析</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4533"/>
              <w:gridCol w:w="1815"/>
              <w:gridCol w:w="647"/>
            </w:tblGrid>
            <w:tr w14:paraId="6F9BADEB">
              <w:trPr>
                <w:trHeight w:val="340" w:hRule="atLeast"/>
              </w:trPr>
              <w:tc>
                <w:tcPr>
                  <w:tcW w:w="688" w:type="dxa"/>
                  <w:vAlign w:val="center"/>
                </w:tcPr>
                <w:p w14:paraId="4C7C3682">
                  <w:pPr>
                    <w:spacing w:line="240" w:lineRule="auto"/>
                    <w:ind w:firstLine="0" w:firstLineChars="0"/>
                    <w:jc w:val="center"/>
                    <w:rPr>
                      <w:rFonts w:cs="Times New Roman"/>
                      <w:bCs/>
                      <w:kern w:val="0"/>
                      <w:sz w:val="18"/>
                    </w:rPr>
                  </w:pPr>
                  <w:r>
                    <w:rPr>
                      <w:rFonts w:hint="eastAsia" w:cs="Times New Roman"/>
                      <w:bCs/>
                      <w:kern w:val="0"/>
                      <w:sz w:val="18"/>
                    </w:rPr>
                    <w:t>序号</w:t>
                  </w:r>
                </w:p>
              </w:tc>
              <w:tc>
                <w:tcPr>
                  <w:tcW w:w="4976" w:type="dxa"/>
                  <w:vAlign w:val="center"/>
                </w:tcPr>
                <w:p w14:paraId="544402F3">
                  <w:pPr>
                    <w:spacing w:line="240" w:lineRule="auto"/>
                    <w:ind w:firstLine="0" w:firstLineChars="0"/>
                    <w:jc w:val="center"/>
                    <w:rPr>
                      <w:rFonts w:cs="Times New Roman"/>
                      <w:bCs/>
                      <w:kern w:val="0"/>
                      <w:sz w:val="18"/>
                    </w:rPr>
                  </w:pPr>
                  <w:r>
                    <w:rPr>
                      <w:rFonts w:hint="eastAsia" w:cs="Times New Roman"/>
                      <w:bCs/>
                      <w:kern w:val="0"/>
                      <w:sz w:val="18"/>
                    </w:rPr>
                    <w:t>具体要求</w:t>
                  </w:r>
                </w:p>
              </w:tc>
              <w:tc>
                <w:tcPr>
                  <w:tcW w:w="1960" w:type="dxa"/>
                  <w:vAlign w:val="center"/>
                </w:tcPr>
                <w:p w14:paraId="5032096E">
                  <w:pPr>
                    <w:spacing w:line="240" w:lineRule="auto"/>
                    <w:ind w:firstLine="0" w:firstLineChars="0"/>
                    <w:jc w:val="center"/>
                    <w:rPr>
                      <w:rFonts w:cs="Times New Roman"/>
                      <w:bCs/>
                      <w:kern w:val="0"/>
                      <w:sz w:val="18"/>
                    </w:rPr>
                  </w:pPr>
                  <w:r>
                    <w:rPr>
                      <w:rFonts w:hint="eastAsia" w:cs="Times New Roman"/>
                      <w:bCs/>
                      <w:kern w:val="0"/>
                      <w:sz w:val="18"/>
                    </w:rPr>
                    <w:t>本项目情况</w:t>
                  </w:r>
                </w:p>
              </w:tc>
              <w:tc>
                <w:tcPr>
                  <w:tcW w:w="677" w:type="dxa"/>
                  <w:vAlign w:val="center"/>
                </w:tcPr>
                <w:p w14:paraId="2AA0A30B">
                  <w:pPr>
                    <w:spacing w:line="240" w:lineRule="auto"/>
                    <w:ind w:firstLine="0" w:firstLineChars="0"/>
                    <w:jc w:val="center"/>
                    <w:rPr>
                      <w:rFonts w:cs="Times New Roman"/>
                      <w:bCs/>
                      <w:kern w:val="0"/>
                      <w:sz w:val="18"/>
                    </w:rPr>
                  </w:pPr>
                  <w:r>
                    <w:rPr>
                      <w:rFonts w:hint="eastAsia" w:cs="Times New Roman"/>
                      <w:bCs/>
                      <w:kern w:val="0"/>
                      <w:sz w:val="18"/>
                    </w:rPr>
                    <w:t>是否符合</w:t>
                  </w:r>
                </w:p>
              </w:tc>
            </w:tr>
            <w:tr w14:paraId="02009776">
              <w:trPr>
                <w:trHeight w:val="340" w:hRule="atLeast"/>
              </w:trPr>
              <w:tc>
                <w:tcPr>
                  <w:tcW w:w="688" w:type="dxa"/>
                  <w:vAlign w:val="center"/>
                </w:tcPr>
                <w:p w14:paraId="426BF0CE">
                  <w:pPr>
                    <w:spacing w:line="240" w:lineRule="auto"/>
                    <w:ind w:firstLine="0" w:firstLineChars="0"/>
                    <w:jc w:val="center"/>
                    <w:rPr>
                      <w:rFonts w:cs="Times New Roman"/>
                      <w:bCs/>
                      <w:kern w:val="0"/>
                      <w:sz w:val="18"/>
                    </w:rPr>
                  </w:pPr>
                  <w:r>
                    <w:rPr>
                      <w:rFonts w:hint="eastAsia" w:cs="Times New Roman"/>
                      <w:bCs/>
                      <w:kern w:val="0"/>
                      <w:sz w:val="18"/>
                    </w:rPr>
                    <w:t>1</w:t>
                  </w:r>
                </w:p>
              </w:tc>
              <w:tc>
                <w:tcPr>
                  <w:tcW w:w="4976" w:type="dxa"/>
                  <w:vAlign w:val="center"/>
                </w:tcPr>
                <w:p w14:paraId="4201DFFC">
                  <w:pPr>
                    <w:spacing w:line="240" w:lineRule="auto"/>
                    <w:ind w:firstLine="0" w:firstLineChars="0"/>
                    <w:jc w:val="both"/>
                    <w:rPr>
                      <w:rFonts w:cs="Times New Roman"/>
                      <w:bCs/>
                      <w:kern w:val="0"/>
                      <w:sz w:val="18"/>
                    </w:rPr>
                  </w:pPr>
                  <w:r>
                    <w:rPr>
                      <w:rFonts w:cs="Times New Roman"/>
                      <w:bCs/>
                      <w:kern w:val="0"/>
                      <w:sz w:val="18"/>
                    </w:rPr>
                    <w:t>港口码头项目建设必须严格遵守《中华人民共和国港口法》、交通运输部《港口规划管理规定》《港口工程建设管理规定》以及《浙江省港口管理条例》的规定。</w:t>
                  </w:r>
                </w:p>
              </w:tc>
              <w:tc>
                <w:tcPr>
                  <w:tcW w:w="1960" w:type="dxa"/>
                  <w:vAlign w:val="center"/>
                </w:tcPr>
                <w:p w14:paraId="5CFA9585">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项目不属于港口码头项目。</w:t>
                  </w:r>
                </w:p>
              </w:tc>
              <w:tc>
                <w:tcPr>
                  <w:tcW w:w="677" w:type="dxa"/>
                  <w:vAlign w:val="center"/>
                </w:tcPr>
                <w:p w14:paraId="1446FA64">
                  <w:pPr>
                    <w:spacing w:line="240" w:lineRule="auto"/>
                    <w:ind w:firstLine="0" w:firstLineChars="0"/>
                    <w:jc w:val="center"/>
                    <w:rPr>
                      <w:rFonts w:cs="Times New Roman"/>
                      <w:bCs/>
                      <w:kern w:val="0"/>
                      <w:sz w:val="18"/>
                    </w:rPr>
                  </w:pPr>
                  <w:r>
                    <w:rPr>
                      <w:rFonts w:hint="eastAsia" w:cs="Times New Roman"/>
                      <w:bCs/>
                      <w:kern w:val="0"/>
                      <w:sz w:val="18"/>
                    </w:rPr>
                    <w:t>符合</w:t>
                  </w:r>
                </w:p>
              </w:tc>
            </w:tr>
            <w:tr w14:paraId="07545701">
              <w:trPr>
                <w:trHeight w:val="340" w:hRule="atLeast"/>
              </w:trPr>
              <w:tc>
                <w:tcPr>
                  <w:tcW w:w="688" w:type="dxa"/>
                  <w:vAlign w:val="center"/>
                </w:tcPr>
                <w:p w14:paraId="6BBF4821">
                  <w:pPr>
                    <w:spacing w:line="240" w:lineRule="auto"/>
                    <w:ind w:firstLine="0" w:firstLineChars="0"/>
                    <w:jc w:val="center"/>
                    <w:rPr>
                      <w:rFonts w:cs="Times New Roman"/>
                      <w:bCs/>
                      <w:kern w:val="0"/>
                      <w:sz w:val="18"/>
                    </w:rPr>
                  </w:pPr>
                  <w:r>
                    <w:rPr>
                      <w:rFonts w:hint="eastAsia" w:cs="Times New Roman"/>
                      <w:bCs/>
                      <w:kern w:val="0"/>
                      <w:sz w:val="18"/>
                    </w:rPr>
                    <w:t>2</w:t>
                  </w:r>
                </w:p>
              </w:tc>
              <w:tc>
                <w:tcPr>
                  <w:tcW w:w="4976" w:type="dxa"/>
                  <w:vAlign w:val="center"/>
                </w:tcPr>
                <w:p w14:paraId="243F1806">
                  <w:pPr>
                    <w:spacing w:line="240" w:lineRule="auto"/>
                    <w:ind w:firstLine="0" w:firstLineChars="0"/>
                    <w:jc w:val="both"/>
                    <w:rPr>
                      <w:rFonts w:cs="Times New Roman"/>
                      <w:bCs/>
                      <w:kern w:val="0"/>
                      <w:sz w:val="18"/>
                    </w:rPr>
                  </w:pPr>
                  <w:r>
                    <w:rPr>
                      <w:rFonts w:cs="Times New Roman"/>
                      <w:bCs/>
                      <w:kern w:val="0"/>
                      <w:sz w:val="18"/>
                    </w:rPr>
                    <w:t>禁止建设不符合《全国沿海港口布局规划》《全国内河航道与港口布局规划》《浙江省沿海港口布局规划》、《浙江省内河航运发展规划》以及项目所在地港口总体规划、国土空间规划的港口码头项目。经国务院或国家发展改革委审批、核准的港口码头项目，军事和渔业港口码头项目，按照国家有关规定执行。城市休闲旅游配套码头、陆岛交通码头等涉及民生的港口码头项目，结合国土空间规划和督导交通专项规划等另行研究执行。</w:t>
                  </w:r>
                </w:p>
              </w:tc>
              <w:tc>
                <w:tcPr>
                  <w:tcW w:w="1960" w:type="dxa"/>
                  <w:vAlign w:val="center"/>
                </w:tcPr>
                <w:p w14:paraId="2389564E">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项目不属于港口码头项目。</w:t>
                  </w:r>
                </w:p>
              </w:tc>
              <w:tc>
                <w:tcPr>
                  <w:tcW w:w="677" w:type="dxa"/>
                  <w:vAlign w:val="center"/>
                </w:tcPr>
                <w:p w14:paraId="66C0A3AF">
                  <w:pPr>
                    <w:spacing w:line="240" w:lineRule="auto"/>
                    <w:ind w:firstLine="0" w:firstLineChars="0"/>
                    <w:jc w:val="center"/>
                    <w:rPr>
                      <w:rFonts w:cs="Times New Roman"/>
                      <w:bCs/>
                      <w:kern w:val="0"/>
                      <w:sz w:val="18"/>
                    </w:rPr>
                  </w:pPr>
                  <w:r>
                    <w:rPr>
                      <w:rFonts w:hint="eastAsia" w:cs="Times New Roman"/>
                      <w:bCs/>
                      <w:kern w:val="0"/>
                      <w:sz w:val="18"/>
                    </w:rPr>
                    <w:t>符合</w:t>
                  </w:r>
                </w:p>
              </w:tc>
            </w:tr>
            <w:tr w14:paraId="0E32996C">
              <w:trPr>
                <w:trHeight w:val="340" w:hRule="atLeast"/>
              </w:trPr>
              <w:tc>
                <w:tcPr>
                  <w:tcW w:w="688" w:type="dxa"/>
                  <w:vAlign w:val="center"/>
                </w:tcPr>
                <w:p w14:paraId="499A8074">
                  <w:pPr>
                    <w:spacing w:line="240" w:lineRule="auto"/>
                    <w:ind w:firstLine="0" w:firstLineChars="0"/>
                    <w:jc w:val="center"/>
                    <w:rPr>
                      <w:rFonts w:cs="Times New Roman"/>
                      <w:bCs/>
                      <w:kern w:val="0"/>
                      <w:sz w:val="18"/>
                    </w:rPr>
                  </w:pPr>
                  <w:r>
                    <w:rPr>
                      <w:rFonts w:hint="eastAsia" w:cs="Times New Roman"/>
                      <w:bCs/>
                      <w:kern w:val="0"/>
                      <w:sz w:val="18"/>
                    </w:rPr>
                    <w:t>3</w:t>
                  </w:r>
                </w:p>
              </w:tc>
              <w:tc>
                <w:tcPr>
                  <w:tcW w:w="4976" w:type="dxa"/>
                  <w:vAlign w:val="center"/>
                </w:tcPr>
                <w:p w14:paraId="473EB9BB">
                  <w:pPr>
                    <w:spacing w:line="240" w:lineRule="auto"/>
                    <w:ind w:firstLine="0" w:firstLineChars="0"/>
                    <w:jc w:val="both"/>
                    <w:rPr>
                      <w:rFonts w:cs="Times New Roman"/>
                      <w:bCs/>
                      <w:kern w:val="0"/>
                      <w:sz w:val="18"/>
                    </w:rPr>
                  </w:pPr>
                  <w:r>
                    <w:rPr>
                      <w:rFonts w:cs="Times New Roman"/>
                      <w:bCs/>
                      <w:kern w:val="0"/>
                      <w:sz w:val="18"/>
                    </w:rPr>
                    <w:t>禁止在自然保护地的岸线和河段范围内投资建设不符合《浙江省自然保护地建设项目准入负面清单（试行）》的项目。禁止在自然保护地的岸线和河段范围内采石、采砂、采土、砍伐及其他严重改变地形地貌、破坏自然生态、影响自然景观的开发利用行为。禁止在I级林地、一级国家级公益林内建设项目。自然保护地由省林业局会同相关管理机构界定。</w:t>
                  </w:r>
                </w:p>
              </w:tc>
              <w:tc>
                <w:tcPr>
                  <w:tcW w:w="1960" w:type="dxa"/>
                  <w:vAlign w:val="center"/>
                </w:tcPr>
                <w:p w14:paraId="4C6821BC">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项目不在自然保护地的岸线和河段范围内，不在I级林地、一级国家级公益林内。</w:t>
                  </w:r>
                </w:p>
              </w:tc>
              <w:tc>
                <w:tcPr>
                  <w:tcW w:w="677" w:type="dxa"/>
                  <w:vAlign w:val="center"/>
                </w:tcPr>
                <w:p w14:paraId="51E30B3A">
                  <w:pPr>
                    <w:spacing w:line="240" w:lineRule="auto"/>
                    <w:ind w:firstLine="0" w:firstLineChars="0"/>
                    <w:jc w:val="center"/>
                    <w:rPr>
                      <w:rFonts w:cs="Times New Roman"/>
                      <w:bCs/>
                      <w:kern w:val="0"/>
                      <w:sz w:val="18"/>
                    </w:rPr>
                  </w:pPr>
                  <w:r>
                    <w:rPr>
                      <w:rFonts w:hint="eastAsia" w:cs="Times New Roman"/>
                      <w:bCs/>
                      <w:kern w:val="0"/>
                      <w:sz w:val="18"/>
                    </w:rPr>
                    <w:t>符合</w:t>
                  </w:r>
                </w:p>
              </w:tc>
            </w:tr>
            <w:tr w14:paraId="0F7AD759">
              <w:trPr>
                <w:trHeight w:val="340" w:hRule="atLeast"/>
              </w:trPr>
              <w:tc>
                <w:tcPr>
                  <w:tcW w:w="688" w:type="dxa"/>
                  <w:vAlign w:val="center"/>
                </w:tcPr>
                <w:p w14:paraId="4634868C">
                  <w:pPr>
                    <w:spacing w:line="240" w:lineRule="auto"/>
                    <w:ind w:firstLine="0" w:firstLineChars="0"/>
                    <w:jc w:val="center"/>
                    <w:rPr>
                      <w:rFonts w:cs="Times New Roman"/>
                      <w:bCs/>
                      <w:kern w:val="0"/>
                      <w:sz w:val="18"/>
                    </w:rPr>
                  </w:pPr>
                  <w:r>
                    <w:rPr>
                      <w:rFonts w:hint="eastAsia" w:cs="Times New Roman"/>
                      <w:bCs/>
                      <w:kern w:val="0"/>
                      <w:sz w:val="18"/>
                    </w:rPr>
                    <w:t>4</w:t>
                  </w:r>
                </w:p>
              </w:tc>
              <w:tc>
                <w:tcPr>
                  <w:tcW w:w="4976" w:type="dxa"/>
                  <w:vAlign w:val="center"/>
                </w:tcPr>
                <w:p w14:paraId="681A792E">
                  <w:pPr>
                    <w:spacing w:line="240" w:lineRule="auto"/>
                    <w:ind w:firstLine="0" w:firstLineChars="0"/>
                    <w:jc w:val="both"/>
                    <w:rPr>
                      <w:rFonts w:cs="Times New Roman"/>
                      <w:bCs/>
                      <w:kern w:val="0"/>
                      <w:sz w:val="18"/>
                    </w:rPr>
                  </w:pPr>
                  <w:r>
                    <w:rPr>
                      <w:rFonts w:cs="Times New Roman"/>
                      <w:bCs/>
                      <w:kern w:val="0"/>
                      <w:sz w:val="18"/>
                    </w:rPr>
                    <w:t>禁止在饮用水水源一级保护区、二级保护区、准保护区的岸线和河段范围内投资建设不符合《浙江省饮用水源保护条例》的项目。饮用水水源一级保护区、二级保护区、准保护区由省生态环境厅会同相关管理机构界定。</w:t>
                  </w:r>
                </w:p>
              </w:tc>
              <w:tc>
                <w:tcPr>
                  <w:tcW w:w="1960" w:type="dxa"/>
                  <w:vAlign w:val="center"/>
                </w:tcPr>
                <w:p w14:paraId="5AA7CF1F">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项目不在饮用水水源一级保护区、二级保护区、准保护区的岸线和河段范围内。</w:t>
                  </w:r>
                </w:p>
              </w:tc>
              <w:tc>
                <w:tcPr>
                  <w:tcW w:w="677" w:type="dxa"/>
                  <w:vAlign w:val="center"/>
                </w:tcPr>
                <w:p w14:paraId="72C1CA4D">
                  <w:pPr>
                    <w:spacing w:line="240" w:lineRule="auto"/>
                    <w:ind w:firstLine="0" w:firstLineChars="0"/>
                    <w:jc w:val="center"/>
                    <w:rPr>
                      <w:rFonts w:cs="Times New Roman"/>
                      <w:bCs/>
                      <w:kern w:val="0"/>
                      <w:sz w:val="18"/>
                    </w:rPr>
                  </w:pPr>
                  <w:r>
                    <w:rPr>
                      <w:rFonts w:hint="eastAsia" w:cs="Times New Roman"/>
                      <w:bCs/>
                      <w:kern w:val="0"/>
                      <w:sz w:val="18"/>
                    </w:rPr>
                    <w:t>符合</w:t>
                  </w:r>
                </w:p>
              </w:tc>
            </w:tr>
            <w:tr w14:paraId="52C3D60B">
              <w:trPr>
                <w:trHeight w:val="340" w:hRule="atLeast"/>
              </w:trPr>
              <w:tc>
                <w:tcPr>
                  <w:tcW w:w="688" w:type="dxa"/>
                  <w:vAlign w:val="center"/>
                </w:tcPr>
                <w:p w14:paraId="76A4300B">
                  <w:pPr>
                    <w:spacing w:line="240" w:lineRule="auto"/>
                    <w:ind w:firstLine="0" w:firstLineChars="0"/>
                    <w:jc w:val="center"/>
                    <w:rPr>
                      <w:rFonts w:cs="Times New Roman"/>
                      <w:bCs/>
                      <w:kern w:val="0"/>
                      <w:sz w:val="18"/>
                    </w:rPr>
                  </w:pPr>
                  <w:r>
                    <w:rPr>
                      <w:rFonts w:hint="eastAsia" w:cs="Times New Roman"/>
                      <w:bCs/>
                      <w:kern w:val="0"/>
                      <w:sz w:val="18"/>
                    </w:rPr>
                    <w:t>5</w:t>
                  </w:r>
                </w:p>
              </w:tc>
              <w:tc>
                <w:tcPr>
                  <w:tcW w:w="4976" w:type="dxa"/>
                  <w:vAlign w:val="center"/>
                </w:tcPr>
                <w:p w14:paraId="13D4177A">
                  <w:pPr>
                    <w:spacing w:line="240" w:lineRule="auto"/>
                    <w:ind w:firstLine="0" w:firstLineChars="0"/>
                    <w:jc w:val="both"/>
                    <w:rPr>
                      <w:rFonts w:cs="Times New Roman"/>
                      <w:bCs/>
                      <w:kern w:val="0"/>
                      <w:sz w:val="18"/>
                    </w:rPr>
                  </w:pPr>
                  <w:r>
                    <w:rPr>
                      <w:rFonts w:cs="Times New Roman"/>
                      <w:bCs/>
                      <w:kern w:val="0"/>
                      <w:sz w:val="18"/>
                    </w:rPr>
                    <w:t>禁止在水产种质资源保护区的岸线和河段范围内新建围湖造田、围海造地或围填海等投资建设项目。水产种质资源保护区由省农业农村厅会同相关管理机构界定。</w:t>
                  </w:r>
                </w:p>
              </w:tc>
              <w:tc>
                <w:tcPr>
                  <w:tcW w:w="1960" w:type="dxa"/>
                  <w:vAlign w:val="center"/>
                </w:tcPr>
                <w:p w14:paraId="4A955200">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项目不在水产种质资源保护区的岸线和河段范围内</w:t>
                  </w:r>
                  <w:r>
                    <w:rPr>
                      <w:rFonts w:hint="eastAsia" w:cs="Times New Roman"/>
                      <w:bCs/>
                      <w:kern w:val="0"/>
                      <w:sz w:val="18"/>
                    </w:rPr>
                    <w:t>。</w:t>
                  </w:r>
                </w:p>
              </w:tc>
              <w:tc>
                <w:tcPr>
                  <w:tcW w:w="677" w:type="dxa"/>
                  <w:vAlign w:val="center"/>
                </w:tcPr>
                <w:p w14:paraId="5D77AA0E">
                  <w:pPr>
                    <w:spacing w:line="240" w:lineRule="auto"/>
                    <w:ind w:firstLine="0" w:firstLineChars="0"/>
                    <w:jc w:val="center"/>
                    <w:rPr>
                      <w:rFonts w:cs="Times New Roman"/>
                      <w:bCs/>
                      <w:kern w:val="0"/>
                      <w:sz w:val="18"/>
                    </w:rPr>
                  </w:pPr>
                  <w:r>
                    <w:rPr>
                      <w:rFonts w:hint="eastAsia" w:cs="Times New Roman"/>
                      <w:bCs/>
                      <w:kern w:val="0"/>
                      <w:sz w:val="18"/>
                    </w:rPr>
                    <w:t>符合</w:t>
                  </w:r>
                </w:p>
              </w:tc>
            </w:tr>
            <w:tr w14:paraId="5AE09C8A">
              <w:trPr>
                <w:trHeight w:val="340" w:hRule="atLeast"/>
              </w:trPr>
              <w:tc>
                <w:tcPr>
                  <w:tcW w:w="688" w:type="dxa"/>
                  <w:vAlign w:val="center"/>
                </w:tcPr>
                <w:p w14:paraId="3DF7409C">
                  <w:pPr>
                    <w:spacing w:line="240" w:lineRule="auto"/>
                    <w:ind w:firstLine="0" w:firstLineChars="0"/>
                    <w:jc w:val="center"/>
                    <w:rPr>
                      <w:rFonts w:cs="Times New Roman"/>
                      <w:bCs/>
                      <w:kern w:val="0"/>
                      <w:sz w:val="18"/>
                    </w:rPr>
                  </w:pPr>
                  <w:r>
                    <w:rPr>
                      <w:rFonts w:hint="eastAsia" w:cs="Times New Roman"/>
                      <w:bCs/>
                      <w:kern w:val="0"/>
                      <w:sz w:val="18"/>
                    </w:rPr>
                    <w:t>6</w:t>
                  </w:r>
                </w:p>
              </w:tc>
              <w:tc>
                <w:tcPr>
                  <w:tcW w:w="4976" w:type="dxa"/>
                  <w:vAlign w:val="center"/>
                </w:tcPr>
                <w:p w14:paraId="517667A1">
                  <w:pPr>
                    <w:spacing w:line="240" w:lineRule="auto"/>
                    <w:ind w:firstLine="0" w:firstLineChars="0"/>
                    <w:jc w:val="both"/>
                    <w:rPr>
                      <w:rFonts w:cs="Times New Roman"/>
                      <w:bCs/>
                      <w:kern w:val="0"/>
                      <w:sz w:val="18"/>
                    </w:rPr>
                  </w:pPr>
                  <w:r>
                    <w:rPr>
                      <w:rFonts w:cs="Times New Roman"/>
                      <w:bCs/>
                      <w:kern w:val="0"/>
                      <w:sz w:val="18"/>
                    </w:rPr>
                    <w:t>在国家湿地公园的岸线和河段范围内：</w:t>
                  </w:r>
                </w:p>
                <w:p w14:paraId="467265DA">
                  <w:pPr>
                    <w:spacing w:line="240" w:lineRule="auto"/>
                    <w:ind w:firstLine="0" w:firstLineChars="0"/>
                    <w:jc w:val="both"/>
                    <w:rPr>
                      <w:rFonts w:cs="Times New Roman"/>
                      <w:bCs/>
                      <w:kern w:val="0"/>
                      <w:sz w:val="18"/>
                    </w:rPr>
                  </w:pPr>
                  <w:r>
                    <w:rPr>
                      <w:rFonts w:cs="Times New Roman"/>
                      <w:bCs/>
                      <w:kern w:val="0"/>
                      <w:sz w:val="18"/>
                    </w:rPr>
                    <w:t>（一）禁止挖沙、采矿；</w:t>
                  </w:r>
                </w:p>
                <w:p w14:paraId="2DBA3849">
                  <w:pPr>
                    <w:spacing w:line="240" w:lineRule="auto"/>
                    <w:ind w:firstLine="0" w:firstLineChars="0"/>
                    <w:jc w:val="both"/>
                    <w:rPr>
                      <w:rFonts w:cs="Times New Roman"/>
                      <w:bCs/>
                      <w:kern w:val="0"/>
                      <w:sz w:val="18"/>
                    </w:rPr>
                  </w:pPr>
                  <w:r>
                    <w:rPr>
                      <w:rFonts w:cs="Times New Roman"/>
                      <w:bCs/>
                      <w:kern w:val="0"/>
                      <w:sz w:val="18"/>
                    </w:rPr>
                    <w:t>（二）禁止任何不符合主体功能定位的投资建设项目；</w:t>
                  </w:r>
                </w:p>
                <w:p w14:paraId="5C0E050F">
                  <w:pPr>
                    <w:spacing w:line="240" w:lineRule="auto"/>
                    <w:ind w:firstLine="0" w:firstLineChars="0"/>
                    <w:jc w:val="both"/>
                    <w:rPr>
                      <w:rFonts w:cs="Times New Roman"/>
                      <w:bCs/>
                      <w:kern w:val="0"/>
                      <w:sz w:val="18"/>
                    </w:rPr>
                  </w:pPr>
                  <w:r>
                    <w:rPr>
                      <w:rFonts w:cs="Times New Roman"/>
                      <w:bCs/>
                      <w:kern w:val="0"/>
                      <w:sz w:val="18"/>
                    </w:rPr>
                    <w:t>（三）禁止开（围）垦、填埋或者排干湿地；</w:t>
                  </w:r>
                </w:p>
                <w:p w14:paraId="20E507AA">
                  <w:pPr>
                    <w:spacing w:line="240" w:lineRule="auto"/>
                    <w:ind w:firstLine="0" w:firstLineChars="0"/>
                    <w:jc w:val="both"/>
                    <w:rPr>
                      <w:rFonts w:cs="Times New Roman"/>
                      <w:bCs/>
                      <w:kern w:val="0"/>
                      <w:sz w:val="18"/>
                    </w:rPr>
                  </w:pPr>
                  <w:r>
                    <w:rPr>
                      <w:rFonts w:cs="Times New Roman"/>
                      <w:bCs/>
                      <w:kern w:val="0"/>
                      <w:sz w:val="18"/>
                    </w:rPr>
                    <w:t>（四）禁止截断湿地水源；</w:t>
                  </w:r>
                </w:p>
                <w:p w14:paraId="0D63B7DD">
                  <w:pPr>
                    <w:spacing w:line="240" w:lineRule="auto"/>
                    <w:ind w:firstLine="0" w:firstLineChars="0"/>
                    <w:jc w:val="both"/>
                    <w:rPr>
                      <w:rFonts w:cs="Times New Roman"/>
                      <w:bCs/>
                      <w:kern w:val="0"/>
                      <w:sz w:val="18"/>
                    </w:rPr>
                  </w:pPr>
                  <w:r>
                    <w:rPr>
                      <w:rFonts w:cs="Times New Roman"/>
                      <w:bCs/>
                      <w:kern w:val="0"/>
                      <w:sz w:val="18"/>
                    </w:rPr>
                    <w:t>（五）禁止倾倒有毒有害物质、废弃物、垃圾；</w:t>
                  </w:r>
                </w:p>
                <w:p w14:paraId="4591481E">
                  <w:pPr>
                    <w:spacing w:line="240" w:lineRule="auto"/>
                    <w:ind w:firstLine="0" w:firstLineChars="0"/>
                    <w:jc w:val="both"/>
                    <w:rPr>
                      <w:rFonts w:cs="Times New Roman"/>
                      <w:bCs/>
                      <w:kern w:val="0"/>
                      <w:sz w:val="18"/>
                    </w:rPr>
                  </w:pPr>
                  <w:r>
                    <w:rPr>
                      <w:rFonts w:cs="Times New Roman"/>
                      <w:bCs/>
                      <w:kern w:val="0"/>
                      <w:sz w:val="18"/>
                    </w:rPr>
                    <w:t>（六）禁止破坏野生动物栖息地和迁徙通道、鱼类洄游通道，禁止滥采滥捕野生动植物；</w:t>
                  </w:r>
                </w:p>
                <w:p w14:paraId="71886E87">
                  <w:pPr>
                    <w:spacing w:line="240" w:lineRule="auto"/>
                    <w:ind w:firstLine="0" w:firstLineChars="0"/>
                    <w:jc w:val="both"/>
                    <w:rPr>
                      <w:rFonts w:cs="Times New Roman"/>
                      <w:bCs/>
                      <w:kern w:val="0"/>
                      <w:sz w:val="18"/>
                    </w:rPr>
                  </w:pPr>
                  <w:r>
                    <w:rPr>
                      <w:rFonts w:cs="Times New Roman"/>
                      <w:bCs/>
                      <w:kern w:val="0"/>
                      <w:sz w:val="18"/>
                    </w:rPr>
                    <w:t>（七）禁止引入外来物种；</w:t>
                  </w:r>
                </w:p>
                <w:p w14:paraId="1A0523C3">
                  <w:pPr>
                    <w:spacing w:line="240" w:lineRule="auto"/>
                    <w:ind w:firstLine="0" w:firstLineChars="0"/>
                    <w:jc w:val="both"/>
                    <w:rPr>
                      <w:rFonts w:cs="Times New Roman"/>
                      <w:bCs/>
                      <w:kern w:val="0"/>
                      <w:sz w:val="18"/>
                    </w:rPr>
                  </w:pPr>
                  <w:r>
                    <w:rPr>
                      <w:rFonts w:cs="Times New Roman"/>
                      <w:bCs/>
                      <w:kern w:val="0"/>
                      <w:sz w:val="18"/>
                    </w:rPr>
                    <w:t>（八）禁止擅自放牧、捕捞、取土、取水、排污、放生；</w:t>
                  </w:r>
                </w:p>
                <w:p w14:paraId="5239A6E9">
                  <w:pPr>
                    <w:spacing w:line="240" w:lineRule="auto"/>
                    <w:ind w:firstLine="0" w:firstLineChars="0"/>
                    <w:jc w:val="both"/>
                    <w:rPr>
                      <w:rFonts w:cs="Times New Roman"/>
                      <w:bCs/>
                      <w:kern w:val="0"/>
                      <w:sz w:val="18"/>
                    </w:rPr>
                  </w:pPr>
                  <w:r>
                    <w:rPr>
                      <w:rFonts w:cs="Times New Roman"/>
                      <w:bCs/>
                      <w:kern w:val="0"/>
                      <w:sz w:val="18"/>
                    </w:rPr>
                    <w:t>（九）禁止其他破坏湿地及其生态功能的活动。</w:t>
                  </w:r>
                </w:p>
                <w:p w14:paraId="08C525E5">
                  <w:pPr>
                    <w:spacing w:line="240" w:lineRule="auto"/>
                    <w:ind w:firstLine="0" w:firstLineChars="0"/>
                    <w:jc w:val="both"/>
                    <w:rPr>
                      <w:rFonts w:cs="Times New Roman"/>
                      <w:bCs/>
                      <w:kern w:val="0"/>
                      <w:sz w:val="18"/>
                    </w:rPr>
                  </w:pPr>
                  <w:r>
                    <w:rPr>
                      <w:rFonts w:cs="Times New Roman"/>
                      <w:bCs/>
                      <w:kern w:val="0"/>
                      <w:sz w:val="18"/>
                    </w:rPr>
                    <w:t>国家湿地公园由省林业局会同相关管理机构界定。</w:t>
                  </w:r>
                </w:p>
              </w:tc>
              <w:tc>
                <w:tcPr>
                  <w:tcW w:w="1960" w:type="dxa"/>
                  <w:vAlign w:val="center"/>
                </w:tcPr>
                <w:p w14:paraId="0E4B6F3A">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项目不在国家湿地公园的岸线和河段范围内。</w:t>
                  </w:r>
                </w:p>
              </w:tc>
              <w:tc>
                <w:tcPr>
                  <w:tcW w:w="677" w:type="dxa"/>
                  <w:vAlign w:val="center"/>
                </w:tcPr>
                <w:p w14:paraId="7EF6BDE9">
                  <w:pPr>
                    <w:spacing w:line="240" w:lineRule="auto"/>
                    <w:ind w:firstLine="0" w:firstLineChars="0"/>
                    <w:jc w:val="center"/>
                    <w:rPr>
                      <w:rFonts w:cs="Times New Roman"/>
                      <w:bCs/>
                      <w:kern w:val="0"/>
                      <w:sz w:val="18"/>
                    </w:rPr>
                  </w:pPr>
                  <w:r>
                    <w:rPr>
                      <w:rFonts w:hint="eastAsia" w:cs="Times New Roman"/>
                      <w:bCs/>
                      <w:kern w:val="0"/>
                      <w:sz w:val="18"/>
                    </w:rPr>
                    <w:t>符合</w:t>
                  </w:r>
                </w:p>
              </w:tc>
            </w:tr>
            <w:tr w14:paraId="33DA38B2">
              <w:trPr>
                <w:trHeight w:val="340" w:hRule="atLeast"/>
              </w:trPr>
              <w:tc>
                <w:tcPr>
                  <w:tcW w:w="688" w:type="dxa"/>
                  <w:vAlign w:val="center"/>
                </w:tcPr>
                <w:p w14:paraId="75E22E93">
                  <w:pPr>
                    <w:spacing w:line="240" w:lineRule="auto"/>
                    <w:ind w:firstLine="0" w:firstLineChars="0"/>
                    <w:jc w:val="center"/>
                    <w:rPr>
                      <w:rFonts w:cs="Times New Roman"/>
                      <w:bCs/>
                      <w:kern w:val="0"/>
                      <w:sz w:val="18"/>
                    </w:rPr>
                  </w:pPr>
                  <w:r>
                    <w:rPr>
                      <w:rFonts w:hint="eastAsia" w:cs="Times New Roman"/>
                      <w:bCs/>
                      <w:kern w:val="0"/>
                      <w:sz w:val="18"/>
                    </w:rPr>
                    <w:t>7</w:t>
                  </w:r>
                </w:p>
              </w:tc>
              <w:tc>
                <w:tcPr>
                  <w:tcW w:w="4976" w:type="dxa"/>
                  <w:vAlign w:val="center"/>
                </w:tcPr>
                <w:p w14:paraId="0121B272">
                  <w:pPr>
                    <w:spacing w:line="240" w:lineRule="auto"/>
                    <w:ind w:firstLine="0" w:firstLineChars="0"/>
                    <w:jc w:val="both"/>
                    <w:rPr>
                      <w:rFonts w:cs="Times New Roman"/>
                      <w:bCs/>
                      <w:kern w:val="0"/>
                      <w:sz w:val="18"/>
                    </w:rPr>
                  </w:pPr>
                  <w:r>
                    <w:rPr>
                      <w:rFonts w:cs="Times New Roman"/>
                      <w:bCs/>
                      <w:kern w:val="0"/>
                      <w:sz w:val="18"/>
                    </w:rPr>
                    <w:t>禁止违法利用、占用长江流域河湖岸线。</w:t>
                  </w:r>
                </w:p>
              </w:tc>
              <w:tc>
                <w:tcPr>
                  <w:tcW w:w="1960" w:type="dxa"/>
                  <w:vAlign w:val="center"/>
                </w:tcPr>
                <w:p w14:paraId="04C76867">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项目不在长江流域河湖岸线。</w:t>
                  </w:r>
                </w:p>
              </w:tc>
              <w:tc>
                <w:tcPr>
                  <w:tcW w:w="677" w:type="dxa"/>
                  <w:vAlign w:val="center"/>
                </w:tcPr>
                <w:p w14:paraId="70FCF89B">
                  <w:pPr>
                    <w:spacing w:line="240" w:lineRule="auto"/>
                    <w:ind w:firstLine="0" w:firstLineChars="0"/>
                    <w:jc w:val="center"/>
                    <w:rPr>
                      <w:rFonts w:cs="Times New Roman"/>
                      <w:bCs/>
                      <w:kern w:val="0"/>
                      <w:sz w:val="18"/>
                    </w:rPr>
                  </w:pPr>
                  <w:r>
                    <w:rPr>
                      <w:rFonts w:hint="eastAsia" w:cs="Times New Roman"/>
                      <w:bCs/>
                      <w:kern w:val="0"/>
                      <w:sz w:val="18"/>
                    </w:rPr>
                    <w:t>符合</w:t>
                  </w:r>
                </w:p>
              </w:tc>
            </w:tr>
            <w:tr w14:paraId="41AF1960">
              <w:trPr>
                <w:trHeight w:val="340" w:hRule="atLeast"/>
              </w:trPr>
              <w:tc>
                <w:tcPr>
                  <w:tcW w:w="688" w:type="dxa"/>
                  <w:vAlign w:val="center"/>
                </w:tcPr>
                <w:p w14:paraId="55BDCBEB">
                  <w:pPr>
                    <w:spacing w:line="240" w:lineRule="auto"/>
                    <w:ind w:firstLine="0" w:firstLineChars="0"/>
                    <w:jc w:val="center"/>
                    <w:rPr>
                      <w:rFonts w:cs="Times New Roman"/>
                      <w:bCs/>
                      <w:kern w:val="0"/>
                      <w:sz w:val="18"/>
                    </w:rPr>
                  </w:pPr>
                  <w:r>
                    <w:rPr>
                      <w:rFonts w:hint="eastAsia" w:cs="Times New Roman"/>
                      <w:bCs/>
                      <w:kern w:val="0"/>
                      <w:sz w:val="18"/>
                    </w:rPr>
                    <w:t>8</w:t>
                  </w:r>
                </w:p>
              </w:tc>
              <w:tc>
                <w:tcPr>
                  <w:tcW w:w="4976" w:type="dxa"/>
                  <w:vAlign w:val="center"/>
                </w:tcPr>
                <w:p w14:paraId="6D44EC9B">
                  <w:pPr>
                    <w:spacing w:line="240" w:lineRule="auto"/>
                    <w:ind w:firstLine="0" w:firstLineChars="0"/>
                    <w:jc w:val="both"/>
                    <w:rPr>
                      <w:rFonts w:cs="Times New Roman"/>
                      <w:bCs/>
                      <w:kern w:val="0"/>
                      <w:sz w:val="18"/>
                    </w:rPr>
                  </w:pPr>
                  <w:r>
                    <w:rPr>
                      <w:rFonts w:cs="Times New Roman"/>
                      <w:bCs/>
                      <w:kern w:val="0"/>
                      <w:sz w:val="18"/>
                    </w:rPr>
                    <w:t>禁止在《长江岸线保护和开发利用总体规划》划定的岸线保护区和保留区内投资建设除事关公共安全及公众利益的防洪护岸、河道治理、供水、生态环境保护、国家重要基础设施以外的项目。</w:t>
                  </w:r>
                </w:p>
              </w:tc>
              <w:tc>
                <w:tcPr>
                  <w:tcW w:w="1960" w:type="dxa"/>
                  <w:vAlign w:val="center"/>
                </w:tcPr>
                <w:p w14:paraId="0835E847">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项目不在《长江岸线保护和开发利用总体规划》划定的岸线保护区和保留区内。</w:t>
                  </w:r>
                </w:p>
              </w:tc>
              <w:tc>
                <w:tcPr>
                  <w:tcW w:w="677" w:type="dxa"/>
                  <w:vAlign w:val="center"/>
                </w:tcPr>
                <w:p w14:paraId="171CA9E9">
                  <w:pPr>
                    <w:spacing w:line="240" w:lineRule="auto"/>
                    <w:ind w:firstLine="0" w:firstLineChars="0"/>
                    <w:jc w:val="center"/>
                    <w:rPr>
                      <w:rFonts w:cs="Times New Roman"/>
                      <w:bCs/>
                      <w:kern w:val="0"/>
                      <w:sz w:val="18"/>
                    </w:rPr>
                  </w:pPr>
                  <w:r>
                    <w:rPr>
                      <w:rFonts w:hint="eastAsia" w:cs="Times New Roman"/>
                      <w:bCs/>
                      <w:kern w:val="0"/>
                      <w:sz w:val="18"/>
                    </w:rPr>
                    <w:t>符合</w:t>
                  </w:r>
                </w:p>
              </w:tc>
            </w:tr>
            <w:tr w14:paraId="0BF1EF92">
              <w:trPr>
                <w:trHeight w:val="340" w:hRule="atLeast"/>
              </w:trPr>
              <w:tc>
                <w:tcPr>
                  <w:tcW w:w="688" w:type="dxa"/>
                  <w:vAlign w:val="center"/>
                </w:tcPr>
                <w:p w14:paraId="756D4785">
                  <w:pPr>
                    <w:spacing w:line="240" w:lineRule="auto"/>
                    <w:ind w:firstLine="0" w:firstLineChars="0"/>
                    <w:jc w:val="center"/>
                    <w:rPr>
                      <w:rFonts w:cs="Times New Roman"/>
                      <w:bCs/>
                      <w:kern w:val="0"/>
                      <w:sz w:val="18"/>
                    </w:rPr>
                  </w:pPr>
                  <w:r>
                    <w:rPr>
                      <w:rFonts w:hint="eastAsia" w:cs="Times New Roman"/>
                      <w:bCs/>
                      <w:kern w:val="0"/>
                      <w:sz w:val="18"/>
                    </w:rPr>
                    <w:t>9</w:t>
                  </w:r>
                </w:p>
              </w:tc>
              <w:tc>
                <w:tcPr>
                  <w:tcW w:w="4976" w:type="dxa"/>
                  <w:vAlign w:val="center"/>
                </w:tcPr>
                <w:p w14:paraId="7C5DBCBD">
                  <w:pPr>
                    <w:spacing w:line="240" w:lineRule="auto"/>
                    <w:ind w:firstLine="0" w:firstLineChars="0"/>
                    <w:jc w:val="both"/>
                    <w:rPr>
                      <w:rFonts w:cs="Times New Roman"/>
                      <w:bCs/>
                      <w:kern w:val="0"/>
                      <w:sz w:val="18"/>
                    </w:rPr>
                  </w:pPr>
                  <w:r>
                    <w:rPr>
                      <w:rFonts w:cs="Times New Roman"/>
                      <w:bCs/>
                      <w:kern w:val="0"/>
                      <w:sz w:val="18"/>
                    </w:rPr>
                    <w:t>禁止在《全国重要江河湖泊水功能区划》划定的河段及湖泊保护区、保留区内投资建设不利于水资源及自然生态保护的项目。</w:t>
                  </w:r>
                </w:p>
              </w:tc>
              <w:tc>
                <w:tcPr>
                  <w:tcW w:w="1960" w:type="dxa"/>
                  <w:vAlign w:val="center"/>
                </w:tcPr>
                <w:p w14:paraId="331E8F94">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项目不在《全国重要江河湖泊水功能区划》划定的河段及湖泊保护区、保留区内。</w:t>
                  </w:r>
                </w:p>
              </w:tc>
              <w:tc>
                <w:tcPr>
                  <w:tcW w:w="677" w:type="dxa"/>
                  <w:vAlign w:val="center"/>
                </w:tcPr>
                <w:p w14:paraId="3676F06A">
                  <w:pPr>
                    <w:spacing w:line="240" w:lineRule="auto"/>
                    <w:ind w:firstLine="0" w:firstLineChars="0"/>
                    <w:jc w:val="center"/>
                    <w:rPr>
                      <w:rFonts w:cs="Times New Roman"/>
                      <w:bCs/>
                      <w:kern w:val="0"/>
                      <w:sz w:val="18"/>
                    </w:rPr>
                  </w:pPr>
                  <w:r>
                    <w:rPr>
                      <w:rFonts w:hint="eastAsia" w:cs="Times New Roman"/>
                      <w:bCs/>
                      <w:kern w:val="0"/>
                      <w:sz w:val="18"/>
                    </w:rPr>
                    <w:t>符合</w:t>
                  </w:r>
                </w:p>
              </w:tc>
            </w:tr>
            <w:tr w14:paraId="7C933C3E">
              <w:trPr>
                <w:trHeight w:val="340" w:hRule="atLeast"/>
              </w:trPr>
              <w:tc>
                <w:tcPr>
                  <w:tcW w:w="688" w:type="dxa"/>
                  <w:vAlign w:val="center"/>
                </w:tcPr>
                <w:p w14:paraId="5B807E71">
                  <w:pPr>
                    <w:spacing w:line="240" w:lineRule="auto"/>
                    <w:ind w:firstLine="0" w:firstLineChars="0"/>
                    <w:jc w:val="center"/>
                    <w:rPr>
                      <w:rFonts w:cs="Times New Roman"/>
                      <w:bCs/>
                      <w:kern w:val="0"/>
                      <w:sz w:val="18"/>
                    </w:rPr>
                  </w:pPr>
                  <w:r>
                    <w:rPr>
                      <w:rFonts w:hint="eastAsia" w:cs="Times New Roman"/>
                      <w:bCs/>
                      <w:kern w:val="0"/>
                      <w:sz w:val="18"/>
                    </w:rPr>
                    <w:t>10</w:t>
                  </w:r>
                </w:p>
              </w:tc>
              <w:tc>
                <w:tcPr>
                  <w:tcW w:w="4976" w:type="dxa"/>
                  <w:vAlign w:val="center"/>
                </w:tcPr>
                <w:p w14:paraId="6B7F9D0D">
                  <w:pPr>
                    <w:spacing w:line="240" w:lineRule="auto"/>
                    <w:ind w:firstLine="0" w:firstLineChars="0"/>
                    <w:jc w:val="both"/>
                    <w:rPr>
                      <w:rFonts w:cs="Times New Roman"/>
                      <w:bCs/>
                      <w:kern w:val="0"/>
                      <w:sz w:val="18"/>
                    </w:rPr>
                  </w:pPr>
                  <w:r>
                    <w:rPr>
                      <w:rFonts w:cs="Times New Roman"/>
                      <w:bCs/>
                      <w:kern w:val="0"/>
                      <w:sz w:val="18"/>
                    </w:rPr>
                    <w:t>禁止未经许可在长江支流及湖泊新设、改设或扩大排污口</w:t>
                  </w:r>
                </w:p>
              </w:tc>
              <w:tc>
                <w:tcPr>
                  <w:tcW w:w="1960" w:type="dxa"/>
                  <w:vAlign w:val="center"/>
                </w:tcPr>
                <w:p w14:paraId="19B8DA0F">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项目不在长江支流及湖泊新设、改设或扩大排污口</w:t>
                  </w:r>
                  <w:r>
                    <w:rPr>
                      <w:rFonts w:hint="eastAsia" w:cs="Times New Roman"/>
                      <w:bCs/>
                      <w:kern w:val="0"/>
                      <w:sz w:val="18"/>
                    </w:rPr>
                    <w:t>。</w:t>
                  </w:r>
                </w:p>
              </w:tc>
              <w:tc>
                <w:tcPr>
                  <w:tcW w:w="677" w:type="dxa"/>
                  <w:vAlign w:val="center"/>
                </w:tcPr>
                <w:p w14:paraId="63923F4C">
                  <w:pPr>
                    <w:spacing w:line="240" w:lineRule="auto"/>
                    <w:ind w:firstLine="0" w:firstLineChars="0"/>
                    <w:jc w:val="center"/>
                    <w:rPr>
                      <w:rFonts w:cs="Times New Roman"/>
                      <w:bCs/>
                      <w:kern w:val="0"/>
                      <w:sz w:val="18"/>
                    </w:rPr>
                  </w:pPr>
                  <w:r>
                    <w:rPr>
                      <w:rFonts w:hint="eastAsia" w:cs="Times New Roman"/>
                      <w:bCs/>
                      <w:kern w:val="0"/>
                      <w:sz w:val="18"/>
                    </w:rPr>
                    <w:t>符合</w:t>
                  </w:r>
                </w:p>
              </w:tc>
            </w:tr>
            <w:tr w14:paraId="6E0EB9F6">
              <w:trPr>
                <w:trHeight w:val="340" w:hRule="atLeast"/>
              </w:trPr>
              <w:tc>
                <w:tcPr>
                  <w:tcW w:w="688" w:type="dxa"/>
                  <w:vAlign w:val="center"/>
                </w:tcPr>
                <w:p w14:paraId="377B1D78">
                  <w:pPr>
                    <w:spacing w:line="240" w:lineRule="auto"/>
                    <w:ind w:firstLine="0" w:firstLineChars="0"/>
                    <w:jc w:val="center"/>
                    <w:rPr>
                      <w:rFonts w:cs="Times New Roman"/>
                      <w:bCs/>
                      <w:kern w:val="0"/>
                      <w:sz w:val="18"/>
                    </w:rPr>
                  </w:pPr>
                  <w:r>
                    <w:rPr>
                      <w:rFonts w:hint="eastAsia" w:cs="Times New Roman"/>
                      <w:bCs/>
                      <w:kern w:val="0"/>
                      <w:sz w:val="18"/>
                    </w:rPr>
                    <w:t>11</w:t>
                  </w:r>
                </w:p>
              </w:tc>
              <w:tc>
                <w:tcPr>
                  <w:tcW w:w="4976" w:type="dxa"/>
                  <w:vAlign w:val="center"/>
                </w:tcPr>
                <w:p w14:paraId="092663AE">
                  <w:pPr>
                    <w:spacing w:line="240" w:lineRule="auto"/>
                    <w:ind w:firstLine="0" w:firstLineChars="0"/>
                    <w:jc w:val="both"/>
                    <w:rPr>
                      <w:rFonts w:cs="Times New Roman"/>
                      <w:bCs/>
                      <w:kern w:val="0"/>
                      <w:sz w:val="18"/>
                    </w:rPr>
                  </w:pPr>
                  <w:r>
                    <w:rPr>
                      <w:rFonts w:cs="Times New Roman"/>
                      <w:bCs/>
                      <w:kern w:val="0"/>
                      <w:sz w:val="18"/>
                    </w:rPr>
                    <w:t>禁止在长江支流、太湖等重要岸线一公里范围内新建、扩建化工园区和化工项目。</w:t>
                  </w:r>
                </w:p>
              </w:tc>
              <w:tc>
                <w:tcPr>
                  <w:tcW w:w="1960" w:type="dxa"/>
                  <w:vAlign w:val="center"/>
                </w:tcPr>
                <w:p w14:paraId="20CAD0F2">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项目不在长江支流、太湖等重要岸线一公里范围内。</w:t>
                  </w:r>
                </w:p>
              </w:tc>
              <w:tc>
                <w:tcPr>
                  <w:tcW w:w="677" w:type="dxa"/>
                  <w:vAlign w:val="center"/>
                </w:tcPr>
                <w:p w14:paraId="1FBE9960">
                  <w:pPr>
                    <w:spacing w:line="240" w:lineRule="auto"/>
                    <w:ind w:firstLine="0" w:firstLineChars="0"/>
                    <w:jc w:val="center"/>
                    <w:rPr>
                      <w:rFonts w:cs="Times New Roman"/>
                      <w:bCs/>
                      <w:kern w:val="0"/>
                      <w:sz w:val="18"/>
                    </w:rPr>
                  </w:pPr>
                  <w:r>
                    <w:rPr>
                      <w:rFonts w:hint="eastAsia" w:cs="Times New Roman"/>
                      <w:bCs/>
                      <w:kern w:val="0"/>
                      <w:sz w:val="18"/>
                    </w:rPr>
                    <w:t>符合</w:t>
                  </w:r>
                </w:p>
              </w:tc>
            </w:tr>
            <w:tr w14:paraId="0123F64A">
              <w:trPr>
                <w:trHeight w:val="340" w:hRule="atLeast"/>
              </w:trPr>
              <w:tc>
                <w:tcPr>
                  <w:tcW w:w="688" w:type="dxa"/>
                  <w:vAlign w:val="center"/>
                </w:tcPr>
                <w:p w14:paraId="4600F426">
                  <w:pPr>
                    <w:spacing w:line="240" w:lineRule="auto"/>
                    <w:ind w:firstLine="0" w:firstLineChars="0"/>
                    <w:jc w:val="center"/>
                    <w:rPr>
                      <w:rFonts w:cs="Times New Roman"/>
                      <w:bCs/>
                      <w:kern w:val="0"/>
                      <w:sz w:val="18"/>
                    </w:rPr>
                  </w:pPr>
                  <w:r>
                    <w:rPr>
                      <w:rFonts w:hint="eastAsia" w:cs="Times New Roman"/>
                      <w:bCs/>
                      <w:kern w:val="0"/>
                      <w:sz w:val="18"/>
                    </w:rPr>
                    <w:t>12</w:t>
                  </w:r>
                </w:p>
              </w:tc>
              <w:tc>
                <w:tcPr>
                  <w:tcW w:w="4976" w:type="dxa"/>
                  <w:vAlign w:val="center"/>
                </w:tcPr>
                <w:p w14:paraId="2DA3314B">
                  <w:pPr>
                    <w:spacing w:line="240" w:lineRule="auto"/>
                    <w:ind w:firstLine="0" w:firstLineChars="0"/>
                    <w:jc w:val="both"/>
                    <w:rPr>
                      <w:rFonts w:cs="Times New Roman"/>
                      <w:bCs/>
                      <w:kern w:val="0"/>
                      <w:sz w:val="18"/>
                    </w:rPr>
                  </w:pPr>
                  <w:r>
                    <w:rPr>
                      <w:rFonts w:cs="Times New Roman"/>
                      <w:bCs/>
                      <w:kern w:val="0"/>
                      <w:sz w:val="18"/>
                    </w:rPr>
                    <w:t>禁止在长江重要支流岸线一公里范围内新建、改建、扩建尾矿库、冶炼渣库和磷石膏库，以提升安全、生态环境保护水平为目的的改扩建除外。</w:t>
                  </w:r>
                </w:p>
              </w:tc>
              <w:tc>
                <w:tcPr>
                  <w:tcW w:w="1960" w:type="dxa"/>
                  <w:vAlign w:val="center"/>
                </w:tcPr>
                <w:p w14:paraId="68A6DBC4">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项目不在长江支流、太湖等重要岸线一公里范围内。</w:t>
                  </w:r>
                </w:p>
              </w:tc>
              <w:tc>
                <w:tcPr>
                  <w:tcW w:w="677" w:type="dxa"/>
                  <w:vAlign w:val="center"/>
                </w:tcPr>
                <w:p w14:paraId="6449E004">
                  <w:pPr>
                    <w:spacing w:line="240" w:lineRule="auto"/>
                    <w:ind w:firstLine="0" w:firstLineChars="0"/>
                    <w:jc w:val="center"/>
                    <w:rPr>
                      <w:rFonts w:cs="Times New Roman"/>
                      <w:bCs/>
                      <w:kern w:val="0"/>
                      <w:sz w:val="18"/>
                    </w:rPr>
                  </w:pPr>
                  <w:r>
                    <w:rPr>
                      <w:rFonts w:hint="eastAsia" w:cs="Times New Roman"/>
                      <w:bCs/>
                      <w:kern w:val="0"/>
                      <w:sz w:val="18"/>
                    </w:rPr>
                    <w:t>符合</w:t>
                  </w:r>
                </w:p>
              </w:tc>
            </w:tr>
            <w:tr w14:paraId="5D4CFC04">
              <w:trPr>
                <w:trHeight w:val="340" w:hRule="atLeast"/>
              </w:trPr>
              <w:tc>
                <w:tcPr>
                  <w:tcW w:w="688" w:type="dxa"/>
                  <w:vAlign w:val="center"/>
                </w:tcPr>
                <w:p w14:paraId="5BAC1985">
                  <w:pPr>
                    <w:spacing w:line="240" w:lineRule="auto"/>
                    <w:ind w:firstLine="0" w:firstLineChars="0"/>
                    <w:jc w:val="center"/>
                    <w:rPr>
                      <w:rFonts w:cs="Times New Roman"/>
                      <w:bCs/>
                      <w:kern w:val="0"/>
                      <w:sz w:val="18"/>
                    </w:rPr>
                  </w:pPr>
                  <w:r>
                    <w:rPr>
                      <w:rFonts w:hint="eastAsia" w:cs="Times New Roman"/>
                      <w:bCs/>
                      <w:kern w:val="0"/>
                      <w:sz w:val="18"/>
                    </w:rPr>
                    <w:t>13</w:t>
                  </w:r>
                </w:p>
              </w:tc>
              <w:tc>
                <w:tcPr>
                  <w:tcW w:w="4976" w:type="dxa"/>
                  <w:vAlign w:val="center"/>
                </w:tcPr>
                <w:p w14:paraId="745BFCB3">
                  <w:pPr>
                    <w:spacing w:line="240" w:lineRule="auto"/>
                    <w:ind w:firstLine="0" w:firstLineChars="0"/>
                    <w:jc w:val="both"/>
                    <w:rPr>
                      <w:rFonts w:cs="Times New Roman"/>
                      <w:bCs/>
                      <w:kern w:val="0"/>
                      <w:sz w:val="18"/>
                    </w:rPr>
                  </w:pPr>
                  <w:r>
                    <w:rPr>
                      <w:rFonts w:cs="Times New Roman"/>
                      <w:bCs/>
                      <w:kern w:val="0"/>
                      <w:sz w:val="18"/>
                    </w:rPr>
                    <w:t>禁止在合规园区外新建、扩建钢铁、石化、化工、焦化、建材、有色、制浆造纸等高污染项目。高污染项目清单参照生态环境部《环境保护综合目录》中的高污染产品目录执行。</w:t>
                  </w:r>
                </w:p>
              </w:tc>
              <w:tc>
                <w:tcPr>
                  <w:tcW w:w="1960" w:type="dxa"/>
                  <w:vAlign w:val="center"/>
                </w:tcPr>
                <w:p w14:paraId="07FA4E3A">
                  <w:pPr>
                    <w:spacing w:line="240" w:lineRule="auto"/>
                    <w:ind w:firstLine="0" w:firstLineChars="0"/>
                    <w:jc w:val="both"/>
                    <w:rPr>
                      <w:rFonts w:cs="Times New Roman"/>
                      <w:bCs/>
                      <w:kern w:val="0"/>
                      <w:sz w:val="18"/>
                    </w:rPr>
                  </w:pPr>
                  <w:r>
                    <w:rPr>
                      <w:rFonts w:hint="eastAsia" w:cs="Times New Roman"/>
                      <w:bCs/>
                      <w:kern w:val="0"/>
                      <w:sz w:val="18"/>
                    </w:rPr>
                    <w:t>本项目不属于钢铁、石化、化工、焦化、建材、有色、制浆造纸等高污染项目</w:t>
                  </w:r>
                </w:p>
              </w:tc>
              <w:tc>
                <w:tcPr>
                  <w:tcW w:w="677" w:type="dxa"/>
                  <w:vAlign w:val="center"/>
                </w:tcPr>
                <w:p w14:paraId="2897A977">
                  <w:pPr>
                    <w:spacing w:line="240" w:lineRule="auto"/>
                    <w:ind w:firstLine="0" w:firstLineChars="0"/>
                    <w:jc w:val="center"/>
                    <w:rPr>
                      <w:rFonts w:cs="Times New Roman"/>
                      <w:bCs/>
                      <w:kern w:val="0"/>
                      <w:sz w:val="18"/>
                    </w:rPr>
                  </w:pPr>
                  <w:r>
                    <w:rPr>
                      <w:rFonts w:hint="eastAsia" w:cs="Times New Roman"/>
                      <w:bCs/>
                      <w:kern w:val="0"/>
                      <w:sz w:val="18"/>
                    </w:rPr>
                    <w:t>符合</w:t>
                  </w:r>
                </w:p>
              </w:tc>
            </w:tr>
            <w:tr w14:paraId="4676DCB3">
              <w:trPr>
                <w:trHeight w:val="340" w:hRule="atLeast"/>
              </w:trPr>
              <w:tc>
                <w:tcPr>
                  <w:tcW w:w="688" w:type="dxa"/>
                  <w:vAlign w:val="center"/>
                </w:tcPr>
                <w:p w14:paraId="6D6D11B9">
                  <w:pPr>
                    <w:spacing w:line="240" w:lineRule="auto"/>
                    <w:ind w:firstLine="0" w:firstLineChars="0"/>
                    <w:jc w:val="center"/>
                    <w:rPr>
                      <w:rFonts w:cs="Times New Roman"/>
                      <w:bCs/>
                      <w:kern w:val="0"/>
                      <w:sz w:val="18"/>
                    </w:rPr>
                  </w:pPr>
                  <w:r>
                    <w:rPr>
                      <w:rFonts w:hint="eastAsia" w:cs="Times New Roman"/>
                      <w:bCs/>
                      <w:kern w:val="0"/>
                      <w:sz w:val="18"/>
                    </w:rPr>
                    <w:t>14</w:t>
                  </w:r>
                </w:p>
              </w:tc>
              <w:tc>
                <w:tcPr>
                  <w:tcW w:w="4976" w:type="dxa"/>
                  <w:vAlign w:val="center"/>
                </w:tcPr>
                <w:p w14:paraId="0C4DD21B">
                  <w:pPr>
                    <w:spacing w:line="240" w:lineRule="auto"/>
                    <w:ind w:firstLine="0" w:firstLineChars="0"/>
                    <w:jc w:val="both"/>
                    <w:rPr>
                      <w:rFonts w:cs="Times New Roman"/>
                      <w:bCs/>
                      <w:kern w:val="0"/>
                      <w:sz w:val="18"/>
                    </w:rPr>
                  </w:pPr>
                  <w:r>
                    <w:rPr>
                      <w:rFonts w:cs="Times New Roman"/>
                      <w:bCs/>
                      <w:kern w:val="0"/>
                      <w:sz w:val="18"/>
                    </w:rPr>
                    <w:t>禁止新建、扩建不符合国家石化、现代煤化工等产业布局规划的项目</w:t>
                  </w:r>
                </w:p>
              </w:tc>
              <w:tc>
                <w:tcPr>
                  <w:tcW w:w="1960" w:type="dxa"/>
                  <w:vAlign w:val="center"/>
                </w:tcPr>
                <w:p w14:paraId="20821EDE">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项目不属于国家石化、现代煤化工等产业布局规划的项目。</w:t>
                  </w:r>
                </w:p>
              </w:tc>
              <w:tc>
                <w:tcPr>
                  <w:tcW w:w="677" w:type="dxa"/>
                  <w:vAlign w:val="center"/>
                </w:tcPr>
                <w:p w14:paraId="3AE6E1F2">
                  <w:pPr>
                    <w:spacing w:line="240" w:lineRule="auto"/>
                    <w:ind w:firstLine="0" w:firstLineChars="0"/>
                    <w:jc w:val="center"/>
                    <w:rPr>
                      <w:rFonts w:cs="Times New Roman"/>
                      <w:bCs/>
                      <w:kern w:val="0"/>
                      <w:sz w:val="18"/>
                    </w:rPr>
                  </w:pPr>
                  <w:r>
                    <w:rPr>
                      <w:rFonts w:hint="eastAsia" w:cs="Times New Roman"/>
                      <w:bCs/>
                      <w:kern w:val="0"/>
                      <w:sz w:val="18"/>
                    </w:rPr>
                    <w:t>符合</w:t>
                  </w:r>
                </w:p>
              </w:tc>
            </w:tr>
            <w:tr w14:paraId="6C9B013F">
              <w:trPr>
                <w:trHeight w:val="340" w:hRule="atLeast"/>
              </w:trPr>
              <w:tc>
                <w:tcPr>
                  <w:tcW w:w="688" w:type="dxa"/>
                  <w:vAlign w:val="center"/>
                </w:tcPr>
                <w:p w14:paraId="58FDAC6C">
                  <w:pPr>
                    <w:spacing w:line="240" w:lineRule="auto"/>
                    <w:ind w:firstLine="0" w:firstLineChars="0"/>
                    <w:jc w:val="center"/>
                    <w:rPr>
                      <w:rFonts w:cs="Times New Roman"/>
                      <w:bCs/>
                      <w:kern w:val="0"/>
                      <w:sz w:val="18"/>
                    </w:rPr>
                  </w:pPr>
                  <w:r>
                    <w:rPr>
                      <w:rFonts w:hint="eastAsia" w:cs="Times New Roman"/>
                      <w:bCs/>
                      <w:kern w:val="0"/>
                      <w:sz w:val="18"/>
                    </w:rPr>
                    <w:t>15</w:t>
                  </w:r>
                </w:p>
              </w:tc>
              <w:tc>
                <w:tcPr>
                  <w:tcW w:w="4976" w:type="dxa"/>
                  <w:vAlign w:val="center"/>
                </w:tcPr>
                <w:p w14:paraId="16CC8C92">
                  <w:pPr>
                    <w:spacing w:line="240" w:lineRule="auto"/>
                    <w:ind w:firstLine="0" w:firstLineChars="0"/>
                    <w:jc w:val="both"/>
                    <w:rPr>
                      <w:rFonts w:cs="Times New Roman"/>
                      <w:bCs/>
                      <w:kern w:val="0"/>
                      <w:sz w:val="18"/>
                    </w:rPr>
                  </w:pPr>
                  <w:r>
                    <w:rPr>
                      <w:rFonts w:cs="Times New Roman"/>
                      <w:bCs/>
                      <w:kern w:val="0"/>
                      <w:sz w:val="18"/>
                    </w:rPr>
                    <w:t>禁止新建、扩建法律法规和相关政策明令禁止的落后产能项目，对列入《产业结构调整指导目录》淘汰类中的落后生产工艺装备、落后产品投资项目，列入《外商投资准入特别管理措施（负面清单）》的外商投资项目，一律不得核准、备案。禁止向落后产能项目和严重过剩产能行业项目供应土地。</w:t>
                  </w:r>
                </w:p>
              </w:tc>
              <w:tc>
                <w:tcPr>
                  <w:tcW w:w="1960" w:type="dxa"/>
                  <w:vAlign w:val="center"/>
                </w:tcPr>
                <w:p w14:paraId="40396EA4">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项目不属于法律法规和相关政策明令禁止的落后产能项目。</w:t>
                  </w:r>
                </w:p>
              </w:tc>
              <w:tc>
                <w:tcPr>
                  <w:tcW w:w="677" w:type="dxa"/>
                  <w:vAlign w:val="center"/>
                </w:tcPr>
                <w:p w14:paraId="76566CDB">
                  <w:pPr>
                    <w:spacing w:line="240" w:lineRule="auto"/>
                    <w:ind w:firstLine="0" w:firstLineChars="0"/>
                    <w:jc w:val="center"/>
                    <w:rPr>
                      <w:rFonts w:cs="Times New Roman"/>
                      <w:bCs/>
                      <w:kern w:val="0"/>
                      <w:sz w:val="18"/>
                    </w:rPr>
                  </w:pPr>
                  <w:r>
                    <w:rPr>
                      <w:rFonts w:hint="eastAsia" w:cs="Times New Roman"/>
                      <w:bCs/>
                      <w:kern w:val="0"/>
                      <w:sz w:val="18"/>
                    </w:rPr>
                    <w:t>符合</w:t>
                  </w:r>
                </w:p>
              </w:tc>
            </w:tr>
            <w:tr w14:paraId="6D23916E">
              <w:trPr>
                <w:trHeight w:val="340" w:hRule="atLeast"/>
              </w:trPr>
              <w:tc>
                <w:tcPr>
                  <w:tcW w:w="688" w:type="dxa"/>
                  <w:vAlign w:val="center"/>
                </w:tcPr>
                <w:p w14:paraId="118BB91D">
                  <w:pPr>
                    <w:spacing w:line="240" w:lineRule="auto"/>
                    <w:ind w:firstLine="0" w:firstLineChars="0"/>
                    <w:jc w:val="center"/>
                    <w:rPr>
                      <w:rFonts w:cs="Times New Roman"/>
                      <w:bCs/>
                      <w:kern w:val="0"/>
                      <w:sz w:val="18"/>
                    </w:rPr>
                  </w:pPr>
                  <w:r>
                    <w:rPr>
                      <w:rFonts w:hint="eastAsia" w:cs="Times New Roman"/>
                      <w:bCs/>
                      <w:kern w:val="0"/>
                      <w:sz w:val="18"/>
                    </w:rPr>
                    <w:t>16</w:t>
                  </w:r>
                </w:p>
              </w:tc>
              <w:tc>
                <w:tcPr>
                  <w:tcW w:w="4976" w:type="dxa"/>
                  <w:vAlign w:val="center"/>
                </w:tcPr>
                <w:p w14:paraId="38493E50">
                  <w:pPr>
                    <w:spacing w:line="240" w:lineRule="auto"/>
                    <w:ind w:firstLine="0" w:firstLineChars="0"/>
                    <w:jc w:val="both"/>
                    <w:rPr>
                      <w:rFonts w:cs="Times New Roman"/>
                      <w:bCs/>
                      <w:kern w:val="0"/>
                      <w:sz w:val="18"/>
                    </w:rPr>
                  </w:pPr>
                  <w:r>
                    <w:rPr>
                      <w:rFonts w:cs="Times New Roman"/>
                      <w:bCs/>
                      <w:kern w:val="0"/>
                      <w:sz w:val="18"/>
                    </w:rPr>
                    <w:t>禁止新建、扩建不符合国家产能置换要求的严重过剩产能行业的项目。部门、机构禁止办理相关的土地（海域）供应、能评、环评审批和新增授信支持等业务。</w:t>
                  </w:r>
                </w:p>
              </w:tc>
              <w:tc>
                <w:tcPr>
                  <w:tcW w:w="1960" w:type="dxa"/>
                  <w:vAlign w:val="center"/>
                </w:tcPr>
                <w:p w14:paraId="6CE8666A">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项目不属于国家产能置换要求的严重过剩产能行业的项目。</w:t>
                  </w:r>
                </w:p>
              </w:tc>
              <w:tc>
                <w:tcPr>
                  <w:tcW w:w="677" w:type="dxa"/>
                  <w:vAlign w:val="center"/>
                </w:tcPr>
                <w:p w14:paraId="2AADEB2B">
                  <w:pPr>
                    <w:spacing w:line="240" w:lineRule="auto"/>
                    <w:ind w:firstLine="0" w:firstLineChars="0"/>
                    <w:jc w:val="center"/>
                    <w:rPr>
                      <w:rFonts w:cs="Times New Roman"/>
                      <w:bCs/>
                      <w:kern w:val="0"/>
                      <w:sz w:val="18"/>
                    </w:rPr>
                  </w:pPr>
                  <w:r>
                    <w:rPr>
                      <w:rFonts w:hint="eastAsia" w:cs="Times New Roman"/>
                      <w:bCs/>
                      <w:kern w:val="0"/>
                      <w:sz w:val="18"/>
                    </w:rPr>
                    <w:t>符合</w:t>
                  </w:r>
                </w:p>
              </w:tc>
            </w:tr>
            <w:tr w14:paraId="755DE13C">
              <w:trPr>
                <w:trHeight w:val="340" w:hRule="atLeast"/>
              </w:trPr>
              <w:tc>
                <w:tcPr>
                  <w:tcW w:w="688" w:type="dxa"/>
                  <w:vAlign w:val="center"/>
                </w:tcPr>
                <w:p w14:paraId="088F2DBD">
                  <w:pPr>
                    <w:spacing w:line="240" w:lineRule="auto"/>
                    <w:ind w:firstLine="0" w:firstLineChars="0"/>
                    <w:jc w:val="center"/>
                    <w:rPr>
                      <w:rFonts w:cs="Times New Roman"/>
                      <w:bCs/>
                      <w:kern w:val="0"/>
                      <w:sz w:val="18"/>
                    </w:rPr>
                  </w:pPr>
                  <w:r>
                    <w:rPr>
                      <w:rFonts w:hint="eastAsia" w:cs="Times New Roman"/>
                      <w:bCs/>
                      <w:kern w:val="0"/>
                      <w:sz w:val="18"/>
                    </w:rPr>
                    <w:t>17</w:t>
                  </w:r>
                </w:p>
              </w:tc>
              <w:tc>
                <w:tcPr>
                  <w:tcW w:w="4976" w:type="dxa"/>
                  <w:vAlign w:val="center"/>
                </w:tcPr>
                <w:p w14:paraId="77DA5A0A">
                  <w:pPr>
                    <w:spacing w:line="240" w:lineRule="auto"/>
                    <w:ind w:firstLine="0" w:firstLineChars="0"/>
                    <w:jc w:val="both"/>
                    <w:rPr>
                      <w:rFonts w:cs="Times New Roman"/>
                      <w:bCs/>
                      <w:kern w:val="0"/>
                      <w:sz w:val="18"/>
                    </w:rPr>
                  </w:pPr>
                  <w:r>
                    <w:rPr>
                      <w:rFonts w:cs="Times New Roman"/>
                      <w:bCs/>
                      <w:kern w:val="0"/>
                      <w:sz w:val="18"/>
                    </w:rPr>
                    <w:t>禁止新建、扩建不符合要求的高耗能高排放项目。</w:t>
                  </w:r>
                </w:p>
              </w:tc>
              <w:tc>
                <w:tcPr>
                  <w:tcW w:w="1960" w:type="dxa"/>
                  <w:vAlign w:val="center"/>
                </w:tcPr>
                <w:p w14:paraId="0EBD1C2F">
                  <w:pPr>
                    <w:spacing w:line="240" w:lineRule="auto"/>
                    <w:ind w:firstLine="0" w:firstLineChars="0"/>
                    <w:jc w:val="both"/>
                    <w:rPr>
                      <w:rFonts w:cs="Times New Roman"/>
                      <w:bCs/>
                      <w:kern w:val="0"/>
                      <w:sz w:val="18"/>
                    </w:rPr>
                  </w:pPr>
                  <w:r>
                    <w:rPr>
                      <w:rFonts w:hint="eastAsia" w:cs="Times New Roman"/>
                      <w:bCs/>
                      <w:kern w:val="0"/>
                      <w:sz w:val="18"/>
                    </w:rPr>
                    <w:t>本</w:t>
                  </w:r>
                  <w:r>
                    <w:rPr>
                      <w:rFonts w:cs="Times New Roman"/>
                      <w:bCs/>
                      <w:kern w:val="0"/>
                      <w:sz w:val="18"/>
                    </w:rPr>
                    <w:t>项目不属于高耗能高排放项目</w:t>
                  </w:r>
                  <w:r>
                    <w:rPr>
                      <w:rFonts w:hint="eastAsia" w:cs="Times New Roman"/>
                      <w:bCs/>
                      <w:kern w:val="0"/>
                      <w:sz w:val="18"/>
                    </w:rPr>
                    <w:t>。</w:t>
                  </w:r>
                </w:p>
              </w:tc>
              <w:tc>
                <w:tcPr>
                  <w:tcW w:w="677" w:type="dxa"/>
                  <w:vAlign w:val="center"/>
                </w:tcPr>
                <w:p w14:paraId="07EEF5F1">
                  <w:pPr>
                    <w:spacing w:line="240" w:lineRule="auto"/>
                    <w:ind w:firstLine="0" w:firstLineChars="0"/>
                    <w:jc w:val="center"/>
                    <w:rPr>
                      <w:rFonts w:cs="Times New Roman"/>
                      <w:bCs/>
                      <w:kern w:val="0"/>
                      <w:sz w:val="18"/>
                    </w:rPr>
                  </w:pPr>
                  <w:r>
                    <w:rPr>
                      <w:rFonts w:hint="eastAsia" w:cs="Times New Roman"/>
                      <w:bCs/>
                      <w:kern w:val="0"/>
                      <w:sz w:val="18"/>
                    </w:rPr>
                    <w:t>符合</w:t>
                  </w:r>
                </w:p>
              </w:tc>
            </w:tr>
            <w:tr w14:paraId="5F99E7C5">
              <w:trPr>
                <w:trHeight w:val="340" w:hRule="atLeast"/>
              </w:trPr>
              <w:tc>
                <w:tcPr>
                  <w:tcW w:w="688" w:type="dxa"/>
                  <w:vAlign w:val="center"/>
                </w:tcPr>
                <w:p w14:paraId="2D96ADF7">
                  <w:pPr>
                    <w:spacing w:line="240" w:lineRule="auto"/>
                    <w:ind w:firstLine="0" w:firstLineChars="0"/>
                    <w:jc w:val="center"/>
                    <w:rPr>
                      <w:rFonts w:cs="Times New Roman"/>
                      <w:bCs/>
                      <w:kern w:val="0"/>
                      <w:sz w:val="18"/>
                    </w:rPr>
                  </w:pPr>
                  <w:r>
                    <w:rPr>
                      <w:rFonts w:hint="eastAsia" w:cs="Times New Roman"/>
                      <w:bCs/>
                      <w:kern w:val="0"/>
                      <w:sz w:val="18"/>
                    </w:rPr>
                    <w:t>18</w:t>
                  </w:r>
                </w:p>
              </w:tc>
              <w:tc>
                <w:tcPr>
                  <w:tcW w:w="4976" w:type="dxa"/>
                  <w:vAlign w:val="center"/>
                </w:tcPr>
                <w:p w14:paraId="089C9741">
                  <w:pPr>
                    <w:spacing w:line="240" w:lineRule="auto"/>
                    <w:ind w:firstLine="0" w:firstLineChars="0"/>
                    <w:jc w:val="both"/>
                    <w:rPr>
                      <w:rFonts w:cs="Times New Roman"/>
                      <w:bCs/>
                      <w:kern w:val="0"/>
                      <w:sz w:val="18"/>
                    </w:rPr>
                  </w:pPr>
                  <w:r>
                    <w:rPr>
                      <w:rFonts w:cs="Times New Roman"/>
                      <w:bCs/>
                      <w:kern w:val="0"/>
                      <w:sz w:val="18"/>
                    </w:rPr>
                    <w:t>禁止在水库和河湖等水利工程管理范围内堆放物料，倾倒土、石、矿渣、垃圾等物质</w:t>
                  </w:r>
                  <w:r>
                    <w:rPr>
                      <w:rFonts w:hint="eastAsia" w:cs="Times New Roman"/>
                      <w:bCs/>
                      <w:kern w:val="0"/>
                      <w:sz w:val="18"/>
                    </w:rPr>
                    <w:t>。</w:t>
                  </w:r>
                </w:p>
              </w:tc>
              <w:tc>
                <w:tcPr>
                  <w:tcW w:w="1960" w:type="dxa"/>
                  <w:vAlign w:val="center"/>
                </w:tcPr>
                <w:p w14:paraId="7A6346C4">
                  <w:pPr>
                    <w:spacing w:line="240" w:lineRule="auto"/>
                    <w:ind w:firstLine="0" w:firstLineChars="0"/>
                    <w:jc w:val="both"/>
                    <w:rPr>
                      <w:rFonts w:cs="Times New Roman"/>
                      <w:bCs/>
                      <w:kern w:val="0"/>
                      <w:sz w:val="18"/>
                    </w:rPr>
                  </w:pPr>
                  <w:r>
                    <w:rPr>
                      <w:rFonts w:cs="Times New Roman"/>
                      <w:bCs/>
                      <w:kern w:val="0"/>
                      <w:sz w:val="18"/>
                    </w:rPr>
                    <w:t>项目不在水库和河湖等水利工程管理范围内。</w:t>
                  </w:r>
                </w:p>
              </w:tc>
              <w:tc>
                <w:tcPr>
                  <w:tcW w:w="677" w:type="dxa"/>
                  <w:vAlign w:val="center"/>
                </w:tcPr>
                <w:p w14:paraId="4D9EC935">
                  <w:pPr>
                    <w:spacing w:line="240" w:lineRule="auto"/>
                    <w:ind w:firstLine="0" w:firstLineChars="0"/>
                    <w:jc w:val="center"/>
                    <w:rPr>
                      <w:rFonts w:cs="Times New Roman"/>
                      <w:bCs/>
                      <w:kern w:val="0"/>
                      <w:sz w:val="18"/>
                    </w:rPr>
                  </w:pPr>
                  <w:r>
                    <w:rPr>
                      <w:rFonts w:hint="eastAsia" w:cs="Times New Roman"/>
                      <w:bCs/>
                      <w:kern w:val="0"/>
                      <w:sz w:val="18"/>
                    </w:rPr>
                    <w:t>符合</w:t>
                  </w:r>
                </w:p>
              </w:tc>
            </w:tr>
          </w:tbl>
          <w:p w14:paraId="2E5D5186">
            <w:pPr>
              <w:ind w:firstLine="480"/>
              <w:jc w:val="both"/>
              <w:rPr>
                <w:szCs w:val="24"/>
              </w:rPr>
            </w:pPr>
            <w:r>
              <w:rPr>
                <w:rFonts w:hint="eastAsia"/>
                <w:szCs w:val="24"/>
              </w:rPr>
              <w:t>六、与《浙江省大运河核心监控区建设项目准入负面清单》符合性分析</w:t>
            </w:r>
          </w:p>
          <w:p w14:paraId="4D0D5D2B">
            <w:pPr>
              <w:ind w:firstLine="480"/>
              <w:jc w:val="both"/>
              <w:rPr>
                <w:szCs w:val="24"/>
              </w:rPr>
            </w:pPr>
            <w:r>
              <w:rPr>
                <w:rFonts w:hint="eastAsia"/>
                <w:szCs w:val="24"/>
              </w:rPr>
              <w:t>对照文件要求，该</w:t>
            </w:r>
            <w:r>
              <w:rPr>
                <w:szCs w:val="24"/>
              </w:rPr>
              <w:t>负面清单适用于遗产区、缓冲区以外的核心监控区。核心监控区范围为京杭大运河浙江段和浙东运河主河道两岸起始线至同岸终止线距离2000米，具体边界由各设区市人民政府依据《浙江省大运河核心监控区国土空间管控通则》划定。</w:t>
            </w:r>
          </w:p>
          <w:p w14:paraId="14BC0C25">
            <w:pPr>
              <w:ind w:firstLine="480"/>
              <w:jc w:val="both"/>
              <w:rPr>
                <w:szCs w:val="24"/>
              </w:rPr>
            </w:pPr>
            <w:r>
              <w:rPr>
                <w:rFonts w:hint="eastAsia"/>
                <w:szCs w:val="24"/>
              </w:rPr>
              <w:t>本项目位于</w:t>
            </w:r>
            <w:r>
              <w:rPr>
                <w:szCs w:val="24"/>
              </w:rPr>
              <w:t>余杭区仁和街道三星路4号</w:t>
            </w:r>
            <w:r>
              <w:rPr>
                <w:rFonts w:hint="eastAsia"/>
                <w:szCs w:val="24"/>
              </w:rPr>
              <w:t>，距离京杭大运河</w:t>
            </w:r>
            <w:r>
              <w:rPr>
                <w:szCs w:val="24"/>
              </w:rPr>
              <w:t>同岸终止线距离</w:t>
            </w:r>
            <w:r>
              <w:rPr>
                <w:rFonts w:hint="eastAsia"/>
                <w:szCs w:val="24"/>
              </w:rPr>
              <w:t>约为4.35km，距离西塘河</w:t>
            </w:r>
            <w:r>
              <w:rPr>
                <w:szCs w:val="24"/>
              </w:rPr>
              <w:t>同岸终止线距离</w:t>
            </w:r>
            <w:r>
              <w:rPr>
                <w:rFonts w:hint="eastAsia"/>
                <w:szCs w:val="24"/>
              </w:rPr>
              <w:t>约为1.5km，故本项目所在区域属于大运河核心监控区内，具体分析内容如下。</w:t>
            </w:r>
          </w:p>
          <w:p w14:paraId="0D2AB2E6">
            <w:pPr>
              <w:pStyle w:val="14"/>
              <w:spacing w:before="156"/>
            </w:pPr>
            <w:r>
              <w:t xml:space="preserve">  浙江省大运河核心监控区建设项目准入负面清单符合性分析</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503"/>
              <w:gridCol w:w="2811"/>
              <w:gridCol w:w="629"/>
            </w:tblGrid>
            <w:tr w14:paraId="4E1F96A0">
              <w:trPr>
                <w:trHeight w:val="340" w:hRule="atLeast"/>
              </w:trPr>
              <w:tc>
                <w:tcPr>
                  <w:tcW w:w="709" w:type="dxa"/>
                  <w:vAlign w:val="center"/>
                </w:tcPr>
                <w:p w14:paraId="3A1DD1A9">
                  <w:pPr>
                    <w:pStyle w:val="13"/>
                    <w:jc w:val="center"/>
                  </w:pPr>
                  <w:r>
                    <w:rPr>
                      <w:rFonts w:hint="eastAsia"/>
                    </w:rPr>
                    <w:t>序号</w:t>
                  </w:r>
                </w:p>
              </w:tc>
              <w:tc>
                <w:tcPr>
                  <w:tcW w:w="3503" w:type="dxa"/>
                  <w:vAlign w:val="center"/>
                </w:tcPr>
                <w:p w14:paraId="25010B66">
                  <w:pPr>
                    <w:pStyle w:val="13"/>
                    <w:jc w:val="center"/>
                  </w:pPr>
                  <w:r>
                    <w:rPr>
                      <w:rFonts w:hint="eastAsia"/>
                    </w:rPr>
                    <w:t>相关内容</w:t>
                  </w:r>
                </w:p>
              </w:tc>
              <w:tc>
                <w:tcPr>
                  <w:tcW w:w="2811" w:type="dxa"/>
                  <w:vAlign w:val="center"/>
                </w:tcPr>
                <w:p w14:paraId="341F1B14">
                  <w:pPr>
                    <w:pStyle w:val="13"/>
                    <w:jc w:val="center"/>
                  </w:pPr>
                  <w:r>
                    <w:rPr>
                      <w:rFonts w:hint="eastAsia"/>
                    </w:rPr>
                    <w:t>本项目情况</w:t>
                  </w:r>
                </w:p>
              </w:tc>
              <w:tc>
                <w:tcPr>
                  <w:tcW w:w="629" w:type="dxa"/>
                  <w:vAlign w:val="center"/>
                </w:tcPr>
                <w:p w14:paraId="285E8BA2">
                  <w:pPr>
                    <w:pStyle w:val="13"/>
                    <w:jc w:val="center"/>
                  </w:pPr>
                  <w:r>
                    <w:rPr>
                      <w:rFonts w:hint="eastAsia"/>
                    </w:rPr>
                    <w:t>是否符合</w:t>
                  </w:r>
                </w:p>
              </w:tc>
            </w:tr>
            <w:tr w14:paraId="2CE13694">
              <w:trPr>
                <w:trHeight w:val="340" w:hRule="atLeast"/>
              </w:trPr>
              <w:tc>
                <w:tcPr>
                  <w:tcW w:w="709" w:type="dxa"/>
                  <w:vAlign w:val="center"/>
                </w:tcPr>
                <w:p w14:paraId="2CE24A9F">
                  <w:pPr>
                    <w:pStyle w:val="13"/>
                    <w:jc w:val="center"/>
                  </w:pPr>
                  <w:r>
                    <w:rPr>
                      <w:rFonts w:hint="eastAsia"/>
                    </w:rPr>
                    <w:t>1</w:t>
                  </w:r>
                </w:p>
              </w:tc>
              <w:tc>
                <w:tcPr>
                  <w:tcW w:w="3503" w:type="dxa"/>
                  <w:vAlign w:val="center"/>
                </w:tcPr>
                <w:p w14:paraId="00558F15">
                  <w:pPr>
                    <w:pStyle w:val="13"/>
                    <w:jc w:val="both"/>
                  </w:pPr>
                  <w:r>
                    <w:t>核心监控区河道管理范围内禁止建设妨碍行洪的建筑物、构筑物以及从事影响河势稳定、危害河岸堤防安全和其他妨碍河道行洪的活动；禁止建设住宅、商业用房、办公用房、厂房等与河道保护和水工程运行管理无关的建筑物、构筑物；禁止利用船舶、船坞等水上设施侵占河道水域从事餐饮、娱乐等经营活动；禁止弃置、堆放阻碍行洪的物体和种植阻碍行洪的林木及高秆作物。大运河河道管理范围由县（市、区）人民政府划定。</w:t>
                  </w:r>
                </w:p>
              </w:tc>
              <w:tc>
                <w:tcPr>
                  <w:tcW w:w="2811" w:type="dxa"/>
                  <w:vAlign w:val="center"/>
                </w:tcPr>
                <w:p w14:paraId="6D5EB985">
                  <w:pPr>
                    <w:pStyle w:val="13"/>
                    <w:jc w:val="both"/>
                  </w:pPr>
                  <w:r>
                    <w:rPr>
                      <w:rFonts w:hint="eastAsia"/>
                    </w:rPr>
                    <w:t>本项目属于C2929 塑料零件及其他塑料制品制造业，不属于建设妨碍行洪的建筑物、构筑物以及从事影响河势稳定、危害河岸堤防安全和其他妨碍河道行洪的活动；本项目不新增厂房，不新增与河道保护和水工程运行管理无关的建筑物、构筑物；不属于利用船舶、船坞等水上设施侵占河道水域从事餐饮、娱乐等经营活动；不属于弃置、堆放阻碍行洪的物体和种植阻碍行洪的林木及高秆作物的生产活动。</w:t>
                  </w:r>
                </w:p>
              </w:tc>
              <w:tc>
                <w:tcPr>
                  <w:tcW w:w="629" w:type="dxa"/>
                  <w:vAlign w:val="center"/>
                </w:tcPr>
                <w:p w14:paraId="6600198D">
                  <w:pPr>
                    <w:pStyle w:val="13"/>
                    <w:jc w:val="center"/>
                  </w:pPr>
                  <w:r>
                    <w:rPr>
                      <w:rFonts w:hint="eastAsia"/>
                    </w:rPr>
                    <w:t>符合</w:t>
                  </w:r>
                </w:p>
              </w:tc>
            </w:tr>
            <w:tr w14:paraId="09BBA979">
              <w:trPr>
                <w:trHeight w:val="340" w:hRule="atLeast"/>
              </w:trPr>
              <w:tc>
                <w:tcPr>
                  <w:tcW w:w="709" w:type="dxa"/>
                  <w:vAlign w:val="center"/>
                </w:tcPr>
                <w:p w14:paraId="56F78503">
                  <w:pPr>
                    <w:pStyle w:val="13"/>
                    <w:jc w:val="center"/>
                  </w:pPr>
                  <w:r>
                    <w:rPr>
                      <w:rFonts w:hint="eastAsia"/>
                    </w:rPr>
                    <w:t>2</w:t>
                  </w:r>
                </w:p>
              </w:tc>
              <w:tc>
                <w:tcPr>
                  <w:tcW w:w="3503" w:type="dxa"/>
                  <w:vAlign w:val="center"/>
                </w:tcPr>
                <w:p w14:paraId="70B6953C">
                  <w:pPr>
                    <w:pStyle w:val="13"/>
                    <w:jc w:val="both"/>
                  </w:pPr>
                  <w:r>
                    <w:t>核心监控区水文监测环境保护范围内禁止从事《中华人民共和国水文条例》《浙江省水文管理条例》《水文监测环境和设施保护办法》规定的对水文监测有影响的活动。</w:t>
                  </w:r>
                </w:p>
              </w:tc>
              <w:tc>
                <w:tcPr>
                  <w:tcW w:w="2811" w:type="dxa"/>
                  <w:vAlign w:val="center"/>
                </w:tcPr>
                <w:p w14:paraId="27881423">
                  <w:pPr>
                    <w:pStyle w:val="13"/>
                    <w:jc w:val="both"/>
                  </w:pPr>
                  <w:r>
                    <w:rPr>
                      <w:rFonts w:hint="eastAsia"/>
                    </w:rPr>
                    <w:t>本项目不属于《中华人民共和国水文条例》《浙江省水文管理条例》《水文监测环境和设施保护办法》规定的对水文监测有影响的活动。</w:t>
                  </w:r>
                </w:p>
              </w:tc>
              <w:tc>
                <w:tcPr>
                  <w:tcW w:w="629" w:type="dxa"/>
                  <w:vAlign w:val="center"/>
                </w:tcPr>
                <w:p w14:paraId="2A794793">
                  <w:pPr>
                    <w:pStyle w:val="13"/>
                    <w:jc w:val="center"/>
                  </w:pPr>
                  <w:r>
                    <w:rPr>
                      <w:rFonts w:hint="eastAsia"/>
                    </w:rPr>
                    <w:t>符合</w:t>
                  </w:r>
                </w:p>
              </w:tc>
            </w:tr>
            <w:tr w14:paraId="0BF446DE">
              <w:trPr>
                <w:trHeight w:val="340" w:hRule="atLeast"/>
              </w:trPr>
              <w:tc>
                <w:tcPr>
                  <w:tcW w:w="709" w:type="dxa"/>
                  <w:vAlign w:val="center"/>
                </w:tcPr>
                <w:p w14:paraId="7F613CFA">
                  <w:pPr>
                    <w:pStyle w:val="13"/>
                    <w:jc w:val="center"/>
                  </w:pPr>
                  <w:r>
                    <w:rPr>
                      <w:rFonts w:hint="eastAsia"/>
                    </w:rPr>
                    <w:t>3</w:t>
                  </w:r>
                </w:p>
              </w:tc>
              <w:tc>
                <w:tcPr>
                  <w:tcW w:w="3503" w:type="dxa"/>
                  <w:vAlign w:val="center"/>
                </w:tcPr>
                <w:p w14:paraId="506D4199">
                  <w:pPr>
                    <w:pStyle w:val="13"/>
                    <w:jc w:val="both"/>
                  </w:pPr>
                  <w:r>
                    <w:t>核心监控区内禁止建设不符合设区市及以上港航相关规划的航道及码头项目。</w:t>
                  </w:r>
                </w:p>
              </w:tc>
              <w:tc>
                <w:tcPr>
                  <w:tcW w:w="2811" w:type="dxa"/>
                  <w:vAlign w:val="center"/>
                </w:tcPr>
                <w:p w14:paraId="0A7A7150">
                  <w:pPr>
                    <w:pStyle w:val="13"/>
                    <w:jc w:val="both"/>
                  </w:pPr>
                  <w:r>
                    <w:rPr>
                      <w:rFonts w:hint="eastAsia"/>
                    </w:rPr>
                    <w:t>本项目不属于航道及码头项目。</w:t>
                  </w:r>
                </w:p>
              </w:tc>
              <w:tc>
                <w:tcPr>
                  <w:tcW w:w="629" w:type="dxa"/>
                  <w:vAlign w:val="center"/>
                </w:tcPr>
                <w:p w14:paraId="1659BEAA">
                  <w:pPr>
                    <w:pStyle w:val="13"/>
                    <w:jc w:val="center"/>
                  </w:pPr>
                  <w:r>
                    <w:rPr>
                      <w:rFonts w:hint="eastAsia"/>
                    </w:rPr>
                    <w:t>符合</w:t>
                  </w:r>
                </w:p>
              </w:tc>
            </w:tr>
            <w:tr w14:paraId="6B7FED09">
              <w:trPr>
                <w:trHeight w:val="340" w:hRule="atLeast"/>
              </w:trPr>
              <w:tc>
                <w:tcPr>
                  <w:tcW w:w="709" w:type="dxa"/>
                  <w:vAlign w:val="center"/>
                </w:tcPr>
                <w:p w14:paraId="354F7496">
                  <w:pPr>
                    <w:pStyle w:val="13"/>
                    <w:jc w:val="center"/>
                  </w:pPr>
                  <w:r>
                    <w:rPr>
                      <w:rFonts w:hint="eastAsia"/>
                    </w:rPr>
                    <w:t>4</w:t>
                  </w:r>
                </w:p>
              </w:tc>
              <w:tc>
                <w:tcPr>
                  <w:tcW w:w="3503" w:type="dxa"/>
                  <w:vAlign w:val="center"/>
                </w:tcPr>
                <w:p w14:paraId="44387256">
                  <w:pPr>
                    <w:pStyle w:val="13"/>
                    <w:jc w:val="both"/>
                  </w:pPr>
                  <w:r>
                    <w:t>核心监控区内产业项目准入必须依据《产业结构调整指导目录（2019年本）》《市场准入负面清单（2022年版）》《浙江省限制用地项目目录（2014年本）》和《浙江省禁止用地项目目录（2014年本）》等文件相关要求。对列入国家《产业结构调整指导目录2019年本》淘汰类中的落后生产工艺装备、落后产品投资项目，一律不得核准、备案。禁止向落后产能项目和严重过剩产能行业项目供应土地。禁止企业扩建《产业结构调整指导目录（2019年本）》中的限制类项目。项目选址空间上必须符合各级国土空间规划、《浙江省大运河核心监控区国土空间管控通则》、浙江省“三线一单”编制成果和岸线保护与利用相关规划规定。</w:t>
                  </w:r>
                </w:p>
              </w:tc>
              <w:tc>
                <w:tcPr>
                  <w:tcW w:w="2811" w:type="dxa"/>
                  <w:vAlign w:val="center"/>
                </w:tcPr>
                <w:p w14:paraId="448730E6">
                  <w:pPr>
                    <w:pStyle w:val="13"/>
                    <w:jc w:val="both"/>
                  </w:pPr>
                  <w:r>
                    <w:rPr>
                      <w:rFonts w:hint="eastAsia"/>
                    </w:rPr>
                    <w:t>根据《产业结构调整指导目录（2024年本）》，本项目不属于限制类和淘汰类项目；不属于《市场准入负面清单（2025年版）》中禁止建设的项目；不属于</w:t>
                  </w:r>
                  <w:r>
                    <w:t>《浙江省禁止用地项目目录（2014年本）》</w:t>
                  </w:r>
                  <w:r>
                    <w:rPr>
                      <w:rFonts w:hint="eastAsia"/>
                    </w:rPr>
                    <w:t>中禁止建设的项目；本项目不属于淘汰类中的落后生产工艺装备、落后产品投资项目，，本项目建设符合《浙江省大运河核心监控区国土空间管控通则》及</w:t>
                  </w:r>
                  <w:r>
                    <w:t>国土空间规划</w:t>
                  </w:r>
                  <w:r>
                    <w:rPr>
                      <w:rFonts w:hint="eastAsia"/>
                    </w:rPr>
                    <w:t>、浙江省“三线一单”编制成果和岸线保护与利用相关规划规定。</w:t>
                  </w:r>
                </w:p>
              </w:tc>
              <w:tc>
                <w:tcPr>
                  <w:tcW w:w="629" w:type="dxa"/>
                  <w:vAlign w:val="center"/>
                </w:tcPr>
                <w:p w14:paraId="116BB15D">
                  <w:pPr>
                    <w:pStyle w:val="13"/>
                    <w:jc w:val="center"/>
                  </w:pPr>
                  <w:r>
                    <w:rPr>
                      <w:rFonts w:hint="eastAsia"/>
                    </w:rPr>
                    <w:t>符合</w:t>
                  </w:r>
                </w:p>
              </w:tc>
            </w:tr>
            <w:tr w14:paraId="01E7AA43">
              <w:trPr>
                <w:trHeight w:val="340" w:hRule="atLeast"/>
              </w:trPr>
              <w:tc>
                <w:tcPr>
                  <w:tcW w:w="709" w:type="dxa"/>
                  <w:vAlign w:val="center"/>
                </w:tcPr>
                <w:p w14:paraId="25B57193">
                  <w:pPr>
                    <w:pStyle w:val="13"/>
                    <w:jc w:val="center"/>
                  </w:pPr>
                  <w:r>
                    <w:rPr>
                      <w:rFonts w:hint="eastAsia"/>
                    </w:rPr>
                    <w:t>5</w:t>
                  </w:r>
                </w:p>
              </w:tc>
              <w:tc>
                <w:tcPr>
                  <w:tcW w:w="3503" w:type="dxa"/>
                  <w:vAlign w:val="center"/>
                </w:tcPr>
                <w:p w14:paraId="3CD2DF42">
                  <w:pPr>
                    <w:pStyle w:val="13"/>
                    <w:jc w:val="both"/>
                  </w:pPr>
                  <w:r>
                    <w:t>核心监控区内一律不得新建、扩建不符合《浙江省工业等项目建设用地控制指标（2014）》的项目。</w:t>
                  </w:r>
                </w:p>
              </w:tc>
              <w:tc>
                <w:tcPr>
                  <w:tcW w:w="2811" w:type="dxa"/>
                  <w:vAlign w:val="center"/>
                </w:tcPr>
                <w:p w14:paraId="00CBAC11">
                  <w:pPr>
                    <w:pStyle w:val="13"/>
                    <w:jc w:val="both"/>
                  </w:pPr>
                  <w:r>
                    <w:rPr>
                      <w:rFonts w:hint="eastAsia"/>
                    </w:rPr>
                    <w:t>本项目利用现有厂房进行技改项目实施，故符合《浙江省工业等项目建设用地控制指标（2014）》中相关用地指标等要求。</w:t>
                  </w:r>
                </w:p>
              </w:tc>
              <w:tc>
                <w:tcPr>
                  <w:tcW w:w="629" w:type="dxa"/>
                  <w:vAlign w:val="center"/>
                </w:tcPr>
                <w:p w14:paraId="2094A76C">
                  <w:pPr>
                    <w:pStyle w:val="13"/>
                    <w:jc w:val="center"/>
                  </w:pPr>
                  <w:r>
                    <w:rPr>
                      <w:rFonts w:hint="eastAsia"/>
                    </w:rPr>
                    <w:t>符合</w:t>
                  </w:r>
                </w:p>
              </w:tc>
            </w:tr>
            <w:tr w14:paraId="2C93816D">
              <w:trPr>
                <w:trHeight w:val="340" w:hRule="atLeast"/>
              </w:trPr>
              <w:tc>
                <w:tcPr>
                  <w:tcW w:w="709" w:type="dxa"/>
                  <w:vAlign w:val="center"/>
                </w:tcPr>
                <w:p w14:paraId="2F7B8B05">
                  <w:pPr>
                    <w:pStyle w:val="13"/>
                    <w:jc w:val="center"/>
                  </w:pPr>
                  <w:r>
                    <w:rPr>
                      <w:rFonts w:hint="eastAsia"/>
                    </w:rPr>
                    <w:t>6</w:t>
                  </w:r>
                </w:p>
              </w:tc>
              <w:tc>
                <w:tcPr>
                  <w:tcW w:w="3503" w:type="dxa"/>
                  <w:vAlign w:val="center"/>
                </w:tcPr>
                <w:p w14:paraId="31910344">
                  <w:pPr>
                    <w:pStyle w:val="13"/>
                    <w:jc w:val="both"/>
                  </w:pPr>
                  <w:r>
                    <w:t>核心监控区内对列入《外商投资准入特别管理措施（负面清单）（2021年版）》的外商投资项目，一律不得核准、备案。</w:t>
                  </w:r>
                </w:p>
              </w:tc>
              <w:tc>
                <w:tcPr>
                  <w:tcW w:w="2811" w:type="dxa"/>
                  <w:vAlign w:val="center"/>
                </w:tcPr>
                <w:p w14:paraId="233722A1">
                  <w:pPr>
                    <w:pStyle w:val="13"/>
                    <w:jc w:val="both"/>
                  </w:pPr>
                  <w:r>
                    <w:rPr>
                      <w:rFonts w:hint="eastAsia"/>
                    </w:rPr>
                    <w:t>本项目不属于《外商投资准入特别管理措施（负面清单）（2021年版）》中所列项目。</w:t>
                  </w:r>
                </w:p>
              </w:tc>
              <w:tc>
                <w:tcPr>
                  <w:tcW w:w="629" w:type="dxa"/>
                  <w:vAlign w:val="center"/>
                </w:tcPr>
                <w:p w14:paraId="1538514C">
                  <w:pPr>
                    <w:pStyle w:val="13"/>
                    <w:jc w:val="center"/>
                  </w:pPr>
                  <w:r>
                    <w:rPr>
                      <w:rFonts w:hint="eastAsia"/>
                    </w:rPr>
                    <w:t>符合</w:t>
                  </w:r>
                </w:p>
              </w:tc>
            </w:tr>
            <w:tr w14:paraId="49B76E00">
              <w:trPr>
                <w:trHeight w:val="340" w:hRule="atLeast"/>
              </w:trPr>
              <w:tc>
                <w:tcPr>
                  <w:tcW w:w="709" w:type="dxa"/>
                  <w:vAlign w:val="center"/>
                </w:tcPr>
                <w:p w14:paraId="31D90642">
                  <w:pPr>
                    <w:pStyle w:val="13"/>
                    <w:jc w:val="center"/>
                  </w:pPr>
                  <w:r>
                    <w:rPr>
                      <w:rFonts w:hint="eastAsia"/>
                    </w:rPr>
                    <w:t>7</w:t>
                  </w:r>
                </w:p>
              </w:tc>
              <w:tc>
                <w:tcPr>
                  <w:tcW w:w="3503" w:type="dxa"/>
                  <w:vAlign w:val="center"/>
                </w:tcPr>
                <w:p w14:paraId="6DD1D107">
                  <w:pPr>
                    <w:pStyle w:val="13"/>
                    <w:jc w:val="both"/>
                  </w:pPr>
                  <w:r>
                    <w:t>核心监控区内禁止新建、扩建高风险、高污染、高耗水的建设项目。除位于产业园区内且符合园区主导产业的建设项目外，不得新建《建设项目环境影响评价分类管理名录（2021版）》需要编制环境影响报告书的建设项目。在大运河沿线，污水处理厂管网所在范围内禁止新增排污口。</w:t>
                  </w:r>
                </w:p>
              </w:tc>
              <w:tc>
                <w:tcPr>
                  <w:tcW w:w="2811" w:type="dxa"/>
                  <w:vAlign w:val="center"/>
                </w:tcPr>
                <w:p w14:paraId="254CE0D5">
                  <w:pPr>
                    <w:pStyle w:val="13"/>
                    <w:jc w:val="both"/>
                  </w:pPr>
                  <w:r>
                    <w:rPr>
                      <w:rFonts w:hint="eastAsia"/>
                    </w:rPr>
                    <w:t>根据</w:t>
                  </w:r>
                  <w:r>
                    <w:t>《建设项目环境影响评价分类管理名录（2021版）》</w:t>
                  </w:r>
                  <w:r>
                    <w:rPr>
                      <w:rFonts w:hint="eastAsia"/>
                    </w:rPr>
                    <w:t>本项目需要编制环境影响报告表，且本项目不新增废水</w:t>
                  </w:r>
                  <w:r>
                    <w:t>排污口</w:t>
                  </w:r>
                  <w:r>
                    <w:rPr>
                      <w:rFonts w:hint="eastAsia"/>
                    </w:rPr>
                    <w:t>。</w:t>
                  </w:r>
                </w:p>
              </w:tc>
              <w:tc>
                <w:tcPr>
                  <w:tcW w:w="629" w:type="dxa"/>
                  <w:vAlign w:val="center"/>
                </w:tcPr>
                <w:p w14:paraId="115A212D">
                  <w:pPr>
                    <w:pStyle w:val="13"/>
                    <w:jc w:val="center"/>
                  </w:pPr>
                  <w:r>
                    <w:rPr>
                      <w:rFonts w:hint="eastAsia"/>
                    </w:rPr>
                    <w:t>符合</w:t>
                  </w:r>
                </w:p>
              </w:tc>
            </w:tr>
            <w:tr w14:paraId="1B95A260">
              <w:trPr>
                <w:trHeight w:val="340" w:hRule="atLeast"/>
              </w:trPr>
              <w:tc>
                <w:tcPr>
                  <w:tcW w:w="709" w:type="dxa"/>
                  <w:vAlign w:val="center"/>
                </w:tcPr>
                <w:p w14:paraId="1D03C7C0">
                  <w:pPr>
                    <w:pStyle w:val="13"/>
                    <w:jc w:val="center"/>
                  </w:pPr>
                  <w:r>
                    <w:rPr>
                      <w:rFonts w:hint="eastAsia"/>
                    </w:rPr>
                    <w:t>8</w:t>
                  </w:r>
                </w:p>
              </w:tc>
              <w:tc>
                <w:tcPr>
                  <w:tcW w:w="3503" w:type="dxa"/>
                  <w:vAlign w:val="center"/>
                </w:tcPr>
                <w:p w14:paraId="3512CABF">
                  <w:pPr>
                    <w:pStyle w:val="13"/>
                    <w:jc w:val="both"/>
                  </w:pPr>
                  <w:r>
                    <w:t>核心监控区内确需投资建设的重大战略资源勘查项目、生态保护修复和环境治理项目、重大基础设施项目、军事国防项目、交通港航设施建设维护项目、水利设施建设维护项目、当地居民基本生活必要的重大民生项目以及防洪调度、工程抢险等特殊情况，不受第九条约束，但应确保建设项目实施前后大运河河道、堤岸、历史遗存和文物古迹“功能不降低、性质不改变、风貌有改善”。</w:t>
                  </w:r>
                </w:p>
              </w:tc>
              <w:tc>
                <w:tcPr>
                  <w:tcW w:w="2811" w:type="dxa"/>
                  <w:vAlign w:val="center"/>
                </w:tcPr>
                <w:p w14:paraId="2CF8CB7E">
                  <w:pPr>
                    <w:pStyle w:val="13"/>
                    <w:jc w:val="both"/>
                  </w:pPr>
                  <w:r>
                    <w:rPr>
                      <w:rFonts w:hint="eastAsia"/>
                    </w:rPr>
                    <w:t>本项目不属于左列项目。</w:t>
                  </w:r>
                </w:p>
              </w:tc>
              <w:tc>
                <w:tcPr>
                  <w:tcW w:w="629" w:type="dxa"/>
                  <w:vAlign w:val="center"/>
                </w:tcPr>
                <w:p w14:paraId="5FA36CE6">
                  <w:pPr>
                    <w:pStyle w:val="13"/>
                    <w:jc w:val="center"/>
                  </w:pPr>
                  <w:r>
                    <w:rPr>
                      <w:rFonts w:hint="eastAsia"/>
                    </w:rPr>
                    <w:t>符合</w:t>
                  </w:r>
                </w:p>
              </w:tc>
            </w:tr>
            <w:tr w14:paraId="2A253550">
              <w:trPr>
                <w:trHeight w:val="340" w:hRule="atLeast"/>
              </w:trPr>
              <w:tc>
                <w:tcPr>
                  <w:tcW w:w="709" w:type="dxa"/>
                  <w:vAlign w:val="center"/>
                </w:tcPr>
                <w:p w14:paraId="56830927">
                  <w:pPr>
                    <w:pStyle w:val="13"/>
                    <w:jc w:val="center"/>
                  </w:pPr>
                  <w:r>
                    <w:rPr>
                      <w:rFonts w:hint="eastAsia"/>
                    </w:rPr>
                    <w:t>9</w:t>
                  </w:r>
                </w:p>
              </w:tc>
              <w:tc>
                <w:tcPr>
                  <w:tcW w:w="3503" w:type="dxa"/>
                  <w:vAlign w:val="center"/>
                </w:tcPr>
                <w:p w14:paraId="7C02F38F">
                  <w:pPr>
                    <w:pStyle w:val="13"/>
                    <w:jc w:val="both"/>
                  </w:pPr>
                  <w:r>
                    <w:t>核心监控区内的非建成区严禁大规模新建、扩建房地产、大型及特大型主题公园等项目；城镇建成区老城改造限制各类用地调整为大型工商业项目、商务办公、仓储物流和住宅商品房用地。国土空间用途管制、景观风貌和空间形态的管控依照《浙江省大运河核心监控区国土空间管控通则》执行</w:t>
                  </w:r>
                </w:p>
              </w:tc>
              <w:tc>
                <w:tcPr>
                  <w:tcW w:w="2811" w:type="dxa"/>
                  <w:vAlign w:val="center"/>
                </w:tcPr>
                <w:p w14:paraId="18469F5A">
                  <w:pPr>
                    <w:pStyle w:val="13"/>
                    <w:jc w:val="both"/>
                  </w:pPr>
                  <w:r>
                    <w:rPr>
                      <w:rFonts w:hint="eastAsia"/>
                    </w:rPr>
                    <w:t>本项目不属于左列项目。</w:t>
                  </w:r>
                </w:p>
              </w:tc>
              <w:tc>
                <w:tcPr>
                  <w:tcW w:w="629" w:type="dxa"/>
                  <w:vAlign w:val="center"/>
                </w:tcPr>
                <w:p w14:paraId="685BF079">
                  <w:pPr>
                    <w:pStyle w:val="13"/>
                    <w:jc w:val="center"/>
                  </w:pPr>
                  <w:r>
                    <w:rPr>
                      <w:rFonts w:hint="eastAsia"/>
                    </w:rPr>
                    <w:t>符合</w:t>
                  </w:r>
                </w:p>
              </w:tc>
            </w:tr>
          </w:tbl>
          <w:p w14:paraId="707B125B">
            <w:pPr>
              <w:pStyle w:val="2"/>
              <w:jc w:val="both"/>
            </w:pPr>
          </w:p>
        </w:tc>
      </w:tr>
    </w:tbl>
    <w:p w14:paraId="7F1E4055">
      <w:pPr>
        <w:ind w:firstLine="0" w:firstLineChars="0"/>
        <w:jc w:val="both"/>
        <w:sectPr>
          <w:pgSz w:w="11906" w:h="16838"/>
          <w:pgMar w:top="1440" w:right="1800" w:bottom="1440" w:left="1800" w:header="851" w:footer="992" w:gutter="0"/>
          <w:cols w:space="425" w:num="1"/>
          <w:docGrid w:type="lines" w:linePitch="312" w:charSpace="0"/>
        </w:sectPr>
      </w:pPr>
    </w:p>
    <w:p w14:paraId="4696FC1B">
      <w:pPr>
        <w:pStyle w:val="3"/>
        <w:numPr>
          <w:ilvl w:val="0"/>
          <w:numId w:val="2"/>
        </w:numPr>
      </w:pPr>
      <w:bookmarkStart w:id="4" w:name="_Toc18275"/>
      <w:r>
        <w:rPr>
          <w:rFonts w:hint="eastAsia"/>
        </w:rPr>
        <w:t>建设项目工程分析</w:t>
      </w:r>
      <w:bookmarkEnd w:id="4"/>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8029"/>
      </w:tblGrid>
      <w:tr w14:paraId="18FC0F29">
        <w:trPr>
          <w:trHeight w:val="8160" w:hRule="atLeast"/>
        </w:trPr>
        <w:tc>
          <w:tcPr>
            <w:tcW w:w="493" w:type="dxa"/>
            <w:vAlign w:val="center"/>
          </w:tcPr>
          <w:p w14:paraId="29528222">
            <w:pPr>
              <w:ind w:firstLine="0" w:firstLineChars="0"/>
              <w:jc w:val="center"/>
            </w:pPr>
            <w:r>
              <w:t>建设内容</w:t>
            </w:r>
          </w:p>
        </w:tc>
        <w:tc>
          <w:tcPr>
            <w:tcW w:w="8029" w:type="dxa"/>
          </w:tcPr>
          <w:p w14:paraId="5D572286">
            <w:pPr>
              <w:ind w:firstLine="480"/>
              <w:jc w:val="both"/>
            </w:pPr>
            <w:r>
              <w:rPr>
                <w:rFonts w:hint="eastAsia"/>
              </w:rPr>
              <w:t>1、项目由来</w:t>
            </w:r>
          </w:p>
          <w:p w14:paraId="72D45627">
            <w:pPr>
              <w:ind w:firstLine="480"/>
              <w:jc w:val="both"/>
            </w:pPr>
            <w:r>
              <w:t>浙江三基色新材料有限公司成立于2005年10月24日，注册地位于浙江省杭州市余杭区仁和街道三星路4号。</w:t>
            </w:r>
            <w:r>
              <w:rPr>
                <w:rFonts w:hint="eastAsia"/>
              </w:rPr>
              <w:t>主要经营范围为</w:t>
            </w:r>
            <w:r>
              <w:t>塑料粒子生产</w:t>
            </w:r>
            <w:r>
              <w:rPr>
                <w:rFonts w:hint="eastAsia"/>
              </w:rPr>
              <w:t>。</w:t>
            </w:r>
          </w:p>
          <w:p w14:paraId="56FA1073">
            <w:pPr>
              <w:ind w:firstLine="480"/>
              <w:jc w:val="both"/>
            </w:pPr>
            <w:r>
              <w:rPr>
                <w:rFonts w:hint="eastAsia"/>
              </w:rPr>
              <w:t>本项目现有工程已审批规模为年产塑料粒子8000吨。因生产需要，为了与现有工程挤出线形成配套的生产布局，本次建设内容如下：</w:t>
            </w:r>
          </w:p>
          <w:p w14:paraId="5255F666">
            <w:pPr>
              <w:numPr>
                <w:ilvl w:val="0"/>
                <w:numId w:val="5"/>
              </w:numPr>
              <w:ind w:firstLine="480"/>
              <w:jc w:val="both"/>
            </w:pPr>
            <w:r>
              <w:rPr>
                <w:rFonts w:hint="eastAsia"/>
              </w:rPr>
              <w:t>建设单位拟新增注塑机7台（根据塑料粒子颜色不同，每台注塑机只生产单一颜色色板），为挤出线提供不同颜色的塑料样板，色板加工量约50kg/a，用于对比存档，不对外销售且不新增现有项目已审批8000t的塑料粒子产能；</w:t>
            </w:r>
          </w:p>
          <w:p w14:paraId="46DA931A">
            <w:pPr>
              <w:numPr>
                <w:ilvl w:val="0"/>
                <w:numId w:val="5"/>
              </w:numPr>
              <w:ind w:firstLine="480"/>
              <w:jc w:val="both"/>
            </w:pPr>
            <w:r>
              <w:rPr>
                <w:rFonts w:hint="eastAsia"/>
              </w:rPr>
              <w:t>新增醇酸树脂、氟树脂、聚酰胺树脂、聚对苯二甲酸丁二醇酯树脂等塑料粒子产品种类。本项目实施后，产品种类进一步细分，不新增现有项目已审批8000t的塑料粒子产能。</w:t>
            </w:r>
          </w:p>
          <w:p w14:paraId="4A4A2370">
            <w:pPr>
              <w:ind w:firstLine="480"/>
              <w:jc w:val="both"/>
            </w:pPr>
            <w:r>
              <w:t>根据《中华人民共和国环境影响评价法》《建设项目环境影响评价分类管理名录（2021版）》（环境保护部令第16号），拟建项目类别为“二十六、橡胶和塑料制品业 塑料制品业292”中“</w:t>
            </w:r>
            <w:r>
              <w:rPr>
                <w:rFonts w:hint="eastAsia"/>
              </w:rPr>
              <w:t>其他（年用非溶剂型低VOCs含量涂料10吨以下的除外）</w:t>
            </w:r>
            <w:r>
              <w:t>”，故拟建项目应编制环境影响报告表。因此，浙江三基色新材料有限公司委托浙江百诺数智环境科技股份有限公司承担该项目环境影响评价工作。</w:t>
            </w:r>
          </w:p>
          <w:p w14:paraId="193E551C">
            <w:pPr>
              <w:ind w:firstLine="480"/>
              <w:jc w:val="both"/>
            </w:pPr>
            <w:r>
              <w:t>我公司接受委托后，立即组织相关专业技术人员进行了现场勘查、资料收集，在此基础上，按照国家相关环保法律、法规及有关技术规范要求，最终编制完成了《浙江三基色新材料有限公司新增注塑设备打样测试技改项目环境影响报告表》</w:t>
            </w:r>
            <w:r>
              <w:rPr>
                <w:rFonts w:hint="eastAsia"/>
              </w:rPr>
              <w:t>。</w:t>
            </w:r>
          </w:p>
          <w:p w14:paraId="0753C959">
            <w:pPr>
              <w:ind w:firstLine="480"/>
              <w:jc w:val="both"/>
            </w:pPr>
            <w:r>
              <w:rPr>
                <w:rFonts w:hint="eastAsia"/>
              </w:rPr>
              <w:t>2、建设内容</w:t>
            </w:r>
          </w:p>
          <w:p w14:paraId="34601B52">
            <w:pPr>
              <w:ind w:firstLine="480"/>
              <w:jc w:val="both"/>
            </w:pPr>
            <w:r>
              <w:t>浙江三基色新材料有限公司新增注塑设备打样测试技改项目</w:t>
            </w:r>
            <w:r>
              <w:rPr>
                <w:rFonts w:hint="eastAsia"/>
              </w:rPr>
              <w:t>选址位于浙江省杭州市余杭区仁和街道三星路4号（现有厂房内），新增注塑机7台用于测试打样色板的生产；淘汰已审批的老旧设备，更新螺杆挤出机等主要生产设备用于塑料粒子生产，提升自动化程度，不新增塑料粒子的生产规模。项目主要建设内容见表2-1。</w:t>
            </w:r>
          </w:p>
          <w:p w14:paraId="6604F746">
            <w:pPr>
              <w:pStyle w:val="14"/>
              <w:numPr>
                <w:ilvl w:val="0"/>
                <w:numId w:val="6"/>
              </w:numPr>
              <w:spacing w:before="156"/>
              <w:ind w:firstLine="0"/>
            </w:pPr>
            <w:r>
              <w:t xml:space="preserve">  项目主要建设内容一览表</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1370"/>
              <w:gridCol w:w="4089"/>
              <w:gridCol w:w="1718"/>
            </w:tblGrid>
            <w:tr w14:paraId="4556C3FF">
              <w:trPr>
                <w:trHeight w:val="90" w:hRule="atLeast"/>
                <w:jc w:val="center"/>
              </w:trPr>
              <w:tc>
                <w:tcPr>
                  <w:tcW w:w="400" w:type="pct"/>
                  <w:vAlign w:val="center"/>
                </w:tcPr>
                <w:p w14:paraId="678F1424">
                  <w:pPr>
                    <w:widowControl/>
                    <w:spacing w:line="240" w:lineRule="auto"/>
                    <w:ind w:firstLine="0" w:firstLineChars="0"/>
                    <w:jc w:val="center"/>
                    <w:textAlignment w:val="center"/>
                    <w:rPr>
                      <w:rFonts w:cs="Times New Roman"/>
                      <w:sz w:val="18"/>
                    </w:rPr>
                  </w:pPr>
                  <w:r>
                    <w:rPr>
                      <w:rFonts w:cs="Times New Roman"/>
                      <w:kern w:val="0"/>
                      <w:sz w:val="18"/>
                      <w:lang w:bidi="ar"/>
                    </w:rPr>
                    <w:t>工程类别</w:t>
                  </w:r>
                </w:p>
              </w:tc>
              <w:tc>
                <w:tcPr>
                  <w:tcW w:w="878" w:type="pct"/>
                  <w:vAlign w:val="center"/>
                </w:tcPr>
                <w:p w14:paraId="77048F81">
                  <w:pPr>
                    <w:widowControl/>
                    <w:spacing w:line="240" w:lineRule="auto"/>
                    <w:ind w:firstLine="0" w:firstLineChars="0"/>
                    <w:jc w:val="center"/>
                    <w:textAlignment w:val="center"/>
                    <w:rPr>
                      <w:rFonts w:cs="Times New Roman"/>
                      <w:sz w:val="18"/>
                    </w:rPr>
                  </w:pPr>
                  <w:r>
                    <w:rPr>
                      <w:rFonts w:cs="Times New Roman"/>
                      <w:kern w:val="0"/>
                      <w:sz w:val="18"/>
                      <w:lang w:bidi="ar"/>
                    </w:rPr>
                    <w:t>工程名称</w:t>
                  </w:r>
                </w:p>
              </w:tc>
              <w:tc>
                <w:tcPr>
                  <w:tcW w:w="2619" w:type="pct"/>
                  <w:vAlign w:val="center"/>
                </w:tcPr>
                <w:p w14:paraId="05022D52">
                  <w:pPr>
                    <w:widowControl/>
                    <w:spacing w:line="240" w:lineRule="auto"/>
                    <w:ind w:firstLine="0" w:firstLineChars="0"/>
                    <w:jc w:val="center"/>
                    <w:textAlignment w:val="center"/>
                    <w:rPr>
                      <w:rFonts w:cs="Times New Roman"/>
                      <w:sz w:val="18"/>
                    </w:rPr>
                  </w:pPr>
                  <w:r>
                    <w:rPr>
                      <w:rFonts w:cs="Times New Roman"/>
                      <w:kern w:val="0"/>
                      <w:sz w:val="18"/>
                      <w:lang w:bidi="ar"/>
                    </w:rPr>
                    <w:t>本项目工程内容及规模</w:t>
                  </w:r>
                </w:p>
              </w:tc>
              <w:tc>
                <w:tcPr>
                  <w:tcW w:w="1100" w:type="pct"/>
                  <w:vAlign w:val="center"/>
                </w:tcPr>
                <w:p w14:paraId="3F91542B">
                  <w:pPr>
                    <w:widowControl/>
                    <w:spacing w:line="240" w:lineRule="auto"/>
                    <w:ind w:firstLine="0" w:firstLineChars="0"/>
                    <w:jc w:val="center"/>
                    <w:textAlignment w:val="center"/>
                    <w:rPr>
                      <w:rFonts w:cs="Times New Roman"/>
                      <w:sz w:val="18"/>
                    </w:rPr>
                  </w:pPr>
                  <w:r>
                    <w:rPr>
                      <w:rFonts w:cs="Times New Roman"/>
                      <w:kern w:val="0"/>
                      <w:sz w:val="18"/>
                      <w:lang w:bidi="ar"/>
                    </w:rPr>
                    <w:t>备注</w:t>
                  </w:r>
                </w:p>
              </w:tc>
            </w:tr>
            <w:tr w14:paraId="022AB091">
              <w:trPr>
                <w:trHeight w:val="340" w:hRule="atLeast"/>
                <w:jc w:val="center"/>
              </w:trPr>
              <w:tc>
                <w:tcPr>
                  <w:tcW w:w="400" w:type="pct"/>
                  <w:vMerge w:val="restart"/>
                  <w:vAlign w:val="center"/>
                </w:tcPr>
                <w:p w14:paraId="2CA9E754">
                  <w:pPr>
                    <w:widowControl/>
                    <w:spacing w:line="240" w:lineRule="auto"/>
                    <w:ind w:firstLine="0" w:firstLineChars="0"/>
                    <w:jc w:val="center"/>
                    <w:textAlignment w:val="center"/>
                    <w:rPr>
                      <w:rFonts w:cs="Times New Roman"/>
                      <w:sz w:val="18"/>
                    </w:rPr>
                  </w:pPr>
                  <w:r>
                    <w:rPr>
                      <w:rFonts w:cs="Times New Roman"/>
                      <w:kern w:val="0"/>
                      <w:sz w:val="18"/>
                      <w:lang w:bidi="ar"/>
                    </w:rPr>
                    <w:t>主体工程</w:t>
                  </w:r>
                </w:p>
              </w:tc>
              <w:tc>
                <w:tcPr>
                  <w:tcW w:w="878" w:type="pct"/>
                  <w:vAlign w:val="center"/>
                </w:tcPr>
                <w:p w14:paraId="0D1C4541">
                  <w:pPr>
                    <w:widowControl/>
                    <w:spacing w:line="240" w:lineRule="auto"/>
                    <w:ind w:firstLine="0" w:firstLineChars="0"/>
                    <w:jc w:val="center"/>
                    <w:textAlignment w:val="center"/>
                    <w:rPr>
                      <w:rFonts w:cs="Times New Roman"/>
                      <w:kern w:val="0"/>
                      <w:sz w:val="18"/>
                      <w:lang w:bidi="ar"/>
                    </w:rPr>
                  </w:pPr>
                  <w:r>
                    <w:rPr>
                      <w:rFonts w:hint="eastAsia" w:cs="Times New Roman"/>
                      <w:kern w:val="0"/>
                      <w:sz w:val="18"/>
                      <w:lang w:bidi="ar"/>
                    </w:rPr>
                    <w:t>生产车间</w:t>
                  </w:r>
                </w:p>
              </w:tc>
              <w:tc>
                <w:tcPr>
                  <w:tcW w:w="2619" w:type="pct"/>
                  <w:vAlign w:val="center"/>
                </w:tcPr>
                <w:p w14:paraId="109989E3">
                  <w:pPr>
                    <w:widowControl/>
                    <w:spacing w:line="240" w:lineRule="auto"/>
                    <w:ind w:firstLine="0" w:firstLineChars="0"/>
                    <w:jc w:val="both"/>
                    <w:textAlignment w:val="center"/>
                    <w:rPr>
                      <w:rFonts w:cs="Times New Roman"/>
                      <w:kern w:val="0"/>
                      <w:sz w:val="18"/>
                      <w:lang w:bidi="ar"/>
                    </w:rPr>
                  </w:pPr>
                  <w:r>
                    <w:rPr>
                      <w:rFonts w:hint="eastAsia" w:cs="Times New Roman"/>
                      <w:kern w:val="0"/>
                      <w:sz w:val="18"/>
                      <w:lang w:bidi="ar"/>
                    </w:rPr>
                    <w:t>2F，总占地面积约为2500m</w:t>
                  </w:r>
                  <w:r>
                    <w:rPr>
                      <w:rFonts w:hint="eastAsia" w:cs="Times New Roman"/>
                      <w:kern w:val="0"/>
                      <w:sz w:val="18"/>
                      <w:vertAlign w:val="superscript"/>
                      <w:lang w:bidi="ar"/>
                    </w:rPr>
                    <w:t>2</w:t>
                  </w:r>
                  <w:r>
                    <w:rPr>
                      <w:rFonts w:hint="eastAsia" w:cs="Times New Roman"/>
                      <w:kern w:val="0"/>
                      <w:sz w:val="18"/>
                      <w:lang w:bidi="ar"/>
                    </w:rPr>
                    <w:t>，车间一层内设置12条挤出线、布置双螺杆挤出机、空压设备等，形成年产8000t塑料粒子的生产规模。</w:t>
                  </w:r>
                </w:p>
              </w:tc>
              <w:tc>
                <w:tcPr>
                  <w:tcW w:w="1100" w:type="pct"/>
                  <w:vAlign w:val="center"/>
                </w:tcPr>
                <w:p w14:paraId="6D4B7093">
                  <w:pPr>
                    <w:widowControl/>
                    <w:spacing w:line="240" w:lineRule="auto"/>
                    <w:ind w:firstLine="0" w:firstLineChars="0"/>
                    <w:jc w:val="center"/>
                    <w:textAlignment w:val="center"/>
                    <w:rPr>
                      <w:rFonts w:cs="Times New Roman"/>
                      <w:kern w:val="0"/>
                      <w:sz w:val="18"/>
                      <w:lang w:bidi="ar"/>
                    </w:rPr>
                  </w:pPr>
                  <w:r>
                    <w:rPr>
                      <w:rFonts w:hint="eastAsia" w:cs="Times New Roman"/>
                      <w:kern w:val="0"/>
                      <w:sz w:val="18"/>
                      <w:lang w:bidi="ar"/>
                    </w:rPr>
                    <w:t>依托现有厂房，更新造粒机、双螺杆挤出机等主要生产设备，新增塑料粒子生产种类，不新增总体产能。</w:t>
                  </w:r>
                </w:p>
              </w:tc>
            </w:tr>
            <w:tr w14:paraId="09FFC906">
              <w:trPr>
                <w:trHeight w:val="340" w:hRule="atLeast"/>
                <w:jc w:val="center"/>
              </w:trPr>
              <w:tc>
                <w:tcPr>
                  <w:tcW w:w="400" w:type="pct"/>
                  <w:vMerge w:val="continue"/>
                  <w:vAlign w:val="center"/>
                </w:tcPr>
                <w:p w14:paraId="3AC45336">
                  <w:pPr>
                    <w:widowControl/>
                    <w:spacing w:line="240" w:lineRule="auto"/>
                    <w:ind w:firstLine="0" w:firstLineChars="0"/>
                    <w:jc w:val="center"/>
                    <w:textAlignment w:val="center"/>
                    <w:rPr>
                      <w:rFonts w:cs="Times New Roman"/>
                      <w:sz w:val="18"/>
                    </w:rPr>
                  </w:pPr>
                </w:p>
              </w:tc>
              <w:tc>
                <w:tcPr>
                  <w:tcW w:w="878" w:type="pct"/>
                  <w:vAlign w:val="center"/>
                </w:tcPr>
                <w:p w14:paraId="18B922BA">
                  <w:pPr>
                    <w:widowControl/>
                    <w:spacing w:line="240" w:lineRule="auto"/>
                    <w:ind w:firstLine="0" w:firstLineChars="0"/>
                    <w:jc w:val="center"/>
                    <w:textAlignment w:val="center"/>
                    <w:rPr>
                      <w:rFonts w:cs="Times New Roman"/>
                      <w:sz w:val="18"/>
                    </w:rPr>
                  </w:pPr>
                  <w:r>
                    <w:rPr>
                      <w:rFonts w:hint="eastAsia" w:cs="Times New Roman"/>
                      <w:sz w:val="18"/>
                    </w:rPr>
                    <w:t>打板房</w:t>
                  </w:r>
                </w:p>
                <w:p w14:paraId="1175F777">
                  <w:pPr>
                    <w:widowControl/>
                    <w:spacing w:line="240" w:lineRule="auto"/>
                    <w:ind w:firstLine="0" w:firstLineChars="0"/>
                    <w:jc w:val="center"/>
                    <w:textAlignment w:val="center"/>
                    <w:rPr>
                      <w:rFonts w:cs="Times New Roman"/>
                      <w:sz w:val="18"/>
                    </w:rPr>
                  </w:pPr>
                  <w:r>
                    <w:rPr>
                      <w:rFonts w:hint="eastAsia" w:cs="Times New Roman"/>
                      <w:sz w:val="18"/>
                    </w:rPr>
                    <w:t>(生产车间内)</w:t>
                  </w:r>
                </w:p>
              </w:tc>
              <w:tc>
                <w:tcPr>
                  <w:tcW w:w="2619" w:type="pct"/>
                  <w:vAlign w:val="center"/>
                </w:tcPr>
                <w:p w14:paraId="75A3450D">
                  <w:pPr>
                    <w:widowControl/>
                    <w:spacing w:line="240" w:lineRule="auto"/>
                    <w:ind w:firstLine="0" w:firstLineChars="0"/>
                    <w:textAlignment w:val="center"/>
                    <w:rPr>
                      <w:rFonts w:cs="Times New Roman"/>
                      <w:sz w:val="18"/>
                    </w:rPr>
                  </w:pPr>
                  <w:r>
                    <w:rPr>
                      <w:rFonts w:hint="eastAsia" w:cs="Times New Roman"/>
                      <w:sz w:val="18"/>
                    </w:rPr>
                    <w:t>1F，占地面积120m</w:t>
                  </w:r>
                  <w:r>
                    <w:rPr>
                      <w:rFonts w:hint="eastAsia" w:cs="Times New Roman"/>
                      <w:sz w:val="18"/>
                      <w:vertAlign w:val="superscript"/>
                    </w:rPr>
                    <w:t>2</w:t>
                  </w:r>
                  <w:r>
                    <w:rPr>
                      <w:rFonts w:hint="eastAsia" w:cs="Times New Roman"/>
                      <w:sz w:val="18"/>
                    </w:rPr>
                    <w:t>，位于生产车间内部，现有设置5台注塑机，新增注塑机7台，本项目实施后共计12台注塑机，为现有挤出线提供配套色板。</w:t>
                  </w:r>
                </w:p>
              </w:tc>
              <w:tc>
                <w:tcPr>
                  <w:tcW w:w="1100" w:type="pct"/>
                  <w:vAlign w:val="center"/>
                </w:tcPr>
                <w:p w14:paraId="139D061A">
                  <w:pPr>
                    <w:widowControl/>
                    <w:spacing w:line="240" w:lineRule="auto"/>
                    <w:ind w:firstLine="0" w:firstLineChars="0"/>
                    <w:jc w:val="center"/>
                    <w:textAlignment w:val="center"/>
                    <w:rPr>
                      <w:rFonts w:cs="Times New Roman"/>
                      <w:sz w:val="18"/>
                    </w:rPr>
                  </w:pPr>
                  <w:r>
                    <w:rPr>
                      <w:rFonts w:hint="eastAsia" w:cs="Times New Roman"/>
                      <w:sz w:val="18"/>
                    </w:rPr>
                    <w:t>依托现有打板房空置区域，新增注塑机，用于色板加工</w:t>
                  </w:r>
                </w:p>
              </w:tc>
            </w:tr>
            <w:tr w14:paraId="00D3BEE0">
              <w:trPr>
                <w:trHeight w:val="340" w:hRule="atLeast"/>
                <w:jc w:val="center"/>
              </w:trPr>
              <w:tc>
                <w:tcPr>
                  <w:tcW w:w="400" w:type="pct"/>
                  <w:vMerge w:val="restart"/>
                  <w:vAlign w:val="center"/>
                </w:tcPr>
                <w:p w14:paraId="34CF99C9">
                  <w:pPr>
                    <w:widowControl/>
                    <w:spacing w:line="240" w:lineRule="auto"/>
                    <w:ind w:firstLine="0" w:firstLineChars="0"/>
                    <w:jc w:val="center"/>
                    <w:textAlignment w:val="center"/>
                    <w:rPr>
                      <w:rFonts w:cs="Times New Roman"/>
                      <w:sz w:val="18"/>
                    </w:rPr>
                  </w:pPr>
                  <w:r>
                    <w:rPr>
                      <w:rFonts w:cs="Times New Roman"/>
                      <w:kern w:val="0"/>
                      <w:sz w:val="18"/>
                      <w:lang w:bidi="ar"/>
                    </w:rPr>
                    <w:t>公用工程</w:t>
                  </w:r>
                </w:p>
              </w:tc>
              <w:tc>
                <w:tcPr>
                  <w:tcW w:w="878" w:type="pct"/>
                  <w:vAlign w:val="center"/>
                </w:tcPr>
                <w:p w14:paraId="1B4B8D1D">
                  <w:pPr>
                    <w:widowControl/>
                    <w:spacing w:line="240" w:lineRule="auto"/>
                    <w:ind w:firstLine="0" w:firstLineChars="0"/>
                    <w:jc w:val="center"/>
                    <w:textAlignment w:val="center"/>
                    <w:rPr>
                      <w:rFonts w:cs="Times New Roman"/>
                      <w:sz w:val="18"/>
                    </w:rPr>
                  </w:pPr>
                  <w:r>
                    <w:rPr>
                      <w:rFonts w:cs="Times New Roman"/>
                      <w:kern w:val="0"/>
                      <w:sz w:val="18"/>
                      <w:lang w:bidi="ar"/>
                    </w:rPr>
                    <w:t>给水</w:t>
                  </w:r>
                </w:p>
              </w:tc>
              <w:tc>
                <w:tcPr>
                  <w:tcW w:w="2619" w:type="pct"/>
                  <w:vAlign w:val="center"/>
                </w:tcPr>
                <w:p w14:paraId="3C7143E3">
                  <w:pPr>
                    <w:widowControl/>
                    <w:spacing w:line="240" w:lineRule="auto"/>
                    <w:ind w:firstLine="0" w:firstLineChars="0"/>
                    <w:textAlignment w:val="center"/>
                    <w:rPr>
                      <w:rFonts w:cs="Times New Roman"/>
                      <w:sz w:val="18"/>
                    </w:rPr>
                  </w:pPr>
                  <w:r>
                    <w:rPr>
                      <w:rFonts w:cs="Times New Roman"/>
                      <w:sz w:val="18"/>
                    </w:rPr>
                    <w:t>全厂生产、生活及消防用水主要来自区域自来水管网，厂内建立完善的管网系统。管网系统由三部分组成，一部分供给各主要生产工段，另一部分用于生活用水</w:t>
                  </w:r>
                  <w:r>
                    <w:rPr>
                      <w:rFonts w:hint="eastAsia" w:cs="Times New Roman"/>
                      <w:sz w:val="18"/>
                    </w:rPr>
                    <w:t>，本项目全厂用水量为2010t/a。</w:t>
                  </w:r>
                </w:p>
              </w:tc>
              <w:tc>
                <w:tcPr>
                  <w:tcW w:w="1100" w:type="pct"/>
                  <w:vAlign w:val="center"/>
                </w:tcPr>
                <w:p w14:paraId="604637B3">
                  <w:pPr>
                    <w:widowControl/>
                    <w:spacing w:line="240" w:lineRule="auto"/>
                    <w:ind w:firstLine="0" w:firstLineChars="0"/>
                    <w:jc w:val="center"/>
                    <w:textAlignment w:val="center"/>
                    <w:rPr>
                      <w:rFonts w:cs="Times New Roman"/>
                      <w:sz w:val="18"/>
                    </w:rPr>
                  </w:pPr>
                  <w:r>
                    <w:rPr>
                      <w:rFonts w:hint="eastAsia" w:cs="Times New Roman"/>
                      <w:sz w:val="18"/>
                    </w:rPr>
                    <w:t>维持现状</w:t>
                  </w:r>
                </w:p>
              </w:tc>
            </w:tr>
            <w:tr w14:paraId="4230EB27">
              <w:trPr>
                <w:trHeight w:val="340" w:hRule="atLeast"/>
                <w:jc w:val="center"/>
              </w:trPr>
              <w:tc>
                <w:tcPr>
                  <w:tcW w:w="400" w:type="pct"/>
                  <w:vMerge w:val="continue"/>
                  <w:vAlign w:val="center"/>
                </w:tcPr>
                <w:p w14:paraId="564E399E">
                  <w:pPr>
                    <w:widowControl/>
                    <w:spacing w:line="240" w:lineRule="auto"/>
                    <w:ind w:firstLine="0" w:firstLineChars="0"/>
                    <w:jc w:val="center"/>
                    <w:rPr>
                      <w:rFonts w:cs="Times New Roman"/>
                      <w:sz w:val="18"/>
                    </w:rPr>
                  </w:pPr>
                </w:p>
              </w:tc>
              <w:tc>
                <w:tcPr>
                  <w:tcW w:w="878" w:type="pct"/>
                  <w:vAlign w:val="center"/>
                </w:tcPr>
                <w:p w14:paraId="12053C9E">
                  <w:pPr>
                    <w:widowControl/>
                    <w:spacing w:line="240" w:lineRule="auto"/>
                    <w:ind w:firstLine="0" w:firstLineChars="0"/>
                    <w:jc w:val="center"/>
                    <w:textAlignment w:val="center"/>
                    <w:rPr>
                      <w:rFonts w:cs="Times New Roman"/>
                      <w:sz w:val="18"/>
                    </w:rPr>
                  </w:pPr>
                  <w:r>
                    <w:rPr>
                      <w:rFonts w:cs="Times New Roman"/>
                      <w:kern w:val="0"/>
                      <w:sz w:val="18"/>
                      <w:lang w:bidi="ar"/>
                    </w:rPr>
                    <w:t>排水</w:t>
                  </w:r>
                </w:p>
              </w:tc>
              <w:tc>
                <w:tcPr>
                  <w:tcW w:w="2619" w:type="pct"/>
                  <w:vAlign w:val="center"/>
                </w:tcPr>
                <w:p w14:paraId="6DF32CA6">
                  <w:pPr>
                    <w:widowControl/>
                    <w:spacing w:line="240" w:lineRule="auto"/>
                    <w:ind w:firstLine="0" w:firstLineChars="0"/>
                    <w:textAlignment w:val="center"/>
                    <w:rPr>
                      <w:rFonts w:cs="Times New Roman"/>
                      <w:sz w:val="18"/>
                    </w:rPr>
                  </w:pPr>
                  <w:r>
                    <w:rPr>
                      <w:rFonts w:cs="Times New Roman"/>
                      <w:sz w:val="18"/>
                    </w:rPr>
                    <w:t>厂区排水采用雨污分流，排水系统分为雨水和废水两个系统。生活污水纳管排放。雨水排入厂区雨水管网，最终排至周边道路市政雨水管网。</w:t>
                  </w:r>
                </w:p>
              </w:tc>
              <w:tc>
                <w:tcPr>
                  <w:tcW w:w="1100" w:type="pct"/>
                  <w:vAlign w:val="center"/>
                </w:tcPr>
                <w:p w14:paraId="2504BF70">
                  <w:pPr>
                    <w:widowControl/>
                    <w:spacing w:line="240" w:lineRule="auto"/>
                    <w:ind w:firstLine="0" w:firstLineChars="0"/>
                    <w:jc w:val="center"/>
                    <w:textAlignment w:val="center"/>
                    <w:rPr>
                      <w:rFonts w:cs="Times New Roman"/>
                      <w:sz w:val="18"/>
                    </w:rPr>
                  </w:pPr>
                  <w:r>
                    <w:rPr>
                      <w:rFonts w:hint="eastAsia" w:cs="Times New Roman"/>
                      <w:sz w:val="18"/>
                    </w:rPr>
                    <w:t>维持现状</w:t>
                  </w:r>
                </w:p>
              </w:tc>
            </w:tr>
            <w:tr w14:paraId="20F337EC">
              <w:trPr>
                <w:trHeight w:val="90" w:hRule="atLeast"/>
                <w:jc w:val="center"/>
              </w:trPr>
              <w:tc>
                <w:tcPr>
                  <w:tcW w:w="400" w:type="pct"/>
                  <w:vMerge w:val="continue"/>
                  <w:vAlign w:val="center"/>
                </w:tcPr>
                <w:p w14:paraId="69BA0B3C">
                  <w:pPr>
                    <w:widowControl/>
                    <w:spacing w:line="240" w:lineRule="auto"/>
                    <w:ind w:firstLine="0" w:firstLineChars="0"/>
                    <w:jc w:val="center"/>
                    <w:rPr>
                      <w:rFonts w:cs="Times New Roman"/>
                      <w:sz w:val="18"/>
                    </w:rPr>
                  </w:pPr>
                </w:p>
              </w:tc>
              <w:tc>
                <w:tcPr>
                  <w:tcW w:w="878" w:type="pct"/>
                  <w:vAlign w:val="center"/>
                </w:tcPr>
                <w:p w14:paraId="214DF55C">
                  <w:pPr>
                    <w:widowControl/>
                    <w:spacing w:line="240" w:lineRule="auto"/>
                    <w:ind w:firstLine="0" w:firstLineChars="0"/>
                    <w:jc w:val="center"/>
                    <w:textAlignment w:val="center"/>
                    <w:rPr>
                      <w:rFonts w:cs="Times New Roman"/>
                      <w:sz w:val="18"/>
                    </w:rPr>
                  </w:pPr>
                  <w:r>
                    <w:rPr>
                      <w:rFonts w:cs="Times New Roman"/>
                      <w:kern w:val="0"/>
                      <w:sz w:val="18"/>
                      <w:lang w:bidi="ar"/>
                    </w:rPr>
                    <w:t>供电</w:t>
                  </w:r>
                </w:p>
              </w:tc>
              <w:tc>
                <w:tcPr>
                  <w:tcW w:w="2619" w:type="pct"/>
                  <w:vAlign w:val="center"/>
                </w:tcPr>
                <w:p w14:paraId="46CA87DD">
                  <w:pPr>
                    <w:widowControl/>
                    <w:spacing w:line="240" w:lineRule="auto"/>
                    <w:ind w:firstLine="0" w:firstLineChars="0"/>
                    <w:textAlignment w:val="center"/>
                    <w:rPr>
                      <w:rFonts w:cs="Times New Roman"/>
                      <w:sz w:val="18"/>
                    </w:rPr>
                  </w:pPr>
                  <w:r>
                    <w:rPr>
                      <w:rFonts w:hint="eastAsia" w:cs="Times New Roman"/>
                      <w:kern w:val="0"/>
                      <w:sz w:val="18"/>
                      <w:lang w:bidi="ar"/>
                    </w:rPr>
                    <w:t>市政电网供电，依托企业现有厂内电力系统，</w:t>
                  </w:r>
                  <w:r>
                    <w:rPr>
                      <w:rFonts w:cs="Times New Roman"/>
                      <w:kern w:val="0"/>
                      <w:sz w:val="18"/>
                      <w:lang w:bidi="ar"/>
                    </w:rPr>
                    <w:t>年新增用电量</w:t>
                  </w:r>
                  <w:r>
                    <w:rPr>
                      <w:rFonts w:hint="eastAsia" w:cs="Times New Roman"/>
                      <w:kern w:val="0"/>
                      <w:sz w:val="18"/>
                      <w:lang w:bidi="ar"/>
                    </w:rPr>
                    <w:t>2</w:t>
                  </w:r>
                  <w:r>
                    <w:rPr>
                      <w:rFonts w:cs="Times New Roman"/>
                      <w:kern w:val="0"/>
                      <w:sz w:val="18"/>
                      <w:lang w:bidi="ar"/>
                    </w:rPr>
                    <w:t>万kW·h/a。</w:t>
                  </w:r>
                </w:p>
              </w:tc>
              <w:tc>
                <w:tcPr>
                  <w:tcW w:w="1100" w:type="pct"/>
                  <w:vAlign w:val="center"/>
                </w:tcPr>
                <w:p w14:paraId="62CB0106">
                  <w:pPr>
                    <w:widowControl/>
                    <w:spacing w:line="240" w:lineRule="auto"/>
                    <w:ind w:firstLine="0" w:firstLineChars="0"/>
                    <w:jc w:val="center"/>
                    <w:textAlignment w:val="center"/>
                    <w:rPr>
                      <w:rFonts w:cs="Times New Roman"/>
                      <w:sz w:val="18"/>
                    </w:rPr>
                  </w:pPr>
                  <w:r>
                    <w:rPr>
                      <w:rFonts w:hint="eastAsia" w:cs="Times New Roman"/>
                      <w:sz w:val="18"/>
                    </w:rPr>
                    <w:t>新增用电量</w:t>
                  </w:r>
                </w:p>
              </w:tc>
            </w:tr>
            <w:tr w14:paraId="6D8B520B">
              <w:trPr>
                <w:trHeight w:val="340" w:hRule="atLeast"/>
                <w:jc w:val="center"/>
              </w:trPr>
              <w:tc>
                <w:tcPr>
                  <w:tcW w:w="400" w:type="pct"/>
                  <w:vMerge w:val="continue"/>
                  <w:vAlign w:val="center"/>
                </w:tcPr>
                <w:p w14:paraId="2DB50C10">
                  <w:pPr>
                    <w:widowControl/>
                    <w:spacing w:line="240" w:lineRule="auto"/>
                    <w:ind w:firstLine="0" w:firstLineChars="0"/>
                    <w:jc w:val="center"/>
                    <w:rPr>
                      <w:rFonts w:cs="Times New Roman"/>
                      <w:sz w:val="18"/>
                    </w:rPr>
                  </w:pPr>
                </w:p>
              </w:tc>
              <w:tc>
                <w:tcPr>
                  <w:tcW w:w="878" w:type="pct"/>
                  <w:vAlign w:val="center"/>
                </w:tcPr>
                <w:p w14:paraId="159C858D">
                  <w:pPr>
                    <w:widowControl/>
                    <w:spacing w:line="240" w:lineRule="auto"/>
                    <w:ind w:firstLine="0" w:firstLineChars="0"/>
                    <w:jc w:val="center"/>
                    <w:textAlignment w:val="center"/>
                    <w:rPr>
                      <w:rFonts w:cs="Times New Roman"/>
                      <w:sz w:val="18"/>
                    </w:rPr>
                  </w:pPr>
                  <w:r>
                    <w:rPr>
                      <w:rFonts w:cs="Times New Roman"/>
                      <w:kern w:val="0"/>
                      <w:sz w:val="18"/>
                      <w:lang w:bidi="ar"/>
                    </w:rPr>
                    <w:t>供热</w:t>
                  </w:r>
                </w:p>
              </w:tc>
              <w:tc>
                <w:tcPr>
                  <w:tcW w:w="2619" w:type="pct"/>
                  <w:vAlign w:val="center"/>
                </w:tcPr>
                <w:p w14:paraId="30BC2D7E">
                  <w:pPr>
                    <w:widowControl/>
                    <w:spacing w:line="240" w:lineRule="auto"/>
                    <w:ind w:firstLine="0" w:firstLineChars="0"/>
                    <w:textAlignment w:val="center"/>
                    <w:rPr>
                      <w:rFonts w:cs="Times New Roman"/>
                      <w:sz w:val="18"/>
                    </w:rPr>
                  </w:pPr>
                  <w:r>
                    <w:rPr>
                      <w:rFonts w:hint="eastAsia" w:cs="Times New Roman"/>
                      <w:sz w:val="18"/>
                    </w:rPr>
                    <w:t>本</w:t>
                  </w:r>
                  <w:r>
                    <w:rPr>
                      <w:rFonts w:cs="Times New Roman"/>
                      <w:sz w:val="18"/>
                    </w:rPr>
                    <w:t>项目</w:t>
                  </w:r>
                  <w:r>
                    <w:rPr>
                      <w:rFonts w:cs="Times New Roman"/>
                      <w:kern w:val="0"/>
                      <w:sz w:val="18"/>
                      <w:lang w:bidi="ar"/>
                    </w:rPr>
                    <w:t>均采用电加热，不使用其他能源</w:t>
                  </w:r>
                  <w:r>
                    <w:rPr>
                      <w:rFonts w:hint="eastAsia" w:cs="Times New Roman"/>
                      <w:kern w:val="0"/>
                      <w:sz w:val="18"/>
                      <w:lang w:bidi="ar"/>
                    </w:rPr>
                    <w:t>。</w:t>
                  </w:r>
                </w:p>
              </w:tc>
              <w:tc>
                <w:tcPr>
                  <w:tcW w:w="1100" w:type="pct"/>
                  <w:vAlign w:val="center"/>
                </w:tcPr>
                <w:p w14:paraId="3E2A0840">
                  <w:pPr>
                    <w:widowControl/>
                    <w:spacing w:line="240" w:lineRule="auto"/>
                    <w:ind w:firstLine="0" w:firstLineChars="0"/>
                    <w:jc w:val="center"/>
                    <w:textAlignment w:val="center"/>
                    <w:rPr>
                      <w:rFonts w:cs="Times New Roman"/>
                      <w:sz w:val="18"/>
                    </w:rPr>
                  </w:pPr>
                  <w:r>
                    <w:rPr>
                      <w:rFonts w:hint="eastAsia" w:cs="Times New Roman"/>
                      <w:sz w:val="18"/>
                    </w:rPr>
                    <w:t>依托现有</w:t>
                  </w:r>
                </w:p>
              </w:tc>
            </w:tr>
            <w:tr w14:paraId="6BDFC217">
              <w:trPr>
                <w:trHeight w:val="340" w:hRule="atLeast"/>
                <w:jc w:val="center"/>
              </w:trPr>
              <w:tc>
                <w:tcPr>
                  <w:tcW w:w="400" w:type="pct"/>
                  <w:vMerge w:val="continue"/>
                  <w:vAlign w:val="center"/>
                </w:tcPr>
                <w:p w14:paraId="14D76530">
                  <w:pPr>
                    <w:widowControl/>
                    <w:spacing w:line="240" w:lineRule="auto"/>
                    <w:ind w:firstLine="0" w:firstLineChars="0"/>
                    <w:jc w:val="center"/>
                    <w:rPr>
                      <w:rFonts w:cs="Times New Roman"/>
                      <w:sz w:val="18"/>
                    </w:rPr>
                  </w:pPr>
                </w:p>
              </w:tc>
              <w:tc>
                <w:tcPr>
                  <w:tcW w:w="878" w:type="pct"/>
                  <w:vAlign w:val="center"/>
                </w:tcPr>
                <w:p w14:paraId="26519936">
                  <w:pPr>
                    <w:widowControl/>
                    <w:spacing w:line="240" w:lineRule="auto"/>
                    <w:ind w:firstLine="0" w:firstLineChars="0"/>
                    <w:jc w:val="center"/>
                    <w:textAlignment w:val="center"/>
                    <w:rPr>
                      <w:rFonts w:cs="Times New Roman"/>
                      <w:kern w:val="0"/>
                      <w:sz w:val="18"/>
                      <w:lang w:bidi="ar"/>
                    </w:rPr>
                  </w:pPr>
                  <w:r>
                    <w:rPr>
                      <w:rFonts w:hint="eastAsia" w:cs="Times New Roman"/>
                      <w:kern w:val="0"/>
                      <w:sz w:val="18"/>
                      <w:lang w:bidi="ar"/>
                    </w:rPr>
                    <w:t>循环冷却系统</w:t>
                  </w:r>
                </w:p>
              </w:tc>
              <w:tc>
                <w:tcPr>
                  <w:tcW w:w="2619" w:type="pct"/>
                  <w:vAlign w:val="center"/>
                </w:tcPr>
                <w:p w14:paraId="236F7DFE">
                  <w:pPr>
                    <w:widowControl/>
                    <w:spacing w:line="240" w:lineRule="auto"/>
                    <w:ind w:firstLine="0" w:firstLineChars="0"/>
                    <w:textAlignment w:val="center"/>
                    <w:rPr>
                      <w:rFonts w:cs="Times New Roman"/>
                      <w:kern w:val="0"/>
                      <w:sz w:val="18"/>
                      <w:lang w:bidi="ar"/>
                    </w:rPr>
                  </w:pPr>
                  <w:r>
                    <w:rPr>
                      <w:rFonts w:hint="eastAsia" w:cs="Times New Roman"/>
                      <w:kern w:val="0"/>
                      <w:sz w:val="18"/>
                      <w:lang w:bidi="ar"/>
                    </w:rPr>
                    <w:t>现有挤出线内设置1套循环冷却系统，配置1座2t/h的冷却水塔。</w:t>
                  </w:r>
                </w:p>
              </w:tc>
              <w:tc>
                <w:tcPr>
                  <w:tcW w:w="1100" w:type="pct"/>
                  <w:vAlign w:val="center"/>
                </w:tcPr>
                <w:p w14:paraId="074136CB">
                  <w:pPr>
                    <w:widowControl/>
                    <w:spacing w:line="240" w:lineRule="auto"/>
                    <w:ind w:firstLine="0" w:firstLineChars="0"/>
                    <w:jc w:val="center"/>
                    <w:textAlignment w:val="center"/>
                    <w:rPr>
                      <w:rFonts w:cs="Times New Roman"/>
                      <w:kern w:val="0"/>
                      <w:sz w:val="18"/>
                      <w:lang w:bidi="ar"/>
                    </w:rPr>
                  </w:pPr>
                  <w:r>
                    <w:rPr>
                      <w:rFonts w:hint="eastAsia" w:cs="Times New Roman"/>
                      <w:sz w:val="18"/>
                    </w:rPr>
                    <w:t>更新</w:t>
                  </w:r>
                  <w:r>
                    <w:rPr>
                      <w:rFonts w:hint="eastAsia" w:cs="Times New Roman"/>
                      <w:kern w:val="0"/>
                      <w:sz w:val="18"/>
                      <w:lang w:bidi="ar"/>
                    </w:rPr>
                    <w:t>冷却水塔设备，循环量不变。</w:t>
                  </w:r>
                </w:p>
              </w:tc>
            </w:tr>
            <w:tr w14:paraId="08E78ABA">
              <w:trPr>
                <w:trHeight w:val="340" w:hRule="atLeast"/>
                <w:jc w:val="center"/>
              </w:trPr>
              <w:tc>
                <w:tcPr>
                  <w:tcW w:w="400" w:type="pct"/>
                  <w:vMerge w:val="continue"/>
                  <w:vAlign w:val="center"/>
                </w:tcPr>
                <w:p w14:paraId="0225DCFA">
                  <w:pPr>
                    <w:widowControl/>
                    <w:spacing w:line="240" w:lineRule="auto"/>
                    <w:ind w:firstLine="0" w:firstLineChars="0"/>
                    <w:jc w:val="center"/>
                    <w:rPr>
                      <w:rFonts w:cs="Times New Roman"/>
                      <w:sz w:val="18"/>
                    </w:rPr>
                  </w:pPr>
                </w:p>
              </w:tc>
              <w:tc>
                <w:tcPr>
                  <w:tcW w:w="878" w:type="pct"/>
                  <w:vAlign w:val="center"/>
                </w:tcPr>
                <w:p w14:paraId="019B169A">
                  <w:pPr>
                    <w:widowControl/>
                    <w:spacing w:line="240" w:lineRule="auto"/>
                    <w:ind w:firstLine="0" w:firstLineChars="0"/>
                    <w:jc w:val="center"/>
                    <w:textAlignment w:val="center"/>
                    <w:rPr>
                      <w:rFonts w:cs="Times New Roman"/>
                      <w:kern w:val="0"/>
                      <w:sz w:val="18"/>
                      <w:lang w:bidi="ar"/>
                    </w:rPr>
                  </w:pPr>
                  <w:r>
                    <w:rPr>
                      <w:rFonts w:hint="eastAsia" w:cs="Times New Roman"/>
                      <w:kern w:val="0"/>
                      <w:sz w:val="18"/>
                      <w:lang w:bidi="ar"/>
                    </w:rPr>
                    <w:t>空压系统</w:t>
                  </w:r>
                </w:p>
              </w:tc>
              <w:tc>
                <w:tcPr>
                  <w:tcW w:w="2619" w:type="pct"/>
                  <w:vAlign w:val="center"/>
                </w:tcPr>
                <w:p w14:paraId="35BEB2C4">
                  <w:pPr>
                    <w:widowControl/>
                    <w:spacing w:line="240" w:lineRule="auto"/>
                    <w:ind w:firstLine="0" w:firstLineChars="0"/>
                    <w:textAlignment w:val="center"/>
                    <w:rPr>
                      <w:rFonts w:cs="Times New Roman"/>
                      <w:kern w:val="0"/>
                      <w:sz w:val="18"/>
                      <w:lang w:bidi="ar"/>
                    </w:rPr>
                  </w:pPr>
                  <w:r>
                    <w:rPr>
                      <w:rFonts w:hint="eastAsia" w:cs="Times New Roman"/>
                      <w:kern w:val="0"/>
                      <w:sz w:val="18"/>
                      <w:lang w:bidi="ar"/>
                    </w:rPr>
                    <w:t>全厂</w:t>
                  </w:r>
                  <w:r>
                    <w:rPr>
                      <w:rFonts w:cs="Times New Roman"/>
                      <w:kern w:val="0"/>
                      <w:sz w:val="18"/>
                      <w:lang w:bidi="ar"/>
                    </w:rPr>
                    <w:t>配置3台空压机进行供气，排气压力0.8MPa，合计排气量</w:t>
                  </w:r>
                  <w:r>
                    <w:rPr>
                      <w:rFonts w:hint="eastAsia" w:cs="Times New Roman"/>
                      <w:kern w:val="0"/>
                      <w:sz w:val="18"/>
                      <w:lang w:bidi="ar"/>
                    </w:rPr>
                    <w:t>10</w:t>
                  </w:r>
                  <w:r>
                    <w:rPr>
                      <w:rFonts w:cs="Times New Roman"/>
                      <w:kern w:val="0"/>
                      <w:sz w:val="18"/>
                      <w:lang w:bidi="ar"/>
                    </w:rPr>
                    <w:t>m</w:t>
                  </w:r>
                  <w:r>
                    <w:rPr>
                      <w:rFonts w:cs="Times New Roman"/>
                      <w:kern w:val="0"/>
                      <w:sz w:val="18"/>
                      <w:vertAlign w:val="superscript"/>
                      <w:lang w:bidi="ar"/>
                    </w:rPr>
                    <w:t>3</w:t>
                  </w:r>
                  <w:r>
                    <w:rPr>
                      <w:rFonts w:cs="Times New Roman"/>
                      <w:kern w:val="0"/>
                      <w:sz w:val="18"/>
                      <w:lang w:bidi="ar"/>
                    </w:rPr>
                    <w:t>/min</w:t>
                  </w:r>
                  <w:r>
                    <w:rPr>
                      <w:rFonts w:hint="eastAsia" w:cs="Times New Roman"/>
                      <w:kern w:val="0"/>
                      <w:sz w:val="18"/>
                      <w:lang w:bidi="ar"/>
                    </w:rPr>
                    <w:t>。</w:t>
                  </w:r>
                </w:p>
              </w:tc>
              <w:tc>
                <w:tcPr>
                  <w:tcW w:w="1100" w:type="pct"/>
                  <w:vAlign w:val="center"/>
                </w:tcPr>
                <w:p w14:paraId="6FDCE91A">
                  <w:pPr>
                    <w:widowControl/>
                    <w:spacing w:line="240" w:lineRule="auto"/>
                    <w:ind w:firstLine="0" w:firstLineChars="0"/>
                    <w:jc w:val="center"/>
                    <w:textAlignment w:val="center"/>
                    <w:rPr>
                      <w:rFonts w:cs="Times New Roman"/>
                      <w:kern w:val="0"/>
                      <w:sz w:val="18"/>
                      <w:lang w:bidi="ar"/>
                    </w:rPr>
                  </w:pPr>
                  <w:r>
                    <w:rPr>
                      <w:rFonts w:hint="eastAsia" w:cs="Times New Roman"/>
                      <w:sz w:val="18"/>
                    </w:rPr>
                    <w:t>维持现状</w:t>
                  </w:r>
                </w:p>
              </w:tc>
            </w:tr>
            <w:tr w14:paraId="50C37B97">
              <w:trPr>
                <w:trHeight w:val="340" w:hRule="atLeast"/>
                <w:jc w:val="center"/>
              </w:trPr>
              <w:tc>
                <w:tcPr>
                  <w:tcW w:w="400" w:type="pct"/>
                  <w:vAlign w:val="center"/>
                </w:tcPr>
                <w:p w14:paraId="35C1B3D9">
                  <w:pPr>
                    <w:widowControl/>
                    <w:spacing w:line="240" w:lineRule="auto"/>
                    <w:ind w:firstLine="0" w:firstLineChars="0"/>
                    <w:jc w:val="center"/>
                    <w:textAlignment w:val="center"/>
                    <w:rPr>
                      <w:rFonts w:cs="Times New Roman"/>
                      <w:sz w:val="18"/>
                    </w:rPr>
                  </w:pPr>
                  <w:r>
                    <w:rPr>
                      <w:rFonts w:cs="Times New Roman"/>
                      <w:kern w:val="0"/>
                      <w:sz w:val="18"/>
                      <w:lang w:bidi="ar"/>
                    </w:rPr>
                    <w:t>储运工程</w:t>
                  </w:r>
                </w:p>
              </w:tc>
              <w:tc>
                <w:tcPr>
                  <w:tcW w:w="878" w:type="pct"/>
                  <w:vAlign w:val="center"/>
                </w:tcPr>
                <w:p w14:paraId="631D6119">
                  <w:pPr>
                    <w:widowControl/>
                    <w:spacing w:line="240" w:lineRule="auto"/>
                    <w:ind w:firstLine="0" w:firstLineChars="0"/>
                    <w:jc w:val="center"/>
                    <w:textAlignment w:val="center"/>
                    <w:rPr>
                      <w:rFonts w:cs="Times New Roman"/>
                      <w:sz w:val="18"/>
                    </w:rPr>
                  </w:pPr>
                  <w:r>
                    <w:rPr>
                      <w:rFonts w:hint="eastAsia" w:cs="Times New Roman"/>
                      <w:kern w:val="0"/>
                      <w:sz w:val="18"/>
                      <w:lang w:bidi="ar"/>
                    </w:rPr>
                    <w:t>仓库</w:t>
                  </w:r>
                </w:p>
              </w:tc>
              <w:tc>
                <w:tcPr>
                  <w:tcW w:w="2619" w:type="pct"/>
                  <w:vAlign w:val="center"/>
                </w:tcPr>
                <w:p w14:paraId="7922F10B">
                  <w:pPr>
                    <w:widowControl/>
                    <w:spacing w:line="240" w:lineRule="auto"/>
                    <w:ind w:firstLine="0" w:firstLineChars="0"/>
                    <w:textAlignment w:val="center"/>
                    <w:rPr>
                      <w:rFonts w:cs="Times New Roman"/>
                      <w:sz w:val="18"/>
                    </w:rPr>
                  </w:pPr>
                  <w:r>
                    <w:rPr>
                      <w:rFonts w:hint="eastAsia" w:cs="Times New Roman"/>
                      <w:sz w:val="18"/>
                    </w:rPr>
                    <w:t>占地面积约为1600m</w:t>
                  </w:r>
                  <w:r>
                    <w:rPr>
                      <w:rFonts w:hint="eastAsia" w:cs="Times New Roman"/>
                      <w:sz w:val="18"/>
                      <w:vertAlign w:val="superscript"/>
                    </w:rPr>
                    <w:t>2</w:t>
                  </w:r>
                  <w:r>
                    <w:rPr>
                      <w:rFonts w:hint="eastAsia" w:cs="Times New Roman"/>
                      <w:sz w:val="18"/>
                    </w:rPr>
                    <w:t>，用于主要原辅材料、成品暂存。</w:t>
                  </w:r>
                </w:p>
              </w:tc>
              <w:tc>
                <w:tcPr>
                  <w:tcW w:w="1100" w:type="pct"/>
                  <w:vAlign w:val="center"/>
                </w:tcPr>
                <w:p w14:paraId="4C862197">
                  <w:pPr>
                    <w:widowControl/>
                    <w:spacing w:line="240" w:lineRule="auto"/>
                    <w:ind w:firstLine="0" w:firstLineChars="0"/>
                    <w:jc w:val="center"/>
                    <w:textAlignment w:val="center"/>
                    <w:rPr>
                      <w:rFonts w:cs="Times New Roman"/>
                      <w:sz w:val="18"/>
                    </w:rPr>
                  </w:pPr>
                  <w:r>
                    <w:rPr>
                      <w:rFonts w:hint="eastAsia" w:cs="Times New Roman"/>
                      <w:sz w:val="18"/>
                    </w:rPr>
                    <w:t>维持现状</w:t>
                  </w:r>
                </w:p>
              </w:tc>
            </w:tr>
            <w:tr w14:paraId="5E407DD1">
              <w:trPr>
                <w:trHeight w:val="340" w:hRule="atLeast"/>
                <w:jc w:val="center"/>
              </w:trPr>
              <w:tc>
                <w:tcPr>
                  <w:tcW w:w="400" w:type="pct"/>
                  <w:vMerge w:val="restart"/>
                  <w:vAlign w:val="center"/>
                </w:tcPr>
                <w:p w14:paraId="7669329C">
                  <w:pPr>
                    <w:widowControl/>
                    <w:spacing w:line="240" w:lineRule="auto"/>
                    <w:ind w:firstLine="0" w:firstLineChars="0"/>
                    <w:jc w:val="center"/>
                    <w:textAlignment w:val="center"/>
                    <w:rPr>
                      <w:rFonts w:cs="Times New Roman"/>
                      <w:sz w:val="18"/>
                    </w:rPr>
                  </w:pPr>
                  <w:r>
                    <w:rPr>
                      <w:rFonts w:cs="Times New Roman"/>
                      <w:kern w:val="0"/>
                      <w:sz w:val="18"/>
                      <w:lang w:bidi="ar"/>
                    </w:rPr>
                    <w:t>环保工程</w:t>
                  </w:r>
                </w:p>
              </w:tc>
              <w:tc>
                <w:tcPr>
                  <w:tcW w:w="878" w:type="pct"/>
                  <w:vAlign w:val="center"/>
                </w:tcPr>
                <w:p w14:paraId="3CC773F2">
                  <w:pPr>
                    <w:widowControl/>
                    <w:spacing w:line="240" w:lineRule="auto"/>
                    <w:ind w:firstLine="0" w:firstLineChars="0"/>
                    <w:jc w:val="center"/>
                    <w:textAlignment w:val="center"/>
                    <w:rPr>
                      <w:rFonts w:cs="Times New Roman"/>
                      <w:sz w:val="18"/>
                    </w:rPr>
                  </w:pPr>
                  <w:r>
                    <w:rPr>
                      <w:rFonts w:cs="Times New Roman"/>
                      <w:kern w:val="0"/>
                      <w:sz w:val="18"/>
                      <w:lang w:bidi="ar"/>
                    </w:rPr>
                    <w:t>废水</w:t>
                  </w:r>
                </w:p>
              </w:tc>
              <w:tc>
                <w:tcPr>
                  <w:tcW w:w="2619" w:type="pct"/>
                  <w:vAlign w:val="center"/>
                </w:tcPr>
                <w:p w14:paraId="4AB7ECB2">
                  <w:pPr>
                    <w:widowControl/>
                    <w:spacing w:line="240" w:lineRule="auto"/>
                    <w:ind w:firstLine="0" w:firstLineChars="0"/>
                    <w:textAlignment w:val="center"/>
                    <w:rPr>
                      <w:rFonts w:cs="Times New Roman"/>
                      <w:sz w:val="18"/>
                    </w:rPr>
                  </w:pPr>
                  <w:r>
                    <w:rPr>
                      <w:rFonts w:cs="Times New Roman"/>
                      <w:sz w:val="18"/>
                    </w:rPr>
                    <w:t>本项目员工的生活污水经化粪池处理后纳入市政污水管网，经良渚污水处理厂集中处理后外排至良渚港</w:t>
                  </w:r>
                  <w:r>
                    <w:rPr>
                      <w:rFonts w:hint="eastAsia" w:cs="Times New Roman"/>
                      <w:sz w:val="18"/>
                    </w:rPr>
                    <w:t>，废气喷淋废水、循环冷却水定期补充，不外排。本项目全厂生活污水排放量约为1098t/a。</w:t>
                  </w:r>
                </w:p>
              </w:tc>
              <w:tc>
                <w:tcPr>
                  <w:tcW w:w="1100" w:type="pct"/>
                  <w:vAlign w:val="center"/>
                </w:tcPr>
                <w:p w14:paraId="0D004414">
                  <w:pPr>
                    <w:widowControl/>
                    <w:spacing w:line="240" w:lineRule="auto"/>
                    <w:ind w:firstLine="0" w:firstLineChars="0"/>
                    <w:jc w:val="center"/>
                    <w:textAlignment w:val="center"/>
                    <w:rPr>
                      <w:rFonts w:cs="Times New Roman"/>
                      <w:sz w:val="18"/>
                    </w:rPr>
                  </w:pPr>
                  <w:r>
                    <w:rPr>
                      <w:rFonts w:hint="eastAsia" w:cs="Times New Roman"/>
                      <w:sz w:val="18"/>
                    </w:rPr>
                    <w:t>本项目不新增废水</w:t>
                  </w:r>
                </w:p>
              </w:tc>
            </w:tr>
            <w:tr w14:paraId="06E463DA">
              <w:trPr>
                <w:trHeight w:val="340" w:hRule="atLeast"/>
                <w:jc w:val="center"/>
              </w:trPr>
              <w:tc>
                <w:tcPr>
                  <w:tcW w:w="400" w:type="pct"/>
                  <w:vMerge w:val="continue"/>
                  <w:vAlign w:val="center"/>
                </w:tcPr>
                <w:p w14:paraId="6B27B0DC">
                  <w:pPr>
                    <w:widowControl/>
                    <w:spacing w:line="240" w:lineRule="auto"/>
                    <w:ind w:firstLine="0" w:firstLineChars="0"/>
                    <w:jc w:val="center"/>
                    <w:rPr>
                      <w:rFonts w:cs="Times New Roman"/>
                      <w:sz w:val="18"/>
                    </w:rPr>
                  </w:pPr>
                </w:p>
              </w:tc>
              <w:tc>
                <w:tcPr>
                  <w:tcW w:w="878" w:type="pct"/>
                  <w:vMerge w:val="restart"/>
                  <w:vAlign w:val="center"/>
                </w:tcPr>
                <w:p w14:paraId="6CB8E460">
                  <w:pPr>
                    <w:widowControl/>
                    <w:spacing w:line="240" w:lineRule="auto"/>
                    <w:ind w:firstLine="0" w:firstLineChars="0"/>
                    <w:jc w:val="center"/>
                    <w:textAlignment w:val="center"/>
                    <w:rPr>
                      <w:rFonts w:cs="Times New Roman"/>
                      <w:kern w:val="0"/>
                      <w:sz w:val="18"/>
                      <w:lang w:bidi="ar"/>
                    </w:rPr>
                  </w:pPr>
                  <w:r>
                    <w:rPr>
                      <w:rFonts w:cs="Times New Roman"/>
                      <w:kern w:val="0"/>
                      <w:sz w:val="18"/>
                      <w:lang w:bidi="ar"/>
                    </w:rPr>
                    <w:t>废气</w:t>
                  </w:r>
                </w:p>
              </w:tc>
              <w:tc>
                <w:tcPr>
                  <w:tcW w:w="2619" w:type="pct"/>
                  <w:vAlign w:val="center"/>
                </w:tcPr>
                <w:p w14:paraId="0C1E2BD7">
                  <w:pPr>
                    <w:widowControl/>
                    <w:spacing w:line="240" w:lineRule="auto"/>
                    <w:ind w:firstLine="0" w:firstLineChars="0"/>
                    <w:textAlignment w:val="center"/>
                    <w:rPr>
                      <w:rFonts w:cs="Times New Roman"/>
                      <w:sz w:val="18"/>
                    </w:rPr>
                  </w:pPr>
                  <w:r>
                    <w:rPr>
                      <w:rFonts w:hint="eastAsia" w:cs="Times New Roman"/>
                      <w:sz w:val="18"/>
                    </w:rPr>
                    <w:t>挤出、注塑</w:t>
                  </w:r>
                  <w:r>
                    <w:rPr>
                      <w:rFonts w:cs="Times New Roman"/>
                      <w:sz w:val="18"/>
                    </w:rPr>
                    <w:t>过程中产生的</w:t>
                  </w:r>
                  <w:r>
                    <w:rPr>
                      <w:rFonts w:hint="eastAsia" w:cs="Times New Roman"/>
                      <w:sz w:val="18"/>
                    </w:rPr>
                    <w:t>有机废气</w:t>
                  </w:r>
                  <w:r>
                    <w:rPr>
                      <w:rFonts w:cs="Times New Roman"/>
                      <w:sz w:val="18"/>
                    </w:rPr>
                    <w:t>经</w:t>
                  </w:r>
                  <w:r>
                    <w:rPr>
                      <w:rFonts w:hint="eastAsia" w:cs="Times New Roman"/>
                      <w:sz w:val="18"/>
                    </w:rPr>
                    <w:t>集气罩收集后，进入“水喷淋+水雾过滤器+活性炭吸附”</w:t>
                  </w:r>
                  <w:r>
                    <w:rPr>
                      <w:rFonts w:cs="Times New Roman"/>
                      <w:sz w:val="18"/>
                    </w:rPr>
                    <w:t>处理，通过1根</w:t>
                  </w:r>
                  <w:r>
                    <w:rPr>
                      <w:rFonts w:hint="eastAsia" w:cs="Times New Roman"/>
                      <w:sz w:val="18"/>
                    </w:rPr>
                    <w:t>15</w:t>
                  </w:r>
                  <w:r>
                    <w:rPr>
                      <w:rFonts w:cs="Times New Roman"/>
                      <w:sz w:val="18"/>
                    </w:rPr>
                    <w:t>m高排气筒（DA00</w:t>
                  </w:r>
                  <w:r>
                    <w:rPr>
                      <w:rFonts w:hint="eastAsia" w:cs="Times New Roman"/>
                      <w:sz w:val="18"/>
                    </w:rPr>
                    <w:t>1</w:t>
                  </w:r>
                  <w:r>
                    <w:rPr>
                      <w:rFonts w:cs="Times New Roman"/>
                      <w:sz w:val="18"/>
                    </w:rPr>
                    <w:t>）排放</w:t>
                  </w:r>
                  <w:r>
                    <w:rPr>
                      <w:rFonts w:hint="eastAsia" w:cs="Times New Roman"/>
                      <w:sz w:val="18"/>
                    </w:rPr>
                    <w:t>。</w:t>
                  </w:r>
                </w:p>
              </w:tc>
              <w:tc>
                <w:tcPr>
                  <w:tcW w:w="1100" w:type="pct"/>
                  <w:vAlign w:val="center"/>
                </w:tcPr>
                <w:p w14:paraId="7C849F68">
                  <w:pPr>
                    <w:widowControl/>
                    <w:spacing w:line="240" w:lineRule="auto"/>
                    <w:ind w:firstLine="0" w:firstLineChars="0"/>
                    <w:jc w:val="center"/>
                    <w:textAlignment w:val="center"/>
                    <w:rPr>
                      <w:rFonts w:cs="Times New Roman"/>
                      <w:sz w:val="18"/>
                    </w:rPr>
                  </w:pPr>
                  <w:r>
                    <w:rPr>
                      <w:rFonts w:hint="eastAsia" w:cs="Times New Roman"/>
                      <w:sz w:val="18"/>
                    </w:rPr>
                    <w:t>依托现有，配置风量</w:t>
                  </w:r>
                  <w:r>
                    <w:rPr>
                      <w:rFonts w:hint="eastAsia" w:cs="Times New Roman"/>
                      <w:sz w:val="18"/>
                      <w:lang w:val="en-US" w:eastAsia="zh-CN"/>
                    </w:rPr>
                    <w:t>24</w:t>
                  </w:r>
                  <w:r>
                    <w:rPr>
                      <w:rFonts w:hint="eastAsia" w:cs="Times New Roman"/>
                      <w:sz w:val="18"/>
                    </w:rPr>
                    <w:t>000m</w:t>
                  </w:r>
                  <w:r>
                    <w:rPr>
                      <w:rFonts w:hint="eastAsia" w:cs="Times New Roman"/>
                      <w:sz w:val="18"/>
                      <w:vertAlign w:val="superscript"/>
                    </w:rPr>
                    <w:t>3</w:t>
                  </w:r>
                  <w:r>
                    <w:rPr>
                      <w:rFonts w:hint="eastAsia" w:cs="Times New Roman"/>
                      <w:sz w:val="18"/>
                    </w:rPr>
                    <w:t>/h</w:t>
                  </w:r>
                </w:p>
              </w:tc>
            </w:tr>
            <w:tr w14:paraId="6CC1C408">
              <w:trPr>
                <w:trHeight w:val="340" w:hRule="atLeast"/>
                <w:jc w:val="center"/>
              </w:trPr>
              <w:tc>
                <w:tcPr>
                  <w:tcW w:w="400" w:type="pct"/>
                  <w:vMerge w:val="continue"/>
                  <w:vAlign w:val="center"/>
                </w:tcPr>
                <w:p w14:paraId="02D75A78">
                  <w:pPr>
                    <w:widowControl/>
                    <w:spacing w:line="240" w:lineRule="auto"/>
                    <w:ind w:firstLine="0" w:firstLineChars="0"/>
                    <w:jc w:val="center"/>
                    <w:rPr>
                      <w:rFonts w:cs="Times New Roman"/>
                      <w:sz w:val="18"/>
                    </w:rPr>
                  </w:pPr>
                </w:p>
              </w:tc>
              <w:tc>
                <w:tcPr>
                  <w:tcW w:w="878" w:type="pct"/>
                  <w:vMerge w:val="continue"/>
                  <w:vAlign w:val="center"/>
                </w:tcPr>
                <w:p w14:paraId="1AB670E2">
                  <w:pPr>
                    <w:widowControl/>
                    <w:spacing w:line="240" w:lineRule="auto"/>
                    <w:ind w:firstLine="0" w:firstLineChars="0"/>
                    <w:jc w:val="center"/>
                    <w:textAlignment w:val="center"/>
                    <w:rPr>
                      <w:rFonts w:cs="Times New Roman"/>
                      <w:kern w:val="0"/>
                      <w:sz w:val="18"/>
                      <w:lang w:bidi="ar"/>
                    </w:rPr>
                  </w:pPr>
                </w:p>
              </w:tc>
              <w:tc>
                <w:tcPr>
                  <w:tcW w:w="2619" w:type="pct"/>
                  <w:vAlign w:val="center"/>
                </w:tcPr>
                <w:p w14:paraId="641545EC">
                  <w:pPr>
                    <w:widowControl/>
                    <w:spacing w:line="240" w:lineRule="auto"/>
                    <w:ind w:firstLine="0" w:firstLineChars="0"/>
                    <w:textAlignment w:val="center"/>
                    <w:rPr>
                      <w:rFonts w:cs="Times New Roman"/>
                      <w:sz w:val="18"/>
                    </w:rPr>
                  </w:pPr>
                  <w:r>
                    <w:rPr>
                      <w:rFonts w:hint="eastAsia" w:cs="Times New Roman"/>
                      <w:sz w:val="18"/>
                    </w:rPr>
                    <w:t>投、配料及搅拌</w:t>
                  </w:r>
                  <w:r>
                    <w:rPr>
                      <w:rFonts w:cs="Times New Roman"/>
                      <w:sz w:val="18"/>
                    </w:rPr>
                    <w:t>粉尘经</w:t>
                  </w:r>
                  <w:r>
                    <w:rPr>
                      <w:rFonts w:hint="eastAsia" w:cs="Times New Roman"/>
                      <w:sz w:val="18"/>
                    </w:rPr>
                    <w:t>集气罩收集后，进入脉冲滤筒</w:t>
                  </w:r>
                  <w:r>
                    <w:rPr>
                      <w:rFonts w:cs="Times New Roman"/>
                      <w:sz w:val="18"/>
                    </w:rPr>
                    <w:t>除尘器净化处理，通过1根不低于</w:t>
                  </w:r>
                  <w:r>
                    <w:rPr>
                      <w:rFonts w:hint="eastAsia" w:cs="Times New Roman"/>
                      <w:sz w:val="18"/>
                    </w:rPr>
                    <w:t>15</w:t>
                  </w:r>
                  <w:r>
                    <w:rPr>
                      <w:rFonts w:cs="Times New Roman"/>
                      <w:sz w:val="18"/>
                    </w:rPr>
                    <w:t>m高的排气筒（DA00</w:t>
                  </w:r>
                  <w:r>
                    <w:rPr>
                      <w:rFonts w:hint="eastAsia" w:cs="Times New Roman"/>
                      <w:sz w:val="18"/>
                    </w:rPr>
                    <w:t>2</w:t>
                  </w:r>
                  <w:r>
                    <w:rPr>
                      <w:rFonts w:cs="Times New Roman"/>
                      <w:sz w:val="18"/>
                    </w:rPr>
                    <w:t>）排放</w:t>
                  </w:r>
                  <w:r>
                    <w:rPr>
                      <w:rFonts w:hint="eastAsia" w:cs="Times New Roman"/>
                      <w:sz w:val="18"/>
                    </w:rPr>
                    <w:t>。</w:t>
                  </w:r>
                </w:p>
              </w:tc>
              <w:tc>
                <w:tcPr>
                  <w:tcW w:w="1100" w:type="pct"/>
                  <w:vAlign w:val="center"/>
                </w:tcPr>
                <w:p w14:paraId="1F286BF1">
                  <w:pPr>
                    <w:widowControl/>
                    <w:spacing w:line="240" w:lineRule="auto"/>
                    <w:ind w:firstLine="0" w:firstLineChars="0"/>
                    <w:jc w:val="center"/>
                    <w:textAlignment w:val="center"/>
                    <w:rPr>
                      <w:rFonts w:cs="Times New Roman"/>
                      <w:sz w:val="18"/>
                    </w:rPr>
                  </w:pPr>
                  <w:r>
                    <w:rPr>
                      <w:rFonts w:hint="eastAsia" w:cs="Times New Roman"/>
                      <w:sz w:val="18"/>
                    </w:rPr>
                    <w:t>依托现有，配置风量</w:t>
                  </w:r>
                  <w:r>
                    <w:rPr>
                      <w:rFonts w:hint="eastAsia" w:cs="Times New Roman"/>
                      <w:sz w:val="18"/>
                      <w:lang w:val="en-US" w:eastAsia="zh-CN"/>
                    </w:rPr>
                    <w:t>15</w:t>
                  </w:r>
                  <w:r>
                    <w:rPr>
                      <w:rFonts w:hint="eastAsia" w:cs="Times New Roman"/>
                      <w:sz w:val="18"/>
                    </w:rPr>
                    <w:t>000m</w:t>
                  </w:r>
                  <w:r>
                    <w:rPr>
                      <w:rFonts w:hint="eastAsia" w:cs="Times New Roman"/>
                      <w:sz w:val="18"/>
                      <w:vertAlign w:val="superscript"/>
                    </w:rPr>
                    <w:t>3</w:t>
                  </w:r>
                  <w:r>
                    <w:rPr>
                      <w:rFonts w:hint="eastAsia" w:cs="Times New Roman"/>
                      <w:sz w:val="18"/>
                    </w:rPr>
                    <w:t>/h</w:t>
                  </w:r>
                </w:p>
              </w:tc>
            </w:tr>
            <w:tr w14:paraId="3BA727B5">
              <w:trPr>
                <w:trHeight w:val="340" w:hRule="atLeast"/>
                <w:jc w:val="center"/>
              </w:trPr>
              <w:tc>
                <w:tcPr>
                  <w:tcW w:w="400" w:type="pct"/>
                  <w:vMerge w:val="continue"/>
                  <w:vAlign w:val="center"/>
                </w:tcPr>
                <w:p w14:paraId="608A4BAF">
                  <w:pPr>
                    <w:widowControl/>
                    <w:spacing w:line="240" w:lineRule="auto"/>
                    <w:ind w:firstLine="0" w:firstLineChars="0"/>
                    <w:jc w:val="center"/>
                    <w:rPr>
                      <w:rFonts w:cs="Times New Roman"/>
                      <w:sz w:val="18"/>
                    </w:rPr>
                  </w:pPr>
                </w:p>
              </w:tc>
              <w:tc>
                <w:tcPr>
                  <w:tcW w:w="878" w:type="pct"/>
                  <w:vMerge w:val="continue"/>
                  <w:vAlign w:val="center"/>
                </w:tcPr>
                <w:p w14:paraId="34865E41">
                  <w:pPr>
                    <w:widowControl/>
                    <w:spacing w:line="240" w:lineRule="auto"/>
                    <w:ind w:firstLine="0" w:firstLineChars="0"/>
                    <w:jc w:val="center"/>
                    <w:textAlignment w:val="center"/>
                    <w:rPr>
                      <w:rFonts w:cs="Times New Roman"/>
                      <w:kern w:val="0"/>
                      <w:sz w:val="18"/>
                      <w:lang w:bidi="ar"/>
                    </w:rPr>
                  </w:pPr>
                </w:p>
              </w:tc>
              <w:tc>
                <w:tcPr>
                  <w:tcW w:w="2619" w:type="pct"/>
                  <w:vAlign w:val="center"/>
                </w:tcPr>
                <w:p w14:paraId="21DAA9C0">
                  <w:pPr>
                    <w:widowControl/>
                    <w:spacing w:line="240" w:lineRule="auto"/>
                    <w:ind w:firstLine="0" w:firstLineChars="0"/>
                    <w:jc w:val="both"/>
                    <w:textAlignment w:val="center"/>
                    <w:rPr>
                      <w:rFonts w:cs="Times New Roman"/>
                      <w:sz w:val="18"/>
                    </w:rPr>
                  </w:pPr>
                  <w:r>
                    <w:rPr>
                      <w:rFonts w:hint="eastAsia" w:cs="Times New Roman"/>
                      <w:sz w:val="18"/>
                    </w:rPr>
                    <w:t>食堂油烟经“油烟净化装置”处理后，</w:t>
                  </w:r>
                  <w:r>
                    <w:rPr>
                      <w:rFonts w:cs="Times New Roman"/>
                      <w:sz w:val="18"/>
                    </w:rPr>
                    <w:t>通过1根不低于</w:t>
                  </w:r>
                  <w:r>
                    <w:rPr>
                      <w:rFonts w:hint="eastAsia" w:cs="Times New Roman"/>
                      <w:sz w:val="18"/>
                    </w:rPr>
                    <w:t>15</w:t>
                  </w:r>
                  <w:r>
                    <w:rPr>
                      <w:rFonts w:cs="Times New Roman"/>
                      <w:sz w:val="18"/>
                    </w:rPr>
                    <w:t>m高的排气筒（DA00</w:t>
                  </w:r>
                  <w:r>
                    <w:rPr>
                      <w:rFonts w:hint="eastAsia" w:cs="Times New Roman"/>
                      <w:sz w:val="18"/>
                    </w:rPr>
                    <w:t>3</w:t>
                  </w:r>
                  <w:r>
                    <w:rPr>
                      <w:rFonts w:cs="Times New Roman"/>
                      <w:sz w:val="18"/>
                    </w:rPr>
                    <w:t>）排放</w:t>
                  </w:r>
                  <w:r>
                    <w:rPr>
                      <w:rFonts w:hint="eastAsia" w:cs="Times New Roman"/>
                      <w:sz w:val="18"/>
                    </w:rPr>
                    <w:t>。</w:t>
                  </w:r>
                </w:p>
              </w:tc>
              <w:tc>
                <w:tcPr>
                  <w:tcW w:w="1100" w:type="pct"/>
                  <w:vAlign w:val="center"/>
                </w:tcPr>
                <w:p w14:paraId="5CAEDED3">
                  <w:pPr>
                    <w:widowControl/>
                    <w:spacing w:line="240" w:lineRule="auto"/>
                    <w:ind w:firstLine="0" w:firstLineChars="0"/>
                    <w:jc w:val="center"/>
                    <w:textAlignment w:val="center"/>
                    <w:rPr>
                      <w:rFonts w:cs="Times New Roman"/>
                      <w:sz w:val="18"/>
                      <w:highlight w:val="yellow"/>
                    </w:rPr>
                  </w:pPr>
                  <w:r>
                    <w:rPr>
                      <w:rFonts w:hint="eastAsia" w:cs="Times New Roman"/>
                      <w:sz w:val="18"/>
                    </w:rPr>
                    <w:t>维持现状</w:t>
                  </w:r>
                </w:p>
              </w:tc>
            </w:tr>
            <w:tr w14:paraId="523DDD25">
              <w:trPr>
                <w:trHeight w:val="340" w:hRule="atLeast"/>
                <w:jc w:val="center"/>
              </w:trPr>
              <w:tc>
                <w:tcPr>
                  <w:tcW w:w="400" w:type="pct"/>
                  <w:vMerge w:val="continue"/>
                  <w:vAlign w:val="center"/>
                </w:tcPr>
                <w:p w14:paraId="16AB298B">
                  <w:pPr>
                    <w:widowControl/>
                    <w:spacing w:line="240" w:lineRule="auto"/>
                    <w:ind w:firstLine="0" w:firstLineChars="0"/>
                    <w:jc w:val="center"/>
                    <w:rPr>
                      <w:rFonts w:cs="Times New Roman"/>
                      <w:sz w:val="18"/>
                    </w:rPr>
                  </w:pPr>
                </w:p>
              </w:tc>
              <w:tc>
                <w:tcPr>
                  <w:tcW w:w="878" w:type="pct"/>
                  <w:vMerge w:val="restart"/>
                  <w:vAlign w:val="center"/>
                </w:tcPr>
                <w:p w14:paraId="3F65645B">
                  <w:pPr>
                    <w:widowControl/>
                    <w:spacing w:line="240" w:lineRule="auto"/>
                    <w:ind w:firstLine="0" w:firstLineChars="0"/>
                    <w:jc w:val="center"/>
                    <w:textAlignment w:val="center"/>
                    <w:rPr>
                      <w:rFonts w:cs="Times New Roman"/>
                      <w:sz w:val="18"/>
                    </w:rPr>
                  </w:pPr>
                  <w:r>
                    <w:rPr>
                      <w:rFonts w:cs="Times New Roman"/>
                      <w:kern w:val="0"/>
                      <w:sz w:val="18"/>
                      <w:lang w:bidi="ar"/>
                    </w:rPr>
                    <w:t>固体废物</w:t>
                  </w:r>
                </w:p>
              </w:tc>
              <w:tc>
                <w:tcPr>
                  <w:tcW w:w="2619" w:type="pct"/>
                  <w:vAlign w:val="center"/>
                </w:tcPr>
                <w:p w14:paraId="2FC7CD01">
                  <w:pPr>
                    <w:widowControl/>
                    <w:spacing w:line="240" w:lineRule="auto"/>
                    <w:ind w:firstLine="0" w:firstLineChars="0"/>
                    <w:jc w:val="both"/>
                    <w:textAlignment w:val="center"/>
                    <w:rPr>
                      <w:rFonts w:cs="Times New Roman"/>
                      <w:sz w:val="18"/>
                    </w:rPr>
                  </w:pPr>
                  <w:r>
                    <w:rPr>
                      <w:rFonts w:cs="Times New Roman"/>
                      <w:sz w:val="18"/>
                    </w:rPr>
                    <w:t>一般固废暂存间位于</w:t>
                  </w:r>
                  <w:r>
                    <w:rPr>
                      <w:rFonts w:hint="eastAsia" w:cs="Times New Roman"/>
                      <w:sz w:val="18"/>
                    </w:rPr>
                    <w:t>生产车间内部</w:t>
                  </w:r>
                  <w:r>
                    <w:rPr>
                      <w:rFonts w:cs="Times New Roman"/>
                      <w:sz w:val="18"/>
                    </w:rPr>
                    <w:t>，占地面积为</w:t>
                  </w:r>
                  <w:r>
                    <w:rPr>
                      <w:rFonts w:hint="eastAsia" w:cs="Times New Roman"/>
                      <w:sz w:val="18"/>
                    </w:rPr>
                    <w:t>20</w:t>
                  </w:r>
                  <w:r>
                    <w:rPr>
                      <w:rFonts w:cs="Times New Roman"/>
                      <w:sz w:val="18"/>
                    </w:rPr>
                    <w:t>m</w:t>
                  </w:r>
                  <w:r>
                    <w:rPr>
                      <w:rFonts w:cs="Times New Roman"/>
                      <w:sz w:val="18"/>
                      <w:vertAlign w:val="superscript"/>
                    </w:rPr>
                    <w:t>2</w:t>
                  </w:r>
                </w:p>
              </w:tc>
              <w:tc>
                <w:tcPr>
                  <w:tcW w:w="1100" w:type="pct"/>
                  <w:vAlign w:val="center"/>
                </w:tcPr>
                <w:p w14:paraId="1F105FF4">
                  <w:pPr>
                    <w:widowControl/>
                    <w:spacing w:line="240" w:lineRule="auto"/>
                    <w:ind w:firstLine="0" w:firstLineChars="0"/>
                    <w:jc w:val="center"/>
                    <w:textAlignment w:val="center"/>
                    <w:rPr>
                      <w:rFonts w:cs="Times New Roman"/>
                      <w:sz w:val="18"/>
                      <w:highlight w:val="yellow"/>
                    </w:rPr>
                  </w:pPr>
                  <w:r>
                    <w:rPr>
                      <w:rFonts w:hint="eastAsia" w:cs="Times New Roman"/>
                      <w:sz w:val="18"/>
                    </w:rPr>
                    <w:t>维持现状</w:t>
                  </w:r>
                </w:p>
              </w:tc>
            </w:tr>
            <w:tr w14:paraId="789C2A45">
              <w:trPr>
                <w:trHeight w:val="340" w:hRule="atLeast"/>
                <w:jc w:val="center"/>
              </w:trPr>
              <w:tc>
                <w:tcPr>
                  <w:tcW w:w="400" w:type="pct"/>
                  <w:vMerge w:val="continue"/>
                  <w:vAlign w:val="center"/>
                </w:tcPr>
                <w:p w14:paraId="2A59B58D">
                  <w:pPr>
                    <w:widowControl/>
                    <w:spacing w:line="240" w:lineRule="auto"/>
                    <w:ind w:firstLine="0" w:firstLineChars="0"/>
                    <w:jc w:val="center"/>
                    <w:rPr>
                      <w:rFonts w:cs="Times New Roman"/>
                      <w:sz w:val="18"/>
                    </w:rPr>
                  </w:pPr>
                </w:p>
              </w:tc>
              <w:tc>
                <w:tcPr>
                  <w:tcW w:w="878" w:type="pct"/>
                  <w:vMerge w:val="continue"/>
                  <w:vAlign w:val="center"/>
                </w:tcPr>
                <w:p w14:paraId="4E96A548">
                  <w:pPr>
                    <w:widowControl/>
                    <w:spacing w:line="240" w:lineRule="auto"/>
                    <w:ind w:firstLine="0" w:firstLineChars="0"/>
                    <w:jc w:val="center"/>
                    <w:rPr>
                      <w:rFonts w:cs="Times New Roman"/>
                      <w:sz w:val="18"/>
                    </w:rPr>
                  </w:pPr>
                </w:p>
              </w:tc>
              <w:tc>
                <w:tcPr>
                  <w:tcW w:w="2619" w:type="pct"/>
                  <w:vAlign w:val="center"/>
                </w:tcPr>
                <w:p w14:paraId="044FAACE">
                  <w:pPr>
                    <w:widowControl/>
                    <w:spacing w:line="240" w:lineRule="auto"/>
                    <w:ind w:firstLine="0" w:firstLineChars="0"/>
                    <w:jc w:val="both"/>
                    <w:textAlignment w:val="center"/>
                    <w:rPr>
                      <w:rFonts w:cs="Times New Roman"/>
                      <w:sz w:val="18"/>
                    </w:rPr>
                  </w:pPr>
                  <w:r>
                    <w:rPr>
                      <w:rFonts w:cs="Times New Roman"/>
                      <w:sz w:val="18"/>
                    </w:rPr>
                    <w:t>危险废物暂存间位于</w:t>
                  </w:r>
                  <w:r>
                    <w:rPr>
                      <w:rFonts w:hint="eastAsia" w:cs="Times New Roman"/>
                      <w:sz w:val="18"/>
                    </w:rPr>
                    <w:t>办公楼1层</w:t>
                  </w:r>
                  <w:r>
                    <w:rPr>
                      <w:rFonts w:cs="Times New Roman"/>
                      <w:sz w:val="18"/>
                    </w:rPr>
                    <w:t>，占地面积为10m</w:t>
                  </w:r>
                  <w:r>
                    <w:rPr>
                      <w:rFonts w:cs="Times New Roman"/>
                      <w:sz w:val="18"/>
                      <w:vertAlign w:val="superscript"/>
                    </w:rPr>
                    <w:t>2</w:t>
                  </w:r>
                  <w:r>
                    <w:rPr>
                      <w:rFonts w:hint="eastAsia" w:cs="Times New Roman"/>
                      <w:sz w:val="18"/>
                    </w:rPr>
                    <w:t>。用于厂区内危险废物存放。</w:t>
                  </w:r>
                </w:p>
              </w:tc>
              <w:tc>
                <w:tcPr>
                  <w:tcW w:w="1100" w:type="pct"/>
                  <w:vAlign w:val="center"/>
                </w:tcPr>
                <w:p w14:paraId="7F5846AC">
                  <w:pPr>
                    <w:widowControl/>
                    <w:spacing w:line="240" w:lineRule="auto"/>
                    <w:ind w:firstLine="0" w:firstLineChars="0"/>
                    <w:jc w:val="center"/>
                    <w:textAlignment w:val="center"/>
                    <w:rPr>
                      <w:rFonts w:cs="Times New Roman"/>
                      <w:sz w:val="18"/>
                      <w:highlight w:val="yellow"/>
                    </w:rPr>
                  </w:pPr>
                  <w:r>
                    <w:rPr>
                      <w:rFonts w:hint="eastAsia" w:cs="Times New Roman"/>
                      <w:sz w:val="18"/>
                    </w:rPr>
                    <w:t>维持现状</w:t>
                  </w:r>
                </w:p>
              </w:tc>
            </w:tr>
            <w:tr w14:paraId="700FF826">
              <w:trPr>
                <w:trHeight w:val="340" w:hRule="atLeast"/>
                <w:jc w:val="center"/>
              </w:trPr>
              <w:tc>
                <w:tcPr>
                  <w:tcW w:w="400" w:type="pct"/>
                  <w:vMerge w:val="continue"/>
                  <w:vAlign w:val="center"/>
                </w:tcPr>
                <w:p w14:paraId="1A0E8797">
                  <w:pPr>
                    <w:widowControl/>
                    <w:spacing w:line="240" w:lineRule="auto"/>
                    <w:ind w:firstLine="0" w:firstLineChars="0"/>
                    <w:jc w:val="center"/>
                    <w:rPr>
                      <w:rFonts w:cs="Times New Roman"/>
                      <w:sz w:val="18"/>
                    </w:rPr>
                  </w:pPr>
                </w:p>
              </w:tc>
              <w:tc>
                <w:tcPr>
                  <w:tcW w:w="878" w:type="pct"/>
                  <w:vAlign w:val="center"/>
                </w:tcPr>
                <w:p w14:paraId="3A745C56">
                  <w:pPr>
                    <w:widowControl/>
                    <w:spacing w:line="240" w:lineRule="auto"/>
                    <w:ind w:firstLine="0" w:firstLineChars="0"/>
                    <w:jc w:val="center"/>
                    <w:rPr>
                      <w:rFonts w:cs="Times New Roman"/>
                      <w:sz w:val="18"/>
                    </w:rPr>
                  </w:pPr>
                  <w:r>
                    <w:rPr>
                      <w:rFonts w:hint="eastAsia" w:cs="Times New Roman"/>
                      <w:sz w:val="18"/>
                    </w:rPr>
                    <w:t>环境风险</w:t>
                  </w:r>
                </w:p>
              </w:tc>
              <w:tc>
                <w:tcPr>
                  <w:tcW w:w="2619" w:type="pct"/>
                  <w:vAlign w:val="center"/>
                </w:tcPr>
                <w:p w14:paraId="1D0716BA">
                  <w:pPr>
                    <w:widowControl/>
                    <w:spacing w:line="240" w:lineRule="auto"/>
                    <w:ind w:firstLine="0" w:firstLineChars="0"/>
                    <w:jc w:val="both"/>
                    <w:textAlignment w:val="center"/>
                    <w:rPr>
                      <w:rFonts w:cs="Times New Roman"/>
                      <w:sz w:val="18"/>
                    </w:rPr>
                  </w:pPr>
                  <w:r>
                    <w:rPr>
                      <w:rFonts w:cs="Times New Roman"/>
                      <w:sz w:val="18"/>
                    </w:rPr>
                    <w:t>厂房内设置防火报警系统等配套相关风险防范措施，</w:t>
                  </w:r>
                  <w:r>
                    <w:rPr>
                      <w:rFonts w:hint="eastAsia" w:cs="Times New Roman"/>
                      <w:sz w:val="18"/>
                    </w:rPr>
                    <w:t>编制</w:t>
                  </w:r>
                  <w:r>
                    <w:rPr>
                      <w:rFonts w:cs="Times New Roman"/>
                      <w:sz w:val="18"/>
                    </w:rPr>
                    <w:t>应急预案，配备各类消防器具、应急设施。</w:t>
                  </w:r>
                </w:p>
              </w:tc>
              <w:tc>
                <w:tcPr>
                  <w:tcW w:w="1100" w:type="pct"/>
                  <w:vAlign w:val="center"/>
                </w:tcPr>
                <w:p w14:paraId="33FF9BFD">
                  <w:pPr>
                    <w:widowControl/>
                    <w:spacing w:line="240" w:lineRule="auto"/>
                    <w:ind w:firstLine="0" w:firstLineChars="0"/>
                    <w:jc w:val="center"/>
                    <w:textAlignment w:val="center"/>
                    <w:rPr>
                      <w:rFonts w:cs="Times New Roman"/>
                      <w:sz w:val="18"/>
                      <w:highlight w:val="yellow"/>
                    </w:rPr>
                  </w:pPr>
                  <w:r>
                    <w:rPr>
                      <w:rFonts w:hint="eastAsia" w:cs="Times New Roman"/>
                      <w:sz w:val="18"/>
                    </w:rPr>
                    <w:t>维持现状</w:t>
                  </w:r>
                </w:p>
              </w:tc>
            </w:tr>
          </w:tbl>
          <w:p w14:paraId="2FAFAF55">
            <w:pPr>
              <w:ind w:firstLine="480"/>
              <w:jc w:val="both"/>
            </w:pPr>
            <w:r>
              <w:rPr>
                <w:rFonts w:hint="eastAsia"/>
              </w:rPr>
              <w:t>3、产品方案</w:t>
            </w:r>
          </w:p>
          <w:p w14:paraId="01E62E84">
            <w:pPr>
              <w:ind w:firstLine="480"/>
              <w:jc w:val="both"/>
            </w:pPr>
            <w:r>
              <w:rPr>
                <w:rFonts w:hint="eastAsia"/>
              </w:rPr>
              <w:t>本项目项目实施前后，产品方案变化情况见下表。</w:t>
            </w:r>
          </w:p>
          <w:p w14:paraId="7693413C">
            <w:pPr>
              <w:pStyle w:val="14"/>
              <w:numPr>
                <w:ilvl w:val="0"/>
                <w:numId w:val="6"/>
              </w:numPr>
              <w:spacing w:before="156"/>
              <w:ind w:firstLine="0"/>
            </w:pPr>
            <w:r>
              <w:t xml:space="preserve">  项目产品方案一览表</w:t>
            </w:r>
            <w:r>
              <w:rPr>
                <w:rFonts w:hint="eastAsia"/>
              </w:rPr>
              <w:t xml:space="preserve">  单位t/a</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704"/>
              <w:gridCol w:w="1339"/>
              <w:gridCol w:w="1556"/>
              <w:gridCol w:w="1420"/>
              <w:gridCol w:w="1041"/>
              <w:gridCol w:w="1206"/>
            </w:tblGrid>
            <w:tr w14:paraId="05D1F07C">
              <w:trPr>
                <w:trHeight w:val="238" w:hRule="atLeast"/>
                <w:jc w:val="center"/>
              </w:trPr>
              <w:tc>
                <w:tcPr>
                  <w:tcW w:w="344" w:type="pct"/>
                  <w:vMerge w:val="restart"/>
                  <w:noWrap/>
                  <w:vAlign w:val="center"/>
                </w:tcPr>
                <w:p w14:paraId="0A3A9F5A">
                  <w:pPr>
                    <w:pStyle w:val="13"/>
                    <w:jc w:val="center"/>
                  </w:pPr>
                  <w:r>
                    <w:rPr>
                      <w:rFonts w:hint="eastAsia"/>
                    </w:rPr>
                    <w:t>序号</w:t>
                  </w:r>
                </w:p>
              </w:tc>
              <w:tc>
                <w:tcPr>
                  <w:tcW w:w="451" w:type="pct"/>
                  <w:vMerge w:val="restart"/>
                  <w:noWrap/>
                  <w:vAlign w:val="center"/>
                </w:tcPr>
                <w:p w14:paraId="05FFF02E">
                  <w:pPr>
                    <w:pStyle w:val="13"/>
                    <w:jc w:val="center"/>
                  </w:pPr>
                  <w:r>
                    <w:rPr>
                      <w:rFonts w:hint="eastAsia"/>
                    </w:rPr>
                    <w:t>名称</w:t>
                  </w:r>
                </w:p>
              </w:tc>
              <w:tc>
                <w:tcPr>
                  <w:tcW w:w="857" w:type="pct"/>
                  <w:vMerge w:val="restart"/>
                  <w:noWrap/>
                  <w:vAlign w:val="center"/>
                </w:tcPr>
                <w:p w14:paraId="46ADB5D4">
                  <w:pPr>
                    <w:pStyle w:val="13"/>
                    <w:jc w:val="center"/>
                  </w:pPr>
                  <w:r>
                    <w:rPr>
                      <w:rFonts w:hint="eastAsia"/>
                    </w:rPr>
                    <w:t>型号规格</w:t>
                  </w:r>
                </w:p>
              </w:tc>
              <w:tc>
                <w:tcPr>
                  <w:tcW w:w="1907" w:type="pct"/>
                  <w:gridSpan w:val="2"/>
                  <w:noWrap/>
                  <w:vAlign w:val="center"/>
                </w:tcPr>
                <w:p w14:paraId="11256ACC">
                  <w:pPr>
                    <w:pStyle w:val="13"/>
                    <w:jc w:val="center"/>
                  </w:pPr>
                  <w:r>
                    <w:rPr>
                      <w:rFonts w:hint="eastAsia"/>
                    </w:rPr>
                    <w:t>现有工程</w:t>
                  </w:r>
                </w:p>
              </w:tc>
              <w:tc>
                <w:tcPr>
                  <w:tcW w:w="667" w:type="pct"/>
                  <w:vMerge w:val="restart"/>
                  <w:noWrap/>
                  <w:vAlign w:val="center"/>
                </w:tcPr>
                <w:p w14:paraId="637ED359">
                  <w:pPr>
                    <w:pStyle w:val="13"/>
                    <w:jc w:val="center"/>
                  </w:pPr>
                  <w:r>
                    <w:rPr>
                      <w:rFonts w:hint="eastAsia"/>
                    </w:rPr>
                    <w:t>本项目变化情况</w:t>
                  </w:r>
                </w:p>
              </w:tc>
              <w:tc>
                <w:tcPr>
                  <w:tcW w:w="771" w:type="pct"/>
                  <w:vMerge w:val="restart"/>
                  <w:noWrap/>
                  <w:vAlign w:val="center"/>
                </w:tcPr>
                <w:p w14:paraId="137EE2DD">
                  <w:pPr>
                    <w:pStyle w:val="13"/>
                    <w:jc w:val="center"/>
                  </w:pPr>
                  <w:r>
                    <w:rPr>
                      <w:rFonts w:hint="eastAsia"/>
                    </w:rPr>
                    <w:t>本项目实施后全厂</w:t>
                  </w:r>
                </w:p>
              </w:tc>
            </w:tr>
            <w:tr w14:paraId="48A41F66">
              <w:trPr>
                <w:trHeight w:val="238" w:hRule="atLeast"/>
                <w:jc w:val="center"/>
              </w:trPr>
              <w:tc>
                <w:tcPr>
                  <w:tcW w:w="344" w:type="pct"/>
                  <w:vMerge w:val="continue"/>
                  <w:noWrap/>
                  <w:vAlign w:val="center"/>
                </w:tcPr>
                <w:p w14:paraId="6203815D">
                  <w:pPr>
                    <w:pStyle w:val="13"/>
                    <w:jc w:val="center"/>
                  </w:pPr>
                </w:p>
              </w:tc>
              <w:tc>
                <w:tcPr>
                  <w:tcW w:w="451" w:type="pct"/>
                  <w:vMerge w:val="continue"/>
                  <w:noWrap/>
                  <w:vAlign w:val="center"/>
                </w:tcPr>
                <w:p w14:paraId="3B86AF17">
                  <w:pPr>
                    <w:pStyle w:val="13"/>
                    <w:jc w:val="center"/>
                  </w:pPr>
                </w:p>
              </w:tc>
              <w:tc>
                <w:tcPr>
                  <w:tcW w:w="857" w:type="pct"/>
                  <w:vMerge w:val="continue"/>
                  <w:noWrap/>
                  <w:vAlign w:val="center"/>
                </w:tcPr>
                <w:p w14:paraId="38F7EB2F">
                  <w:pPr>
                    <w:pStyle w:val="13"/>
                    <w:jc w:val="center"/>
                  </w:pPr>
                </w:p>
              </w:tc>
              <w:tc>
                <w:tcPr>
                  <w:tcW w:w="997" w:type="pct"/>
                  <w:noWrap/>
                  <w:vAlign w:val="center"/>
                </w:tcPr>
                <w:p w14:paraId="1A063E25">
                  <w:pPr>
                    <w:pStyle w:val="13"/>
                    <w:jc w:val="center"/>
                  </w:pPr>
                  <w:r>
                    <w:rPr>
                      <w:rFonts w:hint="eastAsia"/>
                    </w:rPr>
                    <w:t>原审批年产量</w:t>
                  </w:r>
                </w:p>
              </w:tc>
              <w:tc>
                <w:tcPr>
                  <w:tcW w:w="910" w:type="pct"/>
                  <w:noWrap/>
                  <w:vAlign w:val="center"/>
                </w:tcPr>
                <w:p w14:paraId="7C8AE3A2">
                  <w:pPr>
                    <w:pStyle w:val="13"/>
                    <w:jc w:val="center"/>
                  </w:pPr>
                  <w:r>
                    <w:rPr>
                      <w:rFonts w:hint="eastAsia"/>
                    </w:rPr>
                    <w:t>已验收年产量</w:t>
                  </w:r>
                </w:p>
              </w:tc>
              <w:tc>
                <w:tcPr>
                  <w:tcW w:w="667" w:type="pct"/>
                  <w:vMerge w:val="continue"/>
                  <w:noWrap/>
                  <w:vAlign w:val="center"/>
                </w:tcPr>
                <w:p w14:paraId="774BC804">
                  <w:pPr>
                    <w:pStyle w:val="13"/>
                    <w:jc w:val="center"/>
                  </w:pPr>
                </w:p>
              </w:tc>
              <w:tc>
                <w:tcPr>
                  <w:tcW w:w="771" w:type="pct"/>
                  <w:vMerge w:val="continue"/>
                  <w:noWrap/>
                  <w:vAlign w:val="center"/>
                </w:tcPr>
                <w:p w14:paraId="31453F8F">
                  <w:pPr>
                    <w:pStyle w:val="13"/>
                    <w:jc w:val="center"/>
                  </w:pPr>
                </w:p>
              </w:tc>
            </w:tr>
            <w:tr w14:paraId="0075AC33">
              <w:trPr>
                <w:trHeight w:val="238" w:hRule="atLeast"/>
                <w:jc w:val="center"/>
              </w:trPr>
              <w:tc>
                <w:tcPr>
                  <w:tcW w:w="344" w:type="pct"/>
                  <w:noWrap/>
                  <w:vAlign w:val="center"/>
                </w:tcPr>
                <w:p w14:paraId="5B556CB6">
                  <w:pPr>
                    <w:pStyle w:val="13"/>
                    <w:jc w:val="center"/>
                  </w:pPr>
                  <w:r>
                    <w:rPr>
                      <w:rFonts w:hint="eastAsia"/>
                    </w:rPr>
                    <w:t>1</w:t>
                  </w:r>
                </w:p>
              </w:tc>
              <w:tc>
                <w:tcPr>
                  <w:tcW w:w="451" w:type="pct"/>
                  <w:vMerge w:val="restart"/>
                  <w:noWrap/>
                  <w:vAlign w:val="center"/>
                </w:tcPr>
                <w:p w14:paraId="77386817">
                  <w:pPr>
                    <w:pStyle w:val="13"/>
                    <w:jc w:val="center"/>
                  </w:pPr>
                  <w:r>
                    <w:rPr>
                      <w:rFonts w:hint="eastAsia"/>
                    </w:rPr>
                    <w:t>塑料粒子</w:t>
                  </w:r>
                </w:p>
              </w:tc>
              <w:tc>
                <w:tcPr>
                  <w:tcW w:w="857" w:type="pct"/>
                  <w:noWrap/>
                  <w:vAlign w:val="center"/>
                </w:tcPr>
                <w:p w14:paraId="49FE42BA">
                  <w:pPr>
                    <w:pStyle w:val="13"/>
                    <w:jc w:val="center"/>
                  </w:pPr>
                  <w:r>
                    <w:rPr>
                      <w:rFonts w:hint="eastAsia"/>
                    </w:rPr>
                    <w:t>ABS</w:t>
                  </w:r>
                </w:p>
              </w:tc>
              <w:tc>
                <w:tcPr>
                  <w:tcW w:w="997" w:type="pct"/>
                  <w:noWrap/>
                  <w:vAlign w:val="center"/>
                </w:tcPr>
                <w:p w14:paraId="3A52A386">
                  <w:pPr>
                    <w:pStyle w:val="13"/>
                    <w:jc w:val="center"/>
                  </w:pPr>
                  <w:r>
                    <w:rPr>
                      <w:rFonts w:hint="eastAsia"/>
                    </w:rPr>
                    <w:t>640</w:t>
                  </w:r>
                </w:p>
              </w:tc>
              <w:tc>
                <w:tcPr>
                  <w:tcW w:w="910" w:type="pct"/>
                  <w:noWrap/>
                  <w:vAlign w:val="center"/>
                </w:tcPr>
                <w:p w14:paraId="0F58303D">
                  <w:pPr>
                    <w:pStyle w:val="13"/>
                    <w:jc w:val="center"/>
                  </w:pPr>
                  <w:r>
                    <w:rPr>
                      <w:rFonts w:hint="eastAsia"/>
                    </w:rPr>
                    <w:t>640</w:t>
                  </w:r>
                </w:p>
              </w:tc>
              <w:tc>
                <w:tcPr>
                  <w:tcW w:w="667" w:type="pct"/>
                  <w:noWrap/>
                  <w:vAlign w:val="center"/>
                </w:tcPr>
                <w:p w14:paraId="453F3E7F">
                  <w:pPr>
                    <w:pStyle w:val="13"/>
                    <w:jc w:val="center"/>
                  </w:pPr>
                  <w:r>
                    <w:rPr>
                      <w:rFonts w:hint="eastAsia"/>
                    </w:rPr>
                    <w:t>-40</w:t>
                  </w:r>
                </w:p>
              </w:tc>
              <w:tc>
                <w:tcPr>
                  <w:tcW w:w="771" w:type="pct"/>
                  <w:noWrap/>
                  <w:vAlign w:val="center"/>
                </w:tcPr>
                <w:p w14:paraId="264D59AB">
                  <w:pPr>
                    <w:pStyle w:val="13"/>
                    <w:jc w:val="center"/>
                  </w:pPr>
                  <w:r>
                    <w:rPr>
                      <w:rFonts w:hint="eastAsia"/>
                    </w:rPr>
                    <w:t>600</w:t>
                  </w:r>
                </w:p>
              </w:tc>
            </w:tr>
            <w:tr w14:paraId="7904F7A0">
              <w:trPr>
                <w:trHeight w:val="238" w:hRule="atLeast"/>
                <w:jc w:val="center"/>
              </w:trPr>
              <w:tc>
                <w:tcPr>
                  <w:tcW w:w="344" w:type="pct"/>
                  <w:noWrap/>
                  <w:vAlign w:val="center"/>
                </w:tcPr>
                <w:p w14:paraId="3D5BC10C">
                  <w:pPr>
                    <w:pStyle w:val="13"/>
                    <w:jc w:val="center"/>
                  </w:pPr>
                  <w:r>
                    <w:rPr>
                      <w:rFonts w:hint="eastAsia"/>
                    </w:rPr>
                    <w:t>2</w:t>
                  </w:r>
                </w:p>
              </w:tc>
              <w:tc>
                <w:tcPr>
                  <w:tcW w:w="451" w:type="pct"/>
                  <w:vMerge w:val="continue"/>
                  <w:noWrap/>
                  <w:vAlign w:val="center"/>
                </w:tcPr>
                <w:p w14:paraId="0409BCC2">
                  <w:pPr>
                    <w:pStyle w:val="13"/>
                    <w:jc w:val="center"/>
                  </w:pPr>
                </w:p>
              </w:tc>
              <w:tc>
                <w:tcPr>
                  <w:tcW w:w="857" w:type="pct"/>
                  <w:noWrap/>
                  <w:vAlign w:val="center"/>
                </w:tcPr>
                <w:p w14:paraId="049B23CA">
                  <w:pPr>
                    <w:pStyle w:val="13"/>
                    <w:jc w:val="center"/>
                  </w:pPr>
                  <w:r>
                    <w:rPr>
                      <w:rFonts w:hint="eastAsia"/>
                    </w:rPr>
                    <w:t>PP</w:t>
                  </w:r>
                </w:p>
              </w:tc>
              <w:tc>
                <w:tcPr>
                  <w:tcW w:w="997" w:type="pct"/>
                  <w:noWrap/>
                  <w:vAlign w:val="center"/>
                </w:tcPr>
                <w:p w14:paraId="4EB8B088">
                  <w:pPr>
                    <w:pStyle w:val="13"/>
                    <w:jc w:val="center"/>
                  </w:pPr>
                  <w:r>
                    <w:rPr>
                      <w:rFonts w:hint="eastAsia"/>
                    </w:rPr>
                    <w:t>3700</w:t>
                  </w:r>
                </w:p>
              </w:tc>
              <w:tc>
                <w:tcPr>
                  <w:tcW w:w="910" w:type="pct"/>
                  <w:noWrap/>
                  <w:vAlign w:val="center"/>
                </w:tcPr>
                <w:p w14:paraId="1E593B6F">
                  <w:pPr>
                    <w:pStyle w:val="13"/>
                    <w:jc w:val="center"/>
                  </w:pPr>
                  <w:r>
                    <w:rPr>
                      <w:rFonts w:hint="eastAsia"/>
                    </w:rPr>
                    <w:t>3700</w:t>
                  </w:r>
                </w:p>
              </w:tc>
              <w:tc>
                <w:tcPr>
                  <w:tcW w:w="667" w:type="pct"/>
                  <w:noWrap/>
                  <w:vAlign w:val="center"/>
                </w:tcPr>
                <w:p w14:paraId="6049C59F">
                  <w:pPr>
                    <w:pStyle w:val="13"/>
                    <w:jc w:val="center"/>
                  </w:pPr>
                  <w:r>
                    <w:rPr>
                      <w:rFonts w:hint="eastAsia"/>
                    </w:rPr>
                    <w:t>0</w:t>
                  </w:r>
                </w:p>
              </w:tc>
              <w:tc>
                <w:tcPr>
                  <w:tcW w:w="771" w:type="pct"/>
                  <w:noWrap/>
                  <w:vAlign w:val="center"/>
                </w:tcPr>
                <w:p w14:paraId="092F5CBA">
                  <w:pPr>
                    <w:pStyle w:val="13"/>
                    <w:jc w:val="center"/>
                  </w:pPr>
                  <w:r>
                    <w:rPr>
                      <w:rFonts w:hint="eastAsia"/>
                    </w:rPr>
                    <w:t>3700</w:t>
                  </w:r>
                </w:p>
              </w:tc>
            </w:tr>
            <w:tr w14:paraId="7CF9BBBF">
              <w:trPr>
                <w:trHeight w:val="238" w:hRule="atLeast"/>
                <w:jc w:val="center"/>
              </w:trPr>
              <w:tc>
                <w:tcPr>
                  <w:tcW w:w="344" w:type="pct"/>
                  <w:noWrap/>
                  <w:vAlign w:val="center"/>
                </w:tcPr>
                <w:p w14:paraId="4E9CADD5">
                  <w:pPr>
                    <w:pStyle w:val="13"/>
                    <w:jc w:val="center"/>
                  </w:pPr>
                  <w:r>
                    <w:rPr>
                      <w:rFonts w:hint="eastAsia"/>
                    </w:rPr>
                    <w:t>3</w:t>
                  </w:r>
                </w:p>
              </w:tc>
              <w:tc>
                <w:tcPr>
                  <w:tcW w:w="451" w:type="pct"/>
                  <w:vMerge w:val="continue"/>
                  <w:noWrap/>
                  <w:vAlign w:val="center"/>
                </w:tcPr>
                <w:p w14:paraId="6BC5B631">
                  <w:pPr>
                    <w:pStyle w:val="13"/>
                    <w:jc w:val="center"/>
                  </w:pPr>
                </w:p>
              </w:tc>
              <w:tc>
                <w:tcPr>
                  <w:tcW w:w="857" w:type="pct"/>
                  <w:noWrap/>
                  <w:vAlign w:val="center"/>
                </w:tcPr>
                <w:p w14:paraId="1AEB72A2">
                  <w:pPr>
                    <w:pStyle w:val="13"/>
                    <w:jc w:val="center"/>
                  </w:pPr>
                  <w:r>
                    <w:rPr>
                      <w:rFonts w:hint="eastAsia"/>
                    </w:rPr>
                    <w:t>PS</w:t>
                  </w:r>
                </w:p>
              </w:tc>
              <w:tc>
                <w:tcPr>
                  <w:tcW w:w="997" w:type="pct"/>
                  <w:noWrap/>
                  <w:vAlign w:val="center"/>
                </w:tcPr>
                <w:p w14:paraId="55997C01">
                  <w:pPr>
                    <w:pStyle w:val="13"/>
                    <w:jc w:val="center"/>
                  </w:pPr>
                  <w:r>
                    <w:rPr>
                      <w:rFonts w:hint="eastAsia"/>
                    </w:rPr>
                    <w:t>70</w:t>
                  </w:r>
                </w:p>
              </w:tc>
              <w:tc>
                <w:tcPr>
                  <w:tcW w:w="910" w:type="pct"/>
                  <w:noWrap/>
                  <w:vAlign w:val="center"/>
                </w:tcPr>
                <w:p w14:paraId="7C371351">
                  <w:pPr>
                    <w:pStyle w:val="13"/>
                    <w:jc w:val="center"/>
                  </w:pPr>
                  <w:r>
                    <w:rPr>
                      <w:rFonts w:hint="eastAsia"/>
                    </w:rPr>
                    <w:t>70</w:t>
                  </w:r>
                </w:p>
              </w:tc>
              <w:tc>
                <w:tcPr>
                  <w:tcW w:w="667" w:type="pct"/>
                  <w:noWrap/>
                  <w:vAlign w:val="center"/>
                </w:tcPr>
                <w:p w14:paraId="67ED0C46">
                  <w:pPr>
                    <w:pStyle w:val="13"/>
                    <w:jc w:val="center"/>
                  </w:pPr>
                  <w:r>
                    <w:rPr>
                      <w:rFonts w:hint="eastAsia"/>
                    </w:rPr>
                    <w:t>-15</w:t>
                  </w:r>
                </w:p>
              </w:tc>
              <w:tc>
                <w:tcPr>
                  <w:tcW w:w="771" w:type="pct"/>
                  <w:noWrap/>
                  <w:vAlign w:val="center"/>
                </w:tcPr>
                <w:p w14:paraId="0BFCD165">
                  <w:pPr>
                    <w:pStyle w:val="13"/>
                    <w:jc w:val="center"/>
                  </w:pPr>
                  <w:r>
                    <w:rPr>
                      <w:rFonts w:hint="eastAsia"/>
                    </w:rPr>
                    <w:t>55</w:t>
                  </w:r>
                </w:p>
              </w:tc>
            </w:tr>
            <w:tr w14:paraId="011E2AD2">
              <w:trPr>
                <w:trHeight w:val="238" w:hRule="atLeast"/>
                <w:jc w:val="center"/>
              </w:trPr>
              <w:tc>
                <w:tcPr>
                  <w:tcW w:w="344" w:type="pct"/>
                  <w:noWrap/>
                  <w:vAlign w:val="center"/>
                </w:tcPr>
                <w:p w14:paraId="13A48719">
                  <w:pPr>
                    <w:pStyle w:val="13"/>
                    <w:jc w:val="center"/>
                  </w:pPr>
                  <w:r>
                    <w:rPr>
                      <w:rFonts w:hint="eastAsia"/>
                    </w:rPr>
                    <w:t>4</w:t>
                  </w:r>
                </w:p>
              </w:tc>
              <w:tc>
                <w:tcPr>
                  <w:tcW w:w="451" w:type="pct"/>
                  <w:vMerge w:val="continue"/>
                  <w:noWrap/>
                  <w:vAlign w:val="center"/>
                </w:tcPr>
                <w:p w14:paraId="29DF9589">
                  <w:pPr>
                    <w:pStyle w:val="13"/>
                    <w:jc w:val="center"/>
                  </w:pPr>
                </w:p>
              </w:tc>
              <w:tc>
                <w:tcPr>
                  <w:tcW w:w="857" w:type="pct"/>
                  <w:noWrap/>
                  <w:vAlign w:val="center"/>
                </w:tcPr>
                <w:p w14:paraId="01787F3E">
                  <w:pPr>
                    <w:pStyle w:val="13"/>
                    <w:jc w:val="center"/>
                  </w:pPr>
                  <w:r>
                    <w:rPr>
                      <w:rFonts w:hint="eastAsia"/>
                    </w:rPr>
                    <w:t>PE</w:t>
                  </w:r>
                </w:p>
              </w:tc>
              <w:tc>
                <w:tcPr>
                  <w:tcW w:w="997" w:type="pct"/>
                  <w:noWrap/>
                  <w:vAlign w:val="center"/>
                </w:tcPr>
                <w:p w14:paraId="06B6122B">
                  <w:pPr>
                    <w:pStyle w:val="13"/>
                    <w:jc w:val="center"/>
                  </w:pPr>
                  <w:r>
                    <w:rPr>
                      <w:rFonts w:hint="eastAsia"/>
                    </w:rPr>
                    <w:t>3500</w:t>
                  </w:r>
                </w:p>
              </w:tc>
              <w:tc>
                <w:tcPr>
                  <w:tcW w:w="910" w:type="pct"/>
                  <w:noWrap/>
                  <w:vAlign w:val="center"/>
                </w:tcPr>
                <w:p w14:paraId="11E3A848">
                  <w:pPr>
                    <w:pStyle w:val="13"/>
                    <w:jc w:val="center"/>
                  </w:pPr>
                  <w:r>
                    <w:rPr>
                      <w:rFonts w:hint="eastAsia"/>
                    </w:rPr>
                    <w:t>3500</w:t>
                  </w:r>
                </w:p>
              </w:tc>
              <w:tc>
                <w:tcPr>
                  <w:tcW w:w="667" w:type="pct"/>
                  <w:noWrap/>
                  <w:vAlign w:val="center"/>
                </w:tcPr>
                <w:p w14:paraId="65BB9B06">
                  <w:pPr>
                    <w:pStyle w:val="13"/>
                    <w:jc w:val="center"/>
                  </w:pPr>
                  <w:r>
                    <w:rPr>
                      <w:rFonts w:hint="eastAsia"/>
                    </w:rPr>
                    <w:t>0</w:t>
                  </w:r>
                </w:p>
              </w:tc>
              <w:tc>
                <w:tcPr>
                  <w:tcW w:w="771" w:type="pct"/>
                  <w:noWrap/>
                  <w:vAlign w:val="center"/>
                </w:tcPr>
                <w:p w14:paraId="69371499">
                  <w:pPr>
                    <w:pStyle w:val="13"/>
                    <w:jc w:val="center"/>
                  </w:pPr>
                  <w:r>
                    <w:rPr>
                      <w:rFonts w:hint="eastAsia"/>
                    </w:rPr>
                    <w:t>3500</w:t>
                  </w:r>
                </w:p>
              </w:tc>
            </w:tr>
            <w:tr w14:paraId="75B52FF7">
              <w:trPr>
                <w:trHeight w:val="238" w:hRule="atLeast"/>
                <w:jc w:val="center"/>
              </w:trPr>
              <w:tc>
                <w:tcPr>
                  <w:tcW w:w="344" w:type="pct"/>
                  <w:noWrap/>
                  <w:vAlign w:val="center"/>
                </w:tcPr>
                <w:p w14:paraId="7D5D69B7">
                  <w:pPr>
                    <w:pStyle w:val="13"/>
                    <w:jc w:val="center"/>
                  </w:pPr>
                  <w:r>
                    <w:rPr>
                      <w:rFonts w:hint="eastAsia"/>
                    </w:rPr>
                    <w:t>5</w:t>
                  </w:r>
                </w:p>
              </w:tc>
              <w:tc>
                <w:tcPr>
                  <w:tcW w:w="451" w:type="pct"/>
                  <w:vMerge w:val="continue"/>
                  <w:noWrap/>
                  <w:vAlign w:val="center"/>
                </w:tcPr>
                <w:p w14:paraId="03AD90DD">
                  <w:pPr>
                    <w:pStyle w:val="13"/>
                    <w:jc w:val="center"/>
                  </w:pPr>
                </w:p>
              </w:tc>
              <w:tc>
                <w:tcPr>
                  <w:tcW w:w="857" w:type="pct"/>
                  <w:noWrap/>
                  <w:vAlign w:val="center"/>
                </w:tcPr>
                <w:p w14:paraId="349B2535">
                  <w:pPr>
                    <w:pStyle w:val="13"/>
                    <w:jc w:val="center"/>
                  </w:pPr>
                  <w:r>
                    <w:rPr>
                      <w:rFonts w:hint="eastAsia"/>
                    </w:rPr>
                    <w:t>PA</w:t>
                  </w:r>
                </w:p>
              </w:tc>
              <w:tc>
                <w:tcPr>
                  <w:tcW w:w="997" w:type="pct"/>
                  <w:noWrap/>
                  <w:vAlign w:val="center"/>
                </w:tcPr>
                <w:p w14:paraId="3EEF4190">
                  <w:pPr>
                    <w:pStyle w:val="13"/>
                    <w:jc w:val="center"/>
                  </w:pPr>
                  <w:r>
                    <w:rPr>
                      <w:rFonts w:hint="eastAsia"/>
                    </w:rPr>
                    <w:t>40</w:t>
                  </w:r>
                </w:p>
              </w:tc>
              <w:tc>
                <w:tcPr>
                  <w:tcW w:w="910" w:type="pct"/>
                  <w:noWrap/>
                  <w:vAlign w:val="center"/>
                </w:tcPr>
                <w:p w14:paraId="7BB30CF2">
                  <w:pPr>
                    <w:pStyle w:val="13"/>
                    <w:jc w:val="center"/>
                  </w:pPr>
                  <w:r>
                    <w:rPr>
                      <w:rFonts w:hint="eastAsia"/>
                    </w:rPr>
                    <w:t>40</w:t>
                  </w:r>
                </w:p>
              </w:tc>
              <w:tc>
                <w:tcPr>
                  <w:tcW w:w="667" w:type="pct"/>
                  <w:noWrap/>
                  <w:vAlign w:val="center"/>
                </w:tcPr>
                <w:p w14:paraId="1F04A5BD">
                  <w:pPr>
                    <w:pStyle w:val="13"/>
                    <w:jc w:val="center"/>
                  </w:pPr>
                  <w:r>
                    <w:rPr>
                      <w:rFonts w:hint="eastAsia"/>
                    </w:rPr>
                    <w:t>0</w:t>
                  </w:r>
                </w:p>
              </w:tc>
              <w:tc>
                <w:tcPr>
                  <w:tcW w:w="771" w:type="pct"/>
                  <w:noWrap/>
                  <w:vAlign w:val="center"/>
                </w:tcPr>
                <w:p w14:paraId="10570706">
                  <w:pPr>
                    <w:pStyle w:val="13"/>
                    <w:jc w:val="center"/>
                  </w:pPr>
                  <w:r>
                    <w:rPr>
                      <w:rFonts w:hint="eastAsia"/>
                    </w:rPr>
                    <w:t>40</w:t>
                  </w:r>
                </w:p>
              </w:tc>
            </w:tr>
            <w:tr w14:paraId="3C2CDDB5">
              <w:trPr>
                <w:trHeight w:val="238" w:hRule="atLeast"/>
                <w:jc w:val="center"/>
              </w:trPr>
              <w:tc>
                <w:tcPr>
                  <w:tcW w:w="344" w:type="pct"/>
                  <w:noWrap/>
                  <w:vAlign w:val="center"/>
                </w:tcPr>
                <w:p w14:paraId="42FE1F2D">
                  <w:pPr>
                    <w:pStyle w:val="13"/>
                    <w:jc w:val="center"/>
                  </w:pPr>
                  <w:r>
                    <w:rPr>
                      <w:rFonts w:hint="eastAsia"/>
                    </w:rPr>
                    <w:t>6</w:t>
                  </w:r>
                </w:p>
              </w:tc>
              <w:tc>
                <w:tcPr>
                  <w:tcW w:w="451" w:type="pct"/>
                  <w:vMerge w:val="continue"/>
                  <w:noWrap/>
                  <w:vAlign w:val="center"/>
                </w:tcPr>
                <w:p w14:paraId="29FED259">
                  <w:pPr>
                    <w:pStyle w:val="13"/>
                    <w:jc w:val="center"/>
                  </w:pPr>
                </w:p>
              </w:tc>
              <w:tc>
                <w:tcPr>
                  <w:tcW w:w="857" w:type="pct"/>
                  <w:noWrap/>
                  <w:vAlign w:val="center"/>
                </w:tcPr>
                <w:p w14:paraId="2FD8615F">
                  <w:pPr>
                    <w:pStyle w:val="13"/>
                    <w:jc w:val="center"/>
                  </w:pPr>
                  <w:r>
                    <w:rPr>
                      <w:rFonts w:hint="eastAsia"/>
                    </w:rPr>
                    <w:t>AS</w:t>
                  </w:r>
                </w:p>
              </w:tc>
              <w:tc>
                <w:tcPr>
                  <w:tcW w:w="997" w:type="pct"/>
                  <w:noWrap/>
                  <w:vAlign w:val="center"/>
                </w:tcPr>
                <w:p w14:paraId="1B1C4677">
                  <w:pPr>
                    <w:pStyle w:val="13"/>
                    <w:jc w:val="center"/>
                  </w:pPr>
                  <w:r>
                    <w:rPr>
                      <w:rFonts w:hint="eastAsia"/>
                    </w:rPr>
                    <w:t>50</w:t>
                  </w:r>
                </w:p>
              </w:tc>
              <w:tc>
                <w:tcPr>
                  <w:tcW w:w="910" w:type="pct"/>
                  <w:noWrap/>
                  <w:vAlign w:val="center"/>
                </w:tcPr>
                <w:p w14:paraId="26C80B9D">
                  <w:pPr>
                    <w:pStyle w:val="13"/>
                    <w:jc w:val="center"/>
                  </w:pPr>
                  <w:r>
                    <w:rPr>
                      <w:rFonts w:hint="eastAsia"/>
                    </w:rPr>
                    <w:t>50</w:t>
                  </w:r>
                </w:p>
              </w:tc>
              <w:tc>
                <w:tcPr>
                  <w:tcW w:w="667" w:type="pct"/>
                  <w:noWrap/>
                  <w:vAlign w:val="center"/>
                </w:tcPr>
                <w:p w14:paraId="63724B58">
                  <w:pPr>
                    <w:pStyle w:val="13"/>
                    <w:jc w:val="center"/>
                  </w:pPr>
                  <w:r>
                    <w:rPr>
                      <w:rFonts w:hint="eastAsia"/>
                    </w:rPr>
                    <w:t>-10</w:t>
                  </w:r>
                </w:p>
              </w:tc>
              <w:tc>
                <w:tcPr>
                  <w:tcW w:w="771" w:type="pct"/>
                  <w:noWrap/>
                  <w:vAlign w:val="center"/>
                </w:tcPr>
                <w:p w14:paraId="32C1497C">
                  <w:pPr>
                    <w:pStyle w:val="13"/>
                    <w:jc w:val="center"/>
                  </w:pPr>
                  <w:r>
                    <w:rPr>
                      <w:rFonts w:hint="eastAsia"/>
                    </w:rPr>
                    <w:t>40</w:t>
                  </w:r>
                </w:p>
              </w:tc>
            </w:tr>
            <w:tr w14:paraId="52E54A3B">
              <w:trPr>
                <w:trHeight w:val="238" w:hRule="atLeast"/>
                <w:jc w:val="center"/>
              </w:trPr>
              <w:tc>
                <w:tcPr>
                  <w:tcW w:w="344" w:type="pct"/>
                  <w:noWrap/>
                  <w:vAlign w:val="center"/>
                </w:tcPr>
                <w:p w14:paraId="2042436B">
                  <w:pPr>
                    <w:pStyle w:val="13"/>
                    <w:jc w:val="center"/>
                  </w:pPr>
                  <w:r>
                    <w:rPr>
                      <w:rFonts w:hint="eastAsia"/>
                    </w:rPr>
                    <w:t>7</w:t>
                  </w:r>
                </w:p>
              </w:tc>
              <w:tc>
                <w:tcPr>
                  <w:tcW w:w="451" w:type="pct"/>
                  <w:vMerge w:val="continue"/>
                  <w:noWrap/>
                  <w:vAlign w:val="center"/>
                </w:tcPr>
                <w:p w14:paraId="29213178">
                  <w:pPr>
                    <w:pStyle w:val="13"/>
                    <w:jc w:val="center"/>
                  </w:pPr>
                </w:p>
              </w:tc>
              <w:tc>
                <w:tcPr>
                  <w:tcW w:w="857" w:type="pct"/>
                  <w:noWrap/>
                  <w:vAlign w:val="center"/>
                </w:tcPr>
                <w:p w14:paraId="79739B03">
                  <w:pPr>
                    <w:pStyle w:val="13"/>
                    <w:jc w:val="center"/>
                  </w:pPr>
                  <w:r>
                    <w:rPr>
                      <w:rFonts w:hint="eastAsia"/>
                    </w:rPr>
                    <w:t>聚氨酯塑料</w:t>
                  </w:r>
                </w:p>
              </w:tc>
              <w:tc>
                <w:tcPr>
                  <w:tcW w:w="997" w:type="pct"/>
                  <w:noWrap/>
                  <w:vAlign w:val="center"/>
                </w:tcPr>
                <w:p w14:paraId="630EBACC">
                  <w:pPr>
                    <w:pStyle w:val="13"/>
                    <w:jc w:val="center"/>
                  </w:pPr>
                  <w:r>
                    <w:rPr>
                      <w:rFonts w:hint="eastAsia"/>
                    </w:rPr>
                    <w:t>0</w:t>
                  </w:r>
                </w:p>
              </w:tc>
              <w:tc>
                <w:tcPr>
                  <w:tcW w:w="910" w:type="pct"/>
                  <w:noWrap/>
                  <w:vAlign w:val="center"/>
                </w:tcPr>
                <w:p w14:paraId="472115ED">
                  <w:pPr>
                    <w:pStyle w:val="13"/>
                    <w:jc w:val="center"/>
                  </w:pPr>
                  <w:r>
                    <w:rPr>
                      <w:rFonts w:hint="eastAsia"/>
                    </w:rPr>
                    <w:t>0</w:t>
                  </w:r>
                </w:p>
              </w:tc>
              <w:tc>
                <w:tcPr>
                  <w:tcW w:w="667" w:type="pct"/>
                  <w:noWrap/>
                  <w:vAlign w:val="center"/>
                </w:tcPr>
                <w:p w14:paraId="5B52FB90">
                  <w:pPr>
                    <w:pStyle w:val="13"/>
                    <w:jc w:val="center"/>
                  </w:pPr>
                  <w:r>
                    <w:rPr>
                      <w:rFonts w:hint="eastAsia"/>
                    </w:rPr>
                    <w:t>+4</w:t>
                  </w:r>
                </w:p>
              </w:tc>
              <w:tc>
                <w:tcPr>
                  <w:tcW w:w="771" w:type="pct"/>
                  <w:noWrap/>
                  <w:vAlign w:val="center"/>
                </w:tcPr>
                <w:p w14:paraId="1989B4AF">
                  <w:pPr>
                    <w:pStyle w:val="13"/>
                    <w:jc w:val="center"/>
                  </w:pPr>
                  <w:r>
                    <w:rPr>
                      <w:rFonts w:hint="eastAsia"/>
                    </w:rPr>
                    <w:t>4</w:t>
                  </w:r>
                </w:p>
              </w:tc>
            </w:tr>
            <w:tr w14:paraId="24250600">
              <w:trPr>
                <w:trHeight w:val="238" w:hRule="atLeast"/>
                <w:jc w:val="center"/>
              </w:trPr>
              <w:tc>
                <w:tcPr>
                  <w:tcW w:w="344" w:type="pct"/>
                  <w:noWrap/>
                  <w:vAlign w:val="center"/>
                </w:tcPr>
                <w:p w14:paraId="415D9D2A">
                  <w:pPr>
                    <w:pStyle w:val="13"/>
                    <w:jc w:val="center"/>
                  </w:pPr>
                  <w:r>
                    <w:rPr>
                      <w:rFonts w:hint="eastAsia"/>
                    </w:rPr>
                    <w:t>8</w:t>
                  </w:r>
                </w:p>
              </w:tc>
              <w:tc>
                <w:tcPr>
                  <w:tcW w:w="451" w:type="pct"/>
                  <w:vMerge w:val="continue"/>
                  <w:noWrap/>
                  <w:vAlign w:val="center"/>
                </w:tcPr>
                <w:p w14:paraId="3F632508">
                  <w:pPr>
                    <w:pStyle w:val="13"/>
                    <w:jc w:val="center"/>
                  </w:pPr>
                </w:p>
              </w:tc>
              <w:tc>
                <w:tcPr>
                  <w:tcW w:w="857" w:type="pct"/>
                  <w:noWrap/>
                  <w:vAlign w:val="center"/>
                </w:tcPr>
                <w:p w14:paraId="59907667">
                  <w:pPr>
                    <w:pStyle w:val="13"/>
                    <w:jc w:val="center"/>
                  </w:pPr>
                  <w:r>
                    <w:rPr>
                      <w:rFonts w:hint="eastAsia"/>
                    </w:rPr>
                    <w:t>丙烯酸塑料</w:t>
                  </w:r>
                </w:p>
              </w:tc>
              <w:tc>
                <w:tcPr>
                  <w:tcW w:w="997" w:type="pct"/>
                  <w:noWrap/>
                  <w:vAlign w:val="center"/>
                </w:tcPr>
                <w:p w14:paraId="161B26BC">
                  <w:pPr>
                    <w:pStyle w:val="13"/>
                    <w:jc w:val="center"/>
                  </w:pPr>
                  <w:r>
                    <w:rPr>
                      <w:rFonts w:hint="eastAsia"/>
                    </w:rPr>
                    <w:t>0</w:t>
                  </w:r>
                </w:p>
              </w:tc>
              <w:tc>
                <w:tcPr>
                  <w:tcW w:w="910" w:type="pct"/>
                  <w:noWrap/>
                  <w:vAlign w:val="center"/>
                </w:tcPr>
                <w:p w14:paraId="2AA9C18E">
                  <w:pPr>
                    <w:pStyle w:val="13"/>
                    <w:jc w:val="center"/>
                  </w:pPr>
                  <w:r>
                    <w:rPr>
                      <w:rFonts w:hint="eastAsia"/>
                    </w:rPr>
                    <w:t>0</w:t>
                  </w:r>
                </w:p>
              </w:tc>
              <w:tc>
                <w:tcPr>
                  <w:tcW w:w="667" w:type="pct"/>
                  <w:noWrap/>
                  <w:vAlign w:val="center"/>
                </w:tcPr>
                <w:p w14:paraId="4D733476">
                  <w:pPr>
                    <w:pStyle w:val="13"/>
                    <w:jc w:val="center"/>
                  </w:pPr>
                  <w:r>
                    <w:rPr>
                      <w:rFonts w:hint="eastAsia"/>
                    </w:rPr>
                    <w:t>+1</w:t>
                  </w:r>
                </w:p>
              </w:tc>
              <w:tc>
                <w:tcPr>
                  <w:tcW w:w="771" w:type="pct"/>
                  <w:noWrap/>
                  <w:vAlign w:val="center"/>
                </w:tcPr>
                <w:p w14:paraId="57B05E78">
                  <w:pPr>
                    <w:pStyle w:val="13"/>
                    <w:jc w:val="center"/>
                  </w:pPr>
                  <w:r>
                    <w:rPr>
                      <w:rFonts w:hint="eastAsia"/>
                    </w:rPr>
                    <w:t>1</w:t>
                  </w:r>
                </w:p>
              </w:tc>
            </w:tr>
            <w:tr w14:paraId="2339DE78">
              <w:trPr>
                <w:trHeight w:val="238" w:hRule="atLeast"/>
                <w:jc w:val="center"/>
              </w:trPr>
              <w:tc>
                <w:tcPr>
                  <w:tcW w:w="344" w:type="pct"/>
                  <w:noWrap/>
                  <w:vAlign w:val="center"/>
                </w:tcPr>
                <w:p w14:paraId="3B63F0C3">
                  <w:pPr>
                    <w:pStyle w:val="13"/>
                    <w:jc w:val="center"/>
                  </w:pPr>
                  <w:r>
                    <w:rPr>
                      <w:rFonts w:hint="eastAsia"/>
                    </w:rPr>
                    <w:t>9</w:t>
                  </w:r>
                </w:p>
              </w:tc>
              <w:tc>
                <w:tcPr>
                  <w:tcW w:w="451" w:type="pct"/>
                  <w:vMerge w:val="continue"/>
                  <w:noWrap/>
                  <w:vAlign w:val="center"/>
                </w:tcPr>
                <w:p w14:paraId="04183C9D">
                  <w:pPr>
                    <w:pStyle w:val="13"/>
                    <w:jc w:val="center"/>
                  </w:pPr>
                </w:p>
              </w:tc>
              <w:tc>
                <w:tcPr>
                  <w:tcW w:w="857" w:type="pct"/>
                  <w:noWrap/>
                  <w:vAlign w:val="center"/>
                </w:tcPr>
                <w:p w14:paraId="30DA095C">
                  <w:pPr>
                    <w:pStyle w:val="13"/>
                    <w:jc w:val="center"/>
                  </w:pPr>
                  <w:r>
                    <w:rPr>
                      <w:rFonts w:hint="eastAsia"/>
                    </w:rPr>
                    <w:t>醇酸塑料</w:t>
                  </w:r>
                </w:p>
              </w:tc>
              <w:tc>
                <w:tcPr>
                  <w:tcW w:w="997" w:type="pct"/>
                  <w:noWrap/>
                  <w:vAlign w:val="center"/>
                </w:tcPr>
                <w:p w14:paraId="37A5DC59">
                  <w:pPr>
                    <w:pStyle w:val="13"/>
                    <w:jc w:val="center"/>
                  </w:pPr>
                  <w:r>
                    <w:rPr>
                      <w:rFonts w:hint="eastAsia"/>
                    </w:rPr>
                    <w:t>0</w:t>
                  </w:r>
                </w:p>
              </w:tc>
              <w:tc>
                <w:tcPr>
                  <w:tcW w:w="910" w:type="pct"/>
                  <w:noWrap/>
                  <w:vAlign w:val="center"/>
                </w:tcPr>
                <w:p w14:paraId="71031892">
                  <w:pPr>
                    <w:pStyle w:val="13"/>
                    <w:jc w:val="center"/>
                  </w:pPr>
                  <w:r>
                    <w:rPr>
                      <w:rFonts w:hint="eastAsia"/>
                    </w:rPr>
                    <w:t>0</w:t>
                  </w:r>
                </w:p>
              </w:tc>
              <w:tc>
                <w:tcPr>
                  <w:tcW w:w="667" w:type="pct"/>
                  <w:noWrap/>
                  <w:vAlign w:val="center"/>
                </w:tcPr>
                <w:p w14:paraId="1ED29BDE">
                  <w:pPr>
                    <w:pStyle w:val="13"/>
                    <w:jc w:val="center"/>
                  </w:pPr>
                  <w:r>
                    <w:rPr>
                      <w:rFonts w:hint="eastAsia"/>
                    </w:rPr>
                    <w:t>+10</w:t>
                  </w:r>
                </w:p>
              </w:tc>
              <w:tc>
                <w:tcPr>
                  <w:tcW w:w="771" w:type="pct"/>
                  <w:noWrap/>
                  <w:vAlign w:val="center"/>
                </w:tcPr>
                <w:p w14:paraId="10B24CD2">
                  <w:pPr>
                    <w:pStyle w:val="13"/>
                    <w:jc w:val="center"/>
                  </w:pPr>
                  <w:r>
                    <w:rPr>
                      <w:rFonts w:hint="eastAsia"/>
                    </w:rPr>
                    <w:t>10</w:t>
                  </w:r>
                </w:p>
              </w:tc>
            </w:tr>
            <w:tr w14:paraId="5B06C36E">
              <w:trPr>
                <w:trHeight w:val="238" w:hRule="atLeast"/>
                <w:jc w:val="center"/>
              </w:trPr>
              <w:tc>
                <w:tcPr>
                  <w:tcW w:w="344" w:type="pct"/>
                  <w:noWrap/>
                  <w:vAlign w:val="center"/>
                </w:tcPr>
                <w:p w14:paraId="7E1874B0">
                  <w:pPr>
                    <w:pStyle w:val="13"/>
                    <w:jc w:val="center"/>
                  </w:pPr>
                  <w:r>
                    <w:rPr>
                      <w:rFonts w:hint="eastAsia"/>
                    </w:rPr>
                    <w:t>10</w:t>
                  </w:r>
                </w:p>
              </w:tc>
              <w:tc>
                <w:tcPr>
                  <w:tcW w:w="451" w:type="pct"/>
                  <w:vMerge w:val="continue"/>
                  <w:noWrap/>
                  <w:vAlign w:val="center"/>
                </w:tcPr>
                <w:p w14:paraId="0B416EA4">
                  <w:pPr>
                    <w:pStyle w:val="13"/>
                    <w:jc w:val="center"/>
                  </w:pPr>
                </w:p>
              </w:tc>
              <w:tc>
                <w:tcPr>
                  <w:tcW w:w="857" w:type="pct"/>
                  <w:noWrap/>
                  <w:vAlign w:val="center"/>
                </w:tcPr>
                <w:p w14:paraId="683E2FDD">
                  <w:pPr>
                    <w:pStyle w:val="13"/>
                    <w:jc w:val="center"/>
                  </w:pPr>
                  <w:r>
                    <w:rPr>
                      <w:rFonts w:hint="eastAsia"/>
                    </w:rPr>
                    <w:t>聚苯醚塑料</w:t>
                  </w:r>
                </w:p>
              </w:tc>
              <w:tc>
                <w:tcPr>
                  <w:tcW w:w="997" w:type="pct"/>
                  <w:noWrap/>
                  <w:vAlign w:val="center"/>
                </w:tcPr>
                <w:p w14:paraId="34BF2A85">
                  <w:pPr>
                    <w:pStyle w:val="13"/>
                    <w:jc w:val="center"/>
                  </w:pPr>
                  <w:r>
                    <w:rPr>
                      <w:rFonts w:hint="eastAsia"/>
                    </w:rPr>
                    <w:t>0</w:t>
                  </w:r>
                </w:p>
              </w:tc>
              <w:tc>
                <w:tcPr>
                  <w:tcW w:w="910" w:type="pct"/>
                  <w:noWrap/>
                  <w:vAlign w:val="center"/>
                </w:tcPr>
                <w:p w14:paraId="24CF061C">
                  <w:pPr>
                    <w:pStyle w:val="13"/>
                    <w:jc w:val="center"/>
                  </w:pPr>
                  <w:r>
                    <w:rPr>
                      <w:rFonts w:hint="eastAsia"/>
                    </w:rPr>
                    <w:t>0</w:t>
                  </w:r>
                </w:p>
              </w:tc>
              <w:tc>
                <w:tcPr>
                  <w:tcW w:w="667" w:type="pct"/>
                  <w:noWrap/>
                  <w:vAlign w:val="center"/>
                </w:tcPr>
                <w:p w14:paraId="352A3930">
                  <w:pPr>
                    <w:pStyle w:val="13"/>
                    <w:jc w:val="center"/>
                  </w:pPr>
                  <w:r>
                    <w:rPr>
                      <w:rFonts w:hint="eastAsia"/>
                    </w:rPr>
                    <w:t>+30</w:t>
                  </w:r>
                </w:p>
              </w:tc>
              <w:tc>
                <w:tcPr>
                  <w:tcW w:w="771" w:type="pct"/>
                  <w:noWrap/>
                  <w:vAlign w:val="center"/>
                </w:tcPr>
                <w:p w14:paraId="2FE0B830">
                  <w:pPr>
                    <w:pStyle w:val="13"/>
                    <w:jc w:val="center"/>
                  </w:pPr>
                  <w:r>
                    <w:rPr>
                      <w:rFonts w:hint="eastAsia"/>
                    </w:rPr>
                    <w:t>30</w:t>
                  </w:r>
                </w:p>
              </w:tc>
            </w:tr>
            <w:tr w14:paraId="2799279D">
              <w:trPr>
                <w:trHeight w:val="238" w:hRule="atLeast"/>
                <w:jc w:val="center"/>
              </w:trPr>
              <w:tc>
                <w:tcPr>
                  <w:tcW w:w="344" w:type="pct"/>
                  <w:noWrap/>
                  <w:vAlign w:val="center"/>
                </w:tcPr>
                <w:p w14:paraId="2D84436E">
                  <w:pPr>
                    <w:pStyle w:val="13"/>
                    <w:jc w:val="center"/>
                  </w:pPr>
                  <w:r>
                    <w:rPr>
                      <w:rFonts w:hint="eastAsia"/>
                    </w:rPr>
                    <w:t>11</w:t>
                  </w:r>
                </w:p>
              </w:tc>
              <w:tc>
                <w:tcPr>
                  <w:tcW w:w="451" w:type="pct"/>
                  <w:vMerge w:val="continue"/>
                  <w:noWrap/>
                  <w:vAlign w:val="center"/>
                </w:tcPr>
                <w:p w14:paraId="461B9F17">
                  <w:pPr>
                    <w:pStyle w:val="13"/>
                    <w:jc w:val="center"/>
                  </w:pPr>
                </w:p>
              </w:tc>
              <w:tc>
                <w:tcPr>
                  <w:tcW w:w="857" w:type="pct"/>
                  <w:noWrap/>
                  <w:vAlign w:val="center"/>
                </w:tcPr>
                <w:p w14:paraId="2CB2FDD0">
                  <w:pPr>
                    <w:pStyle w:val="13"/>
                    <w:jc w:val="center"/>
                  </w:pPr>
                  <w:r>
                    <w:rPr>
                      <w:rFonts w:hint="eastAsia"/>
                    </w:rPr>
                    <w:t>聚酰亚胺塑料</w:t>
                  </w:r>
                </w:p>
              </w:tc>
              <w:tc>
                <w:tcPr>
                  <w:tcW w:w="997" w:type="pct"/>
                  <w:noWrap/>
                  <w:vAlign w:val="center"/>
                </w:tcPr>
                <w:p w14:paraId="69BFE0D6">
                  <w:pPr>
                    <w:pStyle w:val="13"/>
                    <w:jc w:val="center"/>
                  </w:pPr>
                  <w:r>
                    <w:rPr>
                      <w:rFonts w:hint="eastAsia"/>
                    </w:rPr>
                    <w:t>0</w:t>
                  </w:r>
                </w:p>
              </w:tc>
              <w:tc>
                <w:tcPr>
                  <w:tcW w:w="910" w:type="pct"/>
                  <w:noWrap/>
                  <w:vAlign w:val="center"/>
                </w:tcPr>
                <w:p w14:paraId="01216E80">
                  <w:pPr>
                    <w:pStyle w:val="13"/>
                    <w:jc w:val="center"/>
                  </w:pPr>
                  <w:r>
                    <w:rPr>
                      <w:rFonts w:hint="eastAsia"/>
                    </w:rPr>
                    <w:t>0</w:t>
                  </w:r>
                </w:p>
              </w:tc>
              <w:tc>
                <w:tcPr>
                  <w:tcW w:w="667" w:type="pct"/>
                  <w:noWrap/>
                  <w:vAlign w:val="center"/>
                </w:tcPr>
                <w:p w14:paraId="7A98E888">
                  <w:pPr>
                    <w:pStyle w:val="13"/>
                    <w:jc w:val="center"/>
                  </w:pPr>
                  <w:r>
                    <w:rPr>
                      <w:rFonts w:hint="eastAsia"/>
                    </w:rPr>
                    <w:t>+10</w:t>
                  </w:r>
                </w:p>
              </w:tc>
              <w:tc>
                <w:tcPr>
                  <w:tcW w:w="771" w:type="pct"/>
                  <w:noWrap/>
                  <w:vAlign w:val="center"/>
                </w:tcPr>
                <w:p w14:paraId="571DA6E9">
                  <w:pPr>
                    <w:pStyle w:val="13"/>
                    <w:jc w:val="center"/>
                  </w:pPr>
                  <w:r>
                    <w:rPr>
                      <w:rFonts w:hint="eastAsia"/>
                    </w:rPr>
                    <w:t>10</w:t>
                  </w:r>
                </w:p>
              </w:tc>
            </w:tr>
            <w:tr w14:paraId="44592765">
              <w:trPr>
                <w:trHeight w:val="238" w:hRule="atLeast"/>
                <w:jc w:val="center"/>
              </w:trPr>
              <w:tc>
                <w:tcPr>
                  <w:tcW w:w="344" w:type="pct"/>
                  <w:noWrap/>
                  <w:vAlign w:val="center"/>
                </w:tcPr>
                <w:p w14:paraId="39918C40">
                  <w:pPr>
                    <w:pStyle w:val="13"/>
                    <w:jc w:val="center"/>
                  </w:pPr>
                  <w:r>
                    <w:rPr>
                      <w:rFonts w:hint="eastAsia"/>
                    </w:rPr>
                    <w:t>12</w:t>
                  </w:r>
                </w:p>
              </w:tc>
              <w:tc>
                <w:tcPr>
                  <w:tcW w:w="451" w:type="pct"/>
                  <w:vMerge w:val="continue"/>
                  <w:noWrap/>
                  <w:vAlign w:val="center"/>
                </w:tcPr>
                <w:p w14:paraId="1FBE4167">
                  <w:pPr>
                    <w:pStyle w:val="13"/>
                    <w:jc w:val="center"/>
                  </w:pPr>
                </w:p>
              </w:tc>
              <w:tc>
                <w:tcPr>
                  <w:tcW w:w="857" w:type="pct"/>
                  <w:noWrap/>
                  <w:vAlign w:val="center"/>
                </w:tcPr>
                <w:p w14:paraId="60DFD133">
                  <w:pPr>
                    <w:pStyle w:val="13"/>
                    <w:jc w:val="center"/>
                  </w:pPr>
                  <w:r>
                    <w:rPr>
                      <w:rFonts w:hint="eastAsia"/>
                    </w:rPr>
                    <w:t>聚醚醚酮塑料</w:t>
                  </w:r>
                </w:p>
              </w:tc>
              <w:tc>
                <w:tcPr>
                  <w:tcW w:w="997" w:type="pct"/>
                  <w:noWrap/>
                  <w:vAlign w:val="center"/>
                </w:tcPr>
                <w:p w14:paraId="056987FE">
                  <w:pPr>
                    <w:pStyle w:val="13"/>
                    <w:jc w:val="center"/>
                  </w:pPr>
                  <w:r>
                    <w:rPr>
                      <w:rFonts w:hint="eastAsia"/>
                    </w:rPr>
                    <w:t>0</w:t>
                  </w:r>
                </w:p>
              </w:tc>
              <w:tc>
                <w:tcPr>
                  <w:tcW w:w="910" w:type="pct"/>
                  <w:noWrap/>
                  <w:vAlign w:val="center"/>
                </w:tcPr>
                <w:p w14:paraId="3C92D56B">
                  <w:pPr>
                    <w:pStyle w:val="13"/>
                    <w:jc w:val="center"/>
                  </w:pPr>
                  <w:r>
                    <w:rPr>
                      <w:rFonts w:hint="eastAsia"/>
                    </w:rPr>
                    <w:t>0</w:t>
                  </w:r>
                </w:p>
              </w:tc>
              <w:tc>
                <w:tcPr>
                  <w:tcW w:w="667" w:type="pct"/>
                  <w:noWrap/>
                  <w:vAlign w:val="center"/>
                </w:tcPr>
                <w:p w14:paraId="681241E9">
                  <w:pPr>
                    <w:pStyle w:val="13"/>
                    <w:jc w:val="center"/>
                  </w:pPr>
                  <w:r>
                    <w:rPr>
                      <w:rFonts w:hint="eastAsia"/>
                    </w:rPr>
                    <w:t>+3</w:t>
                  </w:r>
                </w:p>
              </w:tc>
              <w:tc>
                <w:tcPr>
                  <w:tcW w:w="771" w:type="pct"/>
                  <w:noWrap/>
                  <w:vAlign w:val="center"/>
                </w:tcPr>
                <w:p w14:paraId="1F7771E5">
                  <w:pPr>
                    <w:pStyle w:val="13"/>
                    <w:jc w:val="center"/>
                  </w:pPr>
                  <w:r>
                    <w:rPr>
                      <w:rFonts w:hint="eastAsia"/>
                    </w:rPr>
                    <w:t>3</w:t>
                  </w:r>
                </w:p>
              </w:tc>
            </w:tr>
            <w:tr w14:paraId="03A95A36">
              <w:trPr>
                <w:trHeight w:val="238" w:hRule="atLeast"/>
                <w:jc w:val="center"/>
              </w:trPr>
              <w:tc>
                <w:tcPr>
                  <w:tcW w:w="344" w:type="pct"/>
                  <w:noWrap/>
                  <w:vAlign w:val="center"/>
                </w:tcPr>
                <w:p w14:paraId="2B49394A">
                  <w:pPr>
                    <w:pStyle w:val="13"/>
                    <w:jc w:val="center"/>
                  </w:pPr>
                  <w:r>
                    <w:rPr>
                      <w:rFonts w:hint="eastAsia"/>
                    </w:rPr>
                    <w:t>13</w:t>
                  </w:r>
                </w:p>
              </w:tc>
              <w:tc>
                <w:tcPr>
                  <w:tcW w:w="451" w:type="pct"/>
                  <w:vMerge w:val="continue"/>
                  <w:noWrap/>
                  <w:vAlign w:val="center"/>
                </w:tcPr>
                <w:p w14:paraId="33279F6E">
                  <w:pPr>
                    <w:pStyle w:val="13"/>
                    <w:jc w:val="center"/>
                  </w:pPr>
                </w:p>
              </w:tc>
              <w:tc>
                <w:tcPr>
                  <w:tcW w:w="857" w:type="pct"/>
                  <w:noWrap/>
                  <w:vAlign w:val="center"/>
                </w:tcPr>
                <w:p w14:paraId="121C06BF">
                  <w:pPr>
                    <w:pStyle w:val="13"/>
                    <w:jc w:val="center"/>
                  </w:pPr>
                  <w:r>
                    <w:rPr>
                      <w:rFonts w:hint="eastAsia"/>
                    </w:rPr>
                    <w:t>聚砜塑料</w:t>
                  </w:r>
                </w:p>
              </w:tc>
              <w:tc>
                <w:tcPr>
                  <w:tcW w:w="997" w:type="pct"/>
                  <w:noWrap/>
                  <w:vAlign w:val="center"/>
                </w:tcPr>
                <w:p w14:paraId="583B8150">
                  <w:pPr>
                    <w:pStyle w:val="13"/>
                    <w:jc w:val="center"/>
                  </w:pPr>
                  <w:r>
                    <w:rPr>
                      <w:rFonts w:hint="eastAsia"/>
                    </w:rPr>
                    <w:t>0</w:t>
                  </w:r>
                </w:p>
              </w:tc>
              <w:tc>
                <w:tcPr>
                  <w:tcW w:w="910" w:type="pct"/>
                  <w:noWrap/>
                  <w:vAlign w:val="center"/>
                </w:tcPr>
                <w:p w14:paraId="7DDCAF2D">
                  <w:pPr>
                    <w:pStyle w:val="13"/>
                    <w:jc w:val="center"/>
                  </w:pPr>
                  <w:r>
                    <w:rPr>
                      <w:rFonts w:hint="eastAsia"/>
                    </w:rPr>
                    <w:t>0</w:t>
                  </w:r>
                </w:p>
              </w:tc>
              <w:tc>
                <w:tcPr>
                  <w:tcW w:w="667" w:type="pct"/>
                  <w:noWrap/>
                  <w:vAlign w:val="center"/>
                </w:tcPr>
                <w:p w14:paraId="16395EBD">
                  <w:pPr>
                    <w:pStyle w:val="13"/>
                    <w:jc w:val="center"/>
                  </w:pPr>
                  <w:r>
                    <w:rPr>
                      <w:rFonts w:hint="eastAsia"/>
                    </w:rPr>
                    <w:t>+2</w:t>
                  </w:r>
                </w:p>
              </w:tc>
              <w:tc>
                <w:tcPr>
                  <w:tcW w:w="771" w:type="pct"/>
                  <w:noWrap/>
                  <w:vAlign w:val="center"/>
                </w:tcPr>
                <w:p w14:paraId="31F44936">
                  <w:pPr>
                    <w:pStyle w:val="13"/>
                    <w:jc w:val="center"/>
                  </w:pPr>
                  <w:r>
                    <w:rPr>
                      <w:rFonts w:hint="eastAsia"/>
                    </w:rPr>
                    <w:t>2</w:t>
                  </w:r>
                </w:p>
              </w:tc>
            </w:tr>
            <w:tr w14:paraId="306F923A">
              <w:trPr>
                <w:trHeight w:val="238" w:hRule="atLeast"/>
                <w:jc w:val="center"/>
              </w:trPr>
              <w:tc>
                <w:tcPr>
                  <w:tcW w:w="344" w:type="pct"/>
                  <w:noWrap/>
                  <w:vAlign w:val="center"/>
                </w:tcPr>
                <w:p w14:paraId="12F688EF">
                  <w:pPr>
                    <w:pStyle w:val="13"/>
                    <w:jc w:val="center"/>
                  </w:pPr>
                  <w:r>
                    <w:rPr>
                      <w:rFonts w:hint="eastAsia"/>
                    </w:rPr>
                    <w:t>14</w:t>
                  </w:r>
                </w:p>
              </w:tc>
              <w:tc>
                <w:tcPr>
                  <w:tcW w:w="451" w:type="pct"/>
                  <w:vMerge w:val="continue"/>
                  <w:noWrap/>
                  <w:vAlign w:val="center"/>
                </w:tcPr>
                <w:p w14:paraId="16EFFEF6">
                  <w:pPr>
                    <w:pStyle w:val="13"/>
                    <w:jc w:val="center"/>
                  </w:pPr>
                </w:p>
              </w:tc>
              <w:tc>
                <w:tcPr>
                  <w:tcW w:w="857" w:type="pct"/>
                  <w:noWrap/>
                  <w:vAlign w:val="center"/>
                </w:tcPr>
                <w:p w14:paraId="1014D772">
                  <w:pPr>
                    <w:pStyle w:val="13"/>
                    <w:jc w:val="center"/>
                  </w:pPr>
                  <w:r>
                    <w:rPr>
                      <w:rFonts w:hint="eastAsia"/>
                    </w:rPr>
                    <w:t>聚苯硫醚塑料</w:t>
                  </w:r>
                </w:p>
              </w:tc>
              <w:tc>
                <w:tcPr>
                  <w:tcW w:w="997" w:type="pct"/>
                  <w:noWrap/>
                  <w:vAlign w:val="center"/>
                </w:tcPr>
                <w:p w14:paraId="0A99ED1C">
                  <w:pPr>
                    <w:pStyle w:val="13"/>
                    <w:jc w:val="center"/>
                  </w:pPr>
                  <w:r>
                    <w:rPr>
                      <w:rFonts w:hint="eastAsia"/>
                    </w:rPr>
                    <w:t>0</w:t>
                  </w:r>
                </w:p>
              </w:tc>
              <w:tc>
                <w:tcPr>
                  <w:tcW w:w="910" w:type="pct"/>
                  <w:noWrap/>
                  <w:vAlign w:val="center"/>
                </w:tcPr>
                <w:p w14:paraId="4E2A0398">
                  <w:pPr>
                    <w:pStyle w:val="13"/>
                    <w:jc w:val="center"/>
                  </w:pPr>
                  <w:r>
                    <w:rPr>
                      <w:rFonts w:hint="eastAsia"/>
                    </w:rPr>
                    <w:t>0</w:t>
                  </w:r>
                </w:p>
              </w:tc>
              <w:tc>
                <w:tcPr>
                  <w:tcW w:w="667" w:type="pct"/>
                  <w:noWrap/>
                  <w:vAlign w:val="center"/>
                </w:tcPr>
                <w:p w14:paraId="3CD8AF71">
                  <w:pPr>
                    <w:pStyle w:val="13"/>
                    <w:jc w:val="center"/>
                  </w:pPr>
                  <w:r>
                    <w:rPr>
                      <w:rFonts w:hint="eastAsia"/>
                    </w:rPr>
                    <w:t>+2</w:t>
                  </w:r>
                </w:p>
              </w:tc>
              <w:tc>
                <w:tcPr>
                  <w:tcW w:w="771" w:type="pct"/>
                  <w:noWrap/>
                  <w:vAlign w:val="center"/>
                </w:tcPr>
                <w:p w14:paraId="5FCF57FE">
                  <w:pPr>
                    <w:pStyle w:val="13"/>
                    <w:jc w:val="center"/>
                  </w:pPr>
                  <w:r>
                    <w:rPr>
                      <w:rFonts w:hint="eastAsia"/>
                    </w:rPr>
                    <w:t>2</w:t>
                  </w:r>
                </w:p>
              </w:tc>
            </w:tr>
            <w:tr w14:paraId="5144954E">
              <w:trPr>
                <w:trHeight w:val="238" w:hRule="atLeast"/>
                <w:jc w:val="center"/>
              </w:trPr>
              <w:tc>
                <w:tcPr>
                  <w:tcW w:w="344" w:type="pct"/>
                  <w:noWrap/>
                  <w:vAlign w:val="center"/>
                </w:tcPr>
                <w:p w14:paraId="43498493">
                  <w:pPr>
                    <w:pStyle w:val="13"/>
                    <w:jc w:val="center"/>
                  </w:pPr>
                  <w:r>
                    <w:rPr>
                      <w:rFonts w:hint="eastAsia"/>
                    </w:rPr>
                    <w:t>15</w:t>
                  </w:r>
                </w:p>
              </w:tc>
              <w:tc>
                <w:tcPr>
                  <w:tcW w:w="451" w:type="pct"/>
                  <w:vMerge w:val="continue"/>
                  <w:noWrap/>
                  <w:vAlign w:val="center"/>
                </w:tcPr>
                <w:p w14:paraId="766FDC82">
                  <w:pPr>
                    <w:pStyle w:val="13"/>
                    <w:jc w:val="center"/>
                  </w:pPr>
                </w:p>
              </w:tc>
              <w:tc>
                <w:tcPr>
                  <w:tcW w:w="857" w:type="pct"/>
                  <w:noWrap/>
                  <w:vAlign w:val="center"/>
                </w:tcPr>
                <w:p w14:paraId="3C6B50A7">
                  <w:pPr>
                    <w:pStyle w:val="13"/>
                    <w:jc w:val="center"/>
                  </w:pPr>
                  <w:r>
                    <w:rPr>
                      <w:rFonts w:hint="eastAsia"/>
                    </w:rPr>
                    <w:t>聚醚砜塑料</w:t>
                  </w:r>
                </w:p>
              </w:tc>
              <w:tc>
                <w:tcPr>
                  <w:tcW w:w="997" w:type="pct"/>
                  <w:noWrap/>
                  <w:vAlign w:val="center"/>
                </w:tcPr>
                <w:p w14:paraId="7C01E005">
                  <w:pPr>
                    <w:pStyle w:val="13"/>
                    <w:jc w:val="center"/>
                  </w:pPr>
                  <w:r>
                    <w:rPr>
                      <w:rFonts w:hint="eastAsia"/>
                    </w:rPr>
                    <w:t>0</w:t>
                  </w:r>
                </w:p>
              </w:tc>
              <w:tc>
                <w:tcPr>
                  <w:tcW w:w="910" w:type="pct"/>
                  <w:noWrap/>
                  <w:vAlign w:val="center"/>
                </w:tcPr>
                <w:p w14:paraId="6EFC1959">
                  <w:pPr>
                    <w:pStyle w:val="13"/>
                    <w:jc w:val="center"/>
                  </w:pPr>
                  <w:r>
                    <w:rPr>
                      <w:rFonts w:hint="eastAsia"/>
                    </w:rPr>
                    <w:t>0</w:t>
                  </w:r>
                </w:p>
              </w:tc>
              <w:tc>
                <w:tcPr>
                  <w:tcW w:w="667" w:type="pct"/>
                  <w:noWrap/>
                  <w:vAlign w:val="center"/>
                </w:tcPr>
                <w:p w14:paraId="58655D26">
                  <w:pPr>
                    <w:pStyle w:val="13"/>
                    <w:jc w:val="center"/>
                  </w:pPr>
                  <w:r>
                    <w:rPr>
                      <w:rFonts w:hint="eastAsia"/>
                    </w:rPr>
                    <w:t>+3</w:t>
                  </w:r>
                </w:p>
              </w:tc>
              <w:tc>
                <w:tcPr>
                  <w:tcW w:w="771" w:type="pct"/>
                  <w:noWrap/>
                  <w:vAlign w:val="center"/>
                </w:tcPr>
                <w:p w14:paraId="43B35159">
                  <w:pPr>
                    <w:pStyle w:val="13"/>
                    <w:jc w:val="center"/>
                  </w:pPr>
                  <w:r>
                    <w:rPr>
                      <w:rFonts w:hint="eastAsia"/>
                    </w:rPr>
                    <w:t>3</w:t>
                  </w:r>
                </w:p>
              </w:tc>
            </w:tr>
            <w:tr w14:paraId="09A3B918">
              <w:trPr>
                <w:trHeight w:val="238" w:hRule="atLeast"/>
                <w:jc w:val="center"/>
              </w:trPr>
              <w:tc>
                <w:tcPr>
                  <w:tcW w:w="344" w:type="pct"/>
                  <w:noWrap/>
                  <w:vAlign w:val="center"/>
                </w:tcPr>
                <w:p w14:paraId="4F20A03C">
                  <w:pPr>
                    <w:pStyle w:val="13"/>
                    <w:jc w:val="center"/>
                  </w:pPr>
                  <w:r>
                    <w:rPr>
                      <w:rFonts w:hint="eastAsia"/>
                    </w:rPr>
                    <w:t>17</w:t>
                  </w:r>
                </w:p>
              </w:tc>
              <w:tc>
                <w:tcPr>
                  <w:tcW w:w="1309" w:type="pct"/>
                  <w:gridSpan w:val="2"/>
                  <w:noWrap/>
                  <w:vAlign w:val="center"/>
                </w:tcPr>
                <w:p w14:paraId="31B001E7">
                  <w:pPr>
                    <w:pStyle w:val="13"/>
                    <w:jc w:val="center"/>
                  </w:pPr>
                  <w:r>
                    <w:rPr>
                      <w:rFonts w:hint="eastAsia"/>
                    </w:rPr>
                    <w:t>合计</w:t>
                  </w:r>
                </w:p>
              </w:tc>
              <w:tc>
                <w:tcPr>
                  <w:tcW w:w="997" w:type="pct"/>
                  <w:noWrap/>
                  <w:vAlign w:val="center"/>
                </w:tcPr>
                <w:p w14:paraId="4845C82B">
                  <w:pPr>
                    <w:pStyle w:val="13"/>
                    <w:jc w:val="center"/>
                  </w:pPr>
                  <w:r>
                    <w:rPr>
                      <w:rFonts w:hint="eastAsia"/>
                    </w:rPr>
                    <w:t>8000</w:t>
                  </w:r>
                </w:p>
              </w:tc>
              <w:tc>
                <w:tcPr>
                  <w:tcW w:w="910" w:type="pct"/>
                  <w:noWrap/>
                  <w:vAlign w:val="center"/>
                </w:tcPr>
                <w:p w14:paraId="381CFDE0">
                  <w:pPr>
                    <w:pStyle w:val="13"/>
                    <w:jc w:val="center"/>
                  </w:pPr>
                  <w:r>
                    <w:rPr>
                      <w:rFonts w:hint="eastAsia"/>
                    </w:rPr>
                    <w:t>8000</w:t>
                  </w:r>
                </w:p>
              </w:tc>
              <w:tc>
                <w:tcPr>
                  <w:tcW w:w="667" w:type="pct"/>
                  <w:noWrap/>
                  <w:vAlign w:val="center"/>
                </w:tcPr>
                <w:p w14:paraId="4B445590">
                  <w:pPr>
                    <w:pStyle w:val="13"/>
                    <w:jc w:val="center"/>
                  </w:pPr>
                  <w:r>
                    <w:rPr>
                      <w:rFonts w:hint="eastAsia"/>
                    </w:rPr>
                    <w:t>/</w:t>
                  </w:r>
                </w:p>
              </w:tc>
              <w:tc>
                <w:tcPr>
                  <w:tcW w:w="771" w:type="pct"/>
                  <w:noWrap/>
                  <w:vAlign w:val="center"/>
                </w:tcPr>
                <w:p w14:paraId="17935154">
                  <w:pPr>
                    <w:pStyle w:val="13"/>
                    <w:jc w:val="center"/>
                  </w:pPr>
                  <w:r>
                    <w:rPr>
                      <w:rFonts w:hint="eastAsia"/>
                    </w:rPr>
                    <w:t>8000</w:t>
                  </w:r>
                </w:p>
              </w:tc>
            </w:tr>
            <w:tr w14:paraId="0509043E">
              <w:trPr>
                <w:trHeight w:val="238" w:hRule="atLeast"/>
                <w:jc w:val="center"/>
              </w:trPr>
              <w:tc>
                <w:tcPr>
                  <w:tcW w:w="5000" w:type="pct"/>
                  <w:gridSpan w:val="7"/>
                  <w:noWrap/>
                  <w:vAlign w:val="center"/>
                </w:tcPr>
                <w:p w14:paraId="69007C52">
                  <w:pPr>
                    <w:pStyle w:val="13"/>
                    <w:jc w:val="both"/>
                  </w:pPr>
                  <w:r>
                    <w:rPr>
                      <w:rFonts w:hint="eastAsia"/>
                    </w:rPr>
                    <w:t>备注：本项目新增塑料粒子种类，不新增塑料粒子总体产能；原辅材料中约60kg用于色板生产。</w:t>
                  </w:r>
                </w:p>
                <w:p w14:paraId="52AE553E">
                  <w:pPr>
                    <w:pStyle w:val="13"/>
                    <w:jc w:val="both"/>
                  </w:pPr>
                  <w:r>
                    <w:rPr>
                      <w:rFonts w:hint="eastAsia"/>
                    </w:rPr>
                    <w:t>本项目新增色板年加工量约50kg，不对外销售，故不列为本项目产品方案中。</w:t>
                  </w:r>
                </w:p>
              </w:tc>
            </w:tr>
          </w:tbl>
          <w:p w14:paraId="45F47466">
            <w:pPr>
              <w:ind w:firstLine="480"/>
              <w:jc w:val="both"/>
            </w:pPr>
            <w:r>
              <w:rPr>
                <w:rFonts w:hint="eastAsia"/>
              </w:rPr>
              <w:t>4、主要生产设备</w:t>
            </w:r>
          </w:p>
          <w:p w14:paraId="4E223788">
            <w:pPr>
              <w:ind w:firstLine="480"/>
              <w:jc w:val="both"/>
            </w:pPr>
            <w:r>
              <w:rPr>
                <w:rFonts w:hint="eastAsia"/>
              </w:rPr>
              <w:t>本项目实施前后，生产设备变化情况见下表。</w:t>
            </w:r>
          </w:p>
          <w:p w14:paraId="11B94B61">
            <w:pPr>
              <w:pStyle w:val="14"/>
              <w:numPr>
                <w:ilvl w:val="0"/>
                <w:numId w:val="6"/>
              </w:numPr>
              <w:spacing w:before="156"/>
              <w:ind w:firstLine="0"/>
            </w:pPr>
            <w:r>
              <w:t xml:space="preserve">  项目主要生产设备一览表</w:t>
            </w:r>
            <w:r>
              <w:rPr>
                <w:rFonts w:hint="eastAsia"/>
              </w:rPr>
              <w:t xml:space="preserve">  单位：台/套</w:t>
            </w:r>
          </w:p>
          <w:tbl>
            <w:tblPr>
              <w:tblStyle w:val="9"/>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211"/>
              <w:gridCol w:w="652"/>
              <w:gridCol w:w="811"/>
              <w:gridCol w:w="916"/>
              <w:gridCol w:w="810"/>
              <w:gridCol w:w="853"/>
              <w:gridCol w:w="1193"/>
              <w:gridCol w:w="668"/>
            </w:tblGrid>
            <w:tr w14:paraId="2C872D09">
              <w:trPr>
                <w:trHeight w:val="340" w:hRule="atLeast"/>
                <w:jc w:val="center"/>
              </w:trPr>
              <w:tc>
                <w:tcPr>
                  <w:tcW w:w="684" w:type="dxa"/>
                  <w:vMerge w:val="restart"/>
                  <w:noWrap/>
                  <w:vAlign w:val="center"/>
                </w:tcPr>
                <w:p w14:paraId="0C8D7C18">
                  <w:pPr>
                    <w:pStyle w:val="13"/>
                    <w:jc w:val="center"/>
                  </w:pPr>
                  <w:r>
                    <w:rPr>
                      <w:rFonts w:hint="eastAsia"/>
                    </w:rPr>
                    <w:t>序号</w:t>
                  </w:r>
                </w:p>
              </w:tc>
              <w:tc>
                <w:tcPr>
                  <w:tcW w:w="1211" w:type="dxa"/>
                  <w:vMerge w:val="restart"/>
                  <w:noWrap/>
                  <w:vAlign w:val="center"/>
                </w:tcPr>
                <w:p w14:paraId="2ADE4C82">
                  <w:pPr>
                    <w:pStyle w:val="13"/>
                    <w:jc w:val="center"/>
                  </w:pPr>
                  <w:r>
                    <w:rPr>
                      <w:rFonts w:hint="eastAsia"/>
                    </w:rPr>
                    <w:t>名称</w:t>
                  </w:r>
                </w:p>
              </w:tc>
              <w:tc>
                <w:tcPr>
                  <w:tcW w:w="652" w:type="dxa"/>
                  <w:vMerge w:val="restart"/>
                  <w:noWrap/>
                  <w:vAlign w:val="center"/>
                </w:tcPr>
                <w:p w14:paraId="2D29DC03">
                  <w:pPr>
                    <w:pStyle w:val="13"/>
                    <w:jc w:val="center"/>
                  </w:pPr>
                  <w:r>
                    <w:rPr>
                      <w:rFonts w:hint="eastAsia"/>
                    </w:rPr>
                    <w:t>型号规格</w:t>
                  </w:r>
                </w:p>
              </w:tc>
              <w:tc>
                <w:tcPr>
                  <w:tcW w:w="2537" w:type="dxa"/>
                  <w:gridSpan w:val="3"/>
                  <w:noWrap/>
                  <w:vAlign w:val="center"/>
                </w:tcPr>
                <w:p w14:paraId="39EA2F30">
                  <w:pPr>
                    <w:pStyle w:val="13"/>
                    <w:jc w:val="center"/>
                  </w:pPr>
                  <w:r>
                    <w:rPr>
                      <w:rFonts w:hint="eastAsia"/>
                    </w:rPr>
                    <w:t>现有工程</w:t>
                  </w:r>
                </w:p>
              </w:tc>
              <w:tc>
                <w:tcPr>
                  <w:tcW w:w="853" w:type="dxa"/>
                  <w:vMerge w:val="restart"/>
                  <w:noWrap/>
                  <w:vAlign w:val="center"/>
                </w:tcPr>
                <w:p w14:paraId="682124F1">
                  <w:pPr>
                    <w:pStyle w:val="13"/>
                    <w:jc w:val="center"/>
                  </w:pPr>
                  <w:r>
                    <w:rPr>
                      <w:rFonts w:hint="eastAsia"/>
                    </w:rPr>
                    <w:t>本项目</w:t>
                  </w:r>
                </w:p>
              </w:tc>
              <w:tc>
                <w:tcPr>
                  <w:tcW w:w="1193" w:type="dxa"/>
                  <w:vMerge w:val="restart"/>
                  <w:noWrap/>
                  <w:vAlign w:val="center"/>
                </w:tcPr>
                <w:p w14:paraId="5A932FF4">
                  <w:pPr>
                    <w:pStyle w:val="13"/>
                    <w:jc w:val="center"/>
                  </w:pPr>
                  <w:r>
                    <w:rPr>
                      <w:rFonts w:hint="eastAsia"/>
                    </w:rPr>
                    <w:t>建成后全厂</w:t>
                  </w:r>
                </w:p>
              </w:tc>
              <w:tc>
                <w:tcPr>
                  <w:tcW w:w="668" w:type="dxa"/>
                  <w:vMerge w:val="restart"/>
                  <w:noWrap/>
                  <w:vAlign w:val="center"/>
                </w:tcPr>
                <w:p w14:paraId="5BA38DE3">
                  <w:pPr>
                    <w:pStyle w:val="13"/>
                    <w:jc w:val="center"/>
                  </w:pPr>
                  <w:r>
                    <w:rPr>
                      <w:rFonts w:hint="eastAsia"/>
                    </w:rPr>
                    <w:t>备注</w:t>
                  </w:r>
                </w:p>
              </w:tc>
            </w:tr>
            <w:tr w14:paraId="4D3871B4">
              <w:trPr>
                <w:trHeight w:val="340" w:hRule="atLeast"/>
                <w:jc w:val="center"/>
              </w:trPr>
              <w:tc>
                <w:tcPr>
                  <w:tcW w:w="684" w:type="dxa"/>
                  <w:vMerge w:val="continue"/>
                  <w:noWrap/>
                  <w:vAlign w:val="center"/>
                </w:tcPr>
                <w:p w14:paraId="58D77781">
                  <w:pPr>
                    <w:pStyle w:val="13"/>
                    <w:jc w:val="center"/>
                  </w:pPr>
                </w:p>
              </w:tc>
              <w:tc>
                <w:tcPr>
                  <w:tcW w:w="1211" w:type="dxa"/>
                  <w:vMerge w:val="continue"/>
                  <w:noWrap/>
                  <w:vAlign w:val="center"/>
                </w:tcPr>
                <w:p w14:paraId="5D106368">
                  <w:pPr>
                    <w:pStyle w:val="13"/>
                    <w:jc w:val="center"/>
                  </w:pPr>
                </w:p>
              </w:tc>
              <w:tc>
                <w:tcPr>
                  <w:tcW w:w="652" w:type="dxa"/>
                  <w:vMerge w:val="continue"/>
                  <w:noWrap/>
                  <w:vAlign w:val="center"/>
                </w:tcPr>
                <w:p w14:paraId="58C27AED">
                  <w:pPr>
                    <w:pStyle w:val="13"/>
                    <w:jc w:val="center"/>
                  </w:pPr>
                </w:p>
              </w:tc>
              <w:tc>
                <w:tcPr>
                  <w:tcW w:w="811" w:type="dxa"/>
                  <w:noWrap/>
                  <w:vAlign w:val="center"/>
                </w:tcPr>
                <w:p w14:paraId="37F2B063">
                  <w:pPr>
                    <w:pStyle w:val="13"/>
                    <w:jc w:val="center"/>
                  </w:pPr>
                  <w:r>
                    <w:rPr>
                      <w:rFonts w:hint="eastAsia"/>
                    </w:rPr>
                    <w:t>已审批</w:t>
                  </w:r>
                </w:p>
              </w:tc>
              <w:tc>
                <w:tcPr>
                  <w:tcW w:w="916" w:type="dxa"/>
                  <w:noWrap/>
                  <w:vAlign w:val="center"/>
                </w:tcPr>
                <w:p w14:paraId="74659B15">
                  <w:pPr>
                    <w:pStyle w:val="13"/>
                    <w:jc w:val="center"/>
                  </w:pPr>
                  <w:r>
                    <w:rPr>
                      <w:rFonts w:hint="eastAsia"/>
                    </w:rPr>
                    <w:t>已验收</w:t>
                  </w:r>
                </w:p>
              </w:tc>
              <w:tc>
                <w:tcPr>
                  <w:tcW w:w="810" w:type="dxa"/>
                  <w:noWrap/>
                  <w:vAlign w:val="center"/>
                </w:tcPr>
                <w:p w14:paraId="78FB5BA7">
                  <w:pPr>
                    <w:pStyle w:val="13"/>
                    <w:jc w:val="center"/>
                  </w:pPr>
                  <w:r>
                    <w:rPr>
                      <w:rFonts w:hint="eastAsia"/>
                    </w:rPr>
                    <w:t>变化量</w:t>
                  </w:r>
                </w:p>
              </w:tc>
              <w:tc>
                <w:tcPr>
                  <w:tcW w:w="853" w:type="dxa"/>
                  <w:vMerge w:val="continue"/>
                  <w:noWrap/>
                  <w:vAlign w:val="center"/>
                </w:tcPr>
                <w:p w14:paraId="5DF80C94">
                  <w:pPr>
                    <w:pStyle w:val="13"/>
                    <w:jc w:val="center"/>
                  </w:pPr>
                </w:p>
              </w:tc>
              <w:tc>
                <w:tcPr>
                  <w:tcW w:w="1193" w:type="dxa"/>
                  <w:vMerge w:val="continue"/>
                  <w:noWrap/>
                  <w:vAlign w:val="center"/>
                </w:tcPr>
                <w:p w14:paraId="10076DCC">
                  <w:pPr>
                    <w:pStyle w:val="13"/>
                    <w:jc w:val="center"/>
                  </w:pPr>
                </w:p>
              </w:tc>
              <w:tc>
                <w:tcPr>
                  <w:tcW w:w="668" w:type="dxa"/>
                  <w:vMerge w:val="continue"/>
                  <w:noWrap/>
                  <w:vAlign w:val="center"/>
                </w:tcPr>
                <w:p w14:paraId="080BF165">
                  <w:pPr>
                    <w:pStyle w:val="13"/>
                    <w:jc w:val="center"/>
                  </w:pPr>
                </w:p>
              </w:tc>
            </w:tr>
            <w:tr w14:paraId="4A1655F0">
              <w:trPr>
                <w:trHeight w:val="340" w:hRule="atLeast"/>
                <w:jc w:val="center"/>
              </w:trPr>
              <w:tc>
                <w:tcPr>
                  <w:tcW w:w="684" w:type="dxa"/>
                  <w:noWrap/>
                  <w:vAlign w:val="center"/>
                </w:tcPr>
                <w:p w14:paraId="096EE135">
                  <w:pPr>
                    <w:pStyle w:val="13"/>
                    <w:jc w:val="center"/>
                  </w:pPr>
                  <w:r>
                    <w:t>1</w:t>
                  </w:r>
                </w:p>
              </w:tc>
              <w:tc>
                <w:tcPr>
                  <w:tcW w:w="1211" w:type="dxa"/>
                  <w:vMerge w:val="restart"/>
                  <w:vAlign w:val="center"/>
                </w:tcPr>
                <w:p w14:paraId="7DC2676C">
                  <w:pPr>
                    <w:pStyle w:val="13"/>
                    <w:jc w:val="center"/>
                  </w:pPr>
                  <w:r>
                    <w:rPr>
                      <w:rFonts w:hint="eastAsia"/>
                    </w:rPr>
                    <w:t>螺杆挤出机</w:t>
                  </w:r>
                </w:p>
              </w:tc>
              <w:tc>
                <w:tcPr>
                  <w:tcW w:w="652" w:type="dxa"/>
                  <w:vAlign w:val="center"/>
                </w:tcPr>
                <w:p w14:paraId="26068AC7">
                  <w:pPr>
                    <w:pStyle w:val="13"/>
                    <w:jc w:val="center"/>
                  </w:pPr>
                  <w:r>
                    <w:rPr>
                      <w:rFonts w:hint="eastAsia"/>
                    </w:rPr>
                    <w:t>52B</w:t>
                  </w:r>
                </w:p>
              </w:tc>
              <w:tc>
                <w:tcPr>
                  <w:tcW w:w="811" w:type="dxa"/>
                  <w:noWrap/>
                  <w:vAlign w:val="center"/>
                </w:tcPr>
                <w:p w14:paraId="6406C789">
                  <w:pPr>
                    <w:pStyle w:val="13"/>
                    <w:jc w:val="center"/>
                  </w:pPr>
                  <w:r>
                    <w:t>4</w:t>
                  </w:r>
                </w:p>
              </w:tc>
              <w:tc>
                <w:tcPr>
                  <w:tcW w:w="916" w:type="dxa"/>
                  <w:noWrap/>
                  <w:vAlign w:val="center"/>
                </w:tcPr>
                <w:p w14:paraId="7321CB67">
                  <w:pPr>
                    <w:pStyle w:val="13"/>
                    <w:jc w:val="center"/>
                  </w:pPr>
                  <w:r>
                    <w:rPr>
                      <w:rFonts w:hint="eastAsia"/>
                    </w:rPr>
                    <w:t>4</w:t>
                  </w:r>
                </w:p>
              </w:tc>
              <w:tc>
                <w:tcPr>
                  <w:tcW w:w="810" w:type="dxa"/>
                  <w:noWrap/>
                  <w:vAlign w:val="center"/>
                </w:tcPr>
                <w:p w14:paraId="72851930">
                  <w:pPr>
                    <w:pStyle w:val="13"/>
                    <w:jc w:val="center"/>
                  </w:pPr>
                  <w:r>
                    <w:rPr>
                      <w:rFonts w:hint="eastAsia"/>
                    </w:rPr>
                    <w:t>0</w:t>
                  </w:r>
                </w:p>
              </w:tc>
              <w:tc>
                <w:tcPr>
                  <w:tcW w:w="853" w:type="dxa"/>
                  <w:noWrap/>
                  <w:vAlign w:val="center"/>
                </w:tcPr>
                <w:p w14:paraId="7724407E">
                  <w:pPr>
                    <w:pStyle w:val="13"/>
                    <w:jc w:val="center"/>
                  </w:pPr>
                  <w:r>
                    <w:t>0</w:t>
                  </w:r>
                </w:p>
              </w:tc>
              <w:tc>
                <w:tcPr>
                  <w:tcW w:w="1193" w:type="dxa"/>
                  <w:noWrap/>
                  <w:vAlign w:val="center"/>
                </w:tcPr>
                <w:p w14:paraId="44CB1DEE">
                  <w:pPr>
                    <w:pStyle w:val="13"/>
                    <w:jc w:val="center"/>
                  </w:pPr>
                  <w:r>
                    <w:t>4</w:t>
                  </w:r>
                </w:p>
              </w:tc>
              <w:tc>
                <w:tcPr>
                  <w:tcW w:w="668" w:type="dxa"/>
                  <w:noWrap/>
                  <w:vAlign w:val="center"/>
                </w:tcPr>
                <w:p w14:paraId="3F480C8D">
                  <w:pPr>
                    <w:pStyle w:val="13"/>
                    <w:jc w:val="center"/>
                  </w:pPr>
                  <w:r>
                    <w:rPr>
                      <w:rFonts w:hint="eastAsia"/>
                    </w:rPr>
                    <w:t>利旧</w:t>
                  </w:r>
                </w:p>
              </w:tc>
            </w:tr>
            <w:tr w14:paraId="49EEF94E">
              <w:trPr>
                <w:trHeight w:val="340" w:hRule="atLeast"/>
                <w:jc w:val="center"/>
              </w:trPr>
              <w:tc>
                <w:tcPr>
                  <w:tcW w:w="684" w:type="dxa"/>
                  <w:noWrap/>
                  <w:vAlign w:val="center"/>
                </w:tcPr>
                <w:p w14:paraId="55EBB46C">
                  <w:pPr>
                    <w:pStyle w:val="13"/>
                    <w:jc w:val="center"/>
                  </w:pPr>
                  <w:r>
                    <w:t>2</w:t>
                  </w:r>
                </w:p>
              </w:tc>
              <w:tc>
                <w:tcPr>
                  <w:tcW w:w="1211" w:type="dxa"/>
                  <w:vMerge w:val="continue"/>
                  <w:vAlign w:val="center"/>
                </w:tcPr>
                <w:p w14:paraId="4E758413">
                  <w:pPr>
                    <w:pStyle w:val="13"/>
                    <w:jc w:val="center"/>
                  </w:pPr>
                </w:p>
              </w:tc>
              <w:tc>
                <w:tcPr>
                  <w:tcW w:w="652" w:type="dxa"/>
                  <w:vAlign w:val="center"/>
                </w:tcPr>
                <w:p w14:paraId="0D58BBE0">
                  <w:pPr>
                    <w:pStyle w:val="13"/>
                    <w:jc w:val="center"/>
                  </w:pPr>
                  <w:r>
                    <w:rPr>
                      <w:rFonts w:hint="eastAsia"/>
                    </w:rPr>
                    <w:t>75</w:t>
                  </w:r>
                </w:p>
              </w:tc>
              <w:tc>
                <w:tcPr>
                  <w:tcW w:w="811" w:type="dxa"/>
                  <w:noWrap/>
                  <w:vAlign w:val="center"/>
                </w:tcPr>
                <w:p w14:paraId="202C343A">
                  <w:pPr>
                    <w:pStyle w:val="13"/>
                    <w:jc w:val="center"/>
                  </w:pPr>
                  <w:r>
                    <w:rPr>
                      <w:rFonts w:hint="eastAsia"/>
                    </w:rPr>
                    <w:t>1</w:t>
                  </w:r>
                </w:p>
              </w:tc>
              <w:tc>
                <w:tcPr>
                  <w:tcW w:w="916" w:type="dxa"/>
                  <w:noWrap/>
                  <w:vAlign w:val="center"/>
                </w:tcPr>
                <w:p w14:paraId="5ADC6338">
                  <w:pPr>
                    <w:pStyle w:val="13"/>
                    <w:jc w:val="center"/>
                  </w:pPr>
                  <w:r>
                    <w:rPr>
                      <w:rFonts w:hint="eastAsia"/>
                    </w:rPr>
                    <w:t>1</w:t>
                  </w:r>
                </w:p>
              </w:tc>
              <w:tc>
                <w:tcPr>
                  <w:tcW w:w="810" w:type="dxa"/>
                  <w:noWrap/>
                  <w:vAlign w:val="center"/>
                </w:tcPr>
                <w:p w14:paraId="53D7467E">
                  <w:pPr>
                    <w:pStyle w:val="13"/>
                    <w:jc w:val="center"/>
                  </w:pPr>
                  <w:r>
                    <w:rPr>
                      <w:rFonts w:hint="eastAsia"/>
                    </w:rPr>
                    <w:t>0</w:t>
                  </w:r>
                </w:p>
              </w:tc>
              <w:tc>
                <w:tcPr>
                  <w:tcW w:w="853" w:type="dxa"/>
                  <w:noWrap/>
                  <w:vAlign w:val="center"/>
                </w:tcPr>
                <w:p w14:paraId="04B81FE0">
                  <w:pPr>
                    <w:pStyle w:val="13"/>
                    <w:jc w:val="center"/>
                  </w:pPr>
                  <w:r>
                    <w:rPr>
                      <w:rFonts w:hint="eastAsia"/>
                    </w:rPr>
                    <w:t>0</w:t>
                  </w:r>
                </w:p>
              </w:tc>
              <w:tc>
                <w:tcPr>
                  <w:tcW w:w="1193" w:type="dxa"/>
                  <w:noWrap/>
                  <w:vAlign w:val="center"/>
                </w:tcPr>
                <w:p w14:paraId="26AB8E85">
                  <w:pPr>
                    <w:pStyle w:val="13"/>
                    <w:jc w:val="center"/>
                  </w:pPr>
                  <w:r>
                    <w:rPr>
                      <w:rFonts w:hint="eastAsia"/>
                    </w:rPr>
                    <w:t>1</w:t>
                  </w:r>
                </w:p>
              </w:tc>
              <w:tc>
                <w:tcPr>
                  <w:tcW w:w="668" w:type="dxa"/>
                  <w:noWrap/>
                  <w:vAlign w:val="center"/>
                </w:tcPr>
                <w:p w14:paraId="1E875C5C">
                  <w:pPr>
                    <w:pStyle w:val="13"/>
                    <w:jc w:val="center"/>
                  </w:pPr>
                  <w:r>
                    <w:rPr>
                      <w:rFonts w:hint="eastAsia"/>
                    </w:rPr>
                    <w:t>利旧</w:t>
                  </w:r>
                </w:p>
              </w:tc>
            </w:tr>
            <w:tr w14:paraId="42FCDBB7">
              <w:trPr>
                <w:trHeight w:val="340" w:hRule="atLeast"/>
                <w:jc w:val="center"/>
              </w:trPr>
              <w:tc>
                <w:tcPr>
                  <w:tcW w:w="684" w:type="dxa"/>
                  <w:noWrap/>
                  <w:vAlign w:val="center"/>
                </w:tcPr>
                <w:p w14:paraId="6FDF14E7">
                  <w:pPr>
                    <w:pStyle w:val="13"/>
                    <w:jc w:val="center"/>
                  </w:pPr>
                  <w:r>
                    <w:t>3</w:t>
                  </w:r>
                </w:p>
              </w:tc>
              <w:tc>
                <w:tcPr>
                  <w:tcW w:w="1211" w:type="dxa"/>
                  <w:vMerge w:val="continue"/>
                  <w:vAlign w:val="center"/>
                </w:tcPr>
                <w:p w14:paraId="5C31CD83">
                  <w:pPr>
                    <w:pStyle w:val="13"/>
                    <w:jc w:val="center"/>
                  </w:pPr>
                </w:p>
              </w:tc>
              <w:tc>
                <w:tcPr>
                  <w:tcW w:w="652" w:type="dxa"/>
                  <w:vAlign w:val="center"/>
                </w:tcPr>
                <w:p w14:paraId="7DA6147F">
                  <w:pPr>
                    <w:pStyle w:val="13"/>
                    <w:jc w:val="center"/>
                  </w:pPr>
                  <w:r>
                    <w:rPr>
                      <w:rFonts w:hint="eastAsia"/>
                    </w:rPr>
                    <w:t>65</w:t>
                  </w:r>
                </w:p>
              </w:tc>
              <w:tc>
                <w:tcPr>
                  <w:tcW w:w="811" w:type="dxa"/>
                  <w:noWrap/>
                  <w:vAlign w:val="center"/>
                </w:tcPr>
                <w:p w14:paraId="676D3A47">
                  <w:pPr>
                    <w:pStyle w:val="13"/>
                    <w:jc w:val="center"/>
                  </w:pPr>
                  <w:r>
                    <w:rPr>
                      <w:rFonts w:hint="eastAsia"/>
                    </w:rPr>
                    <w:t>1</w:t>
                  </w:r>
                </w:p>
              </w:tc>
              <w:tc>
                <w:tcPr>
                  <w:tcW w:w="916" w:type="dxa"/>
                  <w:noWrap/>
                  <w:vAlign w:val="center"/>
                </w:tcPr>
                <w:p w14:paraId="6461B698">
                  <w:pPr>
                    <w:pStyle w:val="13"/>
                    <w:jc w:val="center"/>
                  </w:pPr>
                  <w:r>
                    <w:rPr>
                      <w:rFonts w:hint="eastAsia"/>
                    </w:rPr>
                    <w:t>1</w:t>
                  </w:r>
                </w:p>
              </w:tc>
              <w:tc>
                <w:tcPr>
                  <w:tcW w:w="810" w:type="dxa"/>
                  <w:noWrap/>
                  <w:vAlign w:val="center"/>
                </w:tcPr>
                <w:p w14:paraId="13A6C847">
                  <w:pPr>
                    <w:pStyle w:val="13"/>
                    <w:jc w:val="center"/>
                  </w:pPr>
                  <w:r>
                    <w:rPr>
                      <w:rFonts w:hint="eastAsia"/>
                    </w:rPr>
                    <w:t>0</w:t>
                  </w:r>
                </w:p>
              </w:tc>
              <w:tc>
                <w:tcPr>
                  <w:tcW w:w="853" w:type="dxa"/>
                  <w:noWrap/>
                  <w:vAlign w:val="center"/>
                </w:tcPr>
                <w:p w14:paraId="005E0438">
                  <w:pPr>
                    <w:pStyle w:val="13"/>
                    <w:jc w:val="center"/>
                  </w:pPr>
                  <w:r>
                    <w:rPr>
                      <w:rFonts w:hint="eastAsia"/>
                    </w:rPr>
                    <w:t>0</w:t>
                  </w:r>
                </w:p>
              </w:tc>
              <w:tc>
                <w:tcPr>
                  <w:tcW w:w="1193" w:type="dxa"/>
                  <w:noWrap/>
                  <w:vAlign w:val="center"/>
                </w:tcPr>
                <w:p w14:paraId="31D48334">
                  <w:pPr>
                    <w:pStyle w:val="13"/>
                    <w:jc w:val="center"/>
                  </w:pPr>
                  <w:r>
                    <w:rPr>
                      <w:rFonts w:hint="eastAsia"/>
                    </w:rPr>
                    <w:t>1</w:t>
                  </w:r>
                </w:p>
              </w:tc>
              <w:tc>
                <w:tcPr>
                  <w:tcW w:w="668" w:type="dxa"/>
                  <w:noWrap/>
                  <w:vAlign w:val="center"/>
                </w:tcPr>
                <w:p w14:paraId="40BA37D6">
                  <w:pPr>
                    <w:pStyle w:val="13"/>
                    <w:jc w:val="center"/>
                  </w:pPr>
                  <w:r>
                    <w:rPr>
                      <w:rFonts w:hint="eastAsia"/>
                    </w:rPr>
                    <w:t>利旧</w:t>
                  </w:r>
                </w:p>
              </w:tc>
            </w:tr>
            <w:tr w14:paraId="2011FF59">
              <w:trPr>
                <w:trHeight w:val="340" w:hRule="atLeast"/>
                <w:jc w:val="center"/>
              </w:trPr>
              <w:tc>
                <w:tcPr>
                  <w:tcW w:w="684" w:type="dxa"/>
                  <w:noWrap/>
                  <w:vAlign w:val="center"/>
                </w:tcPr>
                <w:p w14:paraId="7985E68D">
                  <w:pPr>
                    <w:pStyle w:val="13"/>
                    <w:jc w:val="center"/>
                  </w:pPr>
                  <w:r>
                    <w:t>4</w:t>
                  </w:r>
                </w:p>
              </w:tc>
              <w:tc>
                <w:tcPr>
                  <w:tcW w:w="1211" w:type="dxa"/>
                  <w:vMerge w:val="continue"/>
                  <w:vAlign w:val="center"/>
                </w:tcPr>
                <w:p w14:paraId="20EA9EB8">
                  <w:pPr>
                    <w:pStyle w:val="13"/>
                    <w:jc w:val="center"/>
                  </w:pPr>
                </w:p>
              </w:tc>
              <w:tc>
                <w:tcPr>
                  <w:tcW w:w="652" w:type="dxa"/>
                  <w:vAlign w:val="center"/>
                </w:tcPr>
                <w:p w14:paraId="63D7B71B">
                  <w:pPr>
                    <w:pStyle w:val="13"/>
                    <w:jc w:val="center"/>
                  </w:pPr>
                  <w:r>
                    <w:rPr>
                      <w:rFonts w:hint="eastAsia"/>
                    </w:rPr>
                    <w:t>36</w:t>
                  </w:r>
                </w:p>
              </w:tc>
              <w:tc>
                <w:tcPr>
                  <w:tcW w:w="811" w:type="dxa"/>
                  <w:noWrap/>
                  <w:vAlign w:val="center"/>
                </w:tcPr>
                <w:p w14:paraId="659884D6">
                  <w:pPr>
                    <w:pStyle w:val="13"/>
                    <w:jc w:val="center"/>
                  </w:pPr>
                  <w:r>
                    <w:rPr>
                      <w:rFonts w:hint="eastAsia"/>
                    </w:rPr>
                    <w:t>4</w:t>
                  </w:r>
                </w:p>
              </w:tc>
              <w:tc>
                <w:tcPr>
                  <w:tcW w:w="916" w:type="dxa"/>
                  <w:noWrap/>
                  <w:vAlign w:val="center"/>
                </w:tcPr>
                <w:p w14:paraId="272CF384">
                  <w:pPr>
                    <w:pStyle w:val="13"/>
                    <w:jc w:val="center"/>
                  </w:pPr>
                  <w:r>
                    <w:rPr>
                      <w:rFonts w:hint="eastAsia"/>
                    </w:rPr>
                    <w:t>4</w:t>
                  </w:r>
                </w:p>
              </w:tc>
              <w:tc>
                <w:tcPr>
                  <w:tcW w:w="810" w:type="dxa"/>
                  <w:noWrap/>
                  <w:vAlign w:val="center"/>
                </w:tcPr>
                <w:p w14:paraId="0286C667">
                  <w:pPr>
                    <w:pStyle w:val="13"/>
                    <w:jc w:val="center"/>
                  </w:pPr>
                  <w:r>
                    <w:rPr>
                      <w:rFonts w:hint="eastAsia"/>
                    </w:rPr>
                    <w:t>0</w:t>
                  </w:r>
                </w:p>
              </w:tc>
              <w:tc>
                <w:tcPr>
                  <w:tcW w:w="853" w:type="dxa"/>
                  <w:noWrap/>
                  <w:vAlign w:val="center"/>
                </w:tcPr>
                <w:p w14:paraId="077620C8">
                  <w:pPr>
                    <w:pStyle w:val="13"/>
                    <w:jc w:val="center"/>
                  </w:pPr>
                  <w:r>
                    <w:rPr>
                      <w:rFonts w:hint="eastAsia"/>
                    </w:rPr>
                    <w:t>-4</w:t>
                  </w:r>
                </w:p>
              </w:tc>
              <w:tc>
                <w:tcPr>
                  <w:tcW w:w="1193" w:type="dxa"/>
                  <w:noWrap/>
                  <w:vAlign w:val="center"/>
                </w:tcPr>
                <w:p w14:paraId="59D45772">
                  <w:pPr>
                    <w:pStyle w:val="13"/>
                    <w:jc w:val="center"/>
                  </w:pPr>
                  <w:r>
                    <w:rPr>
                      <w:rFonts w:hint="eastAsia"/>
                    </w:rPr>
                    <w:t>0</w:t>
                  </w:r>
                </w:p>
              </w:tc>
              <w:tc>
                <w:tcPr>
                  <w:tcW w:w="668" w:type="dxa"/>
                  <w:noWrap/>
                  <w:vAlign w:val="center"/>
                </w:tcPr>
                <w:p w14:paraId="422BA97D">
                  <w:pPr>
                    <w:pStyle w:val="13"/>
                    <w:jc w:val="center"/>
                  </w:pPr>
                  <w:r>
                    <w:rPr>
                      <w:rFonts w:hint="eastAsia"/>
                    </w:rPr>
                    <w:t>淘汰</w:t>
                  </w:r>
                </w:p>
              </w:tc>
            </w:tr>
            <w:tr w14:paraId="1F41006E">
              <w:trPr>
                <w:trHeight w:val="340" w:hRule="atLeast"/>
                <w:jc w:val="center"/>
              </w:trPr>
              <w:tc>
                <w:tcPr>
                  <w:tcW w:w="684" w:type="dxa"/>
                  <w:noWrap/>
                  <w:vAlign w:val="center"/>
                </w:tcPr>
                <w:p w14:paraId="6D7DB220">
                  <w:pPr>
                    <w:pStyle w:val="13"/>
                    <w:jc w:val="center"/>
                  </w:pPr>
                  <w:r>
                    <w:t>5</w:t>
                  </w:r>
                </w:p>
              </w:tc>
              <w:tc>
                <w:tcPr>
                  <w:tcW w:w="1211" w:type="dxa"/>
                  <w:vMerge w:val="continue"/>
                  <w:vAlign w:val="center"/>
                </w:tcPr>
                <w:p w14:paraId="0A2769B1">
                  <w:pPr>
                    <w:pStyle w:val="13"/>
                    <w:jc w:val="center"/>
                  </w:pPr>
                </w:p>
              </w:tc>
              <w:tc>
                <w:tcPr>
                  <w:tcW w:w="652" w:type="dxa"/>
                  <w:vAlign w:val="center"/>
                </w:tcPr>
                <w:p w14:paraId="250E6CB7">
                  <w:pPr>
                    <w:pStyle w:val="13"/>
                    <w:jc w:val="center"/>
                  </w:pPr>
                  <w:r>
                    <w:rPr>
                      <w:rFonts w:hint="eastAsia"/>
                    </w:rPr>
                    <w:t>90</w:t>
                  </w:r>
                </w:p>
              </w:tc>
              <w:tc>
                <w:tcPr>
                  <w:tcW w:w="811" w:type="dxa"/>
                  <w:noWrap/>
                  <w:vAlign w:val="center"/>
                </w:tcPr>
                <w:p w14:paraId="356D71E9">
                  <w:pPr>
                    <w:pStyle w:val="13"/>
                    <w:jc w:val="center"/>
                  </w:pPr>
                  <w:r>
                    <w:rPr>
                      <w:rFonts w:hint="eastAsia"/>
                    </w:rPr>
                    <w:t>1</w:t>
                  </w:r>
                </w:p>
              </w:tc>
              <w:tc>
                <w:tcPr>
                  <w:tcW w:w="916" w:type="dxa"/>
                  <w:noWrap/>
                  <w:vAlign w:val="center"/>
                </w:tcPr>
                <w:p w14:paraId="42B7D1C9">
                  <w:pPr>
                    <w:pStyle w:val="13"/>
                    <w:jc w:val="center"/>
                  </w:pPr>
                  <w:r>
                    <w:rPr>
                      <w:rFonts w:hint="eastAsia"/>
                    </w:rPr>
                    <w:t>1</w:t>
                  </w:r>
                </w:p>
              </w:tc>
              <w:tc>
                <w:tcPr>
                  <w:tcW w:w="810" w:type="dxa"/>
                  <w:noWrap/>
                  <w:vAlign w:val="center"/>
                </w:tcPr>
                <w:p w14:paraId="20F7D334">
                  <w:pPr>
                    <w:pStyle w:val="13"/>
                    <w:jc w:val="center"/>
                  </w:pPr>
                  <w:r>
                    <w:rPr>
                      <w:rFonts w:hint="eastAsia"/>
                    </w:rPr>
                    <w:t>0</w:t>
                  </w:r>
                </w:p>
              </w:tc>
              <w:tc>
                <w:tcPr>
                  <w:tcW w:w="853" w:type="dxa"/>
                  <w:noWrap/>
                  <w:vAlign w:val="center"/>
                </w:tcPr>
                <w:p w14:paraId="5E6E3ACB">
                  <w:pPr>
                    <w:pStyle w:val="13"/>
                    <w:jc w:val="center"/>
                  </w:pPr>
                  <w:r>
                    <w:rPr>
                      <w:rFonts w:hint="eastAsia"/>
                    </w:rPr>
                    <w:t>0</w:t>
                  </w:r>
                </w:p>
              </w:tc>
              <w:tc>
                <w:tcPr>
                  <w:tcW w:w="1193" w:type="dxa"/>
                  <w:noWrap/>
                  <w:vAlign w:val="center"/>
                </w:tcPr>
                <w:p w14:paraId="45D273D5">
                  <w:pPr>
                    <w:pStyle w:val="13"/>
                    <w:jc w:val="center"/>
                  </w:pPr>
                  <w:r>
                    <w:rPr>
                      <w:rFonts w:hint="eastAsia"/>
                    </w:rPr>
                    <w:t>1</w:t>
                  </w:r>
                </w:p>
              </w:tc>
              <w:tc>
                <w:tcPr>
                  <w:tcW w:w="668" w:type="dxa"/>
                  <w:noWrap/>
                  <w:vAlign w:val="center"/>
                </w:tcPr>
                <w:p w14:paraId="35B29669">
                  <w:pPr>
                    <w:pStyle w:val="13"/>
                    <w:jc w:val="center"/>
                  </w:pPr>
                  <w:r>
                    <w:rPr>
                      <w:rFonts w:hint="eastAsia"/>
                    </w:rPr>
                    <w:t>利旧</w:t>
                  </w:r>
                </w:p>
              </w:tc>
            </w:tr>
            <w:tr w14:paraId="7E92F297">
              <w:trPr>
                <w:trHeight w:val="340" w:hRule="atLeast"/>
                <w:jc w:val="center"/>
              </w:trPr>
              <w:tc>
                <w:tcPr>
                  <w:tcW w:w="684" w:type="dxa"/>
                  <w:noWrap/>
                  <w:vAlign w:val="center"/>
                </w:tcPr>
                <w:p w14:paraId="1BBA3DFA">
                  <w:pPr>
                    <w:pStyle w:val="13"/>
                    <w:jc w:val="center"/>
                  </w:pPr>
                  <w:r>
                    <w:t>6</w:t>
                  </w:r>
                </w:p>
              </w:tc>
              <w:tc>
                <w:tcPr>
                  <w:tcW w:w="1211" w:type="dxa"/>
                  <w:vMerge w:val="continue"/>
                  <w:vAlign w:val="center"/>
                </w:tcPr>
                <w:p w14:paraId="52E85445">
                  <w:pPr>
                    <w:pStyle w:val="13"/>
                    <w:jc w:val="center"/>
                  </w:pPr>
                </w:p>
              </w:tc>
              <w:tc>
                <w:tcPr>
                  <w:tcW w:w="652" w:type="dxa"/>
                  <w:vAlign w:val="center"/>
                </w:tcPr>
                <w:p w14:paraId="35F5BA9A">
                  <w:pPr>
                    <w:pStyle w:val="13"/>
                    <w:jc w:val="center"/>
                  </w:pPr>
                  <w:r>
                    <w:rPr>
                      <w:rFonts w:hint="eastAsia"/>
                    </w:rPr>
                    <w:t>52</w:t>
                  </w:r>
                </w:p>
              </w:tc>
              <w:tc>
                <w:tcPr>
                  <w:tcW w:w="811" w:type="dxa"/>
                  <w:noWrap/>
                  <w:vAlign w:val="center"/>
                </w:tcPr>
                <w:p w14:paraId="2F047020">
                  <w:pPr>
                    <w:pStyle w:val="13"/>
                    <w:jc w:val="center"/>
                  </w:pPr>
                  <w:r>
                    <w:rPr>
                      <w:rFonts w:hint="eastAsia"/>
                    </w:rPr>
                    <w:t>1</w:t>
                  </w:r>
                </w:p>
              </w:tc>
              <w:tc>
                <w:tcPr>
                  <w:tcW w:w="916" w:type="dxa"/>
                  <w:noWrap/>
                  <w:vAlign w:val="center"/>
                </w:tcPr>
                <w:p w14:paraId="584E4EB8">
                  <w:pPr>
                    <w:pStyle w:val="13"/>
                    <w:jc w:val="center"/>
                  </w:pPr>
                  <w:r>
                    <w:rPr>
                      <w:rFonts w:hint="eastAsia"/>
                    </w:rPr>
                    <w:t>1</w:t>
                  </w:r>
                </w:p>
              </w:tc>
              <w:tc>
                <w:tcPr>
                  <w:tcW w:w="810" w:type="dxa"/>
                  <w:noWrap/>
                  <w:vAlign w:val="center"/>
                </w:tcPr>
                <w:p w14:paraId="4F2ED38B">
                  <w:pPr>
                    <w:pStyle w:val="13"/>
                    <w:jc w:val="center"/>
                  </w:pPr>
                  <w:r>
                    <w:rPr>
                      <w:rFonts w:hint="eastAsia"/>
                    </w:rPr>
                    <w:t>0</w:t>
                  </w:r>
                </w:p>
              </w:tc>
              <w:tc>
                <w:tcPr>
                  <w:tcW w:w="853" w:type="dxa"/>
                  <w:noWrap/>
                  <w:vAlign w:val="center"/>
                </w:tcPr>
                <w:p w14:paraId="52764826">
                  <w:pPr>
                    <w:pStyle w:val="13"/>
                    <w:jc w:val="center"/>
                  </w:pPr>
                  <w:r>
                    <w:rPr>
                      <w:rFonts w:hint="eastAsia"/>
                    </w:rPr>
                    <w:t>0</w:t>
                  </w:r>
                </w:p>
              </w:tc>
              <w:tc>
                <w:tcPr>
                  <w:tcW w:w="1193" w:type="dxa"/>
                  <w:noWrap/>
                  <w:vAlign w:val="center"/>
                </w:tcPr>
                <w:p w14:paraId="1EBAACAE">
                  <w:pPr>
                    <w:pStyle w:val="13"/>
                    <w:jc w:val="center"/>
                  </w:pPr>
                  <w:r>
                    <w:rPr>
                      <w:rFonts w:hint="eastAsia"/>
                    </w:rPr>
                    <w:t>1</w:t>
                  </w:r>
                </w:p>
              </w:tc>
              <w:tc>
                <w:tcPr>
                  <w:tcW w:w="668" w:type="dxa"/>
                  <w:noWrap/>
                  <w:vAlign w:val="center"/>
                </w:tcPr>
                <w:p w14:paraId="7A7F3EA3">
                  <w:pPr>
                    <w:pStyle w:val="13"/>
                    <w:jc w:val="center"/>
                  </w:pPr>
                  <w:r>
                    <w:rPr>
                      <w:rFonts w:hint="eastAsia"/>
                    </w:rPr>
                    <w:t>利旧</w:t>
                  </w:r>
                </w:p>
              </w:tc>
            </w:tr>
            <w:tr w14:paraId="34F9D566">
              <w:trPr>
                <w:trHeight w:val="340" w:hRule="atLeast"/>
                <w:jc w:val="center"/>
              </w:trPr>
              <w:tc>
                <w:tcPr>
                  <w:tcW w:w="684" w:type="dxa"/>
                  <w:noWrap/>
                  <w:vAlign w:val="center"/>
                </w:tcPr>
                <w:p w14:paraId="667182F7">
                  <w:pPr>
                    <w:pStyle w:val="13"/>
                    <w:jc w:val="center"/>
                  </w:pPr>
                  <w:r>
                    <w:t>7</w:t>
                  </w:r>
                </w:p>
              </w:tc>
              <w:tc>
                <w:tcPr>
                  <w:tcW w:w="1211" w:type="dxa"/>
                  <w:vMerge w:val="continue"/>
                  <w:vAlign w:val="center"/>
                </w:tcPr>
                <w:p w14:paraId="2BBA1E2A">
                  <w:pPr>
                    <w:pStyle w:val="13"/>
                    <w:jc w:val="center"/>
                  </w:pPr>
                </w:p>
              </w:tc>
              <w:tc>
                <w:tcPr>
                  <w:tcW w:w="652" w:type="dxa"/>
                  <w:vAlign w:val="center"/>
                </w:tcPr>
                <w:p w14:paraId="1E240255">
                  <w:pPr>
                    <w:pStyle w:val="13"/>
                    <w:jc w:val="center"/>
                  </w:pPr>
                  <w:r>
                    <w:rPr>
                      <w:rFonts w:hint="eastAsia"/>
                    </w:rPr>
                    <w:t>36B</w:t>
                  </w:r>
                </w:p>
              </w:tc>
              <w:tc>
                <w:tcPr>
                  <w:tcW w:w="811" w:type="dxa"/>
                  <w:noWrap/>
                  <w:vAlign w:val="center"/>
                </w:tcPr>
                <w:p w14:paraId="667A3EE2">
                  <w:pPr>
                    <w:pStyle w:val="13"/>
                    <w:jc w:val="center"/>
                  </w:pPr>
                  <w:r>
                    <w:rPr>
                      <w:rFonts w:hint="eastAsia"/>
                    </w:rPr>
                    <w:t>0</w:t>
                  </w:r>
                </w:p>
              </w:tc>
              <w:tc>
                <w:tcPr>
                  <w:tcW w:w="916" w:type="dxa"/>
                  <w:noWrap/>
                  <w:vAlign w:val="center"/>
                </w:tcPr>
                <w:p w14:paraId="7ACB534B">
                  <w:pPr>
                    <w:pStyle w:val="13"/>
                    <w:jc w:val="center"/>
                  </w:pPr>
                  <w:r>
                    <w:rPr>
                      <w:rFonts w:hint="eastAsia"/>
                    </w:rPr>
                    <w:t>0</w:t>
                  </w:r>
                </w:p>
              </w:tc>
              <w:tc>
                <w:tcPr>
                  <w:tcW w:w="810" w:type="dxa"/>
                  <w:noWrap/>
                  <w:vAlign w:val="center"/>
                </w:tcPr>
                <w:p w14:paraId="6547535D">
                  <w:pPr>
                    <w:pStyle w:val="13"/>
                    <w:jc w:val="center"/>
                  </w:pPr>
                  <w:r>
                    <w:rPr>
                      <w:rFonts w:hint="eastAsia"/>
                    </w:rPr>
                    <w:t>0</w:t>
                  </w:r>
                </w:p>
              </w:tc>
              <w:tc>
                <w:tcPr>
                  <w:tcW w:w="853" w:type="dxa"/>
                  <w:noWrap/>
                  <w:vAlign w:val="center"/>
                </w:tcPr>
                <w:p w14:paraId="7C55FF02">
                  <w:pPr>
                    <w:pStyle w:val="13"/>
                    <w:jc w:val="center"/>
                  </w:pPr>
                  <w:r>
                    <w:rPr>
                      <w:rFonts w:hint="eastAsia"/>
                    </w:rPr>
                    <w:t>4</w:t>
                  </w:r>
                </w:p>
              </w:tc>
              <w:tc>
                <w:tcPr>
                  <w:tcW w:w="1193" w:type="dxa"/>
                  <w:noWrap/>
                  <w:vAlign w:val="center"/>
                </w:tcPr>
                <w:p w14:paraId="0A24E2F8">
                  <w:pPr>
                    <w:pStyle w:val="13"/>
                    <w:jc w:val="center"/>
                  </w:pPr>
                  <w:r>
                    <w:rPr>
                      <w:rFonts w:hint="eastAsia"/>
                    </w:rPr>
                    <w:t>4</w:t>
                  </w:r>
                </w:p>
              </w:tc>
              <w:tc>
                <w:tcPr>
                  <w:tcW w:w="668" w:type="dxa"/>
                  <w:noWrap/>
                  <w:vAlign w:val="center"/>
                </w:tcPr>
                <w:p w14:paraId="442405A8">
                  <w:pPr>
                    <w:pStyle w:val="13"/>
                    <w:jc w:val="center"/>
                  </w:pPr>
                  <w:r>
                    <w:rPr>
                      <w:rFonts w:hint="eastAsia"/>
                    </w:rPr>
                    <w:t>更新</w:t>
                  </w:r>
                </w:p>
              </w:tc>
            </w:tr>
            <w:tr w14:paraId="46CF092C">
              <w:trPr>
                <w:trHeight w:val="340" w:hRule="atLeast"/>
                <w:jc w:val="center"/>
              </w:trPr>
              <w:tc>
                <w:tcPr>
                  <w:tcW w:w="684" w:type="dxa"/>
                  <w:noWrap/>
                  <w:vAlign w:val="center"/>
                </w:tcPr>
                <w:p w14:paraId="6F7C7BF3">
                  <w:pPr>
                    <w:pStyle w:val="13"/>
                    <w:jc w:val="center"/>
                  </w:pPr>
                  <w:r>
                    <w:t>8</w:t>
                  </w:r>
                </w:p>
              </w:tc>
              <w:tc>
                <w:tcPr>
                  <w:tcW w:w="1211" w:type="dxa"/>
                  <w:vAlign w:val="center"/>
                </w:tcPr>
                <w:p w14:paraId="15AC0793">
                  <w:pPr>
                    <w:pStyle w:val="13"/>
                    <w:jc w:val="center"/>
                  </w:pPr>
                  <w:r>
                    <w:rPr>
                      <w:rFonts w:hint="eastAsia"/>
                    </w:rPr>
                    <w:t>打粉机</w:t>
                  </w:r>
                </w:p>
              </w:tc>
              <w:tc>
                <w:tcPr>
                  <w:tcW w:w="652" w:type="dxa"/>
                  <w:vAlign w:val="center"/>
                </w:tcPr>
                <w:p w14:paraId="03AB5445">
                  <w:pPr>
                    <w:pStyle w:val="13"/>
                    <w:jc w:val="center"/>
                  </w:pPr>
                  <w:r>
                    <w:rPr>
                      <w:rFonts w:hint="eastAsia"/>
                    </w:rPr>
                    <w:t>/</w:t>
                  </w:r>
                </w:p>
              </w:tc>
              <w:tc>
                <w:tcPr>
                  <w:tcW w:w="811" w:type="dxa"/>
                  <w:noWrap/>
                  <w:vAlign w:val="center"/>
                </w:tcPr>
                <w:p w14:paraId="5ECC8194">
                  <w:pPr>
                    <w:pStyle w:val="13"/>
                    <w:jc w:val="center"/>
                  </w:pPr>
                  <w:r>
                    <w:t>2</w:t>
                  </w:r>
                </w:p>
              </w:tc>
              <w:tc>
                <w:tcPr>
                  <w:tcW w:w="916" w:type="dxa"/>
                  <w:noWrap/>
                  <w:vAlign w:val="center"/>
                </w:tcPr>
                <w:p w14:paraId="6693F28A">
                  <w:pPr>
                    <w:pStyle w:val="13"/>
                    <w:jc w:val="center"/>
                  </w:pPr>
                  <w:r>
                    <w:t>2</w:t>
                  </w:r>
                </w:p>
              </w:tc>
              <w:tc>
                <w:tcPr>
                  <w:tcW w:w="810" w:type="dxa"/>
                  <w:noWrap/>
                  <w:vAlign w:val="center"/>
                </w:tcPr>
                <w:p w14:paraId="54CC87ED">
                  <w:pPr>
                    <w:pStyle w:val="13"/>
                    <w:jc w:val="center"/>
                  </w:pPr>
                  <w:r>
                    <w:rPr>
                      <w:rFonts w:hint="eastAsia"/>
                    </w:rPr>
                    <w:t>0</w:t>
                  </w:r>
                </w:p>
              </w:tc>
              <w:tc>
                <w:tcPr>
                  <w:tcW w:w="853" w:type="dxa"/>
                  <w:noWrap/>
                  <w:vAlign w:val="center"/>
                </w:tcPr>
                <w:p w14:paraId="4587693D">
                  <w:pPr>
                    <w:pStyle w:val="13"/>
                    <w:jc w:val="center"/>
                  </w:pPr>
                  <w:r>
                    <w:t>0</w:t>
                  </w:r>
                </w:p>
              </w:tc>
              <w:tc>
                <w:tcPr>
                  <w:tcW w:w="1193" w:type="dxa"/>
                  <w:noWrap/>
                  <w:vAlign w:val="center"/>
                </w:tcPr>
                <w:p w14:paraId="76DD1057">
                  <w:pPr>
                    <w:pStyle w:val="13"/>
                    <w:jc w:val="center"/>
                  </w:pPr>
                  <w:r>
                    <w:t>2</w:t>
                  </w:r>
                </w:p>
              </w:tc>
              <w:tc>
                <w:tcPr>
                  <w:tcW w:w="668" w:type="dxa"/>
                  <w:noWrap/>
                  <w:vAlign w:val="center"/>
                </w:tcPr>
                <w:p w14:paraId="19C8C8E0">
                  <w:pPr>
                    <w:pStyle w:val="13"/>
                    <w:jc w:val="center"/>
                  </w:pPr>
                  <w:r>
                    <w:rPr>
                      <w:rFonts w:hint="eastAsia"/>
                    </w:rPr>
                    <w:t>利旧</w:t>
                  </w:r>
                </w:p>
              </w:tc>
            </w:tr>
            <w:tr w14:paraId="2F01F99F">
              <w:trPr>
                <w:trHeight w:val="340" w:hRule="atLeast"/>
                <w:jc w:val="center"/>
              </w:trPr>
              <w:tc>
                <w:tcPr>
                  <w:tcW w:w="684" w:type="dxa"/>
                  <w:noWrap/>
                  <w:vAlign w:val="center"/>
                </w:tcPr>
                <w:p w14:paraId="0F9FC7FC">
                  <w:pPr>
                    <w:pStyle w:val="13"/>
                    <w:jc w:val="center"/>
                  </w:pPr>
                  <w:r>
                    <w:t>9</w:t>
                  </w:r>
                </w:p>
              </w:tc>
              <w:tc>
                <w:tcPr>
                  <w:tcW w:w="1211" w:type="dxa"/>
                  <w:vAlign w:val="center"/>
                </w:tcPr>
                <w:p w14:paraId="7FC7D0B4">
                  <w:pPr>
                    <w:pStyle w:val="13"/>
                    <w:jc w:val="center"/>
                  </w:pPr>
                  <w:r>
                    <w:rPr>
                      <w:rFonts w:hint="eastAsia"/>
                    </w:rPr>
                    <w:t>拌料机</w:t>
                  </w:r>
                </w:p>
              </w:tc>
              <w:tc>
                <w:tcPr>
                  <w:tcW w:w="652" w:type="dxa"/>
                  <w:vAlign w:val="center"/>
                </w:tcPr>
                <w:p w14:paraId="2F9E9881">
                  <w:pPr>
                    <w:pStyle w:val="13"/>
                    <w:jc w:val="center"/>
                  </w:pPr>
                  <w:r>
                    <w:rPr>
                      <w:rFonts w:hint="eastAsia"/>
                    </w:rPr>
                    <w:t>/</w:t>
                  </w:r>
                </w:p>
              </w:tc>
              <w:tc>
                <w:tcPr>
                  <w:tcW w:w="811" w:type="dxa"/>
                  <w:noWrap/>
                  <w:vAlign w:val="center"/>
                </w:tcPr>
                <w:p w14:paraId="724D644D">
                  <w:pPr>
                    <w:pStyle w:val="13"/>
                    <w:jc w:val="center"/>
                  </w:pPr>
                  <w:r>
                    <w:t>15</w:t>
                  </w:r>
                </w:p>
              </w:tc>
              <w:tc>
                <w:tcPr>
                  <w:tcW w:w="916" w:type="dxa"/>
                  <w:noWrap/>
                  <w:vAlign w:val="center"/>
                </w:tcPr>
                <w:p w14:paraId="1E0DDD34">
                  <w:pPr>
                    <w:pStyle w:val="13"/>
                    <w:jc w:val="center"/>
                  </w:pPr>
                  <w:r>
                    <w:t>15</w:t>
                  </w:r>
                </w:p>
              </w:tc>
              <w:tc>
                <w:tcPr>
                  <w:tcW w:w="810" w:type="dxa"/>
                  <w:noWrap/>
                  <w:vAlign w:val="center"/>
                </w:tcPr>
                <w:p w14:paraId="14EBD7DB">
                  <w:pPr>
                    <w:pStyle w:val="13"/>
                    <w:jc w:val="center"/>
                  </w:pPr>
                  <w:r>
                    <w:rPr>
                      <w:rFonts w:hint="eastAsia"/>
                    </w:rPr>
                    <w:t>0</w:t>
                  </w:r>
                </w:p>
              </w:tc>
              <w:tc>
                <w:tcPr>
                  <w:tcW w:w="853" w:type="dxa"/>
                  <w:noWrap/>
                  <w:vAlign w:val="center"/>
                </w:tcPr>
                <w:p w14:paraId="36C4965F">
                  <w:pPr>
                    <w:pStyle w:val="13"/>
                    <w:jc w:val="center"/>
                  </w:pPr>
                  <w:r>
                    <w:t>0</w:t>
                  </w:r>
                </w:p>
              </w:tc>
              <w:tc>
                <w:tcPr>
                  <w:tcW w:w="1193" w:type="dxa"/>
                  <w:noWrap/>
                  <w:vAlign w:val="center"/>
                </w:tcPr>
                <w:p w14:paraId="2EC97BA0">
                  <w:pPr>
                    <w:pStyle w:val="13"/>
                    <w:jc w:val="center"/>
                  </w:pPr>
                  <w:r>
                    <w:t>15</w:t>
                  </w:r>
                </w:p>
              </w:tc>
              <w:tc>
                <w:tcPr>
                  <w:tcW w:w="668" w:type="dxa"/>
                  <w:noWrap/>
                  <w:vAlign w:val="center"/>
                </w:tcPr>
                <w:p w14:paraId="02987D0C">
                  <w:pPr>
                    <w:pStyle w:val="13"/>
                    <w:jc w:val="center"/>
                  </w:pPr>
                  <w:r>
                    <w:rPr>
                      <w:rFonts w:hint="eastAsia"/>
                    </w:rPr>
                    <w:t>利旧</w:t>
                  </w:r>
                </w:p>
              </w:tc>
            </w:tr>
            <w:tr w14:paraId="201DABAF">
              <w:trPr>
                <w:trHeight w:val="340" w:hRule="atLeast"/>
                <w:jc w:val="center"/>
              </w:trPr>
              <w:tc>
                <w:tcPr>
                  <w:tcW w:w="684" w:type="dxa"/>
                  <w:noWrap/>
                  <w:vAlign w:val="center"/>
                </w:tcPr>
                <w:p w14:paraId="79D20E72">
                  <w:pPr>
                    <w:pStyle w:val="13"/>
                    <w:jc w:val="center"/>
                  </w:pPr>
                  <w:r>
                    <w:t>10</w:t>
                  </w:r>
                </w:p>
              </w:tc>
              <w:tc>
                <w:tcPr>
                  <w:tcW w:w="1211" w:type="dxa"/>
                  <w:vAlign w:val="center"/>
                </w:tcPr>
                <w:p w14:paraId="0A81196A">
                  <w:pPr>
                    <w:pStyle w:val="13"/>
                    <w:jc w:val="center"/>
                  </w:pPr>
                  <w:r>
                    <w:rPr>
                      <w:rFonts w:hint="eastAsia"/>
                    </w:rPr>
                    <w:t>切粒机</w:t>
                  </w:r>
                </w:p>
              </w:tc>
              <w:tc>
                <w:tcPr>
                  <w:tcW w:w="652" w:type="dxa"/>
                  <w:vAlign w:val="center"/>
                </w:tcPr>
                <w:p w14:paraId="15B89D80">
                  <w:pPr>
                    <w:pStyle w:val="13"/>
                    <w:jc w:val="center"/>
                  </w:pPr>
                  <w:r>
                    <w:rPr>
                      <w:rFonts w:hint="eastAsia"/>
                    </w:rPr>
                    <w:t>/</w:t>
                  </w:r>
                </w:p>
              </w:tc>
              <w:tc>
                <w:tcPr>
                  <w:tcW w:w="811" w:type="dxa"/>
                  <w:noWrap/>
                  <w:vAlign w:val="center"/>
                </w:tcPr>
                <w:p w14:paraId="667EEE7F">
                  <w:pPr>
                    <w:pStyle w:val="13"/>
                    <w:jc w:val="center"/>
                  </w:pPr>
                  <w:r>
                    <w:t>15</w:t>
                  </w:r>
                </w:p>
              </w:tc>
              <w:tc>
                <w:tcPr>
                  <w:tcW w:w="916" w:type="dxa"/>
                  <w:noWrap/>
                  <w:vAlign w:val="center"/>
                </w:tcPr>
                <w:p w14:paraId="2E90646A">
                  <w:pPr>
                    <w:pStyle w:val="13"/>
                    <w:jc w:val="center"/>
                  </w:pPr>
                  <w:r>
                    <w:t>15</w:t>
                  </w:r>
                </w:p>
              </w:tc>
              <w:tc>
                <w:tcPr>
                  <w:tcW w:w="810" w:type="dxa"/>
                  <w:noWrap/>
                  <w:vAlign w:val="center"/>
                </w:tcPr>
                <w:p w14:paraId="74690E05">
                  <w:pPr>
                    <w:pStyle w:val="13"/>
                    <w:jc w:val="center"/>
                  </w:pPr>
                  <w:r>
                    <w:rPr>
                      <w:rFonts w:hint="eastAsia"/>
                    </w:rPr>
                    <w:t>0</w:t>
                  </w:r>
                </w:p>
              </w:tc>
              <w:tc>
                <w:tcPr>
                  <w:tcW w:w="853" w:type="dxa"/>
                  <w:noWrap/>
                  <w:vAlign w:val="center"/>
                </w:tcPr>
                <w:p w14:paraId="7D4BDC02">
                  <w:pPr>
                    <w:pStyle w:val="13"/>
                    <w:jc w:val="center"/>
                  </w:pPr>
                  <w:r>
                    <w:t>0</w:t>
                  </w:r>
                </w:p>
              </w:tc>
              <w:tc>
                <w:tcPr>
                  <w:tcW w:w="1193" w:type="dxa"/>
                  <w:noWrap/>
                  <w:vAlign w:val="center"/>
                </w:tcPr>
                <w:p w14:paraId="62444537">
                  <w:pPr>
                    <w:pStyle w:val="13"/>
                    <w:jc w:val="center"/>
                  </w:pPr>
                  <w:r>
                    <w:t>15</w:t>
                  </w:r>
                </w:p>
              </w:tc>
              <w:tc>
                <w:tcPr>
                  <w:tcW w:w="668" w:type="dxa"/>
                  <w:noWrap/>
                  <w:vAlign w:val="center"/>
                </w:tcPr>
                <w:p w14:paraId="70203EFF">
                  <w:pPr>
                    <w:pStyle w:val="13"/>
                    <w:jc w:val="center"/>
                  </w:pPr>
                  <w:r>
                    <w:rPr>
                      <w:rFonts w:hint="eastAsia"/>
                    </w:rPr>
                    <w:t>利旧</w:t>
                  </w:r>
                </w:p>
              </w:tc>
            </w:tr>
            <w:tr w14:paraId="459B8EB8">
              <w:trPr>
                <w:trHeight w:val="340" w:hRule="atLeast"/>
                <w:jc w:val="center"/>
              </w:trPr>
              <w:tc>
                <w:tcPr>
                  <w:tcW w:w="684" w:type="dxa"/>
                  <w:noWrap/>
                  <w:vAlign w:val="center"/>
                </w:tcPr>
                <w:p w14:paraId="2D50138B">
                  <w:pPr>
                    <w:pStyle w:val="13"/>
                    <w:jc w:val="center"/>
                  </w:pPr>
                  <w:r>
                    <w:t>5</w:t>
                  </w:r>
                </w:p>
              </w:tc>
              <w:tc>
                <w:tcPr>
                  <w:tcW w:w="1211" w:type="dxa"/>
                  <w:vAlign w:val="center"/>
                </w:tcPr>
                <w:p w14:paraId="740A9376">
                  <w:pPr>
                    <w:pStyle w:val="13"/>
                    <w:jc w:val="center"/>
                  </w:pPr>
                  <w:r>
                    <w:rPr>
                      <w:rFonts w:hint="eastAsia"/>
                    </w:rPr>
                    <w:t>打水器</w:t>
                  </w:r>
                </w:p>
              </w:tc>
              <w:tc>
                <w:tcPr>
                  <w:tcW w:w="652" w:type="dxa"/>
                  <w:vAlign w:val="center"/>
                </w:tcPr>
                <w:p w14:paraId="54C7F925">
                  <w:pPr>
                    <w:pStyle w:val="13"/>
                    <w:jc w:val="center"/>
                  </w:pPr>
                  <w:r>
                    <w:rPr>
                      <w:rFonts w:hint="eastAsia"/>
                    </w:rPr>
                    <w:t>/</w:t>
                  </w:r>
                </w:p>
              </w:tc>
              <w:tc>
                <w:tcPr>
                  <w:tcW w:w="811" w:type="dxa"/>
                  <w:noWrap/>
                  <w:vAlign w:val="center"/>
                </w:tcPr>
                <w:p w14:paraId="16ADF435">
                  <w:pPr>
                    <w:pStyle w:val="13"/>
                    <w:jc w:val="center"/>
                  </w:pPr>
                  <w:r>
                    <w:t>9</w:t>
                  </w:r>
                </w:p>
              </w:tc>
              <w:tc>
                <w:tcPr>
                  <w:tcW w:w="916" w:type="dxa"/>
                  <w:noWrap/>
                  <w:vAlign w:val="center"/>
                </w:tcPr>
                <w:p w14:paraId="2A7E6115">
                  <w:pPr>
                    <w:pStyle w:val="13"/>
                    <w:jc w:val="center"/>
                  </w:pPr>
                  <w:r>
                    <w:t>9</w:t>
                  </w:r>
                </w:p>
              </w:tc>
              <w:tc>
                <w:tcPr>
                  <w:tcW w:w="810" w:type="dxa"/>
                  <w:noWrap/>
                  <w:vAlign w:val="center"/>
                </w:tcPr>
                <w:p w14:paraId="4D5F3593">
                  <w:pPr>
                    <w:pStyle w:val="13"/>
                    <w:jc w:val="center"/>
                  </w:pPr>
                  <w:r>
                    <w:rPr>
                      <w:rFonts w:hint="eastAsia"/>
                    </w:rPr>
                    <w:t>0</w:t>
                  </w:r>
                </w:p>
              </w:tc>
              <w:tc>
                <w:tcPr>
                  <w:tcW w:w="853" w:type="dxa"/>
                  <w:noWrap/>
                  <w:vAlign w:val="center"/>
                </w:tcPr>
                <w:p w14:paraId="5897252A">
                  <w:pPr>
                    <w:pStyle w:val="13"/>
                    <w:jc w:val="center"/>
                  </w:pPr>
                  <w:r>
                    <w:t>0</w:t>
                  </w:r>
                </w:p>
              </w:tc>
              <w:tc>
                <w:tcPr>
                  <w:tcW w:w="1193" w:type="dxa"/>
                  <w:noWrap/>
                  <w:vAlign w:val="center"/>
                </w:tcPr>
                <w:p w14:paraId="39799127">
                  <w:pPr>
                    <w:pStyle w:val="13"/>
                    <w:jc w:val="center"/>
                  </w:pPr>
                  <w:r>
                    <w:t>9</w:t>
                  </w:r>
                </w:p>
              </w:tc>
              <w:tc>
                <w:tcPr>
                  <w:tcW w:w="668" w:type="dxa"/>
                  <w:noWrap/>
                  <w:vAlign w:val="center"/>
                </w:tcPr>
                <w:p w14:paraId="07C2574B">
                  <w:pPr>
                    <w:pStyle w:val="13"/>
                    <w:jc w:val="center"/>
                  </w:pPr>
                  <w:r>
                    <w:rPr>
                      <w:rFonts w:hint="eastAsia"/>
                    </w:rPr>
                    <w:t>利旧</w:t>
                  </w:r>
                </w:p>
              </w:tc>
            </w:tr>
            <w:tr w14:paraId="2EFDC9E3">
              <w:trPr>
                <w:trHeight w:val="340" w:hRule="atLeast"/>
                <w:jc w:val="center"/>
              </w:trPr>
              <w:tc>
                <w:tcPr>
                  <w:tcW w:w="684" w:type="dxa"/>
                  <w:noWrap/>
                  <w:vAlign w:val="center"/>
                </w:tcPr>
                <w:p w14:paraId="7BBF04B4">
                  <w:pPr>
                    <w:pStyle w:val="13"/>
                    <w:jc w:val="center"/>
                  </w:pPr>
                  <w:r>
                    <w:t>6</w:t>
                  </w:r>
                </w:p>
              </w:tc>
              <w:tc>
                <w:tcPr>
                  <w:tcW w:w="1211" w:type="dxa"/>
                  <w:vAlign w:val="center"/>
                </w:tcPr>
                <w:p w14:paraId="6A2461C1">
                  <w:pPr>
                    <w:pStyle w:val="13"/>
                    <w:jc w:val="center"/>
                  </w:pPr>
                  <w:r>
                    <w:rPr>
                      <w:rFonts w:hint="eastAsia"/>
                    </w:rPr>
                    <w:t>破碎机</w:t>
                  </w:r>
                </w:p>
              </w:tc>
              <w:tc>
                <w:tcPr>
                  <w:tcW w:w="652" w:type="dxa"/>
                  <w:vAlign w:val="center"/>
                </w:tcPr>
                <w:p w14:paraId="10C70667">
                  <w:pPr>
                    <w:pStyle w:val="13"/>
                    <w:jc w:val="center"/>
                  </w:pPr>
                  <w:r>
                    <w:rPr>
                      <w:rFonts w:hint="eastAsia"/>
                    </w:rPr>
                    <w:t>/</w:t>
                  </w:r>
                </w:p>
              </w:tc>
              <w:tc>
                <w:tcPr>
                  <w:tcW w:w="811" w:type="dxa"/>
                  <w:noWrap/>
                  <w:vAlign w:val="center"/>
                </w:tcPr>
                <w:p w14:paraId="3E4D565D">
                  <w:pPr>
                    <w:pStyle w:val="13"/>
                    <w:jc w:val="center"/>
                  </w:pPr>
                  <w:r>
                    <w:t>4</w:t>
                  </w:r>
                </w:p>
              </w:tc>
              <w:tc>
                <w:tcPr>
                  <w:tcW w:w="916" w:type="dxa"/>
                  <w:noWrap/>
                  <w:vAlign w:val="center"/>
                </w:tcPr>
                <w:p w14:paraId="37F7096C">
                  <w:pPr>
                    <w:pStyle w:val="13"/>
                    <w:jc w:val="center"/>
                  </w:pPr>
                  <w:r>
                    <w:t>4</w:t>
                  </w:r>
                </w:p>
              </w:tc>
              <w:tc>
                <w:tcPr>
                  <w:tcW w:w="810" w:type="dxa"/>
                  <w:noWrap/>
                  <w:vAlign w:val="center"/>
                </w:tcPr>
                <w:p w14:paraId="1B3153B2">
                  <w:pPr>
                    <w:pStyle w:val="13"/>
                    <w:jc w:val="center"/>
                  </w:pPr>
                  <w:r>
                    <w:rPr>
                      <w:rFonts w:hint="eastAsia"/>
                    </w:rPr>
                    <w:t>0</w:t>
                  </w:r>
                </w:p>
              </w:tc>
              <w:tc>
                <w:tcPr>
                  <w:tcW w:w="853" w:type="dxa"/>
                  <w:noWrap/>
                  <w:vAlign w:val="center"/>
                </w:tcPr>
                <w:p w14:paraId="4E6496E0">
                  <w:pPr>
                    <w:pStyle w:val="13"/>
                    <w:jc w:val="center"/>
                  </w:pPr>
                  <w:r>
                    <w:t>0</w:t>
                  </w:r>
                </w:p>
              </w:tc>
              <w:tc>
                <w:tcPr>
                  <w:tcW w:w="1193" w:type="dxa"/>
                  <w:noWrap/>
                  <w:vAlign w:val="center"/>
                </w:tcPr>
                <w:p w14:paraId="03FCE698">
                  <w:pPr>
                    <w:pStyle w:val="13"/>
                    <w:jc w:val="center"/>
                  </w:pPr>
                  <w:r>
                    <w:t>4</w:t>
                  </w:r>
                </w:p>
              </w:tc>
              <w:tc>
                <w:tcPr>
                  <w:tcW w:w="668" w:type="dxa"/>
                  <w:noWrap/>
                  <w:vAlign w:val="center"/>
                </w:tcPr>
                <w:p w14:paraId="1827192E">
                  <w:pPr>
                    <w:pStyle w:val="13"/>
                    <w:jc w:val="center"/>
                  </w:pPr>
                  <w:r>
                    <w:rPr>
                      <w:rFonts w:hint="eastAsia"/>
                    </w:rPr>
                    <w:t>利旧</w:t>
                  </w:r>
                </w:p>
              </w:tc>
            </w:tr>
            <w:tr w14:paraId="38660CF4">
              <w:trPr>
                <w:trHeight w:val="340" w:hRule="atLeast"/>
                <w:jc w:val="center"/>
              </w:trPr>
              <w:tc>
                <w:tcPr>
                  <w:tcW w:w="684" w:type="dxa"/>
                  <w:noWrap/>
                  <w:vAlign w:val="center"/>
                </w:tcPr>
                <w:p w14:paraId="5936CA94">
                  <w:pPr>
                    <w:pStyle w:val="13"/>
                    <w:jc w:val="center"/>
                  </w:pPr>
                  <w:r>
                    <w:t>7</w:t>
                  </w:r>
                </w:p>
              </w:tc>
              <w:tc>
                <w:tcPr>
                  <w:tcW w:w="1211" w:type="dxa"/>
                  <w:vAlign w:val="center"/>
                </w:tcPr>
                <w:p w14:paraId="260663B0">
                  <w:pPr>
                    <w:pStyle w:val="13"/>
                    <w:jc w:val="center"/>
                  </w:pPr>
                  <w:r>
                    <w:rPr>
                      <w:rFonts w:hint="eastAsia"/>
                    </w:rPr>
                    <w:t>注塑机</w:t>
                  </w:r>
                </w:p>
              </w:tc>
              <w:tc>
                <w:tcPr>
                  <w:tcW w:w="652" w:type="dxa"/>
                  <w:vAlign w:val="center"/>
                </w:tcPr>
                <w:p w14:paraId="5E2B1B32">
                  <w:pPr>
                    <w:pStyle w:val="13"/>
                    <w:jc w:val="center"/>
                  </w:pPr>
                  <w:r>
                    <w:rPr>
                      <w:rFonts w:hint="eastAsia"/>
                    </w:rPr>
                    <w:t>/</w:t>
                  </w:r>
                </w:p>
              </w:tc>
              <w:tc>
                <w:tcPr>
                  <w:tcW w:w="811" w:type="dxa"/>
                  <w:noWrap/>
                  <w:vAlign w:val="center"/>
                </w:tcPr>
                <w:p w14:paraId="36BF3936">
                  <w:pPr>
                    <w:pStyle w:val="13"/>
                    <w:jc w:val="center"/>
                  </w:pPr>
                  <w:r>
                    <w:t>5</w:t>
                  </w:r>
                </w:p>
              </w:tc>
              <w:tc>
                <w:tcPr>
                  <w:tcW w:w="916" w:type="dxa"/>
                  <w:noWrap/>
                  <w:vAlign w:val="center"/>
                </w:tcPr>
                <w:p w14:paraId="6102A39B">
                  <w:pPr>
                    <w:pStyle w:val="13"/>
                    <w:jc w:val="center"/>
                  </w:pPr>
                  <w:r>
                    <w:t>5</w:t>
                  </w:r>
                </w:p>
              </w:tc>
              <w:tc>
                <w:tcPr>
                  <w:tcW w:w="810" w:type="dxa"/>
                  <w:noWrap/>
                  <w:vAlign w:val="center"/>
                </w:tcPr>
                <w:p w14:paraId="3D4B6D17">
                  <w:pPr>
                    <w:pStyle w:val="13"/>
                    <w:jc w:val="center"/>
                  </w:pPr>
                  <w:r>
                    <w:rPr>
                      <w:rFonts w:hint="eastAsia"/>
                    </w:rPr>
                    <w:t>0</w:t>
                  </w:r>
                </w:p>
              </w:tc>
              <w:tc>
                <w:tcPr>
                  <w:tcW w:w="853" w:type="dxa"/>
                  <w:noWrap/>
                  <w:vAlign w:val="center"/>
                </w:tcPr>
                <w:p w14:paraId="11A4E7E5">
                  <w:pPr>
                    <w:pStyle w:val="13"/>
                    <w:jc w:val="center"/>
                  </w:pPr>
                  <w:r>
                    <w:t>7</w:t>
                  </w:r>
                </w:p>
              </w:tc>
              <w:tc>
                <w:tcPr>
                  <w:tcW w:w="1193" w:type="dxa"/>
                  <w:noWrap/>
                  <w:vAlign w:val="center"/>
                </w:tcPr>
                <w:p w14:paraId="7E60FC2D">
                  <w:pPr>
                    <w:pStyle w:val="13"/>
                    <w:jc w:val="center"/>
                  </w:pPr>
                  <w:r>
                    <w:t>12</w:t>
                  </w:r>
                </w:p>
              </w:tc>
              <w:tc>
                <w:tcPr>
                  <w:tcW w:w="668" w:type="dxa"/>
                  <w:noWrap/>
                  <w:vAlign w:val="center"/>
                </w:tcPr>
                <w:p w14:paraId="69B74F31">
                  <w:pPr>
                    <w:pStyle w:val="13"/>
                    <w:jc w:val="center"/>
                  </w:pPr>
                  <w:r>
                    <w:rPr>
                      <w:rFonts w:hint="eastAsia"/>
                    </w:rPr>
                    <w:t>新增</w:t>
                  </w:r>
                </w:p>
              </w:tc>
            </w:tr>
            <w:tr w14:paraId="15BECB69">
              <w:trPr>
                <w:trHeight w:val="340" w:hRule="atLeast"/>
                <w:jc w:val="center"/>
              </w:trPr>
              <w:tc>
                <w:tcPr>
                  <w:tcW w:w="684" w:type="dxa"/>
                  <w:noWrap/>
                  <w:vAlign w:val="center"/>
                </w:tcPr>
                <w:p w14:paraId="3E0BB3AC">
                  <w:pPr>
                    <w:pStyle w:val="13"/>
                    <w:jc w:val="center"/>
                  </w:pPr>
                  <w:r>
                    <w:t>8</w:t>
                  </w:r>
                </w:p>
              </w:tc>
              <w:tc>
                <w:tcPr>
                  <w:tcW w:w="1211" w:type="dxa"/>
                  <w:vAlign w:val="center"/>
                </w:tcPr>
                <w:p w14:paraId="61F8AED1">
                  <w:pPr>
                    <w:pStyle w:val="13"/>
                    <w:jc w:val="center"/>
                  </w:pPr>
                  <w:r>
                    <w:rPr>
                      <w:rFonts w:hint="eastAsia"/>
                    </w:rPr>
                    <w:t>空气压缩机</w:t>
                  </w:r>
                </w:p>
              </w:tc>
              <w:tc>
                <w:tcPr>
                  <w:tcW w:w="652" w:type="dxa"/>
                  <w:vAlign w:val="center"/>
                </w:tcPr>
                <w:p w14:paraId="1C575FE5">
                  <w:pPr>
                    <w:pStyle w:val="13"/>
                    <w:jc w:val="center"/>
                  </w:pPr>
                  <w:r>
                    <w:rPr>
                      <w:rFonts w:hint="eastAsia"/>
                    </w:rPr>
                    <w:t>/</w:t>
                  </w:r>
                </w:p>
              </w:tc>
              <w:tc>
                <w:tcPr>
                  <w:tcW w:w="811" w:type="dxa"/>
                  <w:noWrap/>
                  <w:vAlign w:val="center"/>
                </w:tcPr>
                <w:p w14:paraId="5F06911B">
                  <w:pPr>
                    <w:pStyle w:val="13"/>
                    <w:jc w:val="center"/>
                  </w:pPr>
                  <w:r>
                    <w:t>1</w:t>
                  </w:r>
                </w:p>
              </w:tc>
              <w:tc>
                <w:tcPr>
                  <w:tcW w:w="916" w:type="dxa"/>
                  <w:noWrap/>
                  <w:vAlign w:val="center"/>
                </w:tcPr>
                <w:p w14:paraId="19F9AC80">
                  <w:pPr>
                    <w:pStyle w:val="13"/>
                    <w:jc w:val="center"/>
                  </w:pPr>
                  <w:r>
                    <w:t>1</w:t>
                  </w:r>
                </w:p>
              </w:tc>
              <w:tc>
                <w:tcPr>
                  <w:tcW w:w="810" w:type="dxa"/>
                  <w:noWrap/>
                  <w:vAlign w:val="center"/>
                </w:tcPr>
                <w:p w14:paraId="1A5B6F5D">
                  <w:pPr>
                    <w:pStyle w:val="13"/>
                    <w:jc w:val="center"/>
                  </w:pPr>
                  <w:r>
                    <w:rPr>
                      <w:rFonts w:hint="eastAsia"/>
                    </w:rPr>
                    <w:t>0</w:t>
                  </w:r>
                </w:p>
              </w:tc>
              <w:tc>
                <w:tcPr>
                  <w:tcW w:w="853" w:type="dxa"/>
                  <w:noWrap/>
                  <w:vAlign w:val="center"/>
                </w:tcPr>
                <w:p w14:paraId="40CBF37D">
                  <w:pPr>
                    <w:pStyle w:val="13"/>
                    <w:jc w:val="center"/>
                  </w:pPr>
                  <w:r>
                    <w:t>0</w:t>
                  </w:r>
                </w:p>
              </w:tc>
              <w:tc>
                <w:tcPr>
                  <w:tcW w:w="1193" w:type="dxa"/>
                  <w:noWrap/>
                  <w:vAlign w:val="center"/>
                </w:tcPr>
                <w:p w14:paraId="6B48DECB">
                  <w:pPr>
                    <w:pStyle w:val="13"/>
                    <w:jc w:val="center"/>
                  </w:pPr>
                  <w:r>
                    <w:t>1</w:t>
                  </w:r>
                </w:p>
              </w:tc>
              <w:tc>
                <w:tcPr>
                  <w:tcW w:w="668" w:type="dxa"/>
                  <w:noWrap/>
                  <w:vAlign w:val="center"/>
                </w:tcPr>
                <w:p w14:paraId="65981086">
                  <w:pPr>
                    <w:pStyle w:val="13"/>
                    <w:jc w:val="center"/>
                  </w:pPr>
                  <w:r>
                    <w:rPr>
                      <w:rFonts w:hint="eastAsia"/>
                    </w:rPr>
                    <w:t>利旧</w:t>
                  </w:r>
                </w:p>
              </w:tc>
            </w:tr>
            <w:tr w14:paraId="50C51568">
              <w:trPr>
                <w:trHeight w:val="340" w:hRule="atLeast"/>
                <w:jc w:val="center"/>
              </w:trPr>
              <w:tc>
                <w:tcPr>
                  <w:tcW w:w="684" w:type="dxa"/>
                  <w:noWrap/>
                  <w:vAlign w:val="center"/>
                </w:tcPr>
                <w:p w14:paraId="538E2FBE">
                  <w:pPr>
                    <w:pStyle w:val="13"/>
                    <w:jc w:val="center"/>
                  </w:pPr>
                  <w:r>
                    <w:t>9</w:t>
                  </w:r>
                </w:p>
              </w:tc>
              <w:tc>
                <w:tcPr>
                  <w:tcW w:w="1211" w:type="dxa"/>
                  <w:vAlign w:val="center"/>
                </w:tcPr>
                <w:p w14:paraId="10CA797F">
                  <w:pPr>
                    <w:pStyle w:val="13"/>
                    <w:jc w:val="center"/>
                  </w:pPr>
                  <w:r>
                    <w:rPr>
                      <w:rFonts w:hint="eastAsia"/>
                    </w:rPr>
                    <w:t>震动筛</w:t>
                  </w:r>
                </w:p>
              </w:tc>
              <w:tc>
                <w:tcPr>
                  <w:tcW w:w="652" w:type="dxa"/>
                  <w:vAlign w:val="center"/>
                </w:tcPr>
                <w:p w14:paraId="42A3BF13">
                  <w:pPr>
                    <w:pStyle w:val="13"/>
                    <w:jc w:val="center"/>
                  </w:pPr>
                  <w:r>
                    <w:rPr>
                      <w:rFonts w:hint="eastAsia"/>
                    </w:rPr>
                    <w:t>/</w:t>
                  </w:r>
                </w:p>
              </w:tc>
              <w:tc>
                <w:tcPr>
                  <w:tcW w:w="811" w:type="dxa"/>
                  <w:noWrap/>
                  <w:vAlign w:val="center"/>
                </w:tcPr>
                <w:p w14:paraId="1EE60FC0">
                  <w:pPr>
                    <w:pStyle w:val="13"/>
                    <w:jc w:val="center"/>
                  </w:pPr>
                  <w:r>
                    <w:t>6</w:t>
                  </w:r>
                </w:p>
              </w:tc>
              <w:tc>
                <w:tcPr>
                  <w:tcW w:w="916" w:type="dxa"/>
                  <w:noWrap/>
                  <w:vAlign w:val="center"/>
                </w:tcPr>
                <w:p w14:paraId="7AF6F60A">
                  <w:pPr>
                    <w:pStyle w:val="13"/>
                    <w:jc w:val="center"/>
                  </w:pPr>
                  <w:r>
                    <w:t>6</w:t>
                  </w:r>
                </w:p>
              </w:tc>
              <w:tc>
                <w:tcPr>
                  <w:tcW w:w="810" w:type="dxa"/>
                  <w:noWrap/>
                  <w:vAlign w:val="center"/>
                </w:tcPr>
                <w:p w14:paraId="6F49CDCC">
                  <w:pPr>
                    <w:pStyle w:val="13"/>
                    <w:jc w:val="center"/>
                  </w:pPr>
                  <w:r>
                    <w:t>0</w:t>
                  </w:r>
                </w:p>
              </w:tc>
              <w:tc>
                <w:tcPr>
                  <w:tcW w:w="853" w:type="dxa"/>
                  <w:noWrap/>
                  <w:vAlign w:val="center"/>
                </w:tcPr>
                <w:p w14:paraId="7D690829">
                  <w:pPr>
                    <w:pStyle w:val="13"/>
                    <w:jc w:val="center"/>
                  </w:pPr>
                  <w:r>
                    <w:t>0</w:t>
                  </w:r>
                </w:p>
              </w:tc>
              <w:tc>
                <w:tcPr>
                  <w:tcW w:w="1193" w:type="dxa"/>
                  <w:noWrap/>
                  <w:vAlign w:val="center"/>
                </w:tcPr>
                <w:p w14:paraId="416B133E">
                  <w:pPr>
                    <w:pStyle w:val="13"/>
                    <w:jc w:val="center"/>
                  </w:pPr>
                  <w:r>
                    <w:t>6</w:t>
                  </w:r>
                </w:p>
              </w:tc>
              <w:tc>
                <w:tcPr>
                  <w:tcW w:w="668" w:type="dxa"/>
                  <w:noWrap/>
                  <w:vAlign w:val="center"/>
                </w:tcPr>
                <w:p w14:paraId="43CDFF39">
                  <w:pPr>
                    <w:pStyle w:val="13"/>
                    <w:jc w:val="center"/>
                  </w:pPr>
                  <w:r>
                    <w:rPr>
                      <w:rFonts w:hint="eastAsia"/>
                    </w:rPr>
                    <w:t>利旧</w:t>
                  </w:r>
                </w:p>
              </w:tc>
            </w:tr>
            <w:tr w14:paraId="59BADFAD">
              <w:trPr>
                <w:trHeight w:val="340" w:hRule="atLeast"/>
                <w:jc w:val="center"/>
              </w:trPr>
              <w:tc>
                <w:tcPr>
                  <w:tcW w:w="684" w:type="dxa"/>
                  <w:noWrap/>
                  <w:vAlign w:val="center"/>
                </w:tcPr>
                <w:p w14:paraId="33D31F9B">
                  <w:pPr>
                    <w:pStyle w:val="13"/>
                    <w:jc w:val="center"/>
                  </w:pPr>
                  <w:r>
                    <w:t>10</w:t>
                  </w:r>
                </w:p>
              </w:tc>
              <w:tc>
                <w:tcPr>
                  <w:tcW w:w="1211" w:type="dxa"/>
                  <w:vAlign w:val="center"/>
                </w:tcPr>
                <w:p w14:paraId="45705B92">
                  <w:pPr>
                    <w:pStyle w:val="13"/>
                    <w:jc w:val="center"/>
                  </w:pPr>
                  <w:r>
                    <w:rPr>
                      <w:rFonts w:hint="eastAsia"/>
                    </w:rPr>
                    <w:t>料仓</w:t>
                  </w:r>
                </w:p>
              </w:tc>
              <w:tc>
                <w:tcPr>
                  <w:tcW w:w="652" w:type="dxa"/>
                  <w:vAlign w:val="center"/>
                </w:tcPr>
                <w:p w14:paraId="0275B6DA">
                  <w:pPr>
                    <w:pStyle w:val="13"/>
                    <w:jc w:val="center"/>
                  </w:pPr>
                  <w:r>
                    <w:rPr>
                      <w:rFonts w:hint="eastAsia"/>
                    </w:rPr>
                    <w:t>/</w:t>
                  </w:r>
                </w:p>
              </w:tc>
              <w:tc>
                <w:tcPr>
                  <w:tcW w:w="811" w:type="dxa"/>
                  <w:noWrap/>
                  <w:vAlign w:val="center"/>
                </w:tcPr>
                <w:p w14:paraId="78F46F41">
                  <w:pPr>
                    <w:pStyle w:val="13"/>
                    <w:jc w:val="center"/>
                  </w:pPr>
                  <w:r>
                    <w:t>7</w:t>
                  </w:r>
                </w:p>
              </w:tc>
              <w:tc>
                <w:tcPr>
                  <w:tcW w:w="916" w:type="dxa"/>
                  <w:noWrap/>
                  <w:vAlign w:val="center"/>
                </w:tcPr>
                <w:p w14:paraId="545D1B4F">
                  <w:pPr>
                    <w:pStyle w:val="13"/>
                    <w:jc w:val="center"/>
                  </w:pPr>
                  <w:r>
                    <w:t>7</w:t>
                  </w:r>
                </w:p>
              </w:tc>
              <w:tc>
                <w:tcPr>
                  <w:tcW w:w="810" w:type="dxa"/>
                  <w:noWrap/>
                  <w:vAlign w:val="center"/>
                </w:tcPr>
                <w:p w14:paraId="12ED7880">
                  <w:pPr>
                    <w:pStyle w:val="13"/>
                    <w:jc w:val="center"/>
                  </w:pPr>
                  <w:r>
                    <w:t>0</w:t>
                  </w:r>
                </w:p>
              </w:tc>
              <w:tc>
                <w:tcPr>
                  <w:tcW w:w="853" w:type="dxa"/>
                  <w:noWrap/>
                  <w:vAlign w:val="center"/>
                </w:tcPr>
                <w:p w14:paraId="3B346EF6">
                  <w:pPr>
                    <w:pStyle w:val="13"/>
                    <w:jc w:val="center"/>
                  </w:pPr>
                  <w:r>
                    <w:t>0</w:t>
                  </w:r>
                </w:p>
              </w:tc>
              <w:tc>
                <w:tcPr>
                  <w:tcW w:w="1193" w:type="dxa"/>
                  <w:noWrap/>
                  <w:vAlign w:val="center"/>
                </w:tcPr>
                <w:p w14:paraId="6591B080">
                  <w:pPr>
                    <w:pStyle w:val="13"/>
                    <w:jc w:val="center"/>
                  </w:pPr>
                  <w:r>
                    <w:t>7</w:t>
                  </w:r>
                </w:p>
              </w:tc>
              <w:tc>
                <w:tcPr>
                  <w:tcW w:w="668" w:type="dxa"/>
                  <w:noWrap/>
                  <w:vAlign w:val="center"/>
                </w:tcPr>
                <w:p w14:paraId="212D163D">
                  <w:pPr>
                    <w:pStyle w:val="13"/>
                    <w:jc w:val="center"/>
                  </w:pPr>
                  <w:r>
                    <w:rPr>
                      <w:rFonts w:hint="eastAsia"/>
                    </w:rPr>
                    <w:t>利旧</w:t>
                  </w:r>
                </w:p>
              </w:tc>
            </w:tr>
            <w:tr w14:paraId="0105BB09">
              <w:trPr>
                <w:trHeight w:val="340" w:hRule="atLeast"/>
                <w:jc w:val="center"/>
              </w:trPr>
              <w:tc>
                <w:tcPr>
                  <w:tcW w:w="7798" w:type="dxa"/>
                  <w:gridSpan w:val="9"/>
                  <w:noWrap/>
                  <w:vAlign w:val="center"/>
                </w:tcPr>
                <w:p w14:paraId="7123CE8E">
                  <w:pPr>
                    <w:pStyle w:val="13"/>
                    <w:jc w:val="both"/>
                  </w:pPr>
                  <w:r>
                    <w:rPr>
                      <w:rFonts w:hint="eastAsia"/>
                    </w:rPr>
                    <w:t>备注：本项目注塑机用于色板制造，螺杆挤出机全部用于塑料粒子生产，不共用。</w:t>
                  </w:r>
                </w:p>
                <w:p w14:paraId="05B80E35">
                  <w:pPr>
                    <w:pStyle w:val="13"/>
                    <w:jc w:val="both"/>
                  </w:pPr>
                  <w:r>
                    <w:rPr>
                      <w:rFonts w:hint="eastAsia"/>
                    </w:rPr>
                    <w:t>本项目螺杆挤出机仅型号更新，自动化程度更高，产能未变化。</w:t>
                  </w:r>
                </w:p>
              </w:tc>
            </w:tr>
          </w:tbl>
          <w:p w14:paraId="53E4E916">
            <w:pPr>
              <w:ind w:firstLine="480"/>
              <w:jc w:val="both"/>
            </w:pPr>
            <w:r>
              <w:rPr>
                <w:rFonts w:hint="eastAsia"/>
              </w:rPr>
              <w:t>本项目产能匹配分析如下：</w:t>
            </w:r>
          </w:p>
          <w:p w14:paraId="0FCEE044">
            <w:pPr>
              <w:pStyle w:val="14"/>
              <w:numPr>
                <w:ilvl w:val="0"/>
                <w:numId w:val="6"/>
              </w:numPr>
              <w:spacing w:before="156"/>
              <w:ind w:firstLine="0"/>
            </w:pPr>
            <w:r>
              <w:t xml:space="preserve">  项目</w:t>
            </w:r>
            <w:r>
              <w:rPr>
                <w:rFonts w:hint="eastAsia"/>
              </w:rPr>
              <w:t>产能匹配性分析一览表</w:t>
            </w:r>
          </w:p>
          <w:tbl>
            <w:tblPr>
              <w:tblStyle w:val="9"/>
              <w:tblW w:w="7811" w:type="dxa"/>
              <w:jc w:val="center"/>
              <w:tblLayout w:type="fixed"/>
              <w:tblCellMar>
                <w:top w:w="0" w:type="dxa"/>
                <w:left w:w="108" w:type="dxa"/>
                <w:bottom w:w="0" w:type="dxa"/>
                <w:right w:w="108" w:type="dxa"/>
              </w:tblCellMar>
            </w:tblPr>
            <w:tblGrid>
              <w:gridCol w:w="1061"/>
              <w:gridCol w:w="1440"/>
              <w:gridCol w:w="1062"/>
              <w:gridCol w:w="1062"/>
              <w:gridCol w:w="948"/>
              <w:gridCol w:w="1176"/>
              <w:gridCol w:w="1062"/>
            </w:tblGrid>
            <w:tr w14:paraId="4408C033">
              <w:trPr>
                <w:trHeight w:val="289" w:hRule="atLeast"/>
                <w:jc w:val="center"/>
              </w:trPr>
              <w:tc>
                <w:tcPr>
                  <w:tcW w:w="679" w:type="pct"/>
                  <w:tcBorders>
                    <w:top w:val="single" w:color="auto" w:sz="4" w:space="0"/>
                    <w:left w:val="single" w:color="auto" w:sz="4" w:space="0"/>
                    <w:bottom w:val="single" w:color="auto" w:sz="4" w:space="0"/>
                    <w:right w:val="single" w:color="auto" w:sz="4" w:space="0"/>
                  </w:tcBorders>
                  <w:noWrap/>
                  <w:vAlign w:val="center"/>
                </w:tcPr>
                <w:p w14:paraId="0E7E4588">
                  <w:pPr>
                    <w:pStyle w:val="13"/>
                    <w:jc w:val="center"/>
                  </w:pPr>
                  <w:r>
                    <w:rPr>
                      <w:rFonts w:hint="eastAsia"/>
                    </w:rPr>
                    <w:t>序号</w:t>
                  </w:r>
                </w:p>
              </w:tc>
              <w:tc>
                <w:tcPr>
                  <w:tcW w:w="921" w:type="pct"/>
                  <w:tcBorders>
                    <w:top w:val="single" w:color="auto" w:sz="4" w:space="0"/>
                    <w:left w:val="nil"/>
                    <w:bottom w:val="single" w:color="auto" w:sz="4" w:space="0"/>
                    <w:right w:val="single" w:color="auto" w:sz="4" w:space="0"/>
                  </w:tcBorders>
                  <w:noWrap/>
                  <w:vAlign w:val="center"/>
                </w:tcPr>
                <w:p w14:paraId="1D3E280F">
                  <w:pPr>
                    <w:pStyle w:val="13"/>
                    <w:jc w:val="center"/>
                  </w:pPr>
                  <w:r>
                    <w:rPr>
                      <w:rFonts w:hint="eastAsia"/>
                    </w:rPr>
                    <w:t>名称</w:t>
                  </w:r>
                </w:p>
              </w:tc>
              <w:tc>
                <w:tcPr>
                  <w:tcW w:w="679" w:type="pct"/>
                  <w:tcBorders>
                    <w:top w:val="single" w:color="auto" w:sz="4" w:space="0"/>
                    <w:left w:val="nil"/>
                    <w:bottom w:val="single" w:color="auto" w:sz="4" w:space="0"/>
                    <w:right w:val="single" w:color="auto" w:sz="4" w:space="0"/>
                  </w:tcBorders>
                  <w:noWrap/>
                  <w:vAlign w:val="center"/>
                </w:tcPr>
                <w:p w14:paraId="74937D05">
                  <w:pPr>
                    <w:pStyle w:val="13"/>
                    <w:jc w:val="center"/>
                  </w:pPr>
                  <w:r>
                    <w:rPr>
                      <w:rFonts w:hint="eastAsia"/>
                    </w:rPr>
                    <w:t>型号规格</w:t>
                  </w:r>
                </w:p>
              </w:tc>
              <w:tc>
                <w:tcPr>
                  <w:tcW w:w="679" w:type="pct"/>
                  <w:tcBorders>
                    <w:top w:val="single" w:color="auto" w:sz="4" w:space="0"/>
                    <w:left w:val="nil"/>
                    <w:bottom w:val="single" w:color="auto" w:sz="4" w:space="0"/>
                    <w:right w:val="single" w:color="auto" w:sz="4" w:space="0"/>
                  </w:tcBorders>
                  <w:noWrap/>
                  <w:vAlign w:val="center"/>
                </w:tcPr>
                <w:p w14:paraId="59302426">
                  <w:pPr>
                    <w:pStyle w:val="13"/>
                    <w:jc w:val="center"/>
                  </w:pPr>
                  <w:r>
                    <w:rPr>
                      <w:rFonts w:hint="eastAsia"/>
                    </w:rPr>
                    <w:t>理论产能</w:t>
                  </w:r>
                </w:p>
              </w:tc>
              <w:tc>
                <w:tcPr>
                  <w:tcW w:w="606" w:type="pct"/>
                  <w:tcBorders>
                    <w:top w:val="single" w:color="auto" w:sz="4" w:space="0"/>
                    <w:left w:val="nil"/>
                    <w:bottom w:val="single" w:color="auto" w:sz="4" w:space="0"/>
                    <w:right w:val="single" w:color="auto" w:sz="4" w:space="0"/>
                  </w:tcBorders>
                  <w:noWrap/>
                  <w:vAlign w:val="center"/>
                </w:tcPr>
                <w:p w14:paraId="26E79F0C">
                  <w:pPr>
                    <w:pStyle w:val="13"/>
                    <w:jc w:val="center"/>
                  </w:pPr>
                  <w:r>
                    <w:rPr>
                      <w:rFonts w:hint="eastAsia"/>
                    </w:rPr>
                    <w:t>台套数</w:t>
                  </w:r>
                </w:p>
              </w:tc>
              <w:tc>
                <w:tcPr>
                  <w:tcW w:w="752" w:type="pct"/>
                  <w:tcBorders>
                    <w:top w:val="single" w:color="auto" w:sz="4" w:space="0"/>
                    <w:left w:val="nil"/>
                    <w:bottom w:val="single" w:color="auto" w:sz="4" w:space="0"/>
                    <w:right w:val="single" w:color="auto" w:sz="4" w:space="0"/>
                  </w:tcBorders>
                  <w:noWrap/>
                  <w:vAlign w:val="center"/>
                </w:tcPr>
                <w:p w14:paraId="1ECD4FA6">
                  <w:pPr>
                    <w:pStyle w:val="13"/>
                    <w:jc w:val="center"/>
                  </w:pPr>
                  <w:r>
                    <w:rPr>
                      <w:rFonts w:hint="eastAsia"/>
                    </w:rPr>
                    <w:t>年工作时间</w:t>
                  </w:r>
                </w:p>
              </w:tc>
              <w:tc>
                <w:tcPr>
                  <w:tcW w:w="679" w:type="pct"/>
                  <w:tcBorders>
                    <w:top w:val="single" w:color="auto" w:sz="4" w:space="0"/>
                    <w:left w:val="nil"/>
                    <w:bottom w:val="single" w:color="auto" w:sz="4" w:space="0"/>
                    <w:right w:val="single" w:color="auto" w:sz="4" w:space="0"/>
                  </w:tcBorders>
                  <w:noWrap/>
                  <w:vAlign w:val="center"/>
                </w:tcPr>
                <w:p w14:paraId="4575674D">
                  <w:pPr>
                    <w:pStyle w:val="13"/>
                    <w:jc w:val="center"/>
                  </w:pPr>
                  <w:r>
                    <w:rPr>
                      <w:rFonts w:hint="eastAsia"/>
                    </w:rPr>
                    <w:t>合计产能</w:t>
                  </w:r>
                </w:p>
              </w:tc>
            </w:tr>
            <w:tr w14:paraId="1BE7B48E">
              <w:trPr>
                <w:trHeight w:val="289" w:hRule="atLeast"/>
                <w:jc w:val="center"/>
              </w:trPr>
              <w:tc>
                <w:tcPr>
                  <w:tcW w:w="679" w:type="pct"/>
                  <w:tcBorders>
                    <w:top w:val="nil"/>
                    <w:left w:val="single" w:color="auto" w:sz="4" w:space="0"/>
                    <w:bottom w:val="single" w:color="auto" w:sz="4" w:space="0"/>
                    <w:right w:val="single" w:color="auto" w:sz="4" w:space="0"/>
                  </w:tcBorders>
                  <w:noWrap/>
                  <w:vAlign w:val="center"/>
                </w:tcPr>
                <w:p w14:paraId="1EC24C75">
                  <w:pPr>
                    <w:pStyle w:val="13"/>
                    <w:jc w:val="center"/>
                  </w:pPr>
                  <w:r>
                    <w:t>1</w:t>
                  </w:r>
                </w:p>
              </w:tc>
              <w:tc>
                <w:tcPr>
                  <w:tcW w:w="921" w:type="pct"/>
                  <w:vMerge w:val="restart"/>
                  <w:tcBorders>
                    <w:top w:val="nil"/>
                    <w:left w:val="single" w:color="auto" w:sz="4" w:space="0"/>
                    <w:bottom w:val="single" w:color="auto" w:sz="4" w:space="0"/>
                    <w:right w:val="single" w:color="auto" w:sz="4" w:space="0"/>
                  </w:tcBorders>
                  <w:vAlign w:val="center"/>
                </w:tcPr>
                <w:p w14:paraId="1EFBD582">
                  <w:pPr>
                    <w:pStyle w:val="13"/>
                    <w:jc w:val="center"/>
                  </w:pPr>
                  <w:r>
                    <w:rPr>
                      <w:rFonts w:hint="eastAsia"/>
                    </w:rPr>
                    <w:t>螺杆挤出机</w:t>
                  </w:r>
                </w:p>
              </w:tc>
              <w:tc>
                <w:tcPr>
                  <w:tcW w:w="679" w:type="pct"/>
                  <w:tcBorders>
                    <w:top w:val="nil"/>
                    <w:left w:val="nil"/>
                    <w:bottom w:val="single" w:color="auto" w:sz="4" w:space="0"/>
                    <w:right w:val="single" w:color="auto" w:sz="4" w:space="0"/>
                  </w:tcBorders>
                  <w:noWrap/>
                  <w:vAlign w:val="center"/>
                </w:tcPr>
                <w:p w14:paraId="3E3AAE20">
                  <w:pPr>
                    <w:pStyle w:val="13"/>
                    <w:jc w:val="center"/>
                  </w:pPr>
                  <w:r>
                    <w:rPr>
                      <w:rFonts w:hint="eastAsia"/>
                    </w:rPr>
                    <w:t>52B</w:t>
                  </w:r>
                </w:p>
              </w:tc>
              <w:tc>
                <w:tcPr>
                  <w:tcW w:w="679" w:type="pct"/>
                  <w:tcBorders>
                    <w:top w:val="nil"/>
                    <w:left w:val="nil"/>
                    <w:bottom w:val="single" w:color="auto" w:sz="4" w:space="0"/>
                    <w:right w:val="single" w:color="auto" w:sz="4" w:space="0"/>
                  </w:tcBorders>
                  <w:noWrap/>
                  <w:vAlign w:val="center"/>
                </w:tcPr>
                <w:p w14:paraId="6C36C98E">
                  <w:pPr>
                    <w:pStyle w:val="13"/>
                    <w:jc w:val="center"/>
                  </w:pPr>
                  <w:r>
                    <w:rPr>
                      <w:rFonts w:hint="eastAsia"/>
                    </w:rPr>
                    <w:t>0.15t/h</w:t>
                  </w:r>
                </w:p>
              </w:tc>
              <w:tc>
                <w:tcPr>
                  <w:tcW w:w="606" w:type="pct"/>
                  <w:tcBorders>
                    <w:top w:val="nil"/>
                    <w:left w:val="nil"/>
                    <w:bottom w:val="single" w:color="auto" w:sz="4" w:space="0"/>
                    <w:right w:val="single" w:color="auto" w:sz="4" w:space="0"/>
                  </w:tcBorders>
                  <w:noWrap/>
                  <w:vAlign w:val="center"/>
                </w:tcPr>
                <w:p w14:paraId="0CDF34D1">
                  <w:pPr>
                    <w:pStyle w:val="13"/>
                    <w:jc w:val="center"/>
                  </w:pPr>
                  <w:r>
                    <w:rPr>
                      <w:rFonts w:hint="eastAsia"/>
                    </w:rPr>
                    <w:t>4</w:t>
                  </w:r>
                </w:p>
              </w:tc>
              <w:tc>
                <w:tcPr>
                  <w:tcW w:w="752" w:type="pct"/>
                  <w:vMerge w:val="restart"/>
                  <w:tcBorders>
                    <w:top w:val="nil"/>
                    <w:left w:val="single" w:color="auto" w:sz="4" w:space="0"/>
                    <w:bottom w:val="single" w:color="auto" w:sz="4" w:space="0"/>
                    <w:right w:val="single" w:color="auto" w:sz="4" w:space="0"/>
                  </w:tcBorders>
                  <w:noWrap/>
                  <w:vAlign w:val="center"/>
                </w:tcPr>
                <w:p w14:paraId="69F9DC83">
                  <w:pPr>
                    <w:pStyle w:val="13"/>
                    <w:jc w:val="center"/>
                  </w:pPr>
                  <w:r>
                    <w:rPr>
                      <w:rFonts w:hint="eastAsia"/>
                    </w:rPr>
                    <w:t>7200h</w:t>
                  </w:r>
                </w:p>
              </w:tc>
              <w:tc>
                <w:tcPr>
                  <w:tcW w:w="679" w:type="pct"/>
                  <w:vMerge w:val="restart"/>
                  <w:tcBorders>
                    <w:top w:val="nil"/>
                    <w:left w:val="single" w:color="auto" w:sz="4" w:space="0"/>
                    <w:bottom w:val="single" w:color="auto" w:sz="4" w:space="0"/>
                    <w:right w:val="single" w:color="auto" w:sz="4" w:space="0"/>
                  </w:tcBorders>
                  <w:noWrap/>
                  <w:vAlign w:val="center"/>
                </w:tcPr>
                <w:p w14:paraId="318D7C56">
                  <w:pPr>
                    <w:pStyle w:val="13"/>
                    <w:jc w:val="center"/>
                  </w:pPr>
                  <w:r>
                    <w:rPr>
                      <w:rFonts w:hint="eastAsia"/>
                    </w:rPr>
                    <w:t>9864t</w:t>
                  </w:r>
                </w:p>
              </w:tc>
            </w:tr>
            <w:tr w14:paraId="6C5BDDE5">
              <w:trPr>
                <w:trHeight w:val="289" w:hRule="atLeast"/>
                <w:jc w:val="center"/>
              </w:trPr>
              <w:tc>
                <w:tcPr>
                  <w:tcW w:w="679" w:type="pct"/>
                  <w:tcBorders>
                    <w:top w:val="nil"/>
                    <w:left w:val="single" w:color="auto" w:sz="4" w:space="0"/>
                    <w:bottom w:val="single" w:color="auto" w:sz="4" w:space="0"/>
                    <w:right w:val="single" w:color="auto" w:sz="4" w:space="0"/>
                  </w:tcBorders>
                  <w:noWrap/>
                  <w:vAlign w:val="center"/>
                </w:tcPr>
                <w:p w14:paraId="23065FBD">
                  <w:pPr>
                    <w:pStyle w:val="13"/>
                    <w:jc w:val="center"/>
                  </w:pPr>
                  <w:r>
                    <w:t>2</w:t>
                  </w:r>
                </w:p>
              </w:tc>
              <w:tc>
                <w:tcPr>
                  <w:tcW w:w="921" w:type="pct"/>
                  <w:vMerge w:val="continue"/>
                  <w:tcBorders>
                    <w:left w:val="single" w:color="auto" w:sz="4" w:space="0"/>
                    <w:right w:val="single" w:color="auto" w:sz="4" w:space="0"/>
                  </w:tcBorders>
                  <w:vAlign w:val="center"/>
                </w:tcPr>
                <w:p w14:paraId="46939952">
                  <w:pPr>
                    <w:pStyle w:val="13"/>
                    <w:jc w:val="center"/>
                  </w:pPr>
                </w:p>
              </w:tc>
              <w:tc>
                <w:tcPr>
                  <w:tcW w:w="679" w:type="pct"/>
                  <w:tcBorders>
                    <w:top w:val="nil"/>
                    <w:left w:val="nil"/>
                    <w:bottom w:val="single" w:color="auto" w:sz="4" w:space="0"/>
                    <w:right w:val="single" w:color="auto" w:sz="4" w:space="0"/>
                  </w:tcBorders>
                  <w:noWrap/>
                  <w:vAlign w:val="center"/>
                </w:tcPr>
                <w:p w14:paraId="276DB974">
                  <w:pPr>
                    <w:pStyle w:val="13"/>
                    <w:jc w:val="center"/>
                  </w:pPr>
                  <w:r>
                    <w:rPr>
                      <w:rFonts w:hint="eastAsia"/>
                    </w:rPr>
                    <w:t>52</w:t>
                  </w:r>
                </w:p>
              </w:tc>
              <w:tc>
                <w:tcPr>
                  <w:tcW w:w="679" w:type="pct"/>
                  <w:tcBorders>
                    <w:top w:val="nil"/>
                    <w:left w:val="nil"/>
                    <w:bottom w:val="single" w:color="auto" w:sz="4" w:space="0"/>
                    <w:right w:val="single" w:color="auto" w:sz="4" w:space="0"/>
                  </w:tcBorders>
                  <w:noWrap/>
                  <w:vAlign w:val="center"/>
                </w:tcPr>
                <w:p w14:paraId="377068BD">
                  <w:pPr>
                    <w:pStyle w:val="13"/>
                    <w:jc w:val="center"/>
                  </w:pPr>
                  <w:r>
                    <w:rPr>
                      <w:rFonts w:hint="eastAsia"/>
                    </w:rPr>
                    <w:t>0.1t/h</w:t>
                  </w:r>
                </w:p>
              </w:tc>
              <w:tc>
                <w:tcPr>
                  <w:tcW w:w="606" w:type="pct"/>
                  <w:tcBorders>
                    <w:top w:val="nil"/>
                    <w:left w:val="nil"/>
                    <w:bottom w:val="single" w:color="auto" w:sz="4" w:space="0"/>
                    <w:right w:val="single" w:color="auto" w:sz="4" w:space="0"/>
                  </w:tcBorders>
                  <w:noWrap/>
                  <w:vAlign w:val="center"/>
                </w:tcPr>
                <w:p w14:paraId="6E6EED14">
                  <w:pPr>
                    <w:pStyle w:val="13"/>
                    <w:jc w:val="center"/>
                  </w:pPr>
                  <w:r>
                    <w:rPr>
                      <w:rFonts w:hint="eastAsia"/>
                    </w:rPr>
                    <w:t>1</w:t>
                  </w:r>
                </w:p>
              </w:tc>
              <w:tc>
                <w:tcPr>
                  <w:tcW w:w="752" w:type="pct"/>
                  <w:vMerge w:val="continue"/>
                  <w:tcBorders>
                    <w:left w:val="single" w:color="auto" w:sz="4" w:space="0"/>
                    <w:right w:val="single" w:color="auto" w:sz="4" w:space="0"/>
                  </w:tcBorders>
                  <w:noWrap/>
                  <w:vAlign w:val="center"/>
                </w:tcPr>
                <w:p w14:paraId="308A10FA">
                  <w:pPr>
                    <w:pStyle w:val="13"/>
                    <w:jc w:val="center"/>
                  </w:pPr>
                </w:p>
              </w:tc>
              <w:tc>
                <w:tcPr>
                  <w:tcW w:w="679" w:type="pct"/>
                  <w:vMerge w:val="continue"/>
                  <w:tcBorders>
                    <w:left w:val="single" w:color="auto" w:sz="4" w:space="0"/>
                    <w:right w:val="single" w:color="auto" w:sz="4" w:space="0"/>
                  </w:tcBorders>
                  <w:noWrap/>
                  <w:vAlign w:val="center"/>
                </w:tcPr>
                <w:p w14:paraId="3BBA1246">
                  <w:pPr>
                    <w:pStyle w:val="13"/>
                    <w:jc w:val="center"/>
                  </w:pPr>
                </w:p>
              </w:tc>
            </w:tr>
            <w:tr w14:paraId="78A30411">
              <w:trPr>
                <w:trHeight w:val="289" w:hRule="atLeast"/>
                <w:jc w:val="center"/>
              </w:trPr>
              <w:tc>
                <w:tcPr>
                  <w:tcW w:w="679" w:type="pct"/>
                  <w:tcBorders>
                    <w:top w:val="nil"/>
                    <w:left w:val="single" w:color="auto" w:sz="4" w:space="0"/>
                    <w:bottom w:val="single" w:color="auto" w:sz="4" w:space="0"/>
                    <w:right w:val="single" w:color="auto" w:sz="4" w:space="0"/>
                  </w:tcBorders>
                  <w:noWrap/>
                  <w:vAlign w:val="center"/>
                </w:tcPr>
                <w:p w14:paraId="1B5C8B8F">
                  <w:pPr>
                    <w:pStyle w:val="13"/>
                    <w:jc w:val="center"/>
                  </w:pPr>
                  <w:r>
                    <w:t>3</w:t>
                  </w:r>
                </w:p>
              </w:tc>
              <w:tc>
                <w:tcPr>
                  <w:tcW w:w="921" w:type="pct"/>
                  <w:vMerge w:val="continue"/>
                  <w:tcBorders>
                    <w:top w:val="nil"/>
                    <w:left w:val="single" w:color="auto" w:sz="4" w:space="0"/>
                    <w:bottom w:val="single" w:color="auto" w:sz="4" w:space="0"/>
                    <w:right w:val="single" w:color="auto" w:sz="4" w:space="0"/>
                  </w:tcBorders>
                  <w:vAlign w:val="center"/>
                </w:tcPr>
                <w:p w14:paraId="4862C00B">
                  <w:pPr>
                    <w:pStyle w:val="13"/>
                    <w:jc w:val="center"/>
                  </w:pPr>
                </w:p>
              </w:tc>
              <w:tc>
                <w:tcPr>
                  <w:tcW w:w="679" w:type="pct"/>
                  <w:tcBorders>
                    <w:top w:val="nil"/>
                    <w:left w:val="nil"/>
                    <w:bottom w:val="single" w:color="auto" w:sz="4" w:space="0"/>
                    <w:right w:val="single" w:color="auto" w:sz="4" w:space="0"/>
                  </w:tcBorders>
                  <w:noWrap/>
                  <w:vAlign w:val="center"/>
                </w:tcPr>
                <w:p w14:paraId="0F6E50B3">
                  <w:pPr>
                    <w:pStyle w:val="13"/>
                    <w:jc w:val="center"/>
                  </w:pPr>
                  <w:r>
                    <w:rPr>
                      <w:rFonts w:hint="eastAsia"/>
                    </w:rPr>
                    <w:t>75</w:t>
                  </w:r>
                </w:p>
              </w:tc>
              <w:tc>
                <w:tcPr>
                  <w:tcW w:w="679" w:type="pct"/>
                  <w:tcBorders>
                    <w:top w:val="nil"/>
                    <w:left w:val="nil"/>
                    <w:bottom w:val="single" w:color="auto" w:sz="4" w:space="0"/>
                    <w:right w:val="single" w:color="auto" w:sz="4" w:space="0"/>
                  </w:tcBorders>
                  <w:noWrap/>
                  <w:vAlign w:val="center"/>
                </w:tcPr>
                <w:p w14:paraId="161A8952">
                  <w:pPr>
                    <w:pStyle w:val="13"/>
                    <w:jc w:val="center"/>
                  </w:pPr>
                  <w:r>
                    <w:rPr>
                      <w:rFonts w:hint="eastAsia"/>
                    </w:rPr>
                    <w:t>0.3t/h</w:t>
                  </w:r>
                </w:p>
              </w:tc>
              <w:tc>
                <w:tcPr>
                  <w:tcW w:w="606" w:type="pct"/>
                  <w:tcBorders>
                    <w:top w:val="nil"/>
                    <w:left w:val="nil"/>
                    <w:bottom w:val="single" w:color="auto" w:sz="4" w:space="0"/>
                    <w:right w:val="single" w:color="auto" w:sz="4" w:space="0"/>
                  </w:tcBorders>
                  <w:noWrap/>
                  <w:vAlign w:val="center"/>
                </w:tcPr>
                <w:p w14:paraId="1312BB4D">
                  <w:pPr>
                    <w:pStyle w:val="13"/>
                    <w:jc w:val="center"/>
                  </w:pPr>
                  <w:r>
                    <w:rPr>
                      <w:rFonts w:hint="eastAsia"/>
                    </w:rPr>
                    <w:t>1</w:t>
                  </w:r>
                </w:p>
              </w:tc>
              <w:tc>
                <w:tcPr>
                  <w:tcW w:w="752" w:type="pct"/>
                  <w:vMerge w:val="continue"/>
                  <w:tcBorders>
                    <w:top w:val="nil"/>
                    <w:left w:val="single" w:color="auto" w:sz="4" w:space="0"/>
                    <w:bottom w:val="single" w:color="auto" w:sz="4" w:space="0"/>
                    <w:right w:val="single" w:color="auto" w:sz="4" w:space="0"/>
                  </w:tcBorders>
                  <w:noWrap/>
                  <w:vAlign w:val="center"/>
                </w:tcPr>
                <w:p w14:paraId="50A82867">
                  <w:pPr>
                    <w:pStyle w:val="13"/>
                    <w:jc w:val="center"/>
                  </w:pPr>
                </w:p>
              </w:tc>
              <w:tc>
                <w:tcPr>
                  <w:tcW w:w="679" w:type="pct"/>
                  <w:vMerge w:val="continue"/>
                  <w:tcBorders>
                    <w:top w:val="nil"/>
                    <w:left w:val="single" w:color="auto" w:sz="4" w:space="0"/>
                    <w:bottom w:val="single" w:color="auto" w:sz="4" w:space="0"/>
                    <w:right w:val="single" w:color="auto" w:sz="4" w:space="0"/>
                  </w:tcBorders>
                  <w:noWrap/>
                  <w:vAlign w:val="center"/>
                </w:tcPr>
                <w:p w14:paraId="5E22D06E">
                  <w:pPr>
                    <w:pStyle w:val="13"/>
                    <w:jc w:val="center"/>
                  </w:pPr>
                </w:p>
              </w:tc>
            </w:tr>
            <w:tr w14:paraId="5E6B68FB">
              <w:trPr>
                <w:trHeight w:val="289" w:hRule="atLeast"/>
                <w:jc w:val="center"/>
              </w:trPr>
              <w:tc>
                <w:tcPr>
                  <w:tcW w:w="679" w:type="pct"/>
                  <w:tcBorders>
                    <w:top w:val="nil"/>
                    <w:left w:val="single" w:color="auto" w:sz="4" w:space="0"/>
                    <w:bottom w:val="single" w:color="auto" w:sz="4" w:space="0"/>
                    <w:right w:val="single" w:color="auto" w:sz="4" w:space="0"/>
                  </w:tcBorders>
                  <w:noWrap/>
                  <w:vAlign w:val="center"/>
                </w:tcPr>
                <w:p w14:paraId="20E006E6">
                  <w:pPr>
                    <w:pStyle w:val="13"/>
                    <w:jc w:val="center"/>
                  </w:pPr>
                  <w:r>
                    <w:t>4</w:t>
                  </w:r>
                </w:p>
              </w:tc>
              <w:tc>
                <w:tcPr>
                  <w:tcW w:w="921" w:type="pct"/>
                  <w:vMerge w:val="continue"/>
                  <w:tcBorders>
                    <w:top w:val="nil"/>
                    <w:left w:val="single" w:color="auto" w:sz="4" w:space="0"/>
                    <w:bottom w:val="single" w:color="auto" w:sz="4" w:space="0"/>
                    <w:right w:val="single" w:color="auto" w:sz="4" w:space="0"/>
                  </w:tcBorders>
                  <w:vAlign w:val="center"/>
                </w:tcPr>
                <w:p w14:paraId="4D756FCF">
                  <w:pPr>
                    <w:pStyle w:val="13"/>
                    <w:jc w:val="center"/>
                  </w:pPr>
                </w:p>
              </w:tc>
              <w:tc>
                <w:tcPr>
                  <w:tcW w:w="679" w:type="pct"/>
                  <w:tcBorders>
                    <w:top w:val="nil"/>
                    <w:left w:val="nil"/>
                    <w:bottom w:val="single" w:color="auto" w:sz="4" w:space="0"/>
                    <w:right w:val="single" w:color="auto" w:sz="4" w:space="0"/>
                  </w:tcBorders>
                  <w:noWrap/>
                  <w:vAlign w:val="center"/>
                </w:tcPr>
                <w:p w14:paraId="2D4F3244">
                  <w:pPr>
                    <w:pStyle w:val="13"/>
                    <w:jc w:val="center"/>
                  </w:pPr>
                  <w:r>
                    <w:rPr>
                      <w:rFonts w:hint="eastAsia"/>
                    </w:rPr>
                    <w:t>65</w:t>
                  </w:r>
                </w:p>
              </w:tc>
              <w:tc>
                <w:tcPr>
                  <w:tcW w:w="679" w:type="pct"/>
                  <w:tcBorders>
                    <w:top w:val="nil"/>
                    <w:left w:val="nil"/>
                    <w:bottom w:val="single" w:color="auto" w:sz="4" w:space="0"/>
                    <w:right w:val="single" w:color="auto" w:sz="4" w:space="0"/>
                  </w:tcBorders>
                  <w:noWrap/>
                  <w:vAlign w:val="center"/>
                </w:tcPr>
                <w:p w14:paraId="52481AEA">
                  <w:pPr>
                    <w:pStyle w:val="13"/>
                    <w:jc w:val="center"/>
                  </w:pPr>
                  <w:r>
                    <w:rPr>
                      <w:rFonts w:hint="eastAsia"/>
                    </w:rPr>
                    <w:t>0.15t/h</w:t>
                  </w:r>
                </w:p>
              </w:tc>
              <w:tc>
                <w:tcPr>
                  <w:tcW w:w="606" w:type="pct"/>
                  <w:tcBorders>
                    <w:top w:val="nil"/>
                    <w:left w:val="nil"/>
                    <w:bottom w:val="single" w:color="auto" w:sz="4" w:space="0"/>
                    <w:right w:val="single" w:color="auto" w:sz="4" w:space="0"/>
                  </w:tcBorders>
                  <w:noWrap/>
                  <w:vAlign w:val="center"/>
                </w:tcPr>
                <w:p w14:paraId="333D7666">
                  <w:pPr>
                    <w:pStyle w:val="13"/>
                    <w:jc w:val="center"/>
                  </w:pPr>
                  <w:r>
                    <w:rPr>
                      <w:rFonts w:hint="eastAsia"/>
                    </w:rPr>
                    <w:t>1</w:t>
                  </w:r>
                </w:p>
              </w:tc>
              <w:tc>
                <w:tcPr>
                  <w:tcW w:w="752" w:type="pct"/>
                  <w:vMerge w:val="continue"/>
                  <w:tcBorders>
                    <w:top w:val="nil"/>
                    <w:left w:val="single" w:color="auto" w:sz="4" w:space="0"/>
                    <w:bottom w:val="single" w:color="auto" w:sz="4" w:space="0"/>
                    <w:right w:val="single" w:color="auto" w:sz="4" w:space="0"/>
                  </w:tcBorders>
                  <w:noWrap/>
                  <w:vAlign w:val="center"/>
                </w:tcPr>
                <w:p w14:paraId="57F3F667">
                  <w:pPr>
                    <w:pStyle w:val="13"/>
                    <w:jc w:val="center"/>
                  </w:pPr>
                </w:p>
              </w:tc>
              <w:tc>
                <w:tcPr>
                  <w:tcW w:w="679" w:type="pct"/>
                  <w:vMerge w:val="continue"/>
                  <w:tcBorders>
                    <w:top w:val="nil"/>
                    <w:left w:val="single" w:color="auto" w:sz="4" w:space="0"/>
                    <w:bottom w:val="single" w:color="auto" w:sz="4" w:space="0"/>
                    <w:right w:val="single" w:color="auto" w:sz="4" w:space="0"/>
                  </w:tcBorders>
                  <w:noWrap/>
                  <w:vAlign w:val="center"/>
                </w:tcPr>
                <w:p w14:paraId="4540B4F8">
                  <w:pPr>
                    <w:pStyle w:val="13"/>
                    <w:jc w:val="center"/>
                  </w:pPr>
                </w:p>
              </w:tc>
            </w:tr>
            <w:tr w14:paraId="4BFE48E5">
              <w:trPr>
                <w:trHeight w:val="289" w:hRule="atLeast"/>
                <w:jc w:val="center"/>
              </w:trPr>
              <w:tc>
                <w:tcPr>
                  <w:tcW w:w="679" w:type="pct"/>
                  <w:tcBorders>
                    <w:top w:val="nil"/>
                    <w:left w:val="single" w:color="auto" w:sz="4" w:space="0"/>
                    <w:bottom w:val="single" w:color="auto" w:sz="4" w:space="0"/>
                    <w:right w:val="single" w:color="auto" w:sz="4" w:space="0"/>
                  </w:tcBorders>
                  <w:noWrap/>
                  <w:vAlign w:val="center"/>
                </w:tcPr>
                <w:p w14:paraId="59A74BAF">
                  <w:pPr>
                    <w:pStyle w:val="13"/>
                    <w:jc w:val="center"/>
                  </w:pPr>
                  <w:r>
                    <w:t>5</w:t>
                  </w:r>
                </w:p>
              </w:tc>
              <w:tc>
                <w:tcPr>
                  <w:tcW w:w="921" w:type="pct"/>
                  <w:vMerge w:val="continue"/>
                  <w:tcBorders>
                    <w:top w:val="nil"/>
                    <w:left w:val="single" w:color="auto" w:sz="4" w:space="0"/>
                    <w:bottom w:val="single" w:color="auto" w:sz="4" w:space="0"/>
                    <w:right w:val="single" w:color="auto" w:sz="4" w:space="0"/>
                  </w:tcBorders>
                  <w:vAlign w:val="center"/>
                </w:tcPr>
                <w:p w14:paraId="020F6500">
                  <w:pPr>
                    <w:pStyle w:val="13"/>
                    <w:jc w:val="center"/>
                  </w:pPr>
                </w:p>
              </w:tc>
              <w:tc>
                <w:tcPr>
                  <w:tcW w:w="679" w:type="pct"/>
                  <w:tcBorders>
                    <w:top w:val="nil"/>
                    <w:left w:val="nil"/>
                    <w:bottom w:val="single" w:color="auto" w:sz="4" w:space="0"/>
                    <w:right w:val="single" w:color="auto" w:sz="4" w:space="0"/>
                  </w:tcBorders>
                  <w:noWrap/>
                  <w:vAlign w:val="center"/>
                </w:tcPr>
                <w:p w14:paraId="23A25E1C">
                  <w:pPr>
                    <w:pStyle w:val="13"/>
                    <w:jc w:val="center"/>
                  </w:pPr>
                  <w:r>
                    <w:rPr>
                      <w:rFonts w:hint="eastAsia"/>
                    </w:rPr>
                    <w:t>90</w:t>
                  </w:r>
                </w:p>
              </w:tc>
              <w:tc>
                <w:tcPr>
                  <w:tcW w:w="679" w:type="pct"/>
                  <w:tcBorders>
                    <w:top w:val="nil"/>
                    <w:left w:val="nil"/>
                    <w:bottom w:val="single" w:color="auto" w:sz="4" w:space="0"/>
                    <w:right w:val="single" w:color="auto" w:sz="4" w:space="0"/>
                  </w:tcBorders>
                  <w:noWrap/>
                  <w:vAlign w:val="center"/>
                </w:tcPr>
                <w:p w14:paraId="270118FD">
                  <w:pPr>
                    <w:pStyle w:val="13"/>
                    <w:jc w:val="center"/>
                  </w:pPr>
                  <w:r>
                    <w:rPr>
                      <w:rFonts w:hint="eastAsia"/>
                    </w:rPr>
                    <w:t>0.1t/h</w:t>
                  </w:r>
                </w:p>
              </w:tc>
              <w:tc>
                <w:tcPr>
                  <w:tcW w:w="606" w:type="pct"/>
                  <w:tcBorders>
                    <w:top w:val="nil"/>
                    <w:left w:val="nil"/>
                    <w:bottom w:val="single" w:color="auto" w:sz="4" w:space="0"/>
                    <w:right w:val="single" w:color="auto" w:sz="4" w:space="0"/>
                  </w:tcBorders>
                  <w:noWrap/>
                  <w:vAlign w:val="center"/>
                </w:tcPr>
                <w:p w14:paraId="702870F5">
                  <w:pPr>
                    <w:pStyle w:val="13"/>
                    <w:jc w:val="center"/>
                  </w:pPr>
                  <w:r>
                    <w:rPr>
                      <w:rFonts w:hint="eastAsia"/>
                    </w:rPr>
                    <w:t>1</w:t>
                  </w:r>
                </w:p>
              </w:tc>
              <w:tc>
                <w:tcPr>
                  <w:tcW w:w="752" w:type="pct"/>
                  <w:vMerge w:val="continue"/>
                  <w:tcBorders>
                    <w:top w:val="nil"/>
                    <w:left w:val="single" w:color="auto" w:sz="4" w:space="0"/>
                    <w:bottom w:val="single" w:color="auto" w:sz="4" w:space="0"/>
                    <w:right w:val="single" w:color="auto" w:sz="4" w:space="0"/>
                  </w:tcBorders>
                  <w:noWrap/>
                  <w:vAlign w:val="center"/>
                </w:tcPr>
                <w:p w14:paraId="5A82590B">
                  <w:pPr>
                    <w:pStyle w:val="13"/>
                    <w:jc w:val="center"/>
                  </w:pPr>
                </w:p>
              </w:tc>
              <w:tc>
                <w:tcPr>
                  <w:tcW w:w="679" w:type="pct"/>
                  <w:vMerge w:val="continue"/>
                  <w:tcBorders>
                    <w:top w:val="nil"/>
                    <w:left w:val="single" w:color="auto" w:sz="4" w:space="0"/>
                    <w:bottom w:val="single" w:color="auto" w:sz="4" w:space="0"/>
                    <w:right w:val="single" w:color="auto" w:sz="4" w:space="0"/>
                  </w:tcBorders>
                  <w:noWrap/>
                  <w:vAlign w:val="center"/>
                </w:tcPr>
                <w:p w14:paraId="559EE684">
                  <w:pPr>
                    <w:pStyle w:val="13"/>
                    <w:jc w:val="center"/>
                  </w:pPr>
                </w:p>
              </w:tc>
            </w:tr>
            <w:tr w14:paraId="455DD15D">
              <w:trPr>
                <w:trHeight w:val="289" w:hRule="atLeast"/>
                <w:jc w:val="center"/>
              </w:trPr>
              <w:tc>
                <w:tcPr>
                  <w:tcW w:w="679" w:type="pct"/>
                  <w:tcBorders>
                    <w:top w:val="nil"/>
                    <w:left w:val="single" w:color="auto" w:sz="4" w:space="0"/>
                    <w:bottom w:val="single" w:color="auto" w:sz="4" w:space="0"/>
                    <w:right w:val="single" w:color="auto" w:sz="4" w:space="0"/>
                  </w:tcBorders>
                  <w:noWrap/>
                  <w:vAlign w:val="center"/>
                </w:tcPr>
                <w:p w14:paraId="753F4517">
                  <w:pPr>
                    <w:pStyle w:val="13"/>
                    <w:jc w:val="center"/>
                  </w:pPr>
                  <w:r>
                    <w:rPr>
                      <w:rFonts w:hint="eastAsia"/>
                    </w:rPr>
                    <w:t>6</w:t>
                  </w:r>
                </w:p>
              </w:tc>
              <w:tc>
                <w:tcPr>
                  <w:tcW w:w="921" w:type="pct"/>
                  <w:vMerge w:val="continue"/>
                  <w:tcBorders>
                    <w:top w:val="nil"/>
                    <w:left w:val="single" w:color="auto" w:sz="4" w:space="0"/>
                    <w:bottom w:val="single" w:color="auto" w:sz="4" w:space="0"/>
                    <w:right w:val="single" w:color="auto" w:sz="4" w:space="0"/>
                  </w:tcBorders>
                  <w:vAlign w:val="center"/>
                </w:tcPr>
                <w:p w14:paraId="174A83A3">
                  <w:pPr>
                    <w:pStyle w:val="13"/>
                    <w:jc w:val="center"/>
                  </w:pPr>
                </w:p>
              </w:tc>
              <w:tc>
                <w:tcPr>
                  <w:tcW w:w="679" w:type="pct"/>
                  <w:tcBorders>
                    <w:top w:val="nil"/>
                    <w:left w:val="nil"/>
                    <w:bottom w:val="single" w:color="auto" w:sz="4" w:space="0"/>
                    <w:right w:val="single" w:color="auto" w:sz="4" w:space="0"/>
                  </w:tcBorders>
                  <w:noWrap/>
                  <w:vAlign w:val="center"/>
                </w:tcPr>
                <w:p w14:paraId="20A8B67E">
                  <w:pPr>
                    <w:pStyle w:val="13"/>
                    <w:jc w:val="center"/>
                  </w:pPr>
                  <w:r>
                    <w:rPr>
                      <w:rFonts w:hint="eastAsia"/>
                    </w:rPr>
                    <w:t>36B</w:t>
                  </w:r>
                </w:p>
              </w:tc>
              <w:tc>
                <w:tcPr>
                  <w:tcW w:w="679" w:type="pct"/>
                  <w:tcBorders>
                    <w:top w:val="nil"/>
                    <w:left w:val="nil"/>
                    <w:bottom w:val="single" w:color="auto" w:sz="4" w:space="0"/>
                    <w:right w:val="single" w:color="auto" w:sz="4" w:space="0"/>
                  </w:tcBorders>
                  <w:noWrap/>
                  <w:vAlign w:val="center"/>
                </w:tcPr>
                <w:p w14:paraId="036DD50C">
                  <w:pPr>
                    <w:pStyle w:val="13"/>
                    <w:jc w:val="center"/>
                  </w:pPr>
                  <w:r>
                    <w:rPr>
                      <w:rFonts w:hint="eastAsia"/>
                    </w:rPr>
                    <w:t>0.03t/h</w:t>
                  </w:r>
                </w:p>
              </w:tc>
              <w:tc>
                <w:tcPr>
                  <w:tcW w:w="606" w:type="pct"/>
                  <w:tcBorders>
                    <w:top w:val="nil"/>
                    <w:left w:val="nil"/>
                    <w:bottom w:val="single" w:color="auto" w:sz="4" w:space="0"/>
                    <w:right w:val="single" w:color="auto" w:sz="4" w:space="0"/>
                  </w:tcBorders>
                  <w:noWrap/>
                  <w:vAlign w:val="center"/>
                </w:tcPr>
                <w:p w14:paraId="2792D599">
                  <w:pPr>
                    <w:pStyle w:val="13"/>
                    <w:jc w:val="center"/>
                  </w:pPr>
                  <w:r>
                    <w:rPr>
                      <w:rFonts w:hint="eastAsia"/>
                    </w:rPr>
                    <w:t>4</w:t>
                  </w:r>
                </w:p>
              </w:tc>
              <w:tc>
                <w:tcPr>
                  <w:tcW w:w="752" w:type="pct"/>
                  <w:vMerge w:val="continue"/>
                  <w:tcBorders>
                    <w:top w:val="nil"/>
                    <w:left w:val="single" w:color="auto" w:sz="4" w:space="0"/>
                    <w:bottom w:val="single" w:color="auto" w:sz="4" w:space="0"/>
                    <w:right w:val="single" w:color="auto" w:sz="4" w:space="0"/>
                  </w:tcBorders>
                  <w:noWrap/>
                  <w:vAlign w:val="center"/>
                </w:tcPr>
                <w:p w14:paraId="471916D0">
                  <w:pPr>
                    <w:pStyle w:val="13"/>
                    <w:jc w:val="center"/>
                  </w:pPr>
                </w:p>
              </w:tc>
              <w:tc>
                <w:tcPr>
                  <w:tcW w:w="679" w:type="pct"/>
                  <w:vMerge w:val="continue"/>
                  <w:tcBorders>
                    <w:top w:val="nil"/>
                    <w:left w:val="single" w:color="auto" w:sz="4" w:space="0"/>
                    <w:bottom w:val="single" w:color="auto" w:sz="4" w:space="0"/>
                    <w:right w:val="single" w:color="auto" w:sz="4" w:space="0"/>
                  </w:tcBorders>
                  <w:noWrap/>
                  <w:vAlign w:val="center"/>
                </w:tcPr>
                <w:p w14:paraId="288D074D">
                  <w:pPr>
                    <w:pStyle w:val="13"/>
                    <w:jc w:val="center"/>
                  </w:pPr>
                </w:p>
              </w:tc>
            </w:tr>
          </w:tbl>
          <w:p w14:paraId="3B35C60F">
            <w:pPr>
              <w:ind w:firstLine="480"/>
              <w:jc w:val="both"/>
            </w:pPr>
            <w:r>
              <w:rPr>
                <w:rFonts w:hint="eastAsia"/>
              </w:rPr>
              <w:t>根据本项目产能匹配性分析可知，本项目更新后主要生产设备可以满足年产8000吨塑料粒子的总体生产规模。采用12台注塑机，专色专用，可以满足测试打样生产所需色板。</w:t>
            </w:r>
          </w:p>
        </w:tc>
      </w:tr>
    </w:tbl>
    <w:p w14:paraId="18DE45FA">
      <w:pPr>
        <w:ind w:firstLine="0" w:firstLineChars="0"/>
        <w:jc w:val="both"/>
        <w:sectPr>
          <w:pgSz w:w="11906" w:h="16838"/>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12991"/>
      </w:tblGrid>
      <w:tr w14:paraId="3D941FAA">
        <w:tc>
          <w:tcPr>
            <w:tcW w:w="473" w:type="dxa"/>
            <w:vAlign w:val="center"/>
          </w:tcPr>
          <w:p w14:paraId="222F567F">
            <w:pPr>
              <w:ind w:firstLine="0" w:firstLineChars="0"/>
              <w:jc w:val="center"/>
            </w:pPr>
          </w:p>
        </w:tc>
        <w:tc>
          <w:tcPr>
            <w:tcW w:w="12981" w:type="dxa"/>
          </w:tcPr>
          <w:p w14:paraId="0D161557">
            <w:pPr>
              <w:ind w:firstLine="480"/>
              <w:jc w:val="both"/>
            </w:pPr>
            <w:r>
              <w:rPr>
                <w:rFonts w:hint="eastAsia"/>
              </w:rPr>
              <w:t>5、原辅材料及理化性质</w:t>
            </w:r>
          </w:p>
          <w:p w14:paraId="233D5DDC">
            <w:pPr>
              <w:ind w:firstLine="480"/>
              <w:jc w:val="both"/>
            </w:pPr>
            <w:r>
              <w:rPr>
                <w:rFonts w:hint="eastAsia"/>
              </w:rPr>
              <w:t>本项目</w:t>
            </w:r>
            <w:r>
              <w:t>原辅材料及年用量见表2-</w:t>
            </w:r>
            <w:r>
              <w:rPr>
                <w:rFonts w:hint="eastAsia"/>
              </w:rPr>
              <w:t>5</w:t>
            </w:r>
            <w:r>
              <w:t>，项目原辅材料理化性质详见表2-</w:t>
            </w:r>
            <w:r>
              <w:rPr>
                <w:rFonts w:hint="eastAsia"/>
              </w:rPr>
              <w:t>6</w:t>
            </w:r>
            <w:r>
              <w:t>。</w:t>
            </w:r>
            <w:r>
              <w:rPr>
                <w:rFonts w:hint="eastAsia"/>
              </w:rPr>
              <w:t>原料经固定配方进行配比，单一树脂种类混合颜料、碳酸钙、钛白粉、聚乙烯蜡后进入螺杆挤出线进行生产。</w:t>
            </w:r>
          </w:p>
          <w:p w14:paraId="04467DB1">
            <w:pPr>
              <w:pStyle w:val="14"/>
              <w:numPr>
                <w:ilvl w:val="0"/>
                <w:numId w:val="6"/>
              </w:numPr>
              <w:spacing w:before="156"/>
              <w:ind w:firstLine="0"/>
            </w:pPr>
            <w:r>
              <w:t xml:space="preserve">  项目主要原辅材料及年用量一览表</w:t>
            </w:r>
            <w:r>
              <w:rPr>
                <w:rFonts w:hint="eastAsia"/>
              </w:rPr>
              <w:t xml:space="preserve">  单位t/a</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1911"/>
              <w:gridCol w:w="1454"/>
              <w:gridCol w:w="1344"/>
              <w:gridCol w:w="2059"/>
              <w:gridCol w:w="1656"/>
              <w:gridCol w:w="1977"/>
              <w:gridCol w:w="1571"/>
            </w:tblGrid>
            <w:tr w14:paraId="019365D7">
              <w:trPr>
                <w:trHeight w:val="340" w:hRule="atLeast"/>
              </w:trPr>
              <w:tc>
                <w:tcPr>
                  <w:tcW w:w="309" w:type="pct"/>
                  <w:vAlign w:val="center"/>
                </w:tcPr>
                <w:p w14:paraId="1F50AEB1">
                  <w:pPr>
                    <w:pStyle w:val="13"/>
                    <w:jc w:val="center"/>
                  </w:pPr>
                  <w:r>
                    <w:rPr>
                      <w:rFonts w:hint="eastAsia"/>
                    </w:rPr>
                    <w:t>序号</w:t>
                  </w:r>
                </w:p>
              </w:tc>
              <w:tc>
                <w:tcPr>
                  <w:tcW w:w="748" w:type="pct"/>
                  <w:vAlign w:val="center"/>
                </w:tcPr>
                <w:p w14:paraId="754A8966">
                  <w:pPr>
                    <w:pStyle w:val="13"/>
                    <w:jc w:val="center"/>
                  </w:pPr>
                  <w:r>
                    <w:rPr>
                      <w:rFonts w:hint="eastAsia"/>
                    </w:rPr>
                    <w:t>物料名称</w:t>
                  </w:r>
                </w:p>
              </w:tc>
              <w:tc>
                <w:tcPr>
                  <w:tcW w:w="569" w:type="pct"/>
                  <w:vAlign w:val="center"/>
                </w:tcPr>
                <w:p w14:paraId="47860ABC">
                  <w:pPr>
                    <w:pStyle w:val="13"/>
                    <w:jc w:val="center"/>
                  </w:pPr>
                  <w:r>
                    <w:rPr>
                      <w:rFonts w:hint="eastAsia"/>
                    </w:rPr>
                    <w:t>包装规格</w:t>
                  </w:r>
                </w:p>
              </w:tc>
              <w:tc>
                <w:tcPr>
                  <w:tcW w:w="526" w:type="pct"/>
                  <w:noWrap/>
                  <w:vAlign w:val="center"/>
                </w:tcPr>
                <w:p w14:paraId="7C56B1B9">
                  <w:pPr>
                    <w:pStyle w:val="13"/>
                    <w:jc w:val="center"/>
                  </w:pPr>
                  <w:r>
                    <w:rPr>
                      <w:rFonts w:hint="eastAsia"/>
                    </w:rPr>
                    <w:t>性状</w:t>
                  </w:r>
                </w:p>
              </w:tc>
              <w:tc>
                <w:tcPr>
                  <w:tcW w:w="806" w:type="pct"/>
                  <w:noWrap/>
                  <w:vAlign w:val="center"/>
                </w:tcPr>
                <w:p w14:paraId="24ED07D6">
                  <w:pPr>
                    <w:pStyle w:val="13"/>
                    <w:jc w:val="center"/>
                  </w:pPr>
                  <w:r>
                    <w:rPr>
                      <w:rFonts w:hint="eastAsia"/>
                    </w:rPr>
                    <w:t>原验收年用量</w:t>
                  </w:r>
                </w:p>
              </w:tc>
              <w:tc>
                <w:tcPr>
                  <w:tcW w:w="648" w:type="pct"/>
                  <w:noWrap/>
                  <w:vAlign w:val="center"/>
                </w:tcPr>
                <w:p w14:paraId="34525983">
                  <w:pPr>
                    <w:pStyle w:val="13"/>
                    <w:jc w:val="center"/>
                  </w:pPr>
                  <w:r>
                    <w:rPr>
                      <w:rFonts w:hint="eastAsia"/>
                    </w:rPr>
                    <w:t>技改项目变化情况</w:t>
                  </w:r>
                </w:p>
              </w:tc>
              <w:tc>
                <w:tcPr>
                  <w:tcW w:w="774" w:type="pct"/>
                  <w:noWrap/>
                  <w:vAlign w:val="center"/>
                </w:tcPr>
                <w:p w14:paraId="5640B5FA">
                  <w:pPr>
                    <w:pStyle w:val="13"/>
                    <w:jc w:val="center"/>
                  </w:pPr>
                  <w:r>
                    <w:rPr>
                      <w:rFonts w:hint="eastAsia"/>
                    </w:rPr>
                    <w:t>本项目实施后全厂</w:t>
                  </w:r>
                </w:p>
              </w:tc>
              <w:tc>
                <w:tcPr>
                  <w:tcW w:w="615" w:type="pct"/>
                  <w:vAlign w:val="center"/>
                </w:tcPr>
                <w:p w14:paraId="0B922B4A">
                  <w:pPr>
                    <w:pStyle w:val="13"/>
                    <w:jc w:val="center"/>
                  </w:pPr>
                  <w:r>
                    <w:rPr>
                      <w:rFonts w:hint="eastAsia"/>
                    </w:rPr>
                    <w:t>厂内最大暂存量</w:t>
                  </w:r>
                </w:p>
              </w:tc>
            </w:tr>
            <w:tr w14:paraId="7E248C43">
              <w:trPr>
                <w:trHeight w:val="340" w:hRule="atLeast"/>
              </w:trPr>
              <w:tc>
                <w:tcPr>
                  <w:tcW w:w="309" w:type="pct"/>
                  <w:vAlign w:val="center"/>
                </w:tcPr>
                <w:p w14:paraId="0EB6A62D">
                  <w:pPr>
                    <w:pStyle w:val="13"/>
                    <w:jc w:val="center"/>
                  </w:pPr>
                  <w:r>
                    <w:t>1</w:t>
                  </w:r>
                </w:p>
              </w:tc>
              <w:tc>
                <w:tcPr>
                  <w:tcW w:w="748" w:type="pct"/>
                  <w:noWrap/>
                  <w:vAlign w:val="center"/>
                </w:tcPr>
                <w:p w14:paraId="1011C140">
                  <w:pPr>
                    <w:pStyle w:val="13"/>
                    <w:jc w:val="center"/>
                  </w:pPr>
                  <w:r>
                    <w:rPr>
                      <w:rFonts w:hint="eastAsia"/>
                    </w:rPr>
                    <w:t>ABS</w:t>
                  </w:r>
                </w:p>
              </w:tc>
              <w:tc>
                <w:tcPr>
                  <w:tcW w:w="569" w:type="pct"/>
                  <w:vAlign w:val="center"/>
                </w:tcPr>
                <w:p w14:paraId="142F7C5F">
                  <w:pPr>
                    <w:pStyle w:val="13"/>
                    <w:jc w:val="center"/>
                  </w:pPr>
                  <w:r>
                    <w:t>25kg/袋</w:t>
                  </w:r>
                </w:p>
              </w:tc>
              <w:tc>
                <w:tcPr>
                  <w:tcW w:w="526" w:type="pct"/>
                  <w:noWrap/>
                  <w:vAlign w:val="center"/>
                </w:tcPr>
                <w:p w14:paraId="7CC3089C">
                  <w:pPr>
                    <w:pStyle w:val="13"/>
                    <w:jc w:val="center"/>
                  </w:pPr>
                  <w:r>
                    <w:rPr>
                      <w:rFonts w:hint="eastAsia"/>
                    </w:rPr>
                    <w:t>颗粒状</w:t>
                  </w:r>
                </w:p>
              </w:tc>
              <w:tc>
                <w:tcPr>
                  <w:tcW w:w="806" w:type="pct"/>
                  <w:noWrap/>
                  <w:vAlign w:val="center"/>
                </w:tcPr>
                <w:p w14:paraId="612E44CA">
                  <w:pPr>
                    <w:pStyle w:val="13"/>
                    <w:jc w:val="center"/>
                  </w:pPr>
                  <w:r>
                    <w:rPr>
                      <w:rFonts w:hint="eastAsia"/>
                    </w:rPr>
                    <w:t>500</w:t>
                  </w:r>
                </w:p>
              </w:tc>
              <w:tc>
                <w:tcPr>
                  <w:tcW w:w="648" w:type="pct"/>
                  <w:noWrap/>
                  <w:vAlign w:val="center"/>
                </w:tcPr>
                <w:p w14:paraId="4711E235">
                  <w:pPr>
                    <w:pStyle w:val="13"/>
                    <w:jc w:val="center"/>
                  </w:pPr>
                  <w:r>
                    <w:rPr>
                      <w:rFonts w:hint="eastAsia"/>
                    </w:rPr>
                    <w:t>-50</w:t>
                  </w:r>
                </w:p>
              </w:tc>
              <w:tc>
                <w:tcPr>
                  <w:tcW w:w="774" w:type="pct"/>
                  <w:vAlign w:val="center"/>
                </w:tcPr>
                <w:p w14:paraId="141FE984">
                  <w:pPr>
                    <w:pStyle w:val="13"/>
                    <w:jc w:val="center"/>
                  </w:pPr>
                  <w:r>
                    <w:rPr>
                      <w:rFonts w:hint="eastAsia"/>
                    </w:rPr>
                    <w:t>45</w:t>
                  </w:r>
                  <w:r>
                    <w:t>0</w:t>
                  </w:r>
                </w:p>
              </w:tc>
              <w:tc>
                <w:tcPr>
                  <w:tcW w:w="615" w:type="pct"/>
                  <w:vAlign w:val="center"/>
                </w:tcPr>
                <w:p w14:paraId="274E33C3">
                  <w:pPr>
                    <w:pStyle w:val="13"/>
                    <w:jc w:val="center"/>
                  </w:pPr>
                  <w:r>
                    <w:t>50</w:t>
                  </w:r>
                </w:p>
              </w:tc>
            </w:tr>
            <w:tr w14:paraId="54966289">
              <w:trPr>
                <w:trHeight w:val="340" w:hRule="atLeast"/>
              </w:trPr>
              <w:tc>
                <w:tcPr>
                  <w:tcW w:w="309" w:type="pct"/>
                  <w:vAlign w:val="center"/>
                </w:tcPr>
                <w:p w14:paraId="5B25F108">
                  <w:pPr>
                    <w:pStyle w:val="13"/>
                    <w:jc w:val="center"/>
                  </w:pPr>
                  <w:r>
                    <w:t>2</w:t>
                  </w:r>
                </w:p>
              </w:tc>
              <w:tc>
                <w:tcPr>
                  <w:tcW w:w="748" w:type="pct"/>
                  <w:noWrap/>
                  <w:vAlign w:val="center"/>
                </w:tcPr>
                <w:p w14:paraId="599CA223">
                  <w:pPr>
                    <w:pStyle w:val="13"/>
                    <w:jc w:val="center"/>
                  </w:pPr>
                  <w:r>
                    <w:rPr>
                      <w:rFonts w:hint="eastAsia"/>
                    </w:rPr>
                    <w:t>PP</w:t>
                  </w:r>
                </w:p>
              </w:tc>
              <w:tc>
                <w:tcPr>
                  <w:tcW w:w="569" w:type="pct"/>
                  <w:vAlign w:val="center"/>
                </w:tcPr>
                <w:p w14:paraId="6904F792">
                  <w:pPr>
                    <w:pStyle w:val="13"/>
                    <w:jc w:val="center"/>
                  </w:pPr>
                  <w:r>
                    <w:t>25kg/袋</w:t>
                  </w:r>
                </w:p>
              </w:tc>
              <w:tc>
                <w:tcPr>
                  <w:tcW w:w="526" w:type="pct"/>
                  <w:noWrap/>
                  <w:vAlign w:val="center"/>
                </w:tcPr>
                <w:p w14:paraId="7E9A9A97">
                  <w:pPr>
                    <w:pStyle w:val="13"/>
                    <w:jc w:val="center"/>
                  </w:pPr>
                  <w:r>
                    <w:rPr>
                      <w:rFonts w:hint="eastAsia"/>
                    </w:rPr>
                    <w:t>颗粒状</w:t>
                  </w:r>
                </w:p>
              </w:tc>
              <w:tc>
                <w:tcPr>
                  <w:tcW w:w="806" w:type="pct"/>
                  <w:noWrap/>
                  <w:vAlign w:val="center"/>
                </w:tcPr>
                <w:p w14:paraId="0C298B0B">
                  <w:pPr>
                    <w:pStyle w:val="13"/>
                    <w:jc w:val="center"/>
                  </w:pPr>
                  <w:r>
                    <w:rPr>
                      <w:rFonts w:hint="eastAsia"/>
                    </w:rPr>
                    <w:t>3500</w:t>
                  </w:r>
                </w:p>
              </w:tc>
              <w:tc>
                <w:tcPr>
                  <w:tcW w:w="648" w:type="pct"/>
                  <w:noWrap/>
                  <w:vAlign w:val="center"/>
                </w:tcPr>
                <w:p w14:paraId="30C7E5F6">
                  <w:pPr>
                    <w:pStyle w:val="13"/>
                    <w:jc w:val="center"/>
                  </w:pPr>
                  <w:r>
                    <w:rPr>
                      <w:rFonts w:hint="eastAsia"/>
                    </w:rPr>
                    <w:t>0</w:t>
                  </w:r>
                </w:p>
              </w:tc>
              <w:tc>
                <w:tcPr>
                  <w:tcW w:w="774" w:type="pct"/>
                  <w:vAlign w:val="center"/>
                </w:tcPr>
                <w:p w14:paraId="7FCDD459">
                  <w:pPr>
                    <w:pStyle w:val="13"/>
                    <w:jc w:val="center"/>
                  </w:pPr>
                  <w:r>
                    <w:t>3500</w:t>
                  </w:r>
                </w:p>
              </w:tc>
              <w:tc>
                <w:tcPr>
                  <w:tcW w:w="615" w:type="pct"/>
                  <w:vAlign w:val="center"/>
                </w:tcPr>
                <w:p w14:paraId="16584D33">
                  <w:pPr>
                    <w:pStyle w:val="13"/>
                    <w:jc w:val="center"/>
                  </w:pPr>
                  <w:r>
                    <w:t>300</w:t>
                  </w:r>
                </w:p>
              </w:tc>
            </w:tr>
            <w:tr w14:paraId="0EB587B5">
              <w:trPr>
                <w:trHeight w:val="340" w:hRule="atLeast"/>
              </w:trPr>
              <w:tc>
                <w:tcPr>
                  <w:tcW w:w="309" w:type="pct"/>
                  <w:vAlign w:val="center"/>
                </w:tcPr>
                <w:p w14:paraId="284F06C6">
                  <w:pPr>
                    <w:pStyle w:val="13"/>
                    <w:jc w:val="center"/>
                  </w:pPr>
                  <w:r>
                    <w:t>3</w:t>
                  </w:r>
                </w:p>
              </w:tc>
              <w:tc>
                <w:tcPr>
                  <w:tcW w:w="748" w:type="pct"/>
                  <w:noWrap/>
                  <w:vAlign w:val="center"/>
                </w:tcPr>
                <w:p w14:paraId="7AC3AE12">
                  <w:pPr>
                    <w:pStyle w:val="13"/>
                    <w:jc w:val="center"/>
                  </w:pPr>
                  <w:r>
                    <w:rPr>
                      <w:rFonts w:hint="eastAsia"/>
                    </w:rPr>
                    <w:t>PS</w:t>
                  </w:r>
                </w:p>
              </w:tc>
              <w:tc>
                <w:tcPr>
                  <w:tcW w:w="569" w:type="pct"/>
                  <w:vAlign w:val="center"/>
                </w:tcPr>
                <w:p w14:paraId="3FF9E811">
                  <w:pPr>
                    <w:pStyle w:val="13"/>
                    <w:jc w:val="center"/>
                  </w:pPr>
                  <w:r>
                    <w:t>25kg/袋</w:t>
                  </w:r>
                </w:p>
              </w:tc>
              <w:tc>
                <w:tcPr>
                  <w:tcW w:w="526" w:type="pct"/>
                  <w:noWrap/>
                  <w:vAlign w:val="center"/>
                </w:tcPr>
                <w:p w14:paraId="7148B402">
                  <w:pPr>
                    <w:pStyle w:val="13"/>
                    <w:jc w:val="center"/>
                  </w:pPr>
                  <w:r>
                    <w:rPr>
                      <w:rFonts w:hint="eastAsia"/>
                    </w:rPr>
                    <w:t>颗粒状</w:t>
                  </w:r>
                </w:p>
              </w:tc>
              <w:tc>
                <w:tcPr>
                  <w:tcW w:w="806" w:type="pct"/>
                  <w:noWrap/>
                  <w:vAlign w:val="center"/>
                </w:tcPr>
                <w:p w14:paraId="0D2E96C8">
                  <w:pPr>
                    <w:pStyle w:val="13"/>
                    <w:jc w:val="center"/>
                  </w:pPr>
                  <w:r>
                    <w:rPr>
                      <w:rFonts w:hint="eastAsia"/>
                    </w:rPr>
                    <w:t>50</w:t>
                  </w:r>
                </w:p>
              </w:tc>
              <w:tc>
                <w:tcPr>
                  <w:tcW w:w="648" w:type="pct"/>
                  <w:noWrap/>
                  <w:vAlign w:val="center"/>
                </w:tcPr>
                <w:p w14:paraId="4F5B396B">
                  <w:pPr>
                    <w:pStyle w:val="13"/>
                    <w:jc w:val="center"/>
                  </w:pPr>
                  <w:r>
                    <w:rPr>
                      <w:rFonts w:hint="eastAsia"/>
                    </w:rPr>
                    <w:t>0</w:t>
                  </w:r>
                </w:p>
              </w:tc>
              <w:tc>
                <w:tcPr>
                  <w:tcW w:w="774" w:type="pct"/>
                  <w:vAlign w:val="center"/>
                </w:tcPr>
                <w:p w14:paraId="79B691A3">
                  <w:pPr>
                    <w:pStyle w:val="13"/>
                    <w:jc w:val="center"/>
                  </w:pPr>
                  <w:r>
                    <w:t>50</w:t>
                  </w:r>
                </w:p>
              </w:tc>
              <w:tc>
                <w:tcPr>
                  <w:tcW w:w="615" w:type="pct"/>
                  <w:vAlign w:val="center"/>
                </w:tcPr>
                <w:p w14:paraId="6BFE1D43">
                  <w:pPr>
                    <w:pStyle w:val="13"/>
                    <w:jc w:val="center"/>
                  </w:pPr>
                  <w:r>
                    <w:t>5</w:t>
                  </w:r>
                </w:p>
              </w:tc>
            </w:tr>
            <w:tr w14:paraId="229148F8">
              <w:trPr>
                <w:trHeight w:val="340" w:hRule="atLeast"/>
              </w:trPr>
              <w:tc>
                <w:tcPr>
                  <w:tcW w:w="309" w:type="pct"/>
                  <w:vAlign w:val="center"/>
                </w:tcPr>
                <w:p w14:paraId="6523E1AD">
                  <w:pPr>
                    <w:pStyle w:val="13"/>
                    <w:jc w:val="center"/>
                  </w:pPr>
                  <w:r>
                    <w:t>4</w:t>
                  </w:r>
                </w:p>
              </w:tc>
              <w:tc>
                <w:tcPr>
                  <w:tcW w:w="748" w:type="pct"/>
                  <w:noWrap/>
                  <w:vAlign w:val="center"/>
                </w:tcPr>
                <w:p w14:paraId="2C958928">
                  <w:pPr>
                    <w:pStyle w:val="13"/>
                    <w:jc w:val="center"/>
                  </w:pPr>
                  <w:r>
                    <w:rPr>
                      <w:rFonts w:hint="eastAsia"/>
                    </w:rPr>
                    <w:t>PE</w:t>
                  </w:r>
                </w:p>
              </w:tc>
              <w:tc>
                <w:tcPr>
                  <w:tcW w:w="569" w:type="pct"/>
                  <w:vAlign w:val="center"/>
                </w:tcPr>
                <w:p w14:paraId="7FBB9F2A">
                  <w:pPr>
                    <w:pStyle w:val="13"/>
                    <w:jc w:val="center"/>
                  </w:pPr>
                  <w:r>
                    <w:t>25kg/袋</w:t>
                  </w:r>
                </w:p>
              </w:tc>
              <w:tc>
                <w:tcPr>
                  <w:tcW w:w="526" w:type="pct"/>
                  <w:noWrap/>
                  <w:vAlign w:val="center"/>
                </w:tcPr>
                <w:p w14:paraId="5BD61414">
                  <w:pPr>
                    <w:pStyle w:val="13"/>
                    <w:jc w:val="center"/>
                  </w:pPr>
                  <w:r>
                    <w:rPr>
                      <w:rFonts w:hint="eastAsia"/>
                    </w:rPr>
                    <w:t>颗粒状</w:t>
                  </w:r>
                </w:p>
              </w:tc>
              <w:tc>
                <w:tcPr>
                  <w:tcW w:w="806" w:type="pct"/>
                  <w:noWrap/>
                  <w:vAlign w:val="center"/>
                </w:tcPr>
                <w:p w14:paraId="3ECD2CFD">
                  <w:pPr>
                    <w:pStyle w:val="13"/>
                    <w:jc w:val="center"/>
                  </w:pPr>
                  <w:r>
                    <w:rPr>
                      <w:rFonts w:hint="eastAsia"/>
                    </w:rPr>
                    <w:t>3290</w:t>
                  </w:r>
                </w:p>
              </w:tc>
              <w:tc>
                <w:tcPr>
                  <w:tcW w:w="648" w:type="pct"/>
                  <w:noWrap/>
                  <w:vAlign w:val="center"/>
                </w:tcPr>
                <w:p w14:paraId="6043CB10">
                  <w:pPr>
                    <w:pStyle w:val="13"/>
                    <w:jc w:val="center"/>
                  </w:pPr>
                  <w:r>
                    <w:rPr>
                      <w:rFonts w:hint="eastAsia"/>
                    </w:rPr>
                    <w:t>0</w:t>
                  </w:r>
                </w:p>
              </w:tc>
              <w:tc>
                <w:tcPr>
                  <w:tcW w:w="774" w:type="pct"/>
                  <w:vAlign w:val="center"/>
                </w:tcPr>
                <w:p w14:paraId="23D206E5">
                  <w:pPr>
                    <w:pStyle w:val="13"/>
                    <w:jc w:val="center"/>
                  </w:pPr>
                  <w:r>
                    <w:t>3290</w:t>
                  </w:r>
                </w:p>
              </w:tc>
              <w:tc>
                <w:tcPr>
                  <w:tcW w:w="615" w:type="pct"/>
                  <w:vAlign w:val="center"/>
                </w:tcPr>
                <w:p w14:paraId="4B5F501D">
                  <w:pPr>
                    <w:pStyle w:val="13"/>
                    <w:jc w:val="center"/>
                  </w:pPr>
                  <w:r>
                    <w:t>300</w:t>
                  </w:r>
                </w:p>
              </w:tc>
            </w:tr>
            <w:tr w14:paraId="12697148">
              <w:trPr>
                <w:trHeight w:val="340" w:hRule="atLeast"/>
              </w:trPr>
              <w:tc>
                <w:tcPr>
                  <w:tcW w:w="309" w:type="pct"/>
                  <w:vAlign w:val="center"/>
                </w:tcPr>
                <w:p w14:paraId="3AA9232B">
                  <w:pPr>
                    <w:pStyle w:val="13"/>
                    <w:jc w:val="center"/>
                  </w:pPr>
                  <w:r>
                    <w:t>5</w:t>
                  </w:r>
                </w:p>
              </w:tc>
              <w:tc>
                <w:tcPr>
                  <w:tcW w:w="748" w:type="pct"/>
                  <w:noWrap/>
                  <w:vAlign w:val="center"/>
                </w:tcPr>
                <w:p w14:paraId="05B6F0A2">
                  <w:pPr>
                    <w:pStyle w:val="13"/>
                    <w:jc w:val="center"/>
                  </w:pPr>
                  <w:r>
                    <w:rPr>
                      <w:rFonts w:hint="eastAsia"/>
                    </w:rPr>
                    <w:t>PA</w:t>
                  </w:r>
                </w:p>
              </w:tc>
              <w:tc>
                <w:tcPr>
                  <w:tcW w:w="569" w:type="pct"/>
                  <w:vAlign w:val="center"/>
                </w:tcPr>
                <w:p w14:paraId="563A1951">
                  <w:pPr>
                    <w:pStyle w:val="13"/>
                    <w:jc w:val="center"/>
                  </w:pPr>
                  <w:r>
                    <w:t>25kg/袋</w:t>
                  </w:r>
                </w:p>
              </w:tc>
              <w:tc>
                <w:tcPr>
                  <w:tcW w:w="526" w:type="pct"/>
                  <w:noWrap/>
                  <w:vAlign w:val="center"/>
                </w:tcPr>
                <w:p w14:paraId="0DEA278C">
                  <w:pPr>
                    <w:pStyle w:val="13"/>
                    <w:jc w:val="center"/>
                  </w:pPr>
                  <w:r>
                    <w:rPr>
                      <w:rFonts w:hint="eastAsia"/>
                    </w:rPr>
                    <w:t>颗粒状</w:t>
                  </w:r>
                </w:p>
              </w:tc>
              <w:tc>
                <w:tcPr>
                  <w:tcW w:w="806" w:type="pct"/>
                  <w:noWrap/>
                  <w:vAlign w:val="center"/>
                </w:tcPr>
                <w:p w14:paraId="6AFBE7A5">
                  <w:pPr>
                    <w:pStyle w:val="13"/>
                    <w:jc w:val="center"/>
                  </w:pPr>
                  <w:r>
                    <w:rPr>
                      <w:rFonts w:hint="eastAsia"/>
                    </w:rPr>
                    <w:t>20</w:t>
                  </w:r>
                </w:p>
              </w:tc>
              <w:tc>
                <w:tcPr>
                  <w:tcW w:w="648" w:type="pct"/>
                  <w:noWrap/>
                  <w:vAlign w:val="center"/>
                </w:tcPr>
                <w:p w14:paraId="5CF29136">
                  <w:pPr>
                    <w:pStyle w:val="13"/>
                    <w:jc w:val="center"/>
                  </w:pPr>
                  <w:r>
                    <w:rPr>
                      <w:rFonts w:hint="eastAsia"/>
                    </w:rPr>
                    <w:t>-3</w:t>
                  </w:r>
                </w:p>
              </w:tc>
              <w:tc>
                <w:tcPr>
                  <w:tcW w:w="774" w:type="pct"/>
                  <w:vAlign w:val="center"/>
                </w:tcPr>
                <w:p w14:paraId="60B9B096">
                  <w:pPr>
                    <w:pStyle w:val="13"/>
                    <w:jc w:val="center"/>
                  </w:pPr>
                  <w:r>
                    <w:rPr>
                      <w:rFonts w:hint="eastAsia"/>
                    </w:rPr>
                    <w:t>17</w:t>
                  </w:r>
                </w:p>
              </w:tc>
              <w:tc>
                <w:tcPr>
                  <w:tcW w:w="615" w:type="pct"/>
                  <w:vAlign w:val="center"/>
                </w:tcPr>
                <w:p w14:paraId="4EB860E1">
                  <w:pPr>
                    <w:pStyle w:val="13"/>
                    <w:jc w:val="center"/>
                  </w:pPr>
                  <w:r>
                    <w:t>5</w:t>
                  </w:r>
                </w:p>
              </w:tc>
            </w:tr>
            <w:tr w14:paraId="13990BFB">
              <w:trPr>
                <w:trHeight w:val="340" w:hRule="atLeast"/>
              </w:trPr>
              <w:tc>
                <w:tcPr>
                  <w:tcW w:w="309" w:type="pct"/>
                  <w:vAlign w:val="center"/>
                </w:tcPr>
                <w:p w14:paraId="722B8CF4">
                  <w:pPr>
                    <w:pStyle w:val="13"/>
                    <w:jc w:val="center"/>
                  </w:pPr>
                  <w:r>
                    <w:t>6</w:t>
                  </w:r>
                </w:p>
              </w:tc>
              <w:tc>
                <w:tcPr>
                  <w:tcW w:w="748" w:type="pct"/>
                  <w:noWrap/>
                  <w:vAlign w:val="center"/>
                </w:tcPr>
                <w:p w14:paraId="0BCB5685">
                  <w:pPr>
                    <w:pStyle w:val="13"/>
                    <w:jc w:val="center"/>
                  </w:pPr>
                  <w:r>
                    <w:rPr>
                      <w:rFonts w:hint="eastAsia"/>
                    </w:rPr>
                    <w:t>AS</w:t>
                  </w:r>
                </w:p>
              </w:tc>
              <w:tc>
                <w:tcPr>
                  <w:tcW w:w="569" w:type="pct"/>
                  <w:vAlign w:val="center"/>
                </w:tcPr>
                <w:p w14:paraId="12C2D2C2">
                  <w:pPr>
                    <w:pStyle w:val="13"/>
                    <w:jc w:val="center"/>
                  </w:pPr>
                  <w:r>
                    <w:t>25kg/袋</w:t>
                  </w:r>
                </w:p>
              </w:tc>
              <w:tc>
                <w:tcPr>
                  <w:tcW w:w="526" w:type="pct"/>
                  <w:noWrap/>
                  <w:vAlign w:val="center"/>
                </w:tcPr>
                <w:p w14:paraId="571C16EB">
                  <w:pPr>
                    <w:pStyle w:val="13"/>
                    <w:jc w:val="center"/>
                  </w:pPr>
                  <w:r>
                    <w:rPr>
                      <w:rFonts w:hint="eastAsia"/>
                    </w:rPr>
                    <w:t>颗粒状</w:t>
                  </w:r>
                </w:p>
              </w:tc>
              <w:tc>
                <w:tcPr>
                  <w:tcW w:w="806" w:type="pct"/>
                  <w:noWrap/>
                  <w:vAlign w:val="center"/>
                </w:tcPr>
                <w:p w14:paraId="6BA82948">
                  <w:pPr>
                    <w:pStyle w:val="13"/>
                    <w:jc w:val="center"/>
                  </w:pPr>
                  <w:r>
                    <w:rPr>
                      <w:rFonts w:hint="eastAsia"/>
                    </w:rPr>
                    <w:t>30</w:t>
                  </w:r>
                </w:p>
              </w:tc>
              <w:tc>
                <w:tcPr>
                  <w:tcW w:w="648" w:type="pct"/>
                  <w:noWrap/>
                  <w:vAlign w:val="center"/>
                </w:tcPr>
                <w:p w14:paraId="2D44AF49">
                  <w:pPr>
                    <w:pStyle w:val="13"/>
                    <w:jc w:val="center"/>
                  </w:pPr>
                  <w:r>
                    <w:rPr>
                      <w:rFonts w:hint="eastAsia"/>
                    </w:rPr>
                    <w:t>0</w:t>
                  </w:r>
                </w:p>
              </w:tc>
              <w:tc>
                <w:tcPr>
                  <w:tcW w:w="774" w:type="pct"/>
                  <w:vAlign w:val="center"/>
                </w:tcPr>
                <w:p w14:paraId="3F054E60">
                  <w:pPr>
                    <w:pStyle w:val="13"/>
                    <w:jc w:val="center"/>
                  </w:pPr>
                  <w:r>
                    <w:t>30</w:t>
                  </w:r>
                </w:p>
              </w:tc>
              <w:tc>
                <w:tcPr>
                  <w:tcW w:w="615" w:type="pct"/>
                  <w:vAlign w:val="center"/>
                </w:tcPr>
                <w:p w14:paraId="499C7DF5">
                  <w:pPr>
                    <w:pStyle w:val="13"/>
                    <w:jc w:val="center"/>
                  </w:pPr>
                  <w:r>
                    <w:t>5</w:t>
                  </w:r>
                </w:p>
              </w:tc>
            </w:tr>
            <w:tr w14:paraId="2B4C9E5A">
              <w:trPr>
                <w:trHeight w:val="340" w:hRule="atLeast"/>
              </w:trPr>
              <w:tc>
                <w:tcPr>
                  <w:tcW w:w="309" w:type="pct"/>
                  <w:vAlign w:val="center"/>
                </w:tcPr>
                <w:p w14:paraId="716D45D7">
                  <w:pPr>
                    <w:pStyle w:val="13"/>
                    <w:jc w:val="center"/>
                  </w:pPr>
                  <w:r>
                    <w:t>7</w:t>
                  </w:r>
                </w:p>
              </w:tc>
              <w:tc>
                <w:tcPr>
                  <w:tcW w:w="748" w:type="pct"/>
                  <w:noWrap/>
                  <w:vAlign w:val="center"/>
                </w:tcPr>
                <w:p w14:paraId="081D4903">
                  <w:pPr>
                    <w:pStyle w:val="13"/>
                    <w:jc w:val="center"/>
                  </w:pPr>
                  <w:r>
                    <w:rPr>
                      <w:rFonts w:hint="eastAsia"/>
                    </w:rPr>
                    <w:t>聚氨酯树脂</w:t>
                  </w:r>
                </w:p>
              </w:tc>
              <w:tc>
                <w:tcPr>
                  <w:tcW w:w="569" w:type="pct"/>
                  <w:vAlign w:val="center"/>
                </w:tcPr>
                <w:p w14:paraId="6686ADF6">
                  <w:pPr>
                    <w:pStyle w:val="13"/>
                    <w:jc w:val="center"/>
                  </w:pPr>
                  <w:r>
                    <w:t>25kg/袋</w:t>
                  </w:r>
                </w:p>
              </w:tc>
              <w:tc>
                <w:tcPr>
                  <w:tcW w:w="526" w:type="pct"/>
                  <w:noWrap/>
                  <w:vAlign w:val="center"/>
                </w:tcPr>
                <w:p w14:paraId="57CCA735">
                  <w:pPr>
                    <w:pStyle w:val="13"/>
                    <w:jc w:val="center"/>
                  </w:pPr>
                  <w:r>
                    <w:rPr>
                      <w:rFonts w:hint="eastAsia"/>
                    </w:rPr>
                    <w:t>颗粒状</w:t>
                  </w:r>
                </w:p>
              </w:tc>
              <w:tc>
                <w:tcPr>
                  <w:tcW w:w="806" w:type="pct"/>
                  <w:noWrap/>
                  <w:vAlign w:val="center"/>
                </w:tcPr>
                <w:p w14:paraId="61378B39">
                  <w:pPr>
                    <w:pStyle w:val="13"/>
                    <w:jc w:val="center"/>
                  </w:pPr>
                  <w:r>
                    <w:rPr>
                      <w:rFonts w:hint="eastAsia"/>
                    </w:rPr>
                    <w:t>0</w:t>
                  </w:r>
                </w:p>
              </w:tc>
              <w:tc>
                <w:tcPr>
                  <w:tcW w:w="648" w:type="pct"/>
                  <w:vAlign w:val="center"/>
                </w:tcPr>
                <w:p w14:paraId="2AE4E3EC">
                  <w:pPr>
                    <w:pStyle w:val="13"/>
                    <w:jc w:val="center"/>
                  </w:pPr>
                  <w:r>
                    <w:t>0.8</w:t>
                  </w:r>
                </w:p>
              </w:tc>
              <w:tc>
                <w:tcPr>
                  <w:tcW w:w="774" w:type="pct"/>
                  <w:vAlign w:val="center"/>
                </w:tcPr>
                <w:p w14:paraId="2A08A2E3">
                  <w:pPr>
                    <w:pStyle w:val="13"/>
                    <w:jc w:val="center"/>
                  </w:pPr>
                  <w:r>
                    <w:t>0.8</w:t>
                  </w:r>
                </w:p>
              </w:tc>
              <w:tc>
                <w:tcPr>
                  <w:tcW w:w="615" w:type="pct"/>
                  <w:vAlign w:val="center"/>
                </w:tcPr>
                <w:p w14:paraId="285DA340">
                  <w:pPr>
                    <w:pStyle w:val="13"/>
                    <w:jc w:val="center"/>
                  </w:pPr>
                  <w:r>
                    <w:t>0.2</w:t>
                  </w:r>
                </w:p>
              </w:tc>
            </w:tr>
            <w:tr w14:paraId="09F93A1B">
              <w:trPr>
                <w:trHeight w:val="340" w:hRule="atLeast"/>
              </w:trPr>
              <w:tc>
                <w:tcPr>
                  <w:tcW w:w="309" w:type="pct"/>
                  <w:vAlign w:val="center"/>
                </w:tcPr>
                <w:p w14:paraId="35639CD7">
                  <w:pPr>
                    <w:pStyle w:val="13"/>
                    <w:jc w:val="center"/>
                  </w:pPr>
                  <w:r>
                    <w:t>8</w:t>
                  </w:r>
                </w:p>
              </w:tc>
              <w:tc>
                <w:tcPr>
                  <w:tcW w:w="748" w:type="pct"/>
                  <w:noWrap/>
                  <w:vAlign w:val="center"/>
                </w:tcPr>
                <w:p w14:paraId="4984BC25">
                  <w:pPr>
                    <w:pStyle w:val="13"/>
                    <w:jc w:val="center"/>
                  </w:pPr>
                  <w:r>
                    <w:rPr>
                      <w:rFonts w:hint="eastAsia"/>
                    </w:rPr>
                    <w:t>丙烯酸树脂</w:t>
                  </w:r>
                </w:p>
              </w:tc>
              <w:tc>
                <w:tcPr>
                  <w:tcW w:w="569" w:type="pct"/>
                  <w:vAlign w:val="center"/>
                </w:tcPr>
                <w:p w14:paraId="0432C1B2">
                  <w:pPr>
                    <w:pStyle w:val="13"/>
                    <w:jc w:val="center"/>
                  </w:pPr>
                  <w:r>
                    <w:t>25kg/袋</w:t>
                  </w:r>
                </w:p>
              </w:tc>
              <w:tc>
                <w:tcPr>
                  <w:tcW w:w="526" w:type="pct"/>
                  <w:noWrap/>
                  <w:vAlign w:val="center"/>
                </w:tcPr>
                <w:p w14:paraId="2A3D6C82">
                  <w:pPr>
                    <w:pStyle w:val="13"/>
                    <w:jc w:val="center"/>
                  </w:pPr>
                  <w:r>
                    <w:rPr>
                      <w:rFonts w:hint="eastAsia"/>
                    </w:rPr>
                    <w:t>颗粒状</w:t>
                  </w:r>
                </w:p>
              </w:tc>
              <w:tc>
                <w:tcPr>
                  <w:tcW w:w="806" w:type="pct"/>
                  <w:noWrap/>
                  <w:vAlign w:val="center"/>
                </w:tcPr>
                <w:p w14:paraId="11787C77">
                  <w:pPr>
                    <w:pStyle w:val="13"/>
                    <w:jc w:val="center"/>
                  </w:pPr>
                  <w:r>
                    <w:rPr>
                      <w:rFonts w:hint="eastAsia"/>
                    </w:rPr>
                    <w:t>0</w:t>
                  </w:r>
                </w:p>
              </w:tc>
              <w:tc>
                <w:tcPr>
                  <w:tcW w:w="648" w:type="pct"/>
                  <w:vAlign w:val="center"/>
                </w:tcPr>
                <w:p w14:paraId="564B8E69">
                  <w:pPr>
                    <w:pStyle w:val="13"/>
                    <w:jc w:val="center"/>
                  </w:pPr>
                  <w:r>
                    <w:t>0.8</w:t>
                  </w:r>
                </w:p>
              </w:tc>
              <w:tc>
                <w:tcPr>
                  <w:tcW w:w="774" w:type="pct"/>
                  <w:vAlign w:val="center"/>
                </w:tcPr>
                <w:p w14:paraId="2BA3404A">
                  <w:pPr>
                    <w:pStyle w:val="13"/>
                    <w:jc w:val="center"/>
                  </w:pPr>
                  <w:r>
                    <w:t>0.8</w:t>
                  </w:r>
                </w:p>
              </w:tc>
              <w:tc>
                <w:tcPr>
                  <w:tcW w:w="615" w:type="pct"/>
                  <w:vAlign w:val="center"/>
                </w:tcPr>
                <w:p w14:paraId="30E6312C">
                  <w:pPr>
                    <w:pStyle w:val="13"/>
                    <w:jc w:val="center"/>
                  </w:pPr>
                  <w:r>
                    <w:t>0.2</w:t>
                  </w:r>
                </w:p>
              </w:tc>
            </w:tr>
            <w:tr w14:paraId="06A547F5">
              <w:trPr>
                <w:trHeight w:val="340" w:hRule="atLeast"/>
              </w:trPr>
              <w:tc>
                <w:tcPr>
                  <w:tcW w:w="309" w:type="pct"/>
                  <w:vAlign w:val="center"/>
                </w:tcPr>
                <w:p w14:paraId="3936DE79">
                  <w:pPr>
                    <w:pStyle w:val="13"/>
                    <w:jc w:val="center"/>
                  </w:pPr>
                  <w:r>
                    <w:t>9</w:t>
                  </w:r>
                </w:p>
              </w:tc>
              <w:tc>
                <w:tcPr>
                  <w:tcW w:w="748" w:type="pct"/>
                  <w:noWrap/>
                  <w:vAlign w:val="center"/>
                </w:tcPr>
                <w:p w14:paraId="0901986F">
                  <w:pPr>
                    <w:pStyle w:val="13"/>
                    <w:jc w:val="center"/>
                  </w:pPr>
                  <w:r>
                    <w:rPr>
                      <w:rFonts w:hint="eastAsia"/>
                    </w:rPr>
                    <w:t>醇酸树脂</w:t>
                  </w:r>
                </w:p>
              </w:tc>
              <w:tc>
                <w:tcPr>
                  <w:tcW w:w="569" w:type="pct"/>
                  <w:vAlign w:val="center"/>
                </w:tcPr>
                <w:p w14:paraId="1D4190F3">
                  <w:pPr>
                    <w:pStyle w:val="13"/>
                    <w:jc w:val="center"/>
                  </w:pPr>
                  <w:r>
                    <w:t>25kg/袋</w:t>
                  </w:r>
                </w:p>
              </w:tc>
              <w:tc>
                <w:tcPr>
                  <w:tcW w:w="526" w:type="pct"/>
                  <w:noWrap/>
                  <w:vAlign w:val="center"/>
                </w:tcPr>
                <w:p w14:paraId="77627DB6">
                  <w:pPr>
                    <w:pStyle w:val="13"/>
                    <w:jc w:val="center"/>
                  </w:pPr>
                  <w:r>
                    <w:rPr>
                      <w:rFonts w:hint="eastAsia"/>
                    </w:rPr>
                    <w:t>颗粒状</w:t>
                  </w:r>
                </w:p>
              </w:tc>
              <w:tc>
                <w:tcPr>
                  <w:tcW w:w="806" w:type="pct"/>
                  <w:noWrap/>
                  <w:vAlign w:val="center"/>
                </w:tcPr>
                <w:p w14:paraId="187D9B3E">
                  <w:pPr>
                    <w:pStyle w:val="13"/>
                    <w:jc w:val="center"/>
                  </w:pPr>
                  <w:r>
                    <w:rPr>
                      <w:rFonts w:hint="eastAsia"/>
                    </w:rPr>
                    <w:t>0</w:t>
                  </w:r>
                </w:p>
              </w:tc>
              <w:tc>
                <w:tcPr>
                  <w:tcW w:w="648" w:type="pct"/>
                  <w:vAlign w:val="center"/>
                </w:tcPr>
                <w:p w14:paraId="25B95132">
                  <w:pPr>
                    <w:pStyle w:val="13"/>
                    <w:jc w:val="center"/>
                  </w:pPr>
                  <w:r>
                    <w:t>4.5</w:t>
                  </w:r>
                </w:p>
              </w:tc>
              <w:tc>
                <w:tcPr>
                  <w:tcW w:w="774" w:type="pct"/>
                  <w:vAlign w:val="center"/>
                </w:tcPr>
                <w:p w14:paraId="516CC36E">
                  <w:pPr>
                    <w:pStyle w:val="13"/>
                    <w:jc w:val="center"/>
                  </w:pPr>
                  <w:r>
                    <w:t>4.5</w:t>
                  </w:r>
                </w:p>
              </w:tc>
              <w:tc>
                <w:tcPr>
                  <w:tcW w:w="615" w:type="pct"/>
                  <w:vAlign w:val="center"/>
                </w:tcPr>
                <w:p w14:paraId="54922BC0">
                  <w:pPr>
                    <w:pStyle w:val="13"/>
                    <w:jc w:val="center"/>
                  </w:pPr>
                  <w:r>
                    <w:t>1</w:t>
                  </w:r>
                </w:p>
              </w:tc>
            </w:tr>
            <w:tr w14:paraId="4D0763D5">
              <w:trPr>
                <w:trHeight w:val="340" w:hRule="atLeast"/>
              </w:trPr>
              <w:tc>
                <w:tcPr>
                  <w:tcW w:w="309" w:type="pct"/>
                  <w:vAlign w:val="center"/>
                </w:tcPr>
                <w:p w14:paraId="0DC6485D">
                  <w:pPr>
                    <w:pStyle w:val="13"/>
                    <w:jc w:val="center"/>
                  </w:pPr>
                  <w:r>
                    <w:t>10</w:t>
                  </w:r>
                </w:p>
              </w:tc>
              <w:tc>
                <w:tcPr>
                  <w:tcW w:w="748" w:type="pct"/>
                  <w:noWrap/>
                  <w:vAlign w:val="center"/>
                </w:tcPr>
                <w:p w14:paraId="0AD2E0C5">
                  <w:pPr>
                    <w:pStyle w:val="13"/>
                    <w:jc w:val="center"/>
                  </w:pPr>
                  <w:r>
                    <w:rPr>
                      <w:rFonts w:hint="eastAsia"/>
                    </w:rPr>
                    <w:t>聚苯醚树脂</w:t>
                  </w:r>
                </w:p>
              </w:tc>
              <w:tc>
                <w:tcPr>
                  <w:tcW w:w="569" w:type="pct"/>
                  <w:vAlign w:val="center"/>
                </w:tcPr>
                <w:p w14:paraId="570595E5">
                  <w:pPr>
                    <w:pStyle w:val="13"/>
                    <w:jc w:val="center"/>
                  </w:pPr>
                  <w:r>
                    <w:t>25kg/袋</w:t>
                  </w:r>
                </w:p>
              </w:tc>
              <w:tc>
                <w:tcPr>
                  <w:tcW w:w="526" w:type="pct"/>
                  <w:noWrap/>
                  <w:vAlign w:val="center"/>
                </w:tcPr>
                <w:p w14:paraId="0C54521A">
                  <w:pPr>
                    <w:pStyle w:val="13"/>
                    <w:jc w:val="center"/>
                  </w:pPr>
                  <w:r>
                    <w:rPr>
                      <w:rFonts w:hint="eastAsia"/>
                    </w:rPr>
                    <w:t>颗粒状</w:t>
                  </w:r>
                </w:p>
              </w:tc>
              <w:tc>
                <w:tcPr>
                  <w:tcW w:w="806" w:type="pct"/>
                  <w:noWrap/>
                  <w:vAlign w:val="center"/>
                </w:tcPr>
                <w:p w14:paraId="19DE761B">
                  <w:pPr>
                    <w:pStyle w:val="13"/>
                    <w:jc w:val="center"/>
                  </w:pPr>
                  <w:r>
                    <w:rPr>
                      <w:rFonts w:hint="eastAsia"/>
                    </w:rPr>
                    <w:t>0</w:t>
                  </w:r>
                </w:p>
              </w:tc>
              <w:tc>
                <w:tcPr>
                  <w:tcW w:w="648" w:type="pct"/>
                  <w:vAlign w:val="center"/>
                </w:tcPr>
                <w:p w14:paraId="0665A84D">
                  <w:pPr>
                    <w:pStyle w:val="13"/>
                    <w:jc w:val="center"/>
                  </w:pPr>
                  <w:r>
                    <w:t>29</w:t>
                  </w:r>
                </w:p>
              </w:tc>
              <w:tc>
                <w:tcPr>
                  <w:tcW w:w="774" w:type="pct"/>
                  <w:vAlign w:val="center"/>
                </w:tcPr>
                <w:p w14:paraId="04F6582F">
                  <w:pPr>
                    <w:pStyle w:val="13"/>
                    <w:jc w:val="center"/>
                  </w:pPr>
                  <w:r>
                    <w:t>29</w:t>
                  </w:r>
                </w:p>
              </w:tc>
              <w:tc>
                <w:tcPr>
                  <w:tcW w:w="615" w:type="pct"/>
                  <w:vAlign w:val="center"/>
                </w:tcPr>
                <w:p w14:paraId="79A1BE1D">
                  <w:pPr>
                    <w:pStyle w:val="13"/>
                    <w:jc w:val="center"/>
                  </w:pPr>
                  <w:r>
                    <w:t>5</w:t>
                  </w:r>
                </w:p>
              </w:tc>
            </w:tr>
            <w:tr w14:paraId="470207BC">
              <w:trPr>
                <w:trHeight w:val="340" w:hRule="atLeast"/>
              </w:trPr>
              <w:tc>
                <w:tcPr>
                  <w:tcW w:w="309" w:type="pct"/>
                  <w:vAlign w:val="center"/>
                </w:tcPr>
                <w:p w14:paraId="2F8DC19D">
                  <w:pPr>
                    <w:pStyle w:val="13"/>
                    <w:jc w:val="center"/>
                  </w:pPr>
                  <w:r>
                    <w:t>11</w:t>
                  </w:r>
                </w:p>
              </w:tc>
              <w:tc>
                <w:tcPr>
                  <w:tcW w:w="748" w:type="pct"/>
                  <w:noWrap/>
                  <w:vAlign w:val="center"/>
                </w:tcPr>
                <w:p w14:paraId="6C4978B4">
                  <w:pPr>
                    <w:pStyle w:val="13"/>
                    <w:jc w:val="center"/>
                  </w:pPr>
                  <w:r>
                    <w:rPr>
                      <w:rFonts w:hint="eastAsia"/>
                    </w:rPr>
                    <w:t>聚酰亚胺树脂</w:t>
                  </w:r>
                </w:p>
              </w:tc>
              <w:tc>
                <w:tcPr>
                  <w:tcW w:w="569" w:type="pct"/>
                  <w:vAlign w:val="center"/>
                </w:tcPr>
                <w:p w14:paraId="59A874F8">
                  <w:pPr>
                    <w:pStyle w:val="13"/>
                    <w:jc w:val="center"/>
                  </w:pPr>
                  <w:r>
                    <w:t>25kg/袋</w:t>
                  </w:r>
                </w:p>
              </w:tc>
              <w:tc>
                <w:tcPr>
                  <w:tcW w:w="526" w:type="pct"/>
                  <w:noWrap/>
                  <w:vAlign w:val="center"/>
                </w:tcPr>
                <w:p w14:paraId="2E9C375F">
                  <w:pPr>
                    <w:pStyle w:val="13"/>
                    <w:jc w:val="center"/>
                  </w:pPr>
                  <w:r>
                    <w:rPr>
                      <w:rFonts w:hint="eastAsia"/>
                    </w:rPr>
                    <w:t>颗粒状</w:t>
                  </w:r>
                </w:p>
              </w:tc>
              <w:tc>
                <w:tcPr>
                  <w:tcW w:w="806" w:type="pct"/>
                  <w:noWrap/>
                  <w:vAlign w:val="center"/>
                </w:tcPr>
                <w:p w14:paraId="3A04F2DB">
                  <w:pPr>
                    <w:pStyle w:val="13"/>
                    <w:jc w:val="center"/>
                  </w:pPr>
                  <w:r>
                    <w:rPr>
                      <w:rFonts w:hint="eastAsia"/>
                    </w:rPr>
                    <w:t>0</w:t>
                  </w:r>
                </w:p>
              </w:tc>
              <w:tc>
                <w:tcPr>
                  <w:tcW w:w="648" w:type="pct"/>
                  <w:vAlign w:val="center"/>
                </w:tcPr>
                <w:p w14:paraId="6AE59000">
                  <w:pPr>
                    <w:pStyle w:val="13"/>
                    <w:jc w:val="center"/>
                  </w:pPr>
                  <w:r>
                    <w:t>9</w:t>
                  </w:r>
                </w:p>
              </w:tc>
              <w:tc>
                <w:tcPr>
                  <w:tcW w:w="774" w:type="pct"/>
                  <w:vAlign w:val="center"/>
                </w:tcPr>
                <w:p w14:paraId="03D2450B">
                  <w:pPr>
                    <w:pStyle w:val="13"/>
                    <w:jc w:val="center"/>
                  </w:pPr>
                  <w:r>
                    <w:t>9</w:t>
                  </w:r>
                </w:p>
              </w:tc>
              <w:tc>
                <w:tcPr>
                  <w:tcW w:w="615" w:type="pct"/>
                  <w:vAlign w:val="center"/>
                </w:tcPr>
                <w:p w14:paraId="34AF5FFC">
                  <w:pPr>
                    <w:pStyle w:val="13"/>
                    <w:jc w:val="center"/>
                  </w:pPr>
                  <w:r>
                    <w:t>1</w:t>
                  </w:r>
                </w:p>
              </w:tc>
            </w:tr>
            <w:tr w14:paraId="51F8238C">
              <w:trPr>
                <w:trHeight w:val="340" w:hRule="atLeast"/>
              </w:trPr>
              <w:tc>
                <w:tcPr>
                  <w:tcW w:w="309" w:type="pct"/>
                  <w:vAlign w:val="center"/>
                </w:tcPr>
                <w:p w14:paraId="33EF9230">
                  <w:pPr>
                    <w:pStyle w:val="13"/>
                    <w:jc w:val="center"/>
                  </w:pPr>
                  <w:r>
                    <w:t>12</w:t>
                  </w:r>
                </w:p>
              </w:tc>
              <w:tc>
                <w:tcPr>
                  <w:tcW w:w="748" w:type="pct"/>
                  <w:noWrap/>
                  <w:vAlign w:val="center"/>
                </w:tcPr>
                <w:p w14:paraId="08C7FB94">
                  <w:pPr>
                    <w:pStyle w:val="13"/>
                    <w:jc w:val="center"/>
                  </w:pPr>
                  <w:r>
                    <w:rPr>
                      <w:rFonts w:hint="eastAsia"/>
                    </w:rPr>
                    <w:t>聚醚醚酮树脂</w:t>
                  </w:r>
                </w:p>
              </w:tc>
              <w:tc>
                <w:tcPr>
                  <w:tcW w:w="569" w:type="pct"/>
                  <w:vAlign w:val="center"/>
                </w:tcPr>
                <w:p w14:paraId="7B0B22D2">
                  <w:pPr>
                    <w:pStyle w:val="13"/>
                    <w:jc w:val="center"/>
                  </w:pPr>
                  <w:r>
                    <w:t>25kg/袋</w:t>
                  </w:r>
                </w:p>
              </w:tc>
              <w:tc>
                <w:tcPr>
                  <w:tcW w:w="526" w:type="pct"/>
                  <w:noWrap/>
                  <w:vAlign w:val="center"/>
                </w:tcPr>
                <w:p w14:paraId="7543CC1F">
                  <w:pPr>
                    <w:pStyle w:val="13"/>
                    <w:jc w:val="center"/>
                  </w:pPr>
                  <w:r>
                    <w:rPr>
                      <w:rFonts w:hint="eastAsia"/>
                    </w:rPr>
                    <w:t>颗粒状</w:t>
                  </w:r>
                </w:p>
              </w:tc>
              <w:tc>
                <w:tcPr>
                  <w:tcW w:w="806" w:type="pct"/>
                  <w:noWrap/>
                  <w:vAlign w:val="center"/>
                </w:tcPr>
                <w:p w14:paraId="44FAA896">
                  <w:pPr>
                    <w:pStyle w:val="13"/>
                    <w:jc w:val="center"/>
                  </w:pPr>
                  <w:r>
                    <w:rPr>
                      <w:rFonts w:hint="eastAsia"/>
                    </w:rPr>
                    <w:t>0</w:t>
                  </w:r>
                </w:p>
              </w:tc>
              <w:tc>
                <w:tcPr>
                  <w:tcW w:w="648" w:type="pct"/>
                  <w:vAlign w:val="center"/>
                </w:tcPr>
                <w:p w14:paraId="5F226EE9">
                  <w:pPr>
                    <w:pStyle w:val="13"/>
                    <w:jc w:val="center"/>
                  </w:pPr>
                  <w:r>
                    <w:t>2.5</w:t>
                  </w:r>
                </w:p>
              </w:tc>
              <w:tc>
                <w:tcPr>
                  <w:tcW w:w="774" w:type="pct"/>
                  <w:vAlign w:val="center"/>
                </w:tcPr>
                <w:p w14:paraId="4705DA7A">
                  <w:pPr>
                    <w:pStyle w:val="13"/>
                    <w:jc w:val="center"/>
                  </w:pPr>
                  <w:r>
                    <w:t>2.5</w:t>
                  </w:r>
                </w:p>
              </w:tc>
              <w:tc>
                <w:tcPr>
                  <w:tcW w:w="615" w:type="pct"/>
                  <w:vAlign w:val="center"/>
                </w:tcPr>
                <w:p w14:paraId="469B617F">
                  <w:pPr>
                    <w:pStyle w:val="13"/>
                    <w:jc w:val="center"/>
                  </w:pPr>
                  <w:r>
                    <w:t>0.5</w:t>
                  </w:r>
                </w:p>
              </w:tc>
            </w:tr>
            <w:tr w14:paraId="4C479DBF">
              <w:trPr>
                <w:trHeight w:val="340" w:hRule="atLeast"/>
              </w:trPr>
              <w:tc>
                <w:tcPr>
                  <w:tcW w:w="309" w:type="pct"/>
                  <w:vAlign w:val="center"/>
                </w:tcPr>
                <w:p w14:paraId="3778869B">
                  <w:pPr>
                    <w:pStyle w:val="13"/>
                    <w:jc w:val="center"/>
                  </w:pPr>
                  <w:r>
                    <w:t>13</w:t>
                  </w:r>
                </w:p>
              </w:tc>
              <w:tc>
                <w:tcPr>
                  <w:tcW w:w="748" w:type="pct"/>
                  <w:noWrap/>
                  <w:vAlign w:val="center"/>
                </w:tcPr>
                <w:p w14:paraId="25D0AC7F">
                  <w:pPr>
                    <w:pStyle w:val="13"/>
                    <w:jc w:val="center"/>
                  </w:pPr>
                  <w:r>
                    <w:rPr>
                      <w:rFonts w:hint="eastAsia"/>
                    </w:rPr>
                    <w:t>聚砜树脂</w:t>
                  </w:r>
                </w:p>
              </w:tc>
              <w:tc>
                <w:tcPr>
                  <w:tcW w:w="569" w:type="pct"/>
                  <w:vAlign w:val="center"/>
                </w:tcPr>
                <w:p w14:paraId="517642DA">
                  <w:pPr>
                    <w:pStyle w:val="13"/>
                    <w:jc w:val="center"/>
                  </w:pPr>
                  <w:r>
                    <w:t>25kg/袋</w:t>
                  </w:r>
                </w:p>
              </w:tc>
              <w:tc>
                <w:tcPr>
                  <w:tcW w:w="526" w:type="pct"/>
                  <w:noWrap/>
                  <w:vAlign w:val="center"/>
                </w:tcPr>
                <w:p w14:paraId="40EF804F">
                  <w:pPr>
                    <w:pStyle w:val="13"/>
                    <w:jc w:val="center"/>
                  </w:pPr>
                  <w:r>
                    <w:rPr>
                      <w:rFonts w:hint="eastAsia"/>
                    </w:rPr>
                    <w:t>颗粒状</w:t>
                  </w:r>
                </w:p>
              </w:tc>
              <w:tc>
                <w:tcPr>
                  <w:tcW w:w="806" w:type="pct"/>
                  <w:noWrap/>
                  <w:vAlign w:val="center"/>
                </w:tcPr>
                <w:p w14:paraId="3F1A2BBE">
                  <w:pPr>
                    <w:pStyle w:val="13"/>
                    <w:jc w:val="center"/>
                  </w:pPr>
                  <w:r>
                    <w:rPr>
                      <w:rFonts w:hint="eastAsia"/>
                    </w:rPr>
                    <w:t>0</w:t>
                  </w:r>
                </w:p>
              </w:tc>
              <w:tc>
                <w:tcPr>
                  <w:tcW w:w="648" w:type="pct"/>
                  <w:vAlign w:val="center"/>
                </w:tcPr>
                <w:p w14:paraId="6A0CF814">
                  <w:pPr>
                    <w:pStyle w:val="13"/>
                    <w:jc w:val="center"/>
                  </w:pPr>
                  <w:r>
                    <w:t>1.8</w:t>
                  </w:r>
                </w:p>
              </w:tc>
              <w:tc>
                <w:tcPr>
                  <w:tcW w:w="774" w:type="pct"/>
                  <w:vAlign w:val="center"/>
                </w:tcPr>
                <w:p w14:paraId="0E96123A">
                  <w:pPr>
                    <w:pStyle w:val="13"/>
                    <w:jc w:val="center"/>
                  </w:pPr>
                  <w:r>
                    <w:t>1.8</w:t>
                  </w:r>
                </w:p>
              </w:tc>
              <w:tc>
                <w:tcPr>
                  <w:tcW w:w="615" w:type="pct"/>
                  <w:vAlign w:val="center"/>
                </w:tcPr>
                <w:p w14:paraId="2E45F152">
                  <w:pPr>
                    <w:pStyle w:val="13"/>
                    <w:jc w:val="center"/>
                  </w:pPr>
                  <w:r>
                    <w:t>1</w:t>
                  </w:r>
                </w:p>
              </w:tc>
            </w:tr>
            <w:tr w14:paraId="1561A3A5">
              <w:trPr>
                <w:trHeight w:val="340" w:hRule="atLeast"/>
              </w:trPr>
              <w:tc>
                <w:tcPr>
                  <w:tcW w:w="309" w:type="pct"/>
                  <w:vAlign w:val="center"/>
                </w:tcPr>
                <w:p w14:paraId="727B82BF">
                  <w:pPr>
                    <w:pStyle w:val="13"/>
                    <w:jc w:val="center"/>
                  </w:pPr>
                  <w:r>
                    <w:t>14</w:t>
                  </w:r>
                </w:p>
              </w:tc>
              <w:tc>
                <w:tcPr>
                  <w:tcW w:w="748" w:type="pct"/>
                  <w:noWrap/>
                  <w:vAlign w:val="center"/>
                </w:tcPr>
                <w:p w14:paraId="0753DBD7">
                  <w:pPr>
                    <w:pStyle w:val="13"/>
                    <w:jc w:val="center"/>
                  </w:pPr>
                  <w:r>
                    <w:rPr>
                      <w:rFonts w:hint="eastAsia"/>
                    </w:rPr>
                    <w:t>聚苯硫醚树脂</w:t>
                  </w:r>
                </w:p>
              </w:tc>
              <w:tc>
                <w:tcPr>
                  <w:tcW w:w="569" w:type="pct"/>
                  <w:vAlign w:val="center"/>
                </w:tcPr>
                <w:p w14:paraId="372583B9">
                  <w:pPr>
                    <w:pStyle w:val="13"/>
                    <w:jc w:val="center"/>
                  </w:pPr>
                  <w:r>
                    <w:t>25kg/袋</w:t>
                  </w:r>
                </w:p>
              </w:tc>
              <w:tc>
                <w:tcPr>
                  <w:tcW w:w="526" w:type="pct"/>
                  <w:noWrap/>
                  <w:vAlign w:val="center"/>
                </w:tcPr>
                <w:p w14:paraId="353B2806">
                  <w:pPr>
                    <w:pStyle w:val="13"/>
                    <w:jc w:val="center"/>
                  </w:pPr>
                  <w:r>
                    <w:rPr>
                      <w:rFonts w:hint="eastAsia"/>
                    </w:rPr>
                    <w:t>颗粒状</w:t>
                  </w:r>
                </w:p>
              </w:tc>
              <w:tc>
                <w:tcPr>
                  <w:tcW w:w="806" w:type="pct"/>
                  <w:noWrap/>
                  <w:vAlign w:val="center"/>
                </w:tcPr>
                <w:p w14:paraId="397B4386">
                  <w:pPr>
                    <w:pStyle w:val="13"/>
                    <w:jc w:val="center"/>
                  </w:pPr>
                  <w:r>
                    <w:rPr>
                      <w:rFonts w:hint="eastAsia"/>
                    </w:rPr>
                    <w:t>0</w:t>
                  </w:r>
                </w:p>
              </w:tc>
              <w:tc>
                <w:tcPr>
                  <w:tcW w:w="648" w:type="pct"/>
                  <w:vAlign w:val="center"/>
                </w:tcPr>
                <w:p w14:paraId="48DA413F">
                  <w:pPr>
                    <w:pStyle w:val="13"/>
                    <w:jc w:val="center"/>
                  </w:pPr>
                  <w:r>
                    <w:t>1.8</w:t>
                  </w:r>
                </w:p>
              </w:tc>
              <w:tc>
                <w:tcPr>
                  <w:tcW w:w="774" w:type="pct"/>
                  <w:vAlign w:val="center"/>
                </w:tcPr>
                <w:p w14:paraId="7805F85B">
                  <w:pPr>
                    <w:pStyle w:val="13"/>
                    <w:jc w:val="center"/>
                  </w:pPr>
                  <w:r>
                    <w:t>1.8</w:t>
                  </w:r>
                </w:p>
              </w:tc>
              <w:tc>
                <w:tcPr>
                  <w:tcW w:w="615" w:type="pct"/>
                  <w:vAlign w:val="center"/>
                </w:tcPr>
                <w:p w14:paraId="1815BF89">
                  <w:pPr>
                    <w:pStyle w:val="13"/>
                    <w:jc w:val="center"/>
                  </w:pPr>
                  <w:r>
                    <w:t>1</w:t>
                  </w:r>
                </w:p>
              </w:tc>
            </w:tr>
            <w:tr w14:paraId="23A53B20">
              <w:trPr>
                <w:trHeight w:val="340" w:hRule="atLeast"/>
              </w:trPr>
              <w:tc>
                <w:tcPr>
                  <w:tcW w:w="309" w:type="pct"/>
                  <w:vAlign w:val="center"/>
                </w:tcPr>
                <w:p w14:paraId="5DCF9F3F">
                  <w:pPr>
                    <w:pStyle w:val="13"/>
                    <w:jc w:val="center"/>
                  </w:pPr>
                  <w:r>
                    <w:t>15</w:t>
                  </w:r>
                </w:p>
              </w:tc>
              <w:tc>
                <w:tcPr>
                  <w:tcW w:w="748" w:type="pct"/>
                  <w:noWrap/>
                  <w:vAlign w:val="center"/>
                </w:tcPr>
                <w:p w14:paraId="011D1778">
                  <w:pPr>
                    <w:pStyle w:val="13"/>
                    <w:jc w:val="center"/>
                  </w:pPr>
                  <w:r>
                    <w:rPr>
                      <w:rFonts w:hint="eastAsia"/>
                    </w:rPr>
                    <w:t>聚醚砜树脂</w:t>
                  </w:r>
                </w:p>
              </w:tc>
              <w:tc>
                <w:tcPr>
                  <w:tcW w:w="569" w:type="pct"/>
                  <w:vAlign w:val="center"/>
                </w:tcPr>
                <w:p w14:paraId="541A196E">
                  <w:pPr>
                    <w:pStyle w:val="13"/>
                    <w:jc w:val="center"/>
                  </w:pPr>
                  <w:r>
                    <w:t>25kg/袋</w:t>
                  </w:r>
                </w:p>
              </w:tc>
              <w:tc>
                <w:tcPr>
                  <w:tcW w:w="526" w:type="pct"/>
                  <w:noWrap/>
                  <w:vAlign w:val="center"/>
                </w:tcPr>
                <w:p w14:paraId="084E6BB4">
                  <w:pPr>
                    <w:pStyle w:val="13"/>
                    <w:jc w:val="center"/>
                  </w:pPr>
                  <w:r>
                    <w:rPr>
                      <w:rFonts w:hint="eastAsia"/>
                    </w:rPr>
                    <w:t>颗粒状</w:t>
                  </w:r>
                </w:p>
              </w:tc>
              <w:tc>
                <w:tcPr>
                  <w:tcW w:w="806" w:type="pct"/>
                  <w:noWrap/>
                  <w:vAlign w:val="center"/>
                </w:tcPr>
                <w:p w14:paraId="4386960F">
                  <w:pPr>
                    <w:pStyle w:val="13"/>
                    <w:jc w:val="center"/>
                  </w:pPr>
                  <w:r>
                    <w:rPr>
                      <w:rFonts w:hint="eastAsia"/>
                    </w:rPr>
                    <w:t>0</w:t>
                  </w:r>
                </w:p>
              </w:tc>
              <w:tc>
                <w:tcPr>
                  <w:tcW w:w="648" w:type="pct"/>
                  <w:vAlign w:val="center"/>
                </w:tcPr>
                <w:p w14:paraId="1D3783BC">
                  <w:pPr>
                    <w:pStyle w:val="13"/>
                    <w:jc w:val="center"/>
                  </w:pPr>
                  <w:r>
                    <w:t>2.8</w:t>
                  </w:r>
                </w:p>
              </w:tc>
              <w:tc>
                <w:tcPr>
                  <w:tcW w:w="774" w:type="pct"/>
                  <w:vAlign w:val="center"/>
                </w:tcPr>
                <w:p w14:paraId="75C5854E">
                  <w:pPr>
                    <w:pStyle w:val="13"/>
                    <w:jc w:val="center"/>
                  </w:pPr>
                  <w:r>
                    <w:t>2.8</w:t>
                  </w:r>
                </w:p>
              </w:tc>
              <w:tc>
                <w:tcPr>
                  <w:tcW w:w="615" w:type="pct"/>
                  <w:vAlign w:val="center"/>
                </w:tcPr>
                <w:p w14:paraId="35980283">
                  <w:pPr>
                    <w:pStyle w:val="13"/>
                    <w:jc w:val="center"/>
                  </w:pPr>
                  <w:r>
                    <w:t>1</w:t>
                  </w:r>
                </w:p>
              </w:tc>
            </w:tr>
            <w:tr w14:paraId="1D43D969">
              <w:trPr>
                <w:trHeight w:val="340" w:hRule="atLeast"/>
              </w:trPr>
              <w:tc>
                <w:tcPr>
                  <w:tcW w:w="309" w:type="pct"/>
                  <w:vAlign w:val="center"/>
                </w:tcPr>
                <w:p w14:paraId="14DA04CF">
                  <w:pPr>
                    <w:pStyle w:val="13"/>
                    <w:jc w:val="center"/>
                  </w:pPr>
                  <w:r>
                    <w:t>16</w:t>
                  </w:r>
                </w:p>
              </w:tc>
              <w:tc>
                <w:tcPr>
                  <w:tcW w:w="748" w:type="pct"/>
                  <w:noWrap/>
                  <w:vAlign w:val="center"/>
                </w:tcPr>
                <w:p w14:paraId="0AF725EF">
                  <w:pPr>
                    <w:pStyle w:val="13"/>
                    <w:jc w:val="center"/>
                  </w:pPr>
                  <w:r>
                    <w:rPr>
                      <w:rFonts w:hint="eastAsia"/>
                    </w:rPr>
                    <w:t>颜料</w:t>
                  </w:r>
                </w:p>
              </w:tc>
              <w:tc>
                <w:tcPr>
                  <w:tcW w:w="569" w:type="pct"/>
                  <w:vAlign w:val="center"/>
                </w:tcPr>
                <w:p w14:paraId="46770629">
                  <w:pPr>
                    <w:pStyle w:val="13"/>
                    <w:jc w:val="center"/>
                  </w:pPr>
                  <w:r>
                    <w:t>25kg/袋</w:t>
                  </w:r>
                </w:p>
              </w:tc>
              <w:tc>
                <w:tcPr>
                  <w:tcW w:w="526" w:type="pct"/>
                  <w:noWrap/>
                  <w:vAlign w:val="center"/>
                </w:tcPr>
                <w:p w14:paraId="5F341F8B">
                  <w:pPr>
                    <w:pStyle w:val="13"/>
                    <w:jc w:val="center"/>
                  </w:pPr>
                  <w:r>
                    <w:rPr>
                      <w:rFonts w:hint="eastAsia"/>
                    </w:rPr>
                    <w:t>粉状</w:t>
                  </w:r>
                </w:p>
              </w:tc>
              <w:tc>
                <w:tcPr>
                  <w:tcW w:w="806" w:type="pct"/>
                  <w:noWrap/>
                  <w:vAlign w:val="center"/>
                </w:tcPr>
                <w:p w14:paraId="6DAB10BA">
                  <w:pPr>
                    <w:pStyle w:val="13"/>
                    <w:jc w:val="center"/>
                  </w:pPr>
                  <w:r>
                    <w:rPr>
                      <w:rFonts w:hint="eastAsia"/>
                    </w:rPr>
                    <w:t>10</w:t>
                  </w:r>
                </w:p>
              </w:tc>
              <w:tc>
                <w:tcPr>
                  <w:tcW w:w="648" w:type="pct"/>
                  <w:vAlign w:val="center"/>
                </w:tcPr>
                <w:p w14:paraId="56ADABBA">
                  <w:pPr>
                    <w:pStyle w:val="13"/>
                    <w:jc w:val="center"/>
                  </w:pPr>
                  <w:r>
                    <w:rPr>
                      <w:rFonts w:hint="eastAsia"/>
                    </w:rPr>
                    <w:t>20</w:t>
                  </w:r>
                </w:p>
              </w:tc>
              <w:tc>
                <w:tcPr>
                  <w:tcW w:w="774" w:type="pct"/>
                  <w:vAlign w:val="center"/>
                </w:tcPr>
                <w:p w14:paraId="5FA1D7A9">
                  <w:pPr>
                    <w:pStyle w:val="13"/>
                    <w:jc w:val="center"/>
                  </w:pPr>
                  <w:r>
                    <w:rPr>
                      <w:rFonts w:hint="eastAsia"/>
                    </w:rPr>
                    <w:t>30</w:t>
                  </w:r>
                </w:p>
              </w:tc>
              <w:tc>
                <w:tcPr>
                  <w:tcW w:w="615" w:type="pct"/>
                  <w:vAlign w:val="center"/>
                </w:tcPr>
                <w:p w14:paraId="5EDB471C">
                  <w:pPr>
                    <w:pStyle w:val="13"/>
                    <w:jc w:val="center"/>
                  </w:pPr>
                  <w:r>
                    <w:t>5</w:t>
                  </w:r>
                </w:p>
              </w:tc>
            </w:tr>
            <w:tr w14:paraId="65C2A85A">
              <w:trPr>
                <w:trHeight w:val="340" w:hRule="atLeast"/>
              </w:trPr>
              <w:tc>
                <w:tcPr>
                  <w:tcW w:w="309" w:type="pct"/>
                  <w:vAlign w:val="center"/>
                </w:tcPr>
                <w:p w14:paraId="4EF85B9F">
                  <w:pPr>
                    <w:pStyle w:val="13"/>
                    <w:jc w:val="center"/>
                  </w:pPr>
                  <w:r>
                    <w:t>17</w:t>
                  </w:r>
                </w:p>
              </w:tc>
              <w:tc>
                <w:tcPr>
                  <w:tcW w:w="748" w:type="pct"/>
                  <w:noWrap/>
                  <w:vAlign w:val="center"/>
                </w:tcPr>
                <w:p w14:paraId="28DFD1BB">
                  <w:pPr>
                    <w:pStyle w:val="13"/>
                    <w:jc w:val="center"/>
                  </w:pPr>
                  <w:r>
                    <w:rPr>
                      <w:rFonts w:hint="eastAsia"/>
                    </w:rPr>
                    <w:t>碳酸钙</w:t>
                  </w:r>
                </w:p>
              </w:tc>
              <w:tc>
                <w:tcPr>
                  <w:tcW w:w="569" w:type="pct"/>
                  <w:vAlign w:val="center"/>
                </w:tcPr>
                <w:p w14:paraId="2D7DCD26">
                  <w:pPr>
                    <w:pStyle w:val="13"/>
                    <w:jc w:val="center"/>
                  </w:pPr>
                  <w:r>
                    <w:t>25kg/袋</w:t>
                  </w:r>
                </w:p>
              </w:tc>
              <w:tc>
                <w:tcPr>
                  <w:tcW w:w="526" w:type="pct"/>
                  <w:noWrap/>
                  <w:vAlign w:val="center"/>
                </w:tcPr>
                <w:p w14:paraId="4E33F8F4">
                  <w:pPr>
                    <w:pStyle w:val="13"/>
                    <w:jc w:val="center"/>
                  </w:pPr>
                  <w:r>
                    <w:rPr>
                      <w:rFonts w:hint="eastAsia"/>
                    </w:rPr>
                    <w:t>粉状</w:t>
                  </w:r>
                </w:p>
              </w:tc>
              <w:tc>
                <w:tcPr>
                  <w:tcW w:w="806" w:type="pct"/>
                  <w:noWrap/>
                  <w:vAlign w:val="center"/>
                </w:tcPr>
                <w:p w14:paraId="3AE293CA">
                  <w:pPr>
                    <w:pStyle w:val="13"/>
                    <w:jc w:val="center"/>
                  </w:pPr>
                  <w:r>
                    <w:rPr>
                      <w:rFonts w:hint="eastAsia"/>
                    </w:rPr>
                    <w:t>500</w:t>
                  </w:r>
                </w:p>
              </w:tc>
              <w:tc>
                <w:tcPr>
                  <w:tcW w:w="648" w:type="pct"/>
                  <w:vAlign w:val="center"/>
                </w:tcPr>
                <w:p w14:paraId="214C7C7C">
                  <w:pPr>
                    <w:pStyle w:val="13"/>
                    <w:jc w:val="center"/>
                  </w:pPr>
                  <w:r>
                    <w:rPr>
                      <w:rFonts w:hint="eastAsia"/>
                    </w:rPr>
                    <w:t>60</w:t>
                  </w:r>
                </w:p>
              </w:tc>
              <w:tc>
                <w:tcPr>
                  <w:tcW w:w="774" w:type="pct"/>
                  <w:vAlign w:val="center"/>
                </w:tcPr>
                <w:p w14:paraId="0E505B32">
                  <w:pPr>
                    <w:pStyle w:val="13"/>
                    <w:jc w:val="center"/>
                  </w:pPr>
                  <w:r>
                    <w:rPr>
                      <w:rFonts w:hint="eastAsia"/>
                    </w:rPr>
                    <w:t>560</w:t>
                  </w:r>
                </w:p>
              </w:tc>
              <w:tc>
                <w:tcPr>
                  <w:tcW w:w="615" w:type="pct"/>
                  <w:vAlign w:val="center"/>
                </w:tcPr>
                <w:p w14:paraId="3BC73ED8">
                  <w:pPr>
                    <w:pStyle w:val="13"/>
                    <w:jc w:val="center"/>
                  </w:pPr>
                  <w:r>
                    <w:t>50</w:t>
                  </w:r>
                </w:p>
              </w:tc>
            </w:tr>
            <w:tr w14:paraId="744821F4">
              <w:trPr>
                <w:trHeight w:val="340" w:hRule="atLeast"/>
              </w:trPr>
              <w:tc>
                <w:tcPr>
                  <w:tcW w:w="309" w:type="pct"/>
                  <w:vAlign w:val="center"/>
                </w:tcPr>
                <w:p w14:paraId="77C17443">
                  <w:pPr>
                    <w:pStyle w:val="13"/>
                    <w:jc w:val="center"/>
                  </w:pPr>
                  <w:r>
                    <w:t>18</w:t>
                  </w:r>
                </w:p>
              </w:tc>
              <w:tc>
                <w:tcPr>
                  <w:tcW w:w="748" w:type="pct"/>
                  <w:vAlign w:val="center"/>
                </w:tcPr>
                <w:p w14:paraId="539619F0">
                  <w:pPr>
                    <w:pStyle w:val="13"/>
                    <w:jc w:val="center"/>
                  </w:pPr>
                  <w:r>
                    <w:rPr>
                      <w:rFonts w:hint="eastAsia"/>
                    </w:rPr>
                    <w:t>钛白粉</w:t>
                  </w:r>
                </w:p>
              </w:tc>
              <w:tc>
                <w:tcPr>
                  <w:tcW w:w="569" w:type="pct"/>
                  <w:vAlign w:val="center"/>
                </w:tcPr>
                <w:p w14:paraId="406DDFBC">
                  <w:pPr>
                    <w:pStyle w:val="13"/>
                    <w:jc w:val="center"/>
                  </w:pPr>
                  <w:r>
                    <w:t>25kg/袋</w:t>
                  </w:r>
                </w:p>
              </w:tc>
              <w:tc>
                <w:tcPr>
                  <w:tcW w:w="526" w:type="pct"/>
                  <w:noWrap/>
                  <w:vAlign w:val="center"/>
                </w:tcPr>
                <w:p w14:paraId="522CF714">
                  <w:pPr>
                    <w:pStyle w:val="13"/>
                    <w:jc w:val="center"/>
                  </w:pPr>
                  <w:r>
                    <w:rPr>
                      <w:rFonts w:hint="eastAsia"/>
                    </w:rPr>
                    <w:t>粉状</w:t>
                  </w:r>
                </w:p>
              </w:tc>
              <w:tc>
                <w:tcPr>
                  <w:tcW w:w="806" w:type="pct"/>
                  <w:noWrap/>
                  <w:vAlign w:val="center"/>
                </w:tcPr>
                <w:p w14:paraId="220F948E">
                  <w:pPr>
                    <w:pStyle w:val="13"/>
                    <w:jc w:val="center"/>
                  </w:pPr>
                  <w:r>
                    <w:rPr>
                      <w:rFonts w:hint="eastAsia"/>
                    </w:rPr>
                    <w:t>80</w:t>
                  </w:r>
                </w:p>
              </w:tc>
              <w:tc>
                <w:tcPr>
                  <w:tcW w:w="648" w:type="pct"/>
                  <w:noWrap/>
                  <w:vAlign w:val="center"/>
                </w:tcPr>
                <w:p w14:paraId="4AC2E0B4">
                  <w:pPr>
                    <w:pStyle w:val="13"/>
                    <w:jc w:val="center"/>
                  </w:pPr>
                  <w:r>
                    <w:rPr>
                      <w:rFonts w:hint="eastAsia"/>
                    </w:rPr>
                    <w:t>0</w:t>
                  </w:r>
                </w:p>
              </w:tc>
              <w:tc>
                <w:tcPr>
                  <w:tcW w:w="774" w:type="pct"/>
                  <w:vAlign w:val="center"/>
                </w:tcPr>
                <w:p w14:paraId="3133406B">
                  <w:pPr>
                    <w:pStyle w:val="13"/>
                    <w:jc w:val="center"/>
                  </w:pPr>
                  <w:r>
                    <w:t>80</w:t>
                  </w:r>
                </w:p>
              </w:tc>
              <w:tc>
                <w:tcPr>
                  <w:tcW w:w="615" w:type="pct"/>
                  <w:vAlign w:val="center"/>
                </w:tcPr>
                <w:p w14:paraId="163B1959">
                  <w:pPr>
                    <w:pStyle w:val="13"/>
                    <w:jc w:val="center"/>
                  </w:pPr>
                  <w:r>
                    <w:t>20</w:t>
                  </w:r>
                </w:p>
              </w:tc>
            </w:tr>
            <w:tr w14:paraId="06A138C7">
              <w:trPr>
                <w:trHeight w:val="340" w:hRule="atLeast"/>
              </w:trPr>
              <w:tc>
                <w:tcPr>
                  <w:tcW w:w="309" w:type="pct"/>
                  <w:vAlign w:val="center"/>
                </w:tcPr>
                <w:p w14:paraId="0E4B7771">
                  <w:pPr>
                    <w:pStyle w:val="13"/>
                    <w:jc w:val="center"/>
                  </w:pPr>
                  <w:r>
                    <w:t>19</w:t>
                  </w:r>
                </w:p>
              </w:tc>
              <w:tc>
                <w:tcPr>
                  <w:tcW w:w="748" w:type="pct"/>
                  <w:vAlign w:val="center"/>
                </w:tcPr>
                <w:p w14:paraId="0031EFD0">
                  <w:pPr>
                    <w:pStyle w:val="13"/>
                    <w:jc w:val="center"/>
                  </w:pPr>
                  <w:r>
                    <w:rPr>
                      <w:rFonts w:hint="eastAsia"/>
                    </w:rPr>
                    <w:t>聚乙烯蜡</w:t>
                  </w:r>
                </w:p>
              </w:tc>
              <w:tc>
                <w:tcPr>
                  <w:tcW w:w="569" w:type="pct"/>
                  <w:vAlign w:val="center"/>
                </w:tcPr>
                <w:p w14:paraId="16C9B62A">
                  <w:pPr>
                    <w:pStyle w:val="13"/>
                    <w:jc w:val="center"/>
                  </w:pPr>
                  <w:r>
                    <w:t>25kg/袋</w:t>
                  </w:r>
                </w:p>
              </w:tc>
              <w:tc>
                <w:tcPr>
                  <w:tcW w:w="526" w:type="pct"/>
                  <w:noWrap/>
                  <w:vAlign w:val="center"/>
                </w:tcPr>
                <w:p w14:paraId="535E1431">
                  <w:pPr>
                    <w:pStyle w:val="13"/>
                    <w:jc w:val="center"/>
                  </w:pPr>
                  <w:r>
                    <w:rPr>
                      <w:rFonts w:hint="eastAsia"/>
                    </w:rPr>
                    <w:t>粉状</w:t>
                  </w:r>
                </w:p>
              </w:tc>
              <w:tc>
                <w:tcPr>
                  <w:tcW w:w="806" w:type="pct"/>
                  <w:noWrap/>
                  <w:vAlign w:val="center"/>
                </w:tcPr>
                <w:p w14:paraId="5B398714">
                  <w:pPr>
                    <w:pStyle w:val="13"/>
                    <w:jc w:val="center"/>
                  </w:pPr>
                  <w:r>
                    <w:rPr>
                      <w:rFonts w:hint="eastAsia"/>
                    </w:rPr>
                    <w:t>20</w:t>
                  </w:r>
                </w:p>
              </w:tc>
              <w:tc>
                <w:tcPr>
                  <w:tcW w:w="648" w:type="pct"/>
                  <w:noWrap/>
                  <w:vAlign w:val="center"/>
                </w:tcPr>
                <w:p w14:paraId="48FFF02B">
                  <w:pPr>
                    <w:pStyle w:val="13"/>
                    <w:jc w:val="center"/>
                  </w:pPr>
                  <w:r>
                    <w:rPr>
                      <w:rFonts w:hint="eastAsia"/>
                    </w:rPr>
                    <w:t>0</w:t>
                  </w:r>
                </w:p>
              </w:tc>
              <w:tc>
                <w:tcPr>
                  <w:tcW w:w="774" w:type="pct"/>
                  <w:vAlign w:val="center"/>
                </w:tcPr>
                <w:p w14:paraId="1DAD7CA9">
                  <w:pPr>
                    <w:pStyle w:val="13"/>
                    <w:jc w:val="center"/>
                  </w:pPr>
                  <w:r>
                    <w:t>20</w:t>
                  </w:r>
                </w:p>
              </w:tc>
              <w:tc>
                <w:tcPr>
                  <w:tcW w:w="615" w:type="pct"/>
                  <w:vAlign w:val="center"/>
                </w:tcPr>
                <w:p w14:paraId="23942D79">
                  <w:pPr>
                    <w:pStyle w:val="13"/>
                    <w:jc w:val="center"/>
                  </w:pPr>
                  <w:r>
                    <w:t>10</w:t>
                  </w:r>
                </w:p>
              </w:tc>
            </w:tr>
            <w:tr w14:paraId="76F9E2A2">
              <w:trPr>
                <w:trHeight w:val="340" w:hRule="atLeast"/>
              </w:trPr>
              <w:tc>
                <w:tcPr>
                  <w:tcW w:w="309" w:type="pct"/>
                  <w:vAlign w:val="center"/>
                </w:tcPr>
                <w:p w14:paraId="720BD825">
                  <w:pPr>
                    <w:pStyle w:val="13"/>
                    <w:jc w:val="center"/>
                  </w:pPr>
                  <w:r>
                    <w:rPr>
                      <w:rFonts w:hint="eastAsia"/>
                    </w:rPr>
                    <w:t>20</w:t>
                  </w:r>
                </w:p>
              </w:tc>
              <w:tc>
                <w:tcPr>
                  <w:tcW w:w="748" w:type="pct"/>
                  <w:vAlign w:val="center"/>
                </w:tcPr>
                <w:p w14:paraId="4B7009F0">
                  <w:pPr>
                    <w:pStyle w:val="13"/>
                    <w:jc w:val="center"/>
                  </w:pPr>
                  <w:r>
                    <w:rPr>
                      <w:rFonts w:hint="eastAsia"/>
                    </w:rPr>
                    <w:t>润滑油</w:t>
                  </w:r>
                </w:p>
              </w:tc>
              <w:tc>
                <w:tcPr>
                  <w:tcW w:w="569" w:type="pct"/>
                  <w:vAlign w:val="center"/>
                </w:tcPr>
                <w:p w14:paraId="243A17D4">
                  <w:pPr>
                    <w:pStyle w:val="13"/>
                    <w:jc w:val="center"/>
                  </w:pPr>
                  <w:r>
                    <w:rPr>
                      <w:rFonts w:hint="eastAsia"/>
                    </w:rPr>
                    <w:t>20kg/桶</w:t>
                  </w:r>
                </w:p>
              </w:tc>
              <w:tc>
                <w:tcPr>
                  <w:tcW w:w="526" w:type="pct"/>
                  <w:noWrap/>
                  <w:vAlign w:val="center"/>
                </w:tcPr>
                <w:p w14:paraId="63B0D91C">
                  <w:pPr>
                    <w:pStyle w:val="13"/>
                    <w:jc w:val="center"/>
                  </w:pPr>
                  <w:r>
                    <w:rPr>
                      <w:rFonts w:hint="eastAsia"/>
                    </w:rPr>
                    <w:t>液体</w:t>
                  </w:r>
                </w:p>
              </w:tc>
              <w:tc>
                <w:tcPr>
                  <w:tcW w:w="806" w:type="pct"/>
                  <w:noWrap/>
                  <w:vAlign w:val="center"/>
                </w:tcPr>
                <w:p w14:paraId="1285F0C0">
                  <w:pPr>
                    <w:pStyle w:val="13"/>
                    <w:jc w:val="center"/>
                  </w:pPr>
                  <w:r>
                    <w:rPr>
                      <w:rFonts w:hint="eastAsia"/>
                    </w:rPr>
                    <w:t>0.3</w:t>
                  </w:r>
                </w:p>
              </w:tc>
              <w:tc>
                <w:tcPr>
                  <w:tcW w:w="648" w:type="pct"/>
                  <w:noWrap/>
                  <w:vAlign w:val="center"/>
                </w:tcPr>
                <w:p w14:paraId="3771A69B">
                  <w:pPr>
                    <w:pStyle w:val="13"/>
                    <w:jc w:val="center"/>
                  </w:pPr>
                  <w:r>
                    <w:rPr>
                      <w:rFonts w:hint="eastAsia"/>
                    </w:rPr>
                    <w:t>0</w:t>
                  </w:r>
                </w:p>
              </w:tc>
              <w:tc>
                <w:tcPr>
                  <w:tcW w:w="774" w:type="pct"/>
                  <w:vAlign w:val="center"/>
                </w:tcPr>
                <w:p w14:paraId="1E114C45">
                  <w:pPr>
                    <w:pStyle w:val="13"/>
                    <w:jc w:val="center"/>
                  </w:pPr>
                  <w:r>
                    <w:rPr>
                      <w:rFonts w:hint="eastAsia"/>
                    </w:rPr>
                    <w:t>0.3</w:t>
                  </w:r>
                </w:p>
              </w:tc>
              <w:tc>
                <w:tcPr>
                  <w:tcW w:w="615" w:type="pct"/>
                  <w:vAlign w:val="center"/>
                </w:tcPr>
                <w:p w14:paraId="18A7C33E">
                  <w:pPr>
                    <w:pStyle w:val="13"/>
                    <w:jc w:val="center"/>
                  </w:pPr>
                  <w:r>
                    <w:rPr>
                      <w:rFonts w:hint="eastAsia"/>
                    </w:rPr>
                    <w:t>0.1</w:t>
                  </w:r>
                </w:p>
              </w:tc>
            </w:tr>
          </w:tbl>
          <w:p w14:paraId="6B785B22">
            <w:pPr>
              <w:pStyle w:val="14"/>
              <w:numPr>
                <w:ilvl w:val="0"/>
                <w:numId w:val="6"/>
              </w:numPr>
              <w:spacing w:before="156"/>
              <w:ind w:firstLine="0"/>
            </w:pPr>
            <w:r>
              <w:t xml:space="preserve">  </w:t>
            </w:r>
            <w:r>
              <w:rPr>
                <w:rFonts w:hint="eastAsia"/>
              </w:rPr>
              <w:t>本</w:t>
            </w:r>
            <w:r>
              <w:t>项目</w:t>
            </w:r>
            <w:r>
              <w:rPr>
                <w:rFonts w:hint="eastAsia"/>
              </w:rPr>
              <w:t>新增</w:t>
            </w:r>
            <w:r>
              <w:t>原辅材料</w:t>
            </w:r>
            <w:r>
              <w:rPr>
                <w:rFonts w:hint="eastAsia"/>
              </w:rPr>
              <w:t>理化性质一览表</w:t>
            </w:r>
          </w:p>
          <w:tbl>
            <w:tblPr>
              <w:tblStyle w:val="10"/>
              <w:tblW w:w="12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9"/>
              <w:gridCol w:w="1680"/>
              <w:gridCol w:w="10106"/>
            </w:tblGrid>
            <w:tr w14:paraId="280C37DF">
              <w:trPr>
                <w:trHeight w:val="340" w:hRule="atLeast"/>
              </w:trPr>
              <w:tc>
                <w:tcPr>
                  <w:tcW w:w="979" w:type="dxa"/>
                  <w:vAlign w:val="center"/>
                </w:tcPr>
                <w:p w14:paraId="034D11FB">
                  <w:pPr>
                    <w:pStyle w:val="13"/>
                    <w:jc w:val="center"/>
                  </w:pPr>
                  <w:r>
                    <w:rPr>
                      <w:rFonts w:hint="eastAsia"/>
                    </w:rPr>
                    <w:t>序号</w:t>
                  </w:r>
                </w:p>
              </w:tc>
              <w:tc>
                <w:tcPr>
                  <w:tcW w:w="1680" w:type="dxa"/>
                  <w:vAlign w:val="center"/>
                </w:tcPr>
                <w:p w14:paraId="3EB76994">
                  <w:pPr>
                    <w:pStyle w:val="13"/>
                    <w:jc w:val="center"/>
                  </w:pPr>
                  <w:r>
                    <w:rPr>
                      <w:rFonts w:hint="eastAsia"/>
                    </w:rPr>
                    <w:t>原辅材料名称</w:t>
                  </w:r>
                </w:p>
              </w:tc>
              <w:tc>
                <w:tcPr>
                  <w:tcW w:w="10106" w:type="dxa"/>
                  <w:vAlign w:val="center"/>
                </w:tcPr>
                <w:p w14:paraId="1D5A30BB">
                  <w:pPr>
                    <w:pStyle w:val="13"/>
                    <w:jc w:val="center"/>
                  </w:pPr>
                  <w:r>
                    <w:rPr>
                      <w:rFonts w:hint="eastAsia"/>
                    </w:rPr>
                    <w:t>主要理化性质</w:t>
                  </w:r>
                </w:p>
              </w:tc>
            </w:tr>
            <w:tr w14:paraId="6FD37A60">
              <w:trPr>
                <w:trHeight w:val="340" w:hRule="atLeast"/>
              </w:trPr>
              <w:tc>
                <w:tcPr>
                  <w:tcW w:w="979" w:type="dxa"/>
                  <w:vAlign w:val="center"/>
                </w:tcPr>
                <w:p w14:paraId="77C839DA">
                  <w:pPr>
                    <w:pStyle w:val="13"/>
                    <w:jc w:val="center"/>
                  </w:pPr>
                  <w:r>
                    <w:rPr>
                      <w:rFonts w:hint="eastAsia"/>
                    </w:rPr>
                    <w:t>1</w:t>
                  </w:r>
                </w:p>
              </w:tc>
              <w:tc>
                <w:tcPr>
                  <w:tcW w:w="1680" w:type="dxa"/>
                  <w:vAlign w:val="center"/>
                </w:tcPr>
                <w:p w14:paraId="57606A36">
                  <w:pPr>
                    <w:pStyle w:val="13"/>
                    <w:jc w:val="center"/>
                  </w:pPr>
                  <w:r>
                    <w:rPr>
                      <w:rFonts w:hint="eastAsia"/>
                    </w:rPr>
                    <w:t>聚氨酯树脂</w:t>
                  </w:r>
                </w:p>
              </w:tc>
              <w:tc>
                <w:tcPr>
                  <w:tcW w:w="10106" w:type="dxa"/>
                  <w:vAlign w:val="center"/>
                </w:tcPr>
                <w:p w14:paraId="28D789F0">
                  <w:pPr>
                    <w:pStyle w:val="13"/>
                    <w:jc w:val="both"/>
                    <w:rPr>
                      <w:rFonts w:cs="Times New Roman"/>
                    </w:rPr>
                  </w:pPr>
                  <w:r>
                    <w:rPr>
                      <w:rFonts w:cs="Times New Roman"/>
                    </w:rPr>
                    <w:t>聚氨酯树脂（Polyurethane Resin，PU）是一种由多元醇与多异氰酸酯通过缩聚反应生成的高分子材料，其主链中含有重复的氨基甲酸酯基团（-NH-CO-O-），密度：1.0-1.25 g/cm³（泡沫可低至0.02 g/cm³）。断裂伸长率：100%-800%。导热系数（硬质泡沫）：0.02-0.03 W/(m·K)。对弱酸、弱碱、油脂及非极性溶剂（如汽油）有较好耐受性，但强酸、强碱或高温下易水解或降解，热分解温度一般在200°C以上。</w:t>
                  </w:r>
                </w:p>
              </w:tc>
            </w:tr>
            <w:tr w14:paraId="5A3E9625">
              <w:trPr>
                <w:trHeight w:val="90" w:hRule="atLeast"/>
              </w:trPr>
              <w:tc>
                <w:tcPr>
                  <w:tcW w:w="979" w:type="dxa"/>
                  <w:vAlign w:val="center"/>
                </w:tcPr>
                <w:p w14:paraId="1F0AABF0">
                  <w:pPr>
                    <w:pStyle w:val="13"/>
                    <w:jc w:val="center"/>
                  </w:pPr>
                  <w:r>
                    <w:rPr>
                      <w:rFonts w:hint="eastAsia"/>
                    </w:rPr>
                    <w:t>2</w:t>
                  </w:r>
                </w:p>
              </w:tc>
              <w:tc>
                <w:tcPr>
                  <w:tcW w:w="1680" w:type="dxa"/>
                  <w:vAlign w:val="center"/>
                </w:tcPr>
                <w:p w14:paraId="7772E1C9">
                  <w:pPr>
                    <w:pStyle w:val="13"/>
                    <w:jc w:val="center"/>
                  </w:pPr>
                  <w:r>
                    <w:rPr>
                      <w:rFonts w:hint="eastAsia"/>
                    </w:rPr>
                    <w:t>丙烯酸树脂</w:t>
                  </w:r>
                </w:p>
              </w:tc>
              <w:tc>
                <w:tcPr>
                  <w:tcW w:w="10106" w:type="dxa"/>
                  <w:vAlign w:val="center"/>
                </w:tcPr>
                <w:p w14:paraId="0D4CE6CA">
                  <w:pPr>
                    <w:pStyle w:val="13"/>
                    <w:jc w:val="both"/>
                    <w:rPr>
                      <w:rFonts w:cs="Times New Roman"/>
                    </w:rPr>
                  </w:pPr>
                  <w:r>
                    <w:rPr>
                      <w:rFonts w:cs="Times New Roman"/>
                    </w:rPr>
                    <w:t>丙烯酸树脂（Acrylic Resin）是一类以丙烯酸酯或甲基丙烯酸酯为单体，通过自由基聚合或共聚反应生成的高分子材料。其理化性质因单体组成、分子量、交联度及改性方式的不同而变化，具有透明性高、耐候性好、加工灵活等特点，广泛应用于涂料、胶粘剂、塑料等领域。通常为透明或半透明的固体，分解温度约200-300°C，高温下易发生氧化降解或链断裂。密度：1.1-1.2 g/cm³（PMMA为1.18-1.20 g/cm³）。透光率：≥90%（波长400-800 nm）。拉伸强度：硬质树脂50-80 MPa，软质树脂1-10 MPa。</w:t>
                  </w:r>
                </w:p>
              </w:tc>
            </w:tr>
            <w:tr w14:paraId="274E8B96">
              <w:trPr>
                <w:trHeight w:val="340" w:hRule="atLeast"/>
              </w:trPr>
              <w:tc>
                <w:tcPr>
                  <w:tcW w:w="979" w:type="dxa"/>
                  <w:vAlign w:val="center"/>
                </w:tcPr>
                <w:p w14:paraId="2E12DD36">
                  <w:pPr>
                    <w:pStyle w:val="13"/>
                    <w:jc w:val="center"/>
                  </w:pPr>
                  <w:r>
                    <w:rPr>
                      <w:rFonts w:hint="eastAsia"/>
                    </w:rPr>
                    <w:t>3</w:t>
                  </w:r>
                </w:p>
              </w:tc>
              <w:tc>
                <w:tcPr>
                  <w:tcW w:w="1680" w:type="dxa"/>
                  <w:vAlign w:val="center"/>
                </w:tcPr>
                <w:p w14:paraId="24BD3D4E">
                  <w:pPr>
                    <w:pStyle w:val="13"/>
                    <w:jc w:val="center"/>
                  </w:pPr>
                  <w:r>
                    <w:rPr>
                      <w:rFonts w:hint="eastAsia"/>
                    </w:rPr>
                    <w:t>醇酸树脂</w:t>
                  </w:r>
                </w:p>
              </w:tc>
              <w:tc>
                <w:tcPr>
                  <w:tcW w:w="10106" w:type="dxa"/>
                  <w:vAlign w:val="center"/>
                </w:tcPr>
                <w:p w14:paraId="0AE5A744">
                  <w:pPr>
                    <w:pStyle w:val="13"/>
                    <w:jc w:val="both"/>
                    <w:rPr>
                      <w:rFonts w:cs="Times New Roman"/>
                    </w:rPr>
                  </w:pPr>
                  <w:r>
                    <w:rPr>
                      <w:rFonts w:cs="Times New Roman"/>
                    </w:rPr>
                    <w:t>醇酸树脂（Alkyd Resin）是一类由多元醇、多元酸（如邻苯二甲酸酐）与脂肪酸（通常来自植物油或合成脂肪酸）通过酯化缩聚反应制备的聚酯型树脂。其理化性质受油类型（干性油、半干性油、不干性油）、油长度（脂肪酸含量）及改性剂（如松香、苯乙烯）的影响显著，广泛应用于涂料、油墨等领域。分解温度约200-250°C，高温下易氧化分解或变色。油长度：30-70%（影响溶解性、柔韧性）。酸值：5-20 mg KOH/g（表征未反应羧基含量，影响耐水性）。粘度：500-5000 mPa·s（25°C，溶剂型树脂）。碘值：100-180（衡量脂肪酸不饱和度，决定氧化交联速度）。</w:t>
                  </w:r>
                </w:p>
              </w:tc>
            </w:tr>
            <w:tr w14:paraId="61AA538A">
              <w:trPr>
                <w:trHeight w:val="340" w:hRule="atLeast"/>
              </w:trPr>
              <w:tc>
                <w:tcPr>
                  <w:tcW w:w="979" w:type="dxa"/>
                  <w:vAlign w:val="center"/>
                </w:tcPr>
                <w:p w14:paraId="0B4DAF98">
                  <w:pPr>
                    <w:pStyle w:val="13"/>
                    <w:jc w:val="center"/>
                  </w:pPr>
                  <w:r>
                    <w:rPr>
                      <w:rFonts w:hint="eastAsia"/>
                    </w:rPr>
                    <w:t>4</w:t>
                  </w:r>
                </w:p>
              </w:tc>
              <w:tc>
                <w:tcPr>
                  <w:tcW w:w="1680" w:type="dxa"/>
                  <w:vAlign w:val="center"/>
                </w:tcPr>
                <w:p w14:paraId="3E56133D">
                  <w:pPr>
                    <w:pStyle w:val="13"/>
                    <w:jc w:val="center"/>
                  </w:pPr>
                  <w:r>
                    <w:rPr>
                      <w:rFonts w:hint="eastAsia"/>
                    </w:rPr>
                    <w:t>聚苯醚树脂</w:t>
                  </w:r>
                </w:p>
              </w:tc>
              <w:tc>
                <w:tcPr>
                  <w:tcW w:w="10106" w:type="dxa"/>
                  <w:vAlign w:val="center"/>
                </w:tcPr>
                <w:p w14:paraId="072CEDC5">
                  <w:pPr>
                    <w:pStyle w:val="13"/>
                    <w:jc w:val="both"/>
                    <w:rPr>
                      <w:rFonts w:cs="Times New Roman"/>
                    </w:rPr>
                  </w:pPr>
                  <w:r>
                    <w:rPr>
                      <w:rFonts w:cs="Times New Roman"/>
                    </w:rPr>
                    <w:t>聚苯醚（Polyphenylene Oxide，简称PPO或PPE）是一种高性能工程塑料，属于五大工程塑料之一。其独特的分子结构（以2,6-二甲基苯酚为单体聚合而成）赋予其优异的综合性能，广泛应用于电子电器、汽车、医疗等领域。纯PPO的玻璃化转变温度（Tg）高达211℃，熔点约268℃，分解温度约330℃。改性后（如MPPO）的长期使用温度范围为-127℃至121℃，短期可耐受190℃以上的热变形温度（1.8 MPa载荷）。密度为1.06~1.10 g/cm³，轻量化优势显著；表面光滑且收缩率低（0.5%~1.0%），适合精密注塑成型。</w:t>
                  </w:r>
                </w:p>
              </w:tc>
            </w:tr>
            <w:tr w14:paraId="36D48A0F">
              <w:trPr>
                <w:trHeight w:val="340" w:hRule="atLeast"/>
              </w:trPr>
              <w:tc>
                <w:tcPr>
                  <w:tcW w:w="979" w:type="dxa"/>
                  <w:vAlign w:val="center"/>
                </w:tcPr>
                <w:p w14:paraId="5E53BF14">
                  <w:pPr>
                    <w:pStyle w:val="13"/>
                    <w:jc w:val="center"/>
                  </w:pPr>
                  <w:r>
                    <w:rPr>
                      <w:rFonts w:hint="eastAsia"/>
                    </w:rPr>
                    <w:t>5</w:t>
                  </w:r>
                </w:p>
              </w:tc>
              <w:tc>
                <w:tcPr>
                  <w:tcW w:w="1680" w:type="dxa"/>
                  <w:vAlign w:val="center"/>
                </w:tcPr>
                <w:p w14:paraId="4DD65C53">
                  <w:pPr>
                    <w:pStyle w:val="13"/>
                    <w:jc w:val="center"/>
                  </w:pPr>
                  <w:r>
                    <w:rPr>
                      <w:rFonts w:hint="eastAsia"/>
                    </w:rPr>
                    <w:t>聚酰亚胺树脂</w:t>
                  </w:r>
                </w:p>
              </w:tc>
              <w:tc>
                <w:tcPr>
                  <w:tcW w:w="10106" w:type="dxa"/>
                  <w:vAlign w:val="center"/>
                </w:tcPr>
                <w:p w14:paraId="33A0B1DF">
                  <w:pPr>
                    <w:pStyle w:val="13"/>
                    <w:jc w:val="both"/>
                  </w:pPr>
                  <w:r>
                    <w:t>聚酰亚胺树脂（Polyimide, PI）是一类高性能聚合物，以其优异的耐高温性、机械强度和化学稳定性著称。主链含重复的酰亚胺环（-CO-NR’-CO-），通常由芳香族二酐（如均苯四甲酸二酐）与芳香族二胺（如4,4'-二氨基二苯醚）缩聚形成。在氮气中</w:t>
                  </w:r>
                  <w:r>
                    <w:rPr>
                      <w:rFonts w:hint="eastAsia"/>
                    </w:rPr>
                    <w:t>分解温度</w:t>
                  </w:r>
                  <w:r>
                    <w:t>约500°C，空气中</w:t>
                  </w:r>
                  <w:r>
                    <w:rPr>
                      <w:rFonts w:hint="eastAsia"/>
                    </w:rPr>
                    <w:t>分解温度</w:t>
                  </w:r>
                  <w:r>
                    <w:t>约450°C，高温下仍保持稳定性。</w:t>
                  </w:r>
                </w:p>
              </w:tc>
            </w:tr>
            <w:tr w14:paraId="5176994C">
              <w:trPr>
                <w:trHeight w:val="340" w:hRule="atLeast"/>
              </w:trPr>
              <w:tc>
                <w:tcPr>
                  <w:tcW w:w="979" w:type="dxa"/>
                  <w:vAlign w:val="center"/>
                </w:tcPr>
                <w:p w14:paraId="12C13752">
                  <w:pPr>
                    <w:pStyle w:val="13"/>
                    <w:jc w:val="center"/>
                  </w:pPr>
                  <w:r>
                    <w:rPr>
                      <w:rFonts w:hint="eastAsia"/>
                    </w:rPr>
                    <w:t>6</w:t>
                  </w:r>
                </w:p>
              </w:tc>
              <w:tc>
                <w:tcPr>
                  <w:tcW w:w="1680" w:type="dxa"/>
                  <w:vAlign w:val="center"/>
                </w:tcPr>
                <w:p w14:paraId="1973FE69">
                  <w:pPr>
                    <w:pStyle w:val="13"/>
                    <w:jc w:val="center"/>
                  </w:pPr>
                  <w:r>
                    <w:rPr>
                      <w:rFonts w:hint="eastAsia"/>
                    </w:rPr>
                    <w:t>聚醚醚酮树脂</w:t>
                  </w:r>
                </w:p>
              </w:tc>
              <w:tc>
                <w:tcPr>
                  <w:tcW w:w="10106" w:type="dxa"/>
                  <w:vAlign w:val="center"/>
                </w:tcPr>
                <w:p w14:paraId="11F3CFC6">
                  <w:pPr>
                    <w:pStyle w:val="13"/>
                    <w:jc w:val="both"/>
                  </w:pPr>
                  <w:r>
                    <w:t>聚醚醚酮（Polyetheretherketone，简称PEEK）</w:t>
                  </w:r>
                  <w:r>
                    <w:rPr>
                      <w:rFonts w:hint="eastAsia"/>
                    </w:rPr>
                    <w:t>树脂在空气中420℃下2小时失重仅2%，500℃时才显著分解，拉伸强度：100-300 MPa，弹性模量2-4 GPa（增强型可达10 GPa以上），常温下耐弱酸弱碱，高温下耐强酸（除浓硫酸）和强碱性能优异，在200-250℃高温蒸汽或高压水中长期使用仍保持性能稳定，吸湿率低（&lt;1%）。</w:t>
                  </w:r>
                </w:p>
              </w:tc>
            </w:tr>
            <w:tr w14:paraId="79D7138C">
              <w:trPr>
                <w:trHeight w:val="340" w:hRule="atLeast"/>
              </w:trPr>
              <w:tc>
                <w:tcPr>
                  <w:tcW w:w="979" w:type="dxa"/>
                  <w:vAlign w:val="center"/>
                </w:tcPr>
                <w:p w14:paraId="4DE3E58E">
                  <w:pPr>
                    <w:pStyle w:val="13"/>
                    <w:jc w:val="center"/>
                  </w:pPr>
                  <w:r>
                    <w:rPr>
                      <w:rFonts w:hint="eastAsia"/>
                    </w:rPr>
                    <w:t>7</w:t>
                  </w:r>
                </w:p>
              </w:tc>
              <w:tc>
                <w:tcPr>
                  <w:tcW w:w="1680" w:type="dxa"/>
                  <w:vAlign w:val="center"/>
                </w:tcPr>
                <w:p w14:paraId="3AEA5679">
                  <w:pPr>
                    <w:pStyle w:val="13"/>
                    <w:jc w:val="center"/>
                  </w:pPr>
                  <w:r>
                    <w:rPr>
                      <w:rFonts w:hint="eastAsia"/>
                    </w:rPr>
                    <w:t>聚砜树脂</w:t>
                  </w:r>
                </w:p>
              </w:tc>
              <w:tc>
                <w:tcPr>
                  <w:tcW w:w="10106" w:type="dxa"/>
                  <w:vAlign w:val="center"/>
                </w:tcPr>
                <w:p w14:paraId="4B042A49">
                  <w:pPr>
                    <w:pStyle w:val="13"/>
                    <w:jc w:val="both"/>
                  </w:pPr>
                  <w:r>
                    <w:t>聚砜树脂（Polysulfone，PSU）是一种高性能热塑性工程塑料，主链含砜基（—SO₂—）和芳环结构（苯核），通常由双酚A与4,4'-二氯二苯砜通过缩聚反应制</w:t>
                  </w:r>
                  <w:r>
                    <w:rPr>
                      <w:rFonts w:cs="Times New Roman"/>
                    </w:rPr>
                    <w:t>备而成。分子式为(C₂₇H₂₂O₄S)ₙ，密度为1.24 g/mL，在420°C空气中2小时失重仅2%，分解温度约500°C，热膨胀系数低至3×10⁻⁶~5×10⁻⁶ K⁻¹，与金属接近，适合精密零部件，拉伸强度：71.54 MPa，弯曲强度105.8 MPa，压缩强度95.1 MPa，对弱酸、弱碱、盐、醇及脂肪烃稳定，但溶于二氯甲烷、氯仿、甲苯等氯化烃和芳香烃；浓硫酸、硝酸可使其分解，酯和酮类溶剂会导致溶胀。</w:t>
                  </w:r>
                </w:p>
              </w:tc>
            </w:tr>
            <w:tr w14:paraId="513C0103">
              <w:trPr>
                <w:trHeight w:val="340" w:hRule="atLeast"/>
              </w:trPr>
              <w:tc>
                <w:tcPr>
                  <w:tcW w:w="979" w:type="dxa"/>
                  <w:vAlign w:val="center"/>
                </w:tcPr>
                <w:p w14:paraId="4B15EAAE">
                  <w:pPr>
                    <w:pStyle w:val="13"/>
                    <w:jc w:val="center"/>
                  </w:pPr>
                  <w:r>
                    <w:rPr>
                      <w:rFonts w:hint="eastAsia"/>
                    </w:rPr>
                    <w:t>8</w:t>
                  </w:r>
                </w:p>
              </w:tc>
              <w:tc>
                <w:tcPr>
                  <w:tcW w:w="1680" w:type="dxa"/>
                  <w:vAlign w:val="center"/>
                </w:tcPr>
                <w:p w14:paraId="22D8E2C4">
                  <w:pPr>
                    <w:pStyle w:val="13"/>
                    <w:jc w:val="center"/>
                  </w:pPr>
                  <w:r>
                    <w:rPr>
                      <w:rFonts w:hint="eastAsia"/>
                    </w:rPr>
                    <w:t>聚苯硫醚树脂</w:t>
                  </w:r>
                </w:p>
              </w:tc>
              <w:tc>
                <w:tcPr>
                  <w:tcW w:w="10106" w:type="dxa"/>
                  <w:vAlign w:val="center"/>
                </w:tcPr>
                <w:p w14:paraId="75802C9A">
                  <w:pPr>
                    <w:pStyle w:val="13"/>
                    <w:jc w:val="both"/>
                  </w:pPr>
                  <w:r>
                    <w:t>聚苯硫醚（Polyphenylene Sulfide，PPS）通常为白色或浅黄色颗粒，结晶度高，制品表面光滑。拉伸强度：纯PPS约60-80 MPa，玻璃纤维增强后可达150-200 MPa。热变形温度（1.8 MPa）：260℃以上，增强型可达260-270℃。对酸（如盐酸、硫酸）、碱、盐、有机溶剂（如醇、酮、烃类）有极强抵抗力。注塑、挤出、模压，需高温（300-350℃）。</w:t>
                  </w:r>
                </w:p>
              </w:tc>
            </w:tr>
            <w:tr w14:paraId="0CFF2764">
              <w:trPr>
                <w:trHeight w:val="340" w:hRule="atLeast"/>
              </w:trPr>
              <w:tc>
                <w:tcPr>
                  <w:tcW w:w="979" w:type="dxa"/>
                  <w:vAlign w:val="center"/>
                </w:tcPr>
                <w:p w14:paraId="05FFADAE">
                  <w:pPr>
                    <w:pStyle w:val="13"/>
                    <w:jc w:val="center"/>
                  </w:pPr>
                  <w:r>
                    <w:rPr>
                      <w:rFonts w:hint="eastAsia"/>
                    </w:rPr>
                    <w:t>9</w:t>
                  </w:r>
                </w:p>
              </w:tc>
              <w:tc>
                <w:tcPr>
                  <w:tcW w:w="1680" w:type="dxa"/>
                  <w:vAlign w:val="center"/>
                </w:tcPr>
                <w:p w14:paraId="3CB69AAB">
                  <w:pPr>
                    <w:pStyle w:val="13"/>
                    <w:jc w:val="center"/>
                  </w:pPr>
                  <w:r>
                    <w:rPr>
                      <w:rFonts w:hint="eastAsia"/>
                    </w:rPr>
                    <w:t>聚醚砜树脂</w:t>
                  </w:r>
                </w:p>
              </w:tc>
              <w:tc>
                <w:tcPr>
                  <w:tcW w:w="10106" w:type="dxa"/>
                  <w:vAlign w:val="center"/>
                </w:tcPr>
                <w:p w14:paraId="44585D46">
                  <w:pPr>
                    <w:pStyle w:val="13"/>
                    <w:jc w:val="both"/>
                  </w:pPr>
                  <w:r>
                    <w:t>聚醚砜（Polyethersulfone，PES）是一种高性能无定形工程塑料，通常为透明或半透明材料，可着色，表面光滑</w:t>
                  </w:r>
                  <w:r>
                    <w:rPr>
                      <w:rFonts w:hint="eastAsia"/>
                    </w:rPr>
                    <w:t>颗粒，密度约为1.37 g/cm³，热变形温度为200-220℃，可通过注塑（310-390℃）、挤出、吹塑等工艺成型，拉伸强度约为80-100 MPa。</w:t>
                  </w:r>
                </w:p>
              </w:tc>
            </w:tr>
          </w:tbl>
          <w:p w14:paraId="3396DC74">
            <w:pPr>
              <w:ind w:firstLine="0" w:firstLineChars="0"/>
              <w:jc w:val="both"/>
            </w:pPr>
          </w:p>
        </w:tc>
      </w:tr>
    </w:tbl>
    <w:p w14:paraId="768F8835">
      <w:pPr>
        <w:ind w:firstLine="0" w:firstLineChars="0"/>
        <w:jc w:val="both"/>
        <w:sectPr>
          <w:pgSz w:w="16838" w:h="11906" w:orient="landscape"/>
          <w:pgMar w:top="1440" w:right="1800" w:bottom="1440" w:left="1800" w:header="851" w:footer="992" w:gutter="0"/>
          <w:cols w:space="425" w:num="1"/>
          <w:docGrid w:type="lines" w:linePitch="312" w:charSpace="0"/>
        </w:sectPr>
      </w:pPr>
    </w:p>
    <w:tbl>
      <w:tblPr>
        <w:tblStyle w:val="1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
        <w:gridCol w:w="8046"/>
      </w:tblGrid>
      <w:tr w14:paraId="0ABE5FF7">
        <w:tc>
          <w:tcPr>
            <w:tcW w:w="476" w:type="dxa"/>
          </w:tcPr>
          <w:p w14:paraId="7B695615">
            <w:pPr>
              <w:ind w:firstLine="0" w:firstLineChars="0"/>
              <w:jc w:val="both"/>
            </w:pPr>
          </w:p>
        </w:tc>
        <w:tc>
          <w:tcPr>
            <w:tcW w:w="8046" w:type="dxa"/>
          </w:tcPr>
          <w:p w14:paraId="13185526">
            <w:pPr>
              <w:ind w:firstLine="480"/>
              <w:jc w:val="both"/>
            </w:pPr>
            <w:r>
              <w:rPr>
                <w:rFonts w:hint="eastAsia"/>
              </w:rPr>
              <w:t>6、劳动定员及工作制度</w:t>
            </w:r>
          </w:p>
          <w:p w14:paraId="27874D7A">
            <w:pPr>
              <w:ind w:firstLine="480"/>
              <w:jc w:val="both"/>
            </w:pPr>
            <w:r>
              <w:t>本项目</w:t>
            </w:r>
            <w:r>
              <w:rPr>
                <w:rFonts w:hint="eastAsia"/>
              </w:rPr>
              <w:t>不</w:t>
            </w:r>
            <w:r>
              <w:t>新增劳动定员，</w:t>
            </w:r>
            <w:r>
              <w:rPr>
                <w:rFonts w:hint="eastAsia"/>
              </w:rPr>
              <w:t>项目实施后</w:t>
            </w:r>
            <w:r>
              <w:t>全厂劳动定员</w:t>
            </w:r>
            <w:r>
              <w:rPr>
                <w:rFonts w:hint="eastAsia"/>
              </w:rPr>
              <w:t>70</w:t>
            </w:r>
            <w:r>
              <w:t>人，年工作300天，三班制，年工作7200h。</w:t>
            </w:r>
          </w:p>
          <w:p w14:paraId="0CB3FD6B">
            <w:pPr>
              <w:ind w:firstLine="480"/>
              <w:jc w:val="both"/>
              <w:rPr>
                <w:rFonts w:cs="Times New Roman"/>
                <w:szCs w:val="24"/>
              </w:rPr>
            </w:pPr>
            <w:r>
              <w:rPr>
                <w:rFonts w:cs="Times New Roman"/>
                <w:szCs w:val="24"/>
              </w:rPr>
              <w:t>7、平面布置</w:t>
            </w:r>
          </w:p>
          <w:p w14:paraId="700D98E8">
            <w:pPr>
              <w:ind w:firstLine="480"/>
              <w:jc w:val="both"/>
            </w:pPr>
            <w:r>
              <w:rPr>
                <w:rFonts w:hint="eastAsia"/>
              </w:rPr>
              <w:t>本项目位于杭州市余杭区仁和街道三星路4号，该厂区构筑物总建筑面积约为4636.57m</w:t>
            </w:r>
            <w:r>
              <w:rPr>
                <w:rFonts w:hint="eastAsia"/>
                <w:vertAlign w:val="superscript"/>
              </w:rPr>
              <w:t>2</w:t>
            </w:r>
            <w:r>
              <w:rPr>
                <w:rFonts w:hint="eastAsia"/>
              </w:rPr>
              <w:t>，厂区西侧主要设置仓储区、办公楼，现有工程主要生产区位于厂区东部，设置打板房、生产区、分包房等。</w:t>
            </w:r>
          </w:p>
          <w:p w14:paraId="54AFEE79">
            <w:pPr>
              <w:ind w:firstLine="480"/>
              <w:jc w:val="both"/>
            </w:pPr>
            <w:r>
              <w:rPr>
                <w:rFonts w:hint="eastAsia"/>
              </w:rPr>
              <w:t>本项目依托生产车间内打板房中现有空置区域，新增注塑机7台，厂房内部由西向东设置生产区、分包房、打板房等。本项目废气排气筒位于生产车间南侧，主要生产区距离厂界西侧敏感点约为218m，可有效</w:t>
            </w:r>
            <w:r>
              <w:t>降低生产对周围环境的影响，整个厂区和生产布局较为合理</w:t>
            </w:r>
            <w:r>
              <w:rPr>
                <w:rFonts w:hint="eastAsia"/>
              </w:rPr>
              <w:t>。</w:t>
            </w:r>
          </w:p>
          <w:p w14:paraId="7C5C6AE6">
            <w:pPr>
              <w:ind w:firstLine="480"/>
              <w:jc w:val="both"/>
            </w:pPr>
            <w:r>
              <w:t>项目平面布置情况，见附图</w:t>
            </w:r>
            <w:r>
              <w:rPr>
                <w:rFonts w:hint="eastAsia"/>
              </w:rPr>
              <w:t>2</w:t>
            </w:r>
            <w:r>
              <w:t>。</w:t>
            </w:r>
          </w:p>
          <w:p w14:paraId="007DFCAF">
            <w:pPr>
              <w:ind w:firstLine="480"/>
              <w:jc w:val="both"/>
            </w:pPr>
            <w:r>
              <w:t>8、水平衡</w:t>
            </w:r>
          </w:p>
          <w:p w14:paraId="7C537440">
            <w:pPr>
              <w:ind w:firstLine="480"/>
              <w:jc w:val="both"/>
            </w:pPr>
            <w:r>
              <w:rPr>
                <w:rFonts w:hint="eastAsia"/>
              </w:rPr>
              <w:t>本项目不新增劳动定员，不新增塑料粒子总体产能，测试打样新增7台注塑机因色板产量极少，采用自然冷却，故本项目实施后不新增生活用水及循环冷却水。</w:t>
            </w:r>
          </w:p>
          <w:p w14:paraId="289FC1AD">
            <w:pPr>
              <w:pStyle w:val="2"/>
              <w:jc w:val="both"/>
            </w:pPr>
            <w:r>
              <w:drawing>
                <wp:inline distT="0" distB="0" distL="114300" distR="114300">
                  <wp:extent cx="5003800" cy="2576195"/>
                  <wp:effectExtent l="0" t="0" r="10160"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003800" cy="2576195"/>
                          </a:xfrm>
                          <a:prstGeom prst="rect">
                            <a:avLst/>
                          </a:prstGeom>
                          <a:noFill/>
                          <a:ln>
                            <a:noFill/>
                          </a:ln>
                        </pic:spPr>
                      </pic:pic>
                    </a:graphicData>
                  </a:graphic>
                </wp:inline>
              </w:drawing>
            </w:r>
          </w:p>
          <w:p w14:paraId="13D5C39F">
            <w:pPr>
              <w:pStyle w:val="2"/>
              <w:jc w:val="center"/>
            </w:pPr>
            <w:r>
              <w:rPr>
                <w:rFonts w:eastAsia="黑体" w:cs="Times New Roman"/>
                <w:sz w:val="21"/>
                <w:szCs w:val="21"/>
              </w:rPr>
              <w:t>图2-</w:t>
            </w:r>
            <w:r>
              <w:rPr>
                <w:rFonts w:hint="eastAsia" w:eastAsia="黑体" w:cs="Times New Roman"/>
                <w:sz w:val="21"/>
                <w:szCs w:val="21"/>
              </w:rPr>
              <w:t>1</w:t>
            </w:r>
            <w:r>
              <w:rPr>
                <w:rFonts w:eastAsia="黑体" w:cs="Times New Roman"/>
                <w:sz w:val="21"/>
                <w:szCs w:val="21"/>
              </w:rPr>
              <w:t xml:space="preserve">  </w:t>
            </w:r>
            <w:r>
              <w:rPr>
                <w:rFonts w:hint="eastAsia" w:eastAsia="黑体" w:cs="Times New Roman"/>
                <w:sz w:val="21"/>
                <w:szCs w:val="21"/>
              </w:rPr>
              <w:t>本项目建成后全厂水平衡</w:t>
            </w:r>
            <w:r>
              <w:rPr>
                <w:rFonts w:eastAsia="黑体" w:cs="Times New Roman"/>
                <w:sz w:val="21"/>
                <w:szCs w:val="21"/>
              </w:rPr>
              <w:t>图</w:t>
            </w:r>
            <w:r>
              <w:rPr>
                <w:rFonts w:hint="eastAsia" w:eastAsia="黑体" w:cs="Times New Roman"/>
                <w:sz w:val="21"/>
                <w:szCs w:val="21"/>
              </w:rPr>
              <w:t xml:space="preserve">  单位t/d</w:t>
            </w:r>
          </w:p>
        </w:tc>
      </w:tr>
      <w:tr w14:paraId="6FED2E3D">
        <w:tc>
          <w:tcPr>
            <w:tcW w:w="476" w:type="dxa"/>
            <w:vAlign w:val="center"/>
          </w:tcPr>
          <w:p w14:paraId="447438DC">
            <w:pPr>
              <w:ind w:firstLine="0" w:firstLineChars="0"/>
              <w:jc w:val="center"/>
            </w:pPr>
            <w:r>
              <w:rPr>
                <w:rFonts w:hint="eastAsia"/>
              </w:rPr>
              <w:t>工艺流程和产排污环节</w:t>
            </w:r>
          </w:p>
        </w:tc>
        <w:tc>
          <w:tcPr>
            <w:tcW w:w="8046" w:type="dxa"/>
          </w:tcPr>
          <w:p w14:paraId="39B61741">
            <w:pPr>
              <w:ind w:firstLine="480"/>
              <w:jc w:val="both"/>
            </w:pPr>
            <w:r>
              <w:rPr>
                <w:rFonts w:hint="eastAsia"/>
              </w:rPr>
              <w:t>1、主要工艺流程及产污节点</w:t>
            </w:r>
          </w:p>
          <w:p w14:paraId="19A6EF75">
            <w:pPr>
              <w:ind w:firstLine="480"/>
              <w:jc w:val="both"/>
            </w:pPr>
            <w:r>
              <w:rPr>
                <w:rFonts w:hint="eastAsia"/>
              </w:rPr>
              <w:t>本项目新增主要生产设备注塑机7台仅用于色板生产；新增原辅材料种类，从而新增塑料粒子的产品种类，且不新增塑料粒子的总体产能。</w:t>
            </w:r>
          </w:p>
          <w:p w14:paraId="343D22FD">
            <w:pPr>
              <w:ind w:firstLine="480"/>
              <w:jc w:val="both"/>
            </w:pPr>
            <w:r>
              <w:rPr>
                <w:rFonts w:hint="eastAsia"/>
              </w:rPr>
              <w:t>(1) 塑料粒子生产工艺</w:t>
            </w:r>
          </w:p>
          <w:p w14:paraId="28740254">
            <w:pPr>
              <w:ind w:firstLine="0" w:firstLineChars="0"/>
              <w:jc w:val="center"/>
            </w:pPr>
            <w:r>
              <w:drawing>
                <wp:inline distT="0" distB="0" distL="114300" distR="114300">
                  <wp:extent cx="4521200" cy="4943475"/>
                  <wp:effectExtent l="0" t="0" r="5080" b="952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4521200" cy="4943475"/>
                          </a:xfrm>
                          <a:prstGeom prst="rect">
                            <a:avLst/>
                          </a:prstGeom>
                          <a:noFill/>
                          <a:ln>
                            <a:noFill/>
                          </a:ln>
                        </pic:spPr>
                      </pic:pic>
                    </a:graphicData>
                  </a:graphic>
                </wp:inline>
              </w:drawing>
            </w:r>
          </w:p>
          <w:p w14:paraId="058A0FC2">
            <w:pPr>
              <w:pStyle w:val="2"/>
              <w:jc w:val="center"/>
              <w:rPr>
                <w:rFonts w:eastAsia="黑体" w:cs="Times New Roman"/>
                <w:sz w:val="21"/>
                <w:szCs w:val="21"/>
              </w:rPr>
            </w:pPr>
            <w:r>
              <w:rPr>
                <w:rFonts w:eastAsia="黑体" w:cs="Times New Roman"/>
                <w:sz w:val="21"/>
                <w:szCs w:val="21"/>
              </w:rPr>
              <w:t>图2-</w:t>
            </w:r>
            <w:r>
              <w:rPr>
                <w:rFonts w:hint="eastAsia" w:eastAsia="黑体" w:cs="Times New Roman"/>
                <w:sz w:val="21"/>
                <w:szCs w:val="21"/>
              </w:rPr>
              <w:t>2</w:t>
            </w:r>
            <w:r>
              <w:rPr>
                <w:rFonts w:eastAsia="黑体" w:cs="Times New Roman"/>
                <w:sz w:val="21"/>
                <w:szCs w:val="21"/>
              </w:rPr>
              <w:t xml:space="preserve">  项目塑料粒子工艺流程及产污节点图</w:t>
            </w:r>
          </w:p>
          <w:p w14:paraId="1C8B44A5">
            <w:pPr>
              <w:ind w:firstLine="480"/>
              <w:jc w:val="both"/>
            </w:pPr>
            <w:r>
              <w:rPr>
                <w:rFonts w:hint="eastAsia"/>
              </w:rPr>
              <w:t>工艺流程简述：</w:t>
            </w:r>
          </w:p>
          <w:p w14:paraId="25D52624">
            <w:pPr>
              <w:ind w:firstLine="480"/>
              <w:jc w:val="both"/>
            </w:pPr>
            <w:r>
              <w:rPr>
                <w:rFonts w:hint="eastAsia"/>
              </w:rPr>
              <w:t>根据树脂的不同，按照不同比例配比颜料、各类树脂、钛白粉、碳酸钙、聚乙烯蜡，配比后进行人工投料；</w:t>
            </w:r>
          </w:p>
          <w:p w14:paraId="7D24EF64">
            <w:pPr>
              <w:ind w:firstLine="480"/>
              <w:jc w:val="both"/>
            </w:pPr>
            <w:r>
              <w:rPr>
                <w:rFonts w:hint="eastAsia"/>
              </w:rPr>
              <w:t>加入拌料机中混合搅拌均匀，通过密闭管道下料至双螺杆挤出机，原料在挤出机中加热塑化（各类塑料粒子加热温度见下表，加热方式为电加热）；</w:t>
            </w:r>
          </w:p>
          <w:p w14:paraId="0D00D800">
            <w:pPr>
              <w:ind w:firstLine="480"/>
              <w:jc w:val="both"/>
            </w:pPr>
            <w:r>
              <w:rPr>
                <w:rFonts w:hint="eastAsia"/>
              </w:rPr>
              <w:t>塑化后条状塑料进入冷却水槽，与产品直接接触冷却后进入切粒机切粒；切粒后经震动筛筛分后进入分包房，人工分包。本项目挤出工序开停机会产生条块状塑料，经收集后送入破碎工序，破碎成较小工序后全部回用于挤出工序。</w:t>
            </w:r>
          </w:p>
          <w:p w14:paraId="746B3776">
            <w:pPr>
              <w:ind w:firstLine="480"/>
              <w:jc w:val="both"/>
            </w:pPr>
            <w:r>
              <w:rPr>
                <w:rFonts w:hint="eastAsia"/>
              </w:rPr>
              <w:t>产污环节：本项目含粉状原料，如钛白粉、颜料、碳酸钙等，在配料、投料、搅拌工序均会产生逸散粉尘G1-1，破碎工序产生的破碎废气G1-3，主要成分为颗粒物；本项目挤出工序会产生挥发性有机物，主要成分为NMHC及其他特征污染物，具体见下文；本项目循环冷却水定期补充，循环使用不外排，故无生产废水产生；本项目各工序均会产生噪声，来源于设备运转等生产工序；本项目挤出工序会产生S1-1废边角料，经破碎机破碎后全部回用。</w:t>
            </w:r>
          </w:p>
          <w:p w14:paraId="503BA44D">
            <w:pPr>
              <w:pStyle w:val="14"/>
              <w:numPr>
                <w:ilvl w:val="0"/>
                <w:numId w:val="6"/>
              </w:numPr>
              <w:spacing w:before="156"/>
              <w:ind w:firstLine="0"/>
            </w:pPr>
            <w:r>
              <w:t xml:space="preserve">  </w:t>
            </w:r>
            <w:r>
              <w:rPr>
                <w:rFonts w:hint="eastAsia"/>
              </w:rPr>
              <w:t>本</w:t>
            </w:r>
            <w:r>
              <w:t>项目</w:t>
            </w:r>
            <w:r>
              <w:rPr>
                <w:rFonts w:hint="eastAsia"/>
              </w:rPr>
              <w:t>挤出工序工艺参数一览表</w:t>
            </w:r>
          </w:p>
          <w:tbl>
            <w:tblPr>
              <w:tblStyle w:val="10"/>
              <w:tblW w:w="7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2856"/>
              <w:gridCol w:w="3860"/>
            </w:tblGrid>
            <w:tr w14:paraId="25EF3E76">
              <w:trPr>
                <w:trHeight w:val="340" w:hRule="atLeast"/>
                <w:jc w:val="center"/>
              </w:trPr>
              <w:tc>
                <w:tcPr>
                  <w:tcW w:w="1041" w:type="dxa"/>
                  <w:vAlign w:val="center"/>
                </w:tcPr>
                <w:p w14:paraId="1B1AF052">
                  <w:pPr>
                    <w:pStyle w:val="13"/>
                    <w:jc w:val="center"/>
                  </w:pPr>
                  <w:r>
                    <w:rPr>
                      <w:rFonts w:hint="eastAsia"/>
                    </w:rPr>
                    <w:t>序号</w:t>
                  </w:r>
                </w:p>
              </w:tc>
              <w:tc>
                <w:tcPr>
                  <w:tcW w:w="2856" w:type="dxa"/>
                  <w:vAlign w:val="center"/>
                </w:tcPr>
                <w:p w14:paraId="7382452A">
                  <w:pPr>
                    <w:pStyle w:val="13"/>
                    <w:jc w:val="center"/>
                  </w:pPr>
                  <w:r>
                    <w:rPr>
                      <w:rFonts w:hint="eastAsia"/>
                    </w:rPr>
                    <w:t>原料种类</w:t>
                  </w:r>
                </w:p>
              </w:tc>
              <w:tc>
                <w:tcPr>
                  <w:tcW w:w="3860" w:type="dxa"/>
                  <w:vAlign w:val="center"/>
                </w:tcPr>
                <w:p w14:paraId="67A4521E">
                  <w:pPr>
                    <w:pStyle w:val="13"/>
                    <w:jc w:val="center"/>
                  </w:pPr>
                  <w:r>
                    <w:rPr>
                      <w:rFonts w:hint="eastAsia"/>
                    </w:rPr>
                    <w:t>加热温度</w:t>
                  </w:r>
                  <w:r>
                    <w:rPr>
                      <w:rFonts w:cs="Times New Roman"/>
                    </w:rPr>
                    <w:t>℃</w:t>
                  </w:r>
                </w:p>
              </w:tc>
            </w:tr>
            <w:tr w14:paraId="5220FC87">
              <w:trPr>
                <w:trHeight w:val="340" w:hRule="atLeast"/>
                <w:jc w:val="center"/>
              </w:trPr>
              <w:tc>
                <w:tcPr>
                  <w:tcW w:w="1041" w:type="dxa"/>
                  <w:vAlign w:val="center"/>
                </w:tcPr>
                <w:p w14:paraId="663C0E7B">
                  <w:pPr>
                    <w:pStyle w:val="13"/>
                    <w:jc w:val="center"/>
                  </w:pPr>
                  <w:r>
                    <w:rPr>
                      <w:rFonts w:hint="eastAsia"/>
                    </w:rPr>
                    <w:t>1</w:t>
                  </w:r>
                </w:p>
              </w:tc>
              <w:tc>
                <w:tcPr>
                  <w:tcW w:w="2856" w:type="dxa"/>
                  <w:vAlign w:val="center"/>
                </w:tcPr>
                <w:p w14:paraId="290467D1">
                  <w:pPr>
                    <w:pStyle w:val="13"/>
                    <w:jc w:val="center"/>
                  </w:pPr>
                  <w:r>
                    <w:rPr>
                      <w:rFonts w:hint="eastAsia"/>
                    </w:rPr>
                    <w:t>ABS</w:t>
                  </w:r>
                </w:p>
              </w:tc>
              <w:tc>
                <w:tcPr>
                  <w:tcW w:w="3860" w:type="dxa"/>
                  <w:vAlign w:val="center"/>
                </w:tcPr>
                <w:p w14:paraId="290F7C51">
                  <w:pPr>
                    <w:pStyle w:val="13"/>
                    <w:jc w:val="center"/>
                  </w:pPr>
                  <w:r>
                    <w:rPr>
                      <w:rFonts w:hint="eastAsia"/>
                    </w:rPr>
                    <w:t>200-220</w:t>
                  </w:r>
                </w:p>
              </w:tc>
            </w:tr>
            <w:tr w14:paraId="3BB8367C">
              <w:trPr>
                <w:trHeight w:val="340" w:hRule="atLeast"/>
                <w:jc w:val="center"/>
              </w:trPr>
              <w:tc>
                <w:tcPr>
                  <w:tcW w:w="1041" w:type="dxa"/>
                  <w:vAlign w:val="center"/>
                </w:tcPr>
                <w:p w14:paraId="56849D5C">
                  <w:pPr>
                    <w:pStyle w:val="13"/>
                    <w:jc w:val="center"/>
                  </w:pPr>
                  <w:r>
                    <w:rPr>
                      <w:rFonts w:hint="eastAsia"/>
                    </w:rPr>
                    <w:t>2</w:t>
                  </w:r>
                </w:p>
              </w:tc>
              <w:tc>
                <w:tcPr>
                  <w:tcW w:w="2856" w:type="dxa"/>
                  <w:vAlign w:val="center"/>
                </w:tcPr>
                <w:p w14:paraId="3895B5DA">
                  <w:pPr>
                    <w:pStyle w:val="13"/>
                    <w:jc w:val="center"/>
                  </w:pPr>
                  <w:r>
                    <w:rPr>
                      <w:rFonts w:hint="eastAsia"/>
                    </w:rPr>
                    <w:t>PP</w:t>
                  </w:r>
                </w:p>
              </w:tc>
              <w:tc>
                <w:tcPr>
                  <w:tcW w:w="3860" w:type="dxa"/>
                  <w:vAlign w:val="center"/>
                </w:tcPr>
                <w:p w14:paraId="626E4775">
                  <w:pPr>
                    <w:pStyle w:val="13"/>
                    <w:jc w:val="center"/>
                  </w:pPr>
                  <w:r>
                    <w:rPr>
                      <w:rFonts w:hint="eastAsia"/>
                    </w:rPr>
                    <w:t>180-220</w:t>
                  </w:r>
                </w:p>
              </w:tc>
            </w:tr>
            <w:tr w14:paraId="3B965E8F">
              <w:trPr>
                <w:trHeight w:val="340" w:hRule="atLeast"/>
                <w:jc w:val="center"/>
              </w:trPr>
              <w:tc>
                <w:tcPr>
                  <w:tcW w:w="1041" w:type="dxa"/>
                  <w:vAlign w:val="center"/>
                </w:tcPr>
                <w:p w14:paraId="250F0ADD">
                  <w:pPr>
                    <w:pStyle w:val="13"/>
                    <w:jc w:val="center"/>
                  </w:pPr>
                  <w:r>
                    <w:rPr>
                      <w:rFonts w:hint="eastAsia"/>
                    </w:rPr>
                    <w:t>3</w:t>
                  </w:r>
                </w:p>
              </w:tc>
              <w:tc>
                <w:tcPr>
                  <w:tcW w:w="2856" w:type="dxa"/>
                  <w:vAlign w:val="center"/>
                </w:tcPr>
                <w:p w14:paraId="4D2095A1">
                  <w:pPr>
                    <w:pStyle w:val="13"/>
                    <w:jc w:val="center"/>
                  </w:pPr>
                  <w:r>
                    <w:rPr>
                      <w:rFonts w:hint="eastAsia"/>
                    </w:rPr>
                    <w:t>PS</w:t>
                  </w:r>
                </w:p>
              </w:tc>
              <w:tc>
                <w:tcPr>
                  <w:tcW w:w="3860" w:type="dxa"/>
                  <w:vAlign w:val="center"/>
                </w:tcPr>
                <w:p w14:paraId="7619170E">
                  <w:pPr>
                    <w:pStyle w:val="13"/>
                    <w:jc w:val="center"/>
                  </w:pPr>
                  <w:r>
                    <w:rPr>
                      <w:rFonts w:hint="eastAsia"/>
                    </w:rPr>
                    <w:t>180-230</w:t>
                  </w:r>
                </w:p>
              </w:tc>
            </w:tr>
            <w:tr w14:paraId="6E4B5C61">
              <w:trPr>
                <w:trHeight w:val="340" w:hRule="atLeast"/>
                <w:jc w:val="center"/>
              </w:trPr>
              <w:tc>
                <w:tcPr>
                  <w:tcW w:w="1041" w:type="dxa"/>
                  <w:vAlign w:val="center"/>
                </w:tcPr>
                <w:p w14:paraId="12B67223">
                  <w:pPr>
                    <w:pStyle w:val="13"/>
                    <w:jc w:val="center"/>
                  </w:pPr>
                  <w:r>
                    <w:rPr>
                      <w:rFonts w:hint="eastAsia"/>
                    </w:rPr>
                    <w:t>4</w:t>
                  </w:r>
                </w:p>
              </w:tc>
              <w:tc>
                <w:tcPr>
                  <w:tcW w:w="2856" w:type="dxa"/>
                  <w:vAlign w:val="center"/>
                </w:tcPr>
                <w:p w14:paraId="7C45688D">
                  <w:pPr>
                    <w:pStyle w:val="13"/>
                    <w:jc w:val="center"/>
                  </w:pPr>
                  <w:r>
                    <w:rPr>
                      <w:rFonts w:hint="eastAsia"/>
                    </w:rPr>
                    <w:t>PE</w:t>
                  </w:r>
                </w:p>
              </w:tc>
              <w:tc>
                <w:tcPr>
                  <w:tcW w:w="3860" w:type="dxa"/>
                  <w:vAlign w:val="center"/>
                </w:tcPr>
                <w:p w14:paraId="0DC8E023">
                  <w:pPr>
                    <w:pStyle w:val="13"/>
                    <w:jc w:val="center"/>
                  </w:pPr>
                  <w:r>
                    <w:rPr>
                      <w:rFonts w:hint="eastAsia"/>
                    </w:rPr>
                    <w:t>120-150</w:t>
                  </w:r>
                </w:p>
              </w:tc>
            </w:tr>
            <w:tr w14:paraId="52835DAA">
              <w:trPr>
                <w:trHeight w:val="340" w:hRule="atLeast"/>
                <w:jc w:val="center"/>
              </w:trPr>
              <w:tc>
                <w:tcPr>
                  <w:tcW w:w="1041" w:type="dxa"/>
                  <w:vAlign w:val="center"/>
                </w:tcPr>
                <w:p w14:paraId="5C23E1E2">
                  <w:pPr>
                    <w:pStyle w:val="13"/>
                    <w:jc w:val="center"/>
                  </w:pPr>
                  <w:r>
                    <w:rPr>
                      <w:rFonts w:hint="eastAsia"/>
                    </w:rPr>
                    <w:t>5</w:t>
                  </w:r>
                </w:p>
              </w:tc>
              <w:tc>
                <w:tcPr>
                  <w:tcW w:w="2856" w:type="dxa"/>
                  <w:vAlign w:val="center"/>
                </w:tcPr>
                <w:p w14:paraId="679D83A0">
                  <w:pPr>
                    <w:pStyle w:val="13"/>
                    <w:jc w:val="center"/>
                  </w:pPr>
                  <w:r>
                    <w:rPr>
                      <w:rFonts w:hint="eastAsia"/>
                    </w:rPr>
                    <w:t>PA</w:t>
                  </w:r>
                </w:p>
              </w:tc>
              <w:tc>
                <w:tcPr>
                  <w:tcW w:w="3860" w:type="dxa"/>
                  <w:vAlign w:val="center"/>
                </w:tcPr>
                <w:p w14:paraId="20CF79E1">
                  <w:pPr>
                    <w:pStyle w:val="13"/>
                    <w:jc w:val="center"/>
                  </w:pPr>
                  <w:r>
                    <w:rPr>
                      <w:rFonts w:hint="eastAsia"/>
                    </w:rPr>
                    <w:t>250-280</w:t>
                  </w:r>
                </w:p>
              </w:tc>
            </w:tr>
            <w:tr w14:paraId="424F620E">
              <w:trPr>
                <w:trHeight w:val="340" w:hRule="atLeast"/>
                <w:jc w:val="center"/>
              </w:trPr>
              <w:tc>
                <w:tcPr>
                  <w:tcW w:w="1041" w:type="dxa"/>
                  <w:vAlign w:val="center"/>
                </w:tcPr>
                <w:p w14:paraId="14AD340D">
                  <w:pPr>
                    <w:pStyle w:val="13"/>
                    <w:jc w:val="center"/>
                  </w:pPr>
                  <w:r>
                    <w:rPr>
                      <w:rFonts w:hint="eastAsia"/>
                    </w:rPr>
                    <w:t>6</w:t>
                  </w:r>
                </w:p>
              </w:tc>
              <w:tc>
                <w:tcPr>
                  <w:tcW w:w="2856" w:type="dxa"/>
                  <w:vAlign w:val="center"/>
                </w:tcPr>
                <w:p w14:paraId="53B2A2C6">
                  <w:pPr>
                    <w:pStyle w:val="13"/>
                    <w:jc w:val="center"/>
                  </w:pPr>
                  <w:r>
                    <w:rPr>
                      <w:rFonts w:hint="eastAsia"/>
                    </w:rPr>
                    <w:t>AS</w:t>
                  </w:r>
                </w:p>
              </w:tc>
              <w:tc>
                <w:tcPr>
                  <w:tcW w:w="3860" w:type="dxa"/>
                  <w:vAlign w:val="center"/>
                </w:tcPr>
                <w:p w14:paraId="071B6DC9">
                  <w:pPr>
                    <w:pStyle w:val="13"/>
                    <w:jc w:val="center"/>
                  </w:pPr>
                  <w:r>
                    <w:rPr>
                      <w:rFonts w:hint="eastAsia"/>
                    </w:rPr>
                    <w:t>180-230</w:t>
                  </w:r>
                </w:p>
              </w:tc>
            </w:tr>
            <w:tr w14:paraId="0BA409D6">
              <w:trPr>
                <w:trHeight w:val="340" w:hRule="atLeast"/>
                <w:jc w:val="center"/>
              </w:trPr>
              <w:tc>
                <w:tcPr>
                  <w:tcW w:w="1041" w:type="dxa"/>
                  <w:vAlign w:val="center"/>
                </w:tcPr>
                <w:p w14:paraId="7A71891A">
                  <w:pPr>
                    <w:pStyle w:val="13"/>
                    <w:jc w:val="center"/>
                  </w:pPr>
                  <w:r>
                    <w:rPr>
                      <w:rFonts w:hint="eastAsia"/>
                    </w:rPr>
                    <w:t>7</w:t>
                  </w:r>
                </w:p>
              </w:tc>
              <w:tc>
                <w:tcPr>
                  <w:tcW w:w="2856" w:type="dxa"/>
                  <w:vAlign w:val="center"/>
                </w:tcPr>
                <w:p w14:paraId="70A5985D">
                  <w:pPr>
                    <w:pStyle w:val="13"/>
                    <w:jc w:val="center"/>
                  </w:pPr>
                  <w:r>
                    <w:rPr>
                      <w:rFonts w:hint="eastAsia"/>
                    </w:rPr>
                    <w:t>聚氨酯树脂</w:t>
                  </w:r>
                </w:p>
              </w:tc>
              <w:tc>
                <w:tcPr>
                  <w:tcW w:w="3860" w:type="dxa"/>
                  <w:vAlign w:val="center"/>
                </w:tcPr>
                <w:p w14:paraId="1BD3139C">
                  <w:pPr>
                    <w:pStyle w:val="13"/>
                    <w:jc w:val="center"/>
                  </w:pPr>
                  <w:r>
                    <w:rPr>
                      <w:rFonts w:hint="eastAsia"/>
                    </w:rPr>
                    <w:t>120-150</w:t>
                  </w:r>
                </w:p>
              </w:tc>
            </w:tr>
            <w:tr w14:paraId="3625870C">
              <w:trPr>
                <w:trHeight w:val="340" w:hRule="atLeast"/>
                <w:jc w:val="center"/>
              </w:trPr>
              <w:tc>
                <w:tcPr>
                  <w:tcW w:w="1041" w:type="dxa"/>
                  <w:vAlign w:val="center"/>
                </w:tcPr>
                <w:p w14:paraId="2F1A1921">
                  <w:pPr>
                    <w:pStyle w:val="13"/>
                    <w:jc w:val="center"/>
                  </w:pPr>
                  <w:r>
                    <w:rPr>
                      <w:rFonts w:hint="eastAsia"/>
                    </w:rPr>
                    <w:t>8</w:t>
                  </w:r>
                </w:p>
              </w:tc>
              <w:tc>
                <w:tcPr>
                  <w:tcW w:w="2856" w:type="dxa"/>
                  <w:vAlign w:val="center"/>
                </w:tcPr>
                <w:p w14:paraId="1742DE48">
                  <w:pPr>
                    <w:pStyle w:val="13"/>
                    <w:jc w:val="center"/>
                  </w:pPr>
                  <w:r>
                    <w:rPr>
                      <w:rFonts w:hint="eastAsia"/>
                    </w:rPr>
                    <w:t>丙烯酸树脂</w:t>
                  </w:r>
                </w:p>
              </w:tc>
              <w:tc>
                <w:tcPr>
                  <w:tcW w:w="3860" w:type="dxa"/>
                  <w:vAlign w:val="center"/>
                </w:tcPr>
                <w:p w14:paraId="7B563B15">
                  <w:pPr>
                    <w:pStyle w:val="13"/>
                    <w:jc w:val="center"/>
                  </w:pPr>
                  <w:r>
                    <w:rPr>
                      <w:rFonts w:hint="eastAsia"/>
                    </w:rPr>
                    <w:t>120-150</w:t>
                  </w:r>
                </w:p>
              </w:tc>
            </w:tr>
            <w:tr w14:paraId="30B607E7">
              <w:trPr>
                <w:trHeight w:val="340" w:hRule="atLeast"/>
                <w:jc w:val="center"/>
              </w:trPr>
              <w:tc>
                <w:tcPr>
                  <w:tcW w:w="1041" w:type="dxa"/>
                  <w:vAlign w:val="center"/>
                </w:tcPr>
                <w:p w14:paraId="58BA98EC">
                  <w:pPr>
                    <w:pStyle w:val="13"/>
                    <w:jc w:val="center"/>
                  </w:pPr>
                  <w:r>
                    <w:rPr>
                      <w:rFonts w:hint="eastAsia"/>
                    </w:rPr>
                    <w:t>9</w:t>
                  </w:r>
                </w:p>
              </w:tc>
              <w:tc>
                <w:tcPr>
                  <w:tcW w:w="2856" w:type="dxa"/>
                  <w:vAlign w:val="center"/>
                </w:tcPr>
                <w:p w14:paraId="09896D1B">
                  <w:pPr>
                    <w:pStyle w:val="13"/>
                    <w:jc w:val="center"/>
                  </w:pPr>
                  <w:r>
                    <w:rPr>
                      <w:rFonts w:hint="eastAsia"/>
                    </w:rPr>
                    <w:t>醇酸树脂</w:t>
                  </w:r>
                </w:p>
              </w:tc>
              <w:tc>
                <w:tcPr>
                  <w:tcW w:w="3860" w:type="dxa"/>
                  <w:vAlign w:val="center"/>
                </w:tcPr>
                <w:p w14:paraId="782B5057">
                  <w:pPr>
                    <w:pStyle w:val="13"/>
                    <w:jc w:val="center"/>
                  </w:pPr>
                  <w:r>
                    <w:rPr>
                      <w:rFonts w:hint="eastAsia"/>
                    </w:rPr>
                    <w:t>150-180</w:t>
                  </w:r>
                </w:p>
              </w:tc>
            </w:tr>
            <w:tr w14:paraId="02989882">
              <w:trPr>
                <w:trHeight w:val="340" w:hRule="atLeast"/>
                <w:jc w:val="center"/>
              </w:trPr>
              <w:tc>
                <w:tcPr>
                  <w:tcW w:w="1041" w:type="dxa"/>
                  <w:vAlign w:val="center"/>
                </w:tcPr>
                <w:p w14:paraId="5259EAC7">
                  <w:pPr>
                    <w:pStyle w:val="13"/>
                    <w:jc w:val="center"/>
                  </w:pPr>
                  <w:r>
                    <w:rPr>
                      <w:rFonts w:hint="eastAsia"/>
                    </w:rPr>
                    <w:t>10</w:t>
                  </w:r>
                </w:p>
              </w:tc>
              <w:tc>
                <w:tcPr>
                  <w:tcW w:w="2856" w:type="dxa"/>
                  <w:vAlign w:val="center"/>
                </w:tcPr>
                <w:p w14:paraId="5E90C788">
                  <w:pPr>
                    <w:pStyle w:val="13"/>
                    <w:jc w:val="center"/>
                  </w:pPr>
                  <w:r>
                    <w:rPr>
                      <w:rFonts w:hint="eastAsia"/>
                    </w:rPr>
                    <w:t>聚苯醚树脂</w:t>
                  </w:r>
                </w:p>
              </w:tc>
              <w:tc>
                <w:tcPr>
                  <w:tcW w:w="3860" w:type="dxa"/>
                  <w:vAlign w:val="center"/>
                </w:tcPr>
                <w:p w14:paraId="7343942E">
                  <w:pPr>
                    <w:pStyle w:val="13"/>
                    <w:jc w:val="center"/>
                  </w:pPr>
                  <w:r>
                    <w:rPr>
                      <w:rFonts w:hint="eastAsia"/>
                    </w:rPr>
                    <w:t>250-280</w:t>
                  </w:r>
                </w:p>
              </w:tc>
            </w:tr>
            <w:tr w14:paraId="0506963A">
              <w:trPr>
                <w:trHeight w:val="340" w:hRule="atLeast"/>
                <w:jc w:val="center"/>
              </w:trPr>
              <w:tc>
                <w:tcPr>
                  <w:tcW w:w="1041" w:type="dxa"/>
                  <w:vAlign w:val="center"/>
                </w:tcPr>
                <w:p w14:paraId="331F6701">
                  <w:pPr>
                    <w:pStyle w:val="13"/>
                    <w:jc w:val="center"/>
                  </w:pPr>
                  <w:r>
                    <w:rPr>
                      <w:rFonts w:hint="eastAsia"/>
                    </w:rPr>
                    <w:t>11</w:t>
                  </w:r>
                </w:p>
              </w:tc>
              <w:tc>
                <w:tcPr>
                  <w:tcW w:w="2856" w:type="dxa"/>
                  <w:vAlign w:val="center"/>
                </w:tcPr>
                <w:p w14:paraId="56BF588C">
                  <w:pPr>
                    <w:pStyle w:val="13"/>
                    <w:jc w:val="center"/>
                  </w:pPr>
                  <w:r>
                    <w:rPr>
                      <w:rFonts w:hint="eastAsia"/>
                    </w:rPr>
                    <w:t>聚酰亚胺树脂</w:t>
                  </w:r>
                </w:p>
              </w:tc>
              <w:tc>
                <w:tcPr>
                  <w:tcW w:w="3860" w:type="dxa"/>
                  <w:vAlign w:val="center"/>
                </w:tcPr>
                <w:p w14:paraId="05B4D2C5">
                  <w:pPr>
                    <w:pStyle w:val="13"/>
                    <w:jc w:val="center"/>
                  </w:pPr>
                  <w:r>
                    <w:rPr>
                      <w:rFonts w:hint="eastAsia"/>
                    </w:rPr>
                    <w:t>250-280</w:t>
                  </w:r>
                </w:p>
              </w:tc>
            </w:tr>
            <w:tr w14:paraId="69161624">
              <w:trPr>
                <w:trHeight w:val="340" w:hRule="atLeast"/>
                <w:jc w:val="center"/>
              </w:trPr>
              <w:tc>
                <w:tcPr>
                  <w:tcW w:w="1041" w:type="dxa"/>
                  <w:vAlign w:val="center"/>
                </w:tcPr>
                <w:p w14:paraId="68BDED8F">
                  <w:pPr>
                    <w:pStyle w:val="13"/>
                    <w:jc w:val="center"/>
                  </w:pPr>
                  <w:r>
                    <w:rPr>
                      <w:rFonts w:hint="eastAsia"/>
                    </w:rPr>
                    <w:t>12</w:t>
                  </w:r>
                </w:p>
              </w:tc>
              <w:tc>
                <w:tcPr>
                  <w:tcW w:w="2856" w:type="dxa"/>
                  <w:vAlign w:val="center"/>
                </w:tcPr>
                <w:p w14:paraId="594F7385">
                  <w:pPr>
                    <w:pStyle w:val="13"/>
                    <w:jc w:val="center"/>
                  </w:pPr>
                  <w:r>
                    <w:rPr>
                      <w:rFonts w:hint="eastAsia"/>
                    </w:rPr>
                    <w:t>聚醚醚酮树脂</w:t>
                  </w:r>
                </w:p>
              </w:tc>
              <w:tc>
                <w:tcPr>
                  <w:tcW w:w="3860" w:type="dxa"/>
                  <w:vAlign w:val="center"/>
                </w:tcPr>
                <w:p w14:paraId="580F96B9">
                  <w:pPr>
                    <w:pStyle w:val="13"/>
                    <w:jc w:val="center"/>
                  </w:pPr>
                  <w:r>
                    <w:rPr>
                      <w:rFonts w:hint="eastAsia"/>
                    </w:rPr>
                    <w:t>150-180</w:t>
                  </w:r>
                </w:p>
              </w:tc>
            </w:tr>
            <w:tr w14:paraId="566D4296">
              <w:trPr>
                <w:trHeight w:val="340" w:hRule="atLeast"/>
                <w:jc w:val="center"/>
              </w:trPr>
              <w:tc>
                <w:tcPr>
                  <w:tcW w:w="1041" w:type="dxa"/>
                  <w:vAlign w:val="center"/>
                </w:tcPr>
                <w:p w14:paraId="0F5C423E">
                  <w:pPr>
                    <w:pStyle w:val="13"/>
                    <w:jc w:val="center"/>
                  </w:pPr>
                  <w:r>
                    <w:rPr>
                      <w:rFonts w:hint="eastAsia"/>
                    </w:rPr>
                    <w:t>13</w:t>
                  </w:r>
                </w:p>
              </w:tc>
              <w:tc>
                <w:tcPr>
                  <w:tcW w:w="2856" w:type="dxa"/>
                  <w:vAlign w:val="center"/>
                </w:tcPr>
                <w:p w14:paraId="6165EBDC">
                  <w:pPr>
                    <w:pStyle w:val="13"/>
                    <w:jc w:val="center"/>
                  </w:pPr>
                  <w:r>
                    <w:rPr>
                      <w:rFonts w:hint="eastAsia"/>
                    </w:rPr>
                    <w:t>聚砜树脂</w:t>
                  </w:r>
                </w:p>
              </w:tc>
              <w:tc>
                <w:tcPr>
                  <w:tcW w:w="3860" w:type="dxa"/>
                  <w:vAlign w:val="center"/>
                </w:tcPr>
                <w:p w14:paraId="1E163EA0">
                  <w:pPr>
                    <w:pStyle w:val="13"/>
                    <w:jc w:val="center"/>
                  </w:pPr>
                  <w:r>
                    <w:rPr>
                      <w:rFonts w:hint="eastAsia"/>
                    </w:rPr>
                    <w:t>250-280</w:t>
                  </w:r>
                </w:p>
              </w:tc>
            </w:tr>
            <w:tr w14:paraId="7D26A738">
              <w:trPr>
                <w:trHeight w:val="340" w:hRule="atLeast"/>
                <w:jc w:val="center"/>
              </w:trPr>
              <w:tc>
                <w:tcPr>
                  <w:tcW w:w="1041" w:type="dxa"/>
                  <w:vAlign w:val="center"/>
                </w:tcPr>
                <w:p w14:paraId="38A052C1">
                  <w:pPr>
                    <w:pStyle w:val="13"/>
                    <w:jc w:val="center"/>
                  </w:pPr>
                  <w:r>
                    <w:rPr>
                      <w:rFonts w:hint="eastAsia"/>
                    </w:rPr>
                    <w:t>14</w:t>
                  </w:r>
                </w:p>
              </w:tc>
              <w:tc>
                <w:tcPr>
                  <w:tcW w:w="2856" w:type="dxa"/>
                  <w:vAlign w:val="center"/>
                </w:tcPr>
                <w:p w14:paraId="79937CEB">
                  <w:pPr>
                    <w:pStyle w:val="13"/>
                    <w:jc w:val="center"/>
                  </w:pPr>
                  <w:r>
                    <w:rPr>
                      <w:rFonts w:hint="eastAsia"/>
                    </w:rPr>
                    <w:t>聚苯硫醚树脂</w:t>
                  </w:r>
                </w:p>
              </w:tc>
              <w:tc>
                <w:tcPr>
                  <w:tcW w:w="3860" w:type="dxa"/>
                  <w:vAlign w:val="center"/>
                </w:tcPr>
                <w:p w14:paraId="2A2C362A">
                  <w:pPr>
                    <w:pStyle w:val="13"/>
                    <w:jc w:val="center"/>
                  </w:pPr>
                  <w:r>
                    <w:rPr>
                      <w:rFonts w:hint="eastAsia"/>
                    </w:rPr>
                    <w:t>150-180</w:t>
                  </w:r>
                </w:p>
              </w:tc>
            </w:tr>
            <w:tr w14:paraId="67EC839F">
              <w:trPr>
                <w:trHeight w:val="340" w:hRule="atLeast"/>
                <w:jc w:val="center"/>
              </w:trPr>
              <w:tc>
                <w:tcPr>
                  <w:tcW w:w="1041" w:type="dxa"/>
                  <w:vAlign w:val="center"/>
                </w:tcPr>
                <w:p w14:paraId="4EEA17DD">
                  <w:pPr>
                    <w:pStyle w:val="13"/>
                    <w:jc w:val="center"/>
                  </w:pPr>
                  <w:r>
                    <w:rPr>
                      <w:rFonts w:hint="eastAsia"/>
                    </w:rPr>
                    <w:t>15</w:t>
                  </w:r>
                </w:p>
              </w:tc>
              <w:tc>
                <w:tcPr>
                  <w:tcW w:w="2856" w:type="dxa"/>
                  <w:vAlign w:val="center"/>
                </w:tcPr>
                <w:p w14:paraId="05A25154">
                  <w:pPr>
                    <w:pStyle w:val="13"/>
                    <w:jc w:val="center"/>
                  </w:pPr>
                  <w:r>
                    <w:rPr>
                      <w:rFonts w:hint="eastAsia"/>
                    </w:rPr>
                    <w:t>聚醚砜树脂</w:t>
                  </w:r>
                </w:p>
              </w:tc>
              <w:tc>
                <w:tcPr>
                  <w:tcW w:w="3860" w:type="dxa"/>
                  <w:vAlign w:val="center"/>
                </w:tcPr>
                <w:p w14:paraId="3F16C767">
                  <w:pPr>
                    <w:pStyle w:val="13"/>
                    <w:jc w:val="center"/>
                  </w:pPr>
                  <w:r>
                    <w:rPr>
                      <w:rFonts w:hint="eastAsia"/>
                    </w:rPr>
                    <w:t>300-330</w:t>
                  </w:r>
                </w:p>
              </w:tc>
            </w:tr>
          </w:tbl>
          <w:p w14:paraId="7782565B">
            <w:pPr>
              <w:pStyle w:val="2"/>
              <w:jc w:val="both"/>
            </w:pPr>
          </w:p>
          <w:p w14:paraId="5E37DAF7">
            <w:pPr>
              <w:ind w:firstLine="480"/>
              <w:jc w:val="both"/>
            </w:pPr>
            <w:r>
              <w:rPr>
                <w:rFonts w:hint="eastAsia"/>
              </w:rPr>
              <w:t>(2) 色板生产工艺</w:t>
            </w:r>
          </w:p>
          <w:p w14:paraId="1FD823F4">
            <w:pPr>
              <w:pStyle w:val="2"/>
              <w:jc w:val="center"/>
            </w:pPr>
            <w:r>
              <w:drawing>
                <wp:inline distT="0" distB="0" distL="114300" distR="114300">
                  <wp:extent cx="3436620" cy="3970020"/>
                  <wp:effectExtent l="0" t="0" r="762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3436620" cy="3970020"/>
                          </a:xfrm>
                          <a:prstGeom prst="rect">
                            <a:avLst/>
                          </a:prstGeom>
                          <a:noFill/>
                          <a:ln>
                            <a:noFill/>
                          </a:ln>
                        </pic:spPr>
                      </pic:pic>
                    </a:graphicData>
                  </a:graphic>
                </wp:inline>
              </w:drawing>
            </w:r>
          </w:p>
          <w:p w14:paraId="41E80289">
            <w:pPr>
              <w:pStyle w:val="2"/>
              <w:jc w:val="center"/>
              <w:rPr>
                <w:rFonts w:eastAsia="黑体" w:cs="Times New Roman"/>
                <w:sz w:val="21"/>
                <w:szCs w:val="21"/>
              </w:rPr>
            </w:pPr>
            <w:r>
              <w:rPr>
                <w:rFonts w:eastAsia="黑体" w:cs="Times New Roman"/>
                <w:sz w:val="21"/>
                <w:szCs w:val="21"/>
              </w:rPr>
              <w:t>图2-</w:t>
            </w:r>
            <w:r>
              <w:rPr>
                <w:rFonts w:hint="eastAsia" w:eastAsia="黑体" w:cs="Times New Roman"/>
                <w:sz w:val="21"/>
                <w:szCs w:val="21"/>
              </w:rPr>
              <w:t>2</w:t>
            </w:r>
            <w:r>
              <w:rPr>
                <w:rFonts w:eastAsia="黑体" w:cs="Times New Roman"/>
                <w:sz w:val="21"/>
                <w:szCs w:val="21"/>
              </w:rPr>
              <w:t xml:space="preserve">  项目</w:t>
            </w:r>
            <w:r>
              <w:rPr>
                <w:rFonts w:hint="eastAsia" w:eastAsia="黑体" w:cs="Times New Roman"/>
                <w:sz w:val="21"/>
                <w:szCs w:val="21"/>
              </w:rPr>
              <w:t>色板</w:t>
            </w:r>
            <w:r>
              <w:rPr>
                <w:rFonts w:eastAsia="黑体" w:cs="Times New Roman"/>
                <w:sz w:val="21"/>
                <w:szCs w:val="21"/>
              </w:rPr>
              <w:t>工艺流程及产污节点图</w:t>
            </w:r>
          </w:p>
          <w:p w14:paraId="7CB612C3">
            <w:pPr>
              <w:ind w:firstLine="480"/>
              <w:jc w:val="both"/>
            </w:pPr>
            <w:r>
              <w:rPr>
                <w:rFonts w:hint="eastAsia"/>
              </w:rPr>
              <w:t>工艺流程简述：</w:t>
            </w:r>
          </w:p>
          <w:p w14:paraId="6FFAD09A">
            <w:pPr>
              <w:ind w:firstLine="480"/>
              <w:jc w:val="both"/>
            </w:pPr>
            <w:r>
              <w:rPr>
                <w:rFonts w:hint="eastAsia"/>
              </w:rPr>
              <w:t>根据树脂的不同，按照不同比例配比颜料、各类树脂、钛白粉、碳酸钙、聚乙烯蜡，配比后进行人工投料；</w:t>
            </w:r>
          </w:p>
          <w:p w14:paraId="04219744">
            <w:pPr>
              <w:ind w:firstLine="480"/>
              <w:jc w:val="both"/>
            </w:pPr>
            <w:r>
              <w:rPr>
                <w:rFonts w:hint="eastAsia"/>
              </w:rPr>
              <w:t>加入注塑机中，原料在注塑机中加热注塑（各类塑料粒子注塑温度见上表，加热方式为电加热）；</w:t>
            </w:r>
          </w:p>
          <w:p w14:paraId="17B4ADCC">
            <w:pPr>
              <w:ind w:firstLine="480"/>
              <w:jc w:val="both"/>
            </w:pPr>
            <w:r>
              <w:rPr>
                <w:rFonts w:hint="eastAsia"/>
              </w:rPr>
              <w:t>塑化后成型样板经自然冷却后即为成品色板。</w:t>
            </w:r>
          </w:p>
          <w:p w14:paraId="097C3764">
            <w:pPr>
              <w:ind w:firstLine="480"/>
              <w:jc w:val="both"/>
            </w:pPr>
            <w:r>
              <w:rPr>
                <w:rFonts w:hint="eastAsia"/>
              </w:rPr>
              <w:t>产污环节：本项目含粉状原料，如钛白粉、颜料、碳酸钙等，在配料、投料工序均会产生极少量逸散粉尘G2-1，主要成分为颗粒物；本项目注塑工序会产生极少量挥发性有机物，主要成分为NMHC及其他特征污染物，具体见下文；本项目色板注塑采用电加热方式，冷却方式为自然冷却，不涉及循环冷却水的使用。</w:t>
            </w:r>
          </w:p>
          <w:p w14:paraId="7D65A75B">
            <w:pPr>
              <w:ind w:firstLine="480"/>
              <w:jc w:val="both"/>
            </w:pPr>
            <w:r>
              <w:rPr>
                <w:rFonts w:hint="eastAsia"/>
              </w:rPr>
              <w:t>(3) 主要产污环节</w:t>
            </w:r>
          </w:p>
          <w:p w14:paraId="3FD23875">
            <w:pPr>
              <w:ind w:firstLine="480"/>
              <w:jc w:val="both"/>
            </w:pPr>
            <w:r>
              <w:t>本项目主要产污环节见表2-</w:t>
            </w:r>
            <w:r>
              <w:rPr>
                <w:rFonts w:hint="eastAsia"/>
              </w:rPr>
              <w:t>8</w:t>
            </w:r>
            <w:r>
              <w:t>。</w:t>
            </w:r>
          </w:p>
          <w:p w14:paraId="7ECCB7A4">
            <w:pPr>
              <w:ind w:firstLine="480"/>
              <w:jc w:val="both"/>
            </w:pPr>
          </w:p>
          <w:p w14:paraId="0EAE184D">
            <w:pPr>
              <w:ind w:firstLine="480"/>
              <w:jc w:val="both"/>
            </w:pPr>
          </w:p>
          <w:p w14:paraId="47E6F00E">
            <w:pPr>
              <w:pStyle w:val="14"/>
              <w:numPr>
                <w:ilvl w:val="0"/>
                <w:numId w:val="6"/>
              </w:numPr>
              <w:spacing w:before="156"/>
              <w:ind w:firstLine="0"/>
            </w:pPr>
            <w:r>
              <w:rPr>
                <w:rFonts w:hint="eastAsia"/>
              </w:rPr>
              <w:t xml:space="preserve"> </w:t>
            </w:r>
            <w:r>
              <w:t xml:space="preserve"> </w:t>
            </w:r>
            <w:r>
              <w:rPr>
                <w:rFonts w:hint="eastAsia"/>
              </w:rPr>
              <w:t>本</w:t>
            </w:r>
            <w:r>
              <w:t>项目</w:t>
            </w:r>
            <w:r>
              <w:rPr>
                <w:rFonts w:hint="eastAsia"/>
              </w:rPr>
              <w:t>主要产污环节一览表</w:t>
            </w:r>
          </w:p>
          <w:tbl>
            <w:tblPr>
              <w:tblStyle w:val="9"/>
              <w:tblW w:w="7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1568"/>
              <w:gridCol w:w="1569"/>
              <w:gridCol w:w="3334"/>
            </w:tblGrid>
            <w:tr w14:paraId="368E0F78">
              <w:trPr>
                <w:trHeight w:val="340" w:hRule="atLeast"/>
                <w:jc w:val="center"/>
              </w:trPr>
              <w:tc>
                <w:tcPr>
                  <w:tcW w:w="831" w:type="pct"/>
                  <w:noWrap/>
                  <w:vAlign w:val="center"/>
                </w:tcPr>
                <w:p w14:paraId="019417C4">
                  <w:pPr>
                    <w:pStyle w:val="13"/>
                    <w:jc w:val="center"/>
                  </w:pPr>
                  <w:r>
                    <w:rPr>
                      <w:rFonts w:hint="eastAsia"/>
                    </w:rPr>
                    <w:t>污染源类别</w:t>
                  </w:r>
                </w:p>
              </w:tc>
              <w:tc>
                <w:tcPr>
                  <w:tcW w:w="1010" w:type="pct"/>
                  <w:noWrap/>
                  <w:vAlign w:val="center"/>
                </w:tcPr>
                <w:p w14:paraId="2960630A">
                  <w:pPr>
                    <w:pStyle w:val="13"/>
                    <w:jc w:val="center"/>
                  </w:pPr>
                  <w:r>
                    <w:rPr>
                      <w:rFonts w:hint="eastAsia"/>
                    </w:rPr>
                    <w:t>工序名称</w:t>
                  </w:r>
                </w:p>
              </w:tc>
              <w:tc>
                <w:tcPr>
                  <w:tcW w:w="1011" w:type="pct"/>
                  <w:noWrap/>
                  <w:vAlign w:val="center"/>
                </w:tcPr>
                <w:p w14:paraId="71C4503F">
                  <w:pPr>
                    <w:pStyle w:val="13"/>
                    <w:jc w:val="center"/>
                  </w:pPr>
                  <w:r>
                    <w:rPr>
                      <w:rFonts w:hint="eastAsia"/>
                    </w:rPr>
                    <w:t>产污节点</w:t>
                  </w:r>
                </w:p>
              </w:tc>
              <w:tc>
                <w:tcPr>
                  <w:tcW w:w="2147" w:type="pct"/>
                  <w:noWrap/>
                  <w:vAlign w:val="center"/>
                </w:tcPr>
                <w:p w14:paraId="13476F85">
                  <w:pPr>
                    <w:pStyle w:val="13"/>
                    <w:jc w:val="center"/>
                  </w:pPr>
                  <w:r>
                    <w:rPr>
                      <w:rFonts w:hint="eastAsia"/>
                    </w:rPr>
                    <w:t>主要污染因子</w:t>
                  </w:r>
                </w:p>
              </w:tc>
            </w:tr>
            <w:tr w14:paraId="3D310BCD">
              <w:trPr>
                <w:trHeight w:val="340" w:hRule="atLeast"/>
                <w:jc w:val="center"/>
              </w:trPr>
              <w:tc>
                <w:tcPr>
                  <w:tcW w:w="831" w:type="pct"/>
                  <w:vMerge w:val="restart"/>
                  <w:noWrap/>
                  <w:vAlign w:val="center"/>
                </w:tcPr>
                <w:p w14:paraId="02F43362">
                  <w:pPr>
                    <w:pStyle w:val="13"/>
                    <w:jc w:val="center"/>
                  </w:pPr>
                  <w:r>
                    <w:rPr>
                      <w:rFonts w:hint="eastAsia"/>
                    </w:rPr>
                    <w:t>废气</w:t>
                  </w:r>
                </w:p>
              </w:tc>
              <w:tc>
                <w:tcPr>
                  <w:tcW w:w="1010" w:type="pct"/>
                  <w:noWrap/>
                  <w:vAlign w:val="center"/>
                </w:tcPr>
                <w:p w14:paraId="6D63E056">
                  <w:pPr>
                    <w:pStyle w:val="13"/>
                    <w:jc w:val="center"/>
                  </w:pPr>
                  <w:r>
                    <w:rPr>
                      <w:rFonts w:hint="eastAsia"/>
                    </w:rPr>
                    <w:t>配料</w:t>
                  </w:r>
                </w:p>
              </w:tc>
              <w:tc>
                <w:tcPr>
                  <w:tcW w:w="1011" w:type="pct"/>
                  <w:vMerge w:val="restart"/>
                  <w:noWrap/>
                  <w:vAlign w:val="center"/>
                </w:tcPr>
                <w:p w14:paraId="2BA223C1">
                  <w:pPr>
                    <w:pStyle w:val="13"/>
                    <w:jc w:val="center"/>
                  </w:pPr>
                  <w:r>
                    <w:rPr>
                      <w:rFonts w:hint="eastAsia"/>
                    </w:rPr>
                    <w:t>G1-1、G2-1</w:t>
                  </w:r>
                </w:p>
              </w:tc>
              <w:tc>
                <w:tcPr>
                  <w:tcW w:w="2147" w:type="pct"/>
                  <w:vMerge w:val="restart"/>
                  <w:noWrap/>
                  <w:vAlign w:val="center"/>
                </w:tcPr>
                <w:p w14:paraId="06426BDF">
                  <w:pPr>
                    <w:pStyle w:val="13"/>
                    <w:jc w:val="center"/>
                  </w:pPr>
                  <w:r>
                    <w:rPr>
                      <w:rFonts w:hint="eastAsia"/>
                    </w:rPr>
                    <w:t>颗粒物</w:t>
                  </w:r>
                </w:p>
              </w:tc>
            </w:tr>
            <w:tr w14:paraId="0A2058DC">
              <w:trPr>
                <w:trHeight w:val="340" w:hRule="atLeast"/>
                <w:jc w:val="center"/>
              </w:trPr>
              <w:tc>
                <w:tcPr>
                  <w:tcW w:w="831" w:type="pct"/>
                  <w:vMerge w:val="continue"/>
                  <w:noWrap/>
                  <w:vAlign w:val="center"/>
                </w:tcPr>
                <w:p w14:paraId="1D9E7D62">
                  <w:pPr>
                    <w:pStyle w:val="13"/>
                    <w:jc w:val="center"/>
                  </w:pPr>
                </w:p>
              </w:tc>
              <w:tc>
                <w:tcPr>
                  <w:tcW w:w="1010" w:type="pct"/>
                  <w:noWrap/>
                  <w:vAlign w:val="center"/>
                </w:tcPr>
                <w:p w14:paraId="643CDE22">
                  <w:pPr>
                    <w:pStyle w:val="13"/>
                    <w:jc w:val="center"/>
                  </w:pPr>
                  <w:r>
                    <w:rPr>
                      <w:rFonts w:hint="eastAsia"/>
                    </w:rPr>
                    <w:t>投料</w:t>
                  </w:r>
                </w:p>
              </w:tc>
              <w:tc>
                <w:tcPr>
                  <w:tcW w:w="1011" w:type="pct"/>
                  <w:vMerge w:val="continue"/>
                  <w:noWrap/>
                  <w:vAlign w:val="center"/>
                </w:tcPr>
                <w:p w14:paraId="0E22ADC6">
                  <w:pPr>
                    <w:pStyle w:val="13"/>
                    <w:jc w:val="center"/>
                  </w:pPr>
                </w:p>
              </w:tc>
              <w:tc>
                <w:tcPr>
                  <w:tcW w:w="2147" w:type="pct"/>
                  <w:vMerge w:val="continue"/>
                  <w:noWrap/>
                  <w:vAlign w:val="center"/>
                </w:tcPr>
                <w:p w14:paraId="63713C3A">
                  <w:pPr>
                    <w:pStyle w:val="13"/>
                    <w:jc w:val="center"/>
                  </w:pPr>
                </w:p>
              </w:tc>
            </w:tr>
            <w:tr w14:paraId="12E05248">
              <w:trPr>
                <w:trHeight w:val="340" w:hRule="atLeast"/>
                <w:jc w:val="center"/>
              </w:trPr>
              <w:tc>
                <w:tcPr>
                  <w:tcW w:w="831" w:type="pct"/>
                  <w:vMerge w:val="continue"/>
                  <w:noWrap/>
                  <w:vAlign w:val="center"/>
                </w:tcPr>
                <w:p w14:paraId="15FDB6F5">
                  <w:pPr>
                    <w:pStyle w:val="13"/>
                    <w:jc w:val="center"/>
                  </w:pPr>
                </w:p>
              </w:tc>
              <w:tc>
                <w:tcPr>
                  <w:tcW w:w="1010" w:type="pct"/>
                  <w:noWrap/>
                  <w:vAlign w:val="center"/>
                </w:tcPr>
                <w:p w14:paraId="41608FF9">
                  <w:pPr>
                    <w:pStyle w:val="13"/>
                    <w:jc w:val="center"/>
                  </w:pPr>
                  <w:r>
                    <w:rPr>
                      <w:rFonts w:hint="eastAsia"/>
                    </w:rPr>
                    <w:t>搅拌</w:t>
                  </w:r>
                </w:p>
              </w:tc>
              <w:tc>
                <w:tcPr>
                  <w:tcW w:w="1011" w:type="pct"/>
                  <w:vMerge w:val="continue"/>
                  <w:noWrap/>
                  <w:vAlign w:val="center"/>
                </w:tcPr>
                <w:p w14:paraId="30801B6D">
                  <w:pPr>
                    <w:pStyle w:val="13"/>
                    <w:jc w:val="center"/>
                  </w:pPr>
                </w:p>
              </w:tc>
              <w:tc>
                <w:tcPr>
                  <w:tcW w:w="2147" w:type="pct"/>
                  <w:vMerge w:val="continue"/>
                  <w:noWrap/>
                  <w:vAlign w:val="center"/>
                </w:tcPr>
                <w:p w14:paraId="3DA8E184">
                  <w:pPr>
                    <w:pStyle w:val="13"/>
                    <w:jc w:val="center"/>
                  </w:pPr>
                </w:p>
              </w:tc>
            </w:tr>
            <w:tr w14:paraId="5AF52590">
              <w:trPr>
                <w:trHeight w:val="340" w:hRule="atLeast"/>
                <w:jc w:val="center"/>
              </w:trPr>
              <w:tc>
                <w:tcPr>
                  <w:tcW w:w="831" w:type="pct"/>
                  <w:vMerge w:val="continue"/>
                  <w:noWrap/>
                  <w:vAlign w:val="center"/>
                </w:tcPr>
                <w:p w14:paraId="42C15904">
                  <w:pPr>
                    <w:pStyle w:val="13"/>
                    <w:jc w:val="center"/>
                  </w:pPr>
                </w:p>
              </w:tc>
              <w:tc>
                <w:tcPr>
                  <w:tcW w:w="1010" w:type="pct"/>
                  <w:noWrap/>
                  <w:vAlign w:val="center"/>
                </w:tcPr>
                <w:p w14:paraId="0E80C586">
                  <w:pPr>
                    <w:pStyle w:val="13"/>
                    <w:jc w:val="center"/>
                  </w:pPr>
                  <w:r>
                    <w:rPr>
                      <w:rFonts w:hint="eastAsia"/>
                    </w:rPr>
                    <w:t>挤出</w:t>
                  </w:r>
                </w:p>
              </w:tc>
              <w:tc>
                <w:tcPr>
                  <w:tcW w:w="1011" w:type="pct"/>
                  <w:noWrap/>
                  <w:vAlign w:val="center"/>
                </w:tcPr>
                <w:p w14:paraId="7D265BB3">
                  <w:pPr>
                    <w:pStyle w:val="13"/>
                    <w:jc w:val="center"/>
                  </w:pPr>
                  <w:r>
                    <w:rPr>
                      <w:rFonts w:hint="eastAsia"/>
                    </w:rPr>
                    <w:t>G1-2</w:t>
                  </w:r>
                </w:p>
              </w:tc>
              <w:tc>
                <w:tcPr>
                  <w:tcW w:w="2147" w:type="pct"/>
                  <w:noWrap/>
                  <w:vAlign w:val="center"/>
                </w:tcPr>
                <w:p w14:paraId="4398E0CE">
                  <w:pPr>
                    <w:pStyle w:val="13"/>
                    <w:jc w:val="center"/>
                  </w:pPr>
                  <w:r>
                    <w:rPr>
                      <w:rFonts w:hint="eastAsia"/>
                    </w:rPr>
                    <w:t>NMHC、臭气浓度、其他特征污染物</w:t>
                  </w:r>
                </w:p>
              </w:tc>
            </w:tr>
            <w:tr w14:paraId="67ADCD12">
              <w:trPr>
                <w:trHeight w:val="340" w:hRule="atLeast"/>
                <w:jc w:val="center"/>
              </w:trPr>
              <w:tc>
                <w:tcPr>
                  <w:tcW w:w="831" w:type="pct"/>
                  <w:vMerge w:val="continue"/>
                  <w:noWrap/>
                  <w:vAlign w:val="center"/>
                </w:tcPr>
                <w:p w14:paraId="09AEE047">
                  <w:pPr>
                    <w:pStyle w:val="13"/>
                    <w:jc w:val="center"/>
                  </w:pPr>
                </w:p>
              </w:tc>
              <w:tc>
                <w:tcPr>
                  <w:tcW w:w="1010" w:type="pct"/>
                  <w:noWrap/>
                  <w:vAlign w:val="center"/>
                </w:tcPr>
                <w:p w14:paraId="14DECAE7">
                  <w:pPr>
                    <w:pStyle w:val="13"/>
                    <w:jc w:val="center"/>
                  </w:pPr>
                  <w:r>
                    <w:rPr>
                      <w:rFonts w:hint="eastAsia"/>
                    </w:rPr>
                    <w:t>注塑</w:t>
                  </w:r>
                </w:p>
              </w:tc>
              <w:tc>
                <w:tcPr>
                  <w:tcW w:w="1011" w:type="pct"/>
                  <w:noWrap/>
                  <w:vAlign w:val="center"/>
                </w:tcPr>
                <w:p w14:paraId="421AC1DB">
                  <w:pPr>
                    <w:pStyle w:val="13"/>
                    <w:jc w:val="center"/>
                  </w:pPr>
                  <w:r>
                    <w:rPr>
                      <w:rFonts w:hint="eastAsia"/>
                    </w:rPr>
                    <w:t>G2-2</w:t>
                  </w:r>
                </w:p>
              </w:tc>
              <w:tc>
                <w:tcPr>
                  <w:tcW w:w="2147" w:type="pct"/>
                  <w:noWrap/>
                  <w:vAlign w:val="center"/>
                </w:tcPr>
                <w:p w14:paraId="178BC268">
                  <w:pPr>
                    <w:pStyle w:val="13"/>
                    <w:jc w:val="center"/>
                  </w:pPr>
                  <w:r>
                    <w:rPr>
                      <w:rFonts w:hint="eastAsia"/>
                    </w:rPr>
                    <w:t>NMHC、臭气浓度、其他特征污染物</w:t>
                  </w:r>
                </w:p>
              </w:tc>
            </w:tr>
            <w:tr w14:paraId="79D14DB8">
              <w:trPr>
                <w:trHeight w:val="340" w:hRule="atLeast"/>
                <w:jc w:val="center"/>
              </w:trPr>
              <w:tc>
                <w:tcPr>
                  <w:tcW w:w="831" w:type="pct"/>
                  <w:vMerge w:val="continue"/>
                  <w:noWrap/>
                  <w:vAlign w:val="center"/>
                </w:tcPr>
                <w:p w14:paraId="11A11BB6">
                  <w:pPr>
                    <w:pStyle w:val="13"/>
                    <w:jc w:val="center"/>
                  </w:pPr>
                </w:p>
              </w:tc>
              <w:tc>
                <w:tcPr>
                  <w:tcW w:w="1010" w:type="pct"/>
                  <w:noWrap/>
                  <w:vAlign w:val="center"/>
                </w:tcPr>
                <w:p w14:paraId="6CB0C55E">
                  <w:pPr>
                    <w:pStyle w:val="13"/>
                    <w:jc w:val="center"/>
                  </w:pPr>
                  <w:r>
                    <w:rPr>
                      <w:rFonts w:hint="eastAsia"/>
                    </w:rPr>
                    <w:t>破碎</w:t>
                  </w:r>
                </w:p>
              </w:tc>
              <w:tc>
                <w:tcPr>
                  <w:tcW w:w="1011" w:type="pct"/>
                  <w:noWrap/>
                  <w:vAlign w:val="center"/>
                </w:tcPr>
                <w:p w14:paraId="5490A673">
                  <w:pPr>
                    <w:pStyle w:val="13"/>
                    <w:jc w:val="center"/>
                  </w:pPr>
                  <w:r>
                    <w:rPr>
                      <w:rFonts w:hint="eastAsia"/>
                    </w:rPr>
                    <w:t>G1-3</w:t>
                  </w:r>
                </w:p>
              </w:tc>
              <w:tc>
                <w:tcPr>
                  <w:tcW w:w="2147" w:type="pct"/>
                  <w:noWrap/>
                  <w:vAlign w:val="center"/>
                </w:tcPr>
                <w:p w14:paraId="4C4E7AFE">
                  <w:pPr>
                    <w:pStyle w:val="13"/>
                    <w:jc w:val="center"/>
                  </w:pPr>
                  <w:r>
                    <w:rPr>
                      <w:rFonts w:hint="eastAsia"/>
                    </w:rPr>
                    <w:t>颗粒物</w:t>
                  </w:r>
                </w:p>
              </w:tc>
            </w:tr>
            <w:tr w14:paraId="6C5E0CF5">
              <w:trPr>
                <w:trHeight w:val="340" w:hRule="atLeast"/>
                <w:jc w:val="center"/>
              </w:trPr>
              <w:tc>
                <w:tcPr>
                  <w:tcW w:w="831" w:type="pct"/>
                  <w:vMerge w:val="restart"/>
                  <w:noWrap/>
                  <w:vAlign w:val="center"/>
                </w:tcPr>
                <w:p w14:paraId="6D9F77D0">
                  <w:pPr>
                    <w:pStyle w:val="13"/>
                    <w:jc w:val="center"/>
                  </w:pPr>
                  <w:r>
                    <w:rPr>
                      <w:rFonts w:hint="eastAsia"/>
                    </w:rPr>
                    <w:t>废水</w:t>
                  </w:r>
                </w:p>
              </w:tc>
              <w:tc>
                <w:tcPr>
                  <w:tcW w:w="1010" w:type="pct"/>
                  <w:noWrap/>
                  <w:vAlign w:val="center"/>
                </w:tcPr>
                <w:p w14:paraId="19C45D07">
                  <w:pPr>
                    <w:pStyle w:val="13"/>
                    <w:jc w:val="center"/>
                  </w:pPr>
                  <w:r>
                    <w:rPr>
                      <w:rFonts w:hint="eastAsia"/>
                    </w:rPr>
                    <w:t>生活污水</w:t>
                  </w:r>
                </w:p>
              </w:tc>
              <w:tc>
                <w:tcPr>
                  <w:tcW w:w="1011" w:type="pct"/>
                  <w:noWrap/>
                  <w:vAlign w:val="center"/>
                </w:tcPr>
                <w:p w14:paraId="1D318FC4">
                  <w:pPr>
                    <w:pStyle w:val="13"/>
                    <w:jc w:val="center"/>
                  </w:pPr>
                  <w:r>
                    <w:t>/</w:t>
                  </w:r>
                </w:p>
              </w:tc>
              <w:tc>
                <w:tcPr>
                  <w:tcW w:w="2147" w:type="pct"/>
                  <w:noWrap/>
                  <w:vAlign w:val="center"/>
                </w:tcPr>
                <w:p w14:paraId="11650ADA">
                  <w:pPr>
                    <w:pStyle w:val="13"/>
                    <w:jc w:val="center"/>
                  </w:pPr>
                  <w:r>
                    <w:t>pH、COD、氨氮、BOD</w:t>
                  </w:r>
                  <w:r>
                    <w:rPr>
                      <w:vertAlign w:val="subscript"/>
                    </w:rPr>
                    <w:t>5</w:t>
                  </w:r>
                  <w:r>
                    <w:t>、SS</w:t>
                  </w:r>
                </w:p>
              </w:tc>
            </w:tr>
            <w:tr w14:paraId="302ACB31">
              <w:trPr>
                <w:trHeight w:val="340" w:hRule="atLeast"/>
                <w:jc w:val="center"/>
              </w:trPr>
              <w:tc>
                <w:tcPr>
                  <w:tcW w:w="831" w:type="pct"/>
                  <w:vMerge w:val="continue"/>
                  <w:noWrap/>
                  <w:vAlign w:val="center"/>
                </w:tcPr>
                <w:p w14:paraId="6F2402F2">
                  <w:pPr>
                    <w:pStyle w:val="13"/>
                    <w:jc w:val="center"/>
                  </w:pPr>
                </w:p>
              </w:tc>
              <w:tc>
                <w:tcPr>
                  <w:tcW w:w="1010" w:type="pct"/>
                  <w:noWrap/>
                  <w:vAlign w:val="center"/>
                </w:tcPr>
                <w:p w14:paraId="5391E623">
                  <w:pPr>
                    <w:pStyle w:val="13"/>
                    <w:jc w:val="center"/>
                  </w:pPr>
                  <w:r>
                    <w:rPr>
                      <w:rFonts w:hint="eastAsia"/>
                    </w:rPr>
                    <w:t>循环冷却水</w:t>
                  </w:r>
                </w:p>
              </w:tc>
              <w:tc>
                <w:tcPr>
                  <w:tcW w:w="1011" w:type="pct"/>
                  <w:noWrap/>
                  <w:vAlign w:val="center"/>
                </w:tcPr>
                <w:p w14:paraId="1F36C008">
                  <w:pPr>
                    <w:pStyle w:val="13"/>
                    <w:jc w:val="center"/>
                  </w:pPr>
                  <w:r>
                    <w:t>/</w:t>
                  </w:r>
                </w:p>
              </w:tc>
              <w:tc>
                <w:tcPr>
                  <w:tcW w:w="2147" w:type="pct"/>
                  <w:noWrap/>
                  <w:vAlign w:val="center"/>
                </w:tcPr>
                <w:p w14:paraId="1271BB4A">
                  <w:pPr>
                    <w:pStyle w:val="13"/>
                    <w:jc w:val="center"/>
                  </w:pPr>
                  <w:r>
                    <w:rPr>
                      <w:rFonts w:hint="eastAsia"/>
                    </w:rPr>
                    <w:t>pH、COD、SS等</w:t>
                  </w:r>
                </w:p>
              </w:tc>
            </w:tr>
            <w:tr w14:paraId="6AE9BCCC">
              <w:trPr>
                <w:trHeight w:val="340" w:hRule="atLeast"/>
                <w:jc w:val="center"/>
              </w:trPr>
              <w:tc>
                <w:tcPr>
                  <w:tcW w:w="831" w:type="pct"/>
                  <w:vMerge w:val="restart"/>
                  <w:noWrap/>
                  <w:vAlign w:val="center"/>
                </w:tcPr>
                <w:p w14:paraId="74C1F150">
                  <w:pPr>
                    <w:pStyle w:val="13"/>
                    <w:jc w:val="center"/>
                  </w:pPr>
                  <w:r>
                    <w:rPr>
                      <w:rFonts w:hint="eastAsia"/>
                    </w:rPr>
                    <w:t>固废</w:t>
                  </w:r>
                </w:p>
              </w:tc>
              <w:tc>
                <w:tcPr>
                  <w:tcW w:w="1010" w:type="pct"/>
                  <w:noWrap/>
                  <w:vAlign w:val="center"/>
                </w:tcPr>
                <w:p w14:paraId="4F537416">
                  <w:pPr>
                    <w:pStyle w:val="13"/>
                    <w:jc w:val="center"/>
                  </w:pPr>
                  <w:r>
                    <w:rPr>
                      <w:rFonts w:hint="eastAsia"/>
                    </w:rPr>
                    <w:t>原料包装</w:t>
                  </w:r>
                </w:p>
              </w:tc>
              <w:tc>
                <w:tcPr>
                  <w:tcW w:w="1011" w:type="pct"/>
                  <w:noWrap/>
                  <w:vAlign w:val="center"/>
                </w:tcPr>
                <w:p w14:paraId="4F994ABB">
                  <w:pPr>
                    <w:pStyle w:val="13"/>
                    <w:jc w:val="center"/>
                  </w:pPr>
                  <w:r>
                    <w:t>/</w:t>
                  </w:r>
                </w:p>
              </w:tc>
              <w:tc>
                <w:tcPr>
                  <w:tcW w:w="2147" w:type="pct"/>
                  <w:noWrap/>
                  <w:vAlign w:val="center"/>
                </w:tcPr>
                <w:p w14:paraId="46D4C080">
                  <w:pPr>
                    <w:pStyle w:val="13"/>
                    <w:jc w:val="center"/>
                  </w:pPr>
                  <w:r>
                    <w:rPr>
                      <w:rFonts w:hint="eastAsia"/>
                    </w:rPr>
                    <w:t>包装材料</w:t>
                  </w:r>
                </w:p>
              </w:tc>
            </w:tr>
            <w:tr w14:paraId="3B8811F5">
              <w:trPr>
                <w:trHeight w:val="340" w:hRule="atLeast"/>
                <w:jc w:val="center"/>
              </w:trPr>
              <w:tc>
                <w:tcPr>
                  <w:tcW w:w="831" w:type="pct"/>
                  <w:vMerge w:val="continue"/>
                  <w:noWrap/>
                  <w:vAlign w:val="center"/>
                </w:tcPr>
                <w:p w14:paraId="23FCD732">
                  <w:pPr>
                    <w:pStyle w:val="13"/>
                    <w:jc w:val="center"/>
                  </w:pPr>
                </w:p>
              </w:tc>
              <w:tc>
                <w:tcPr>
                  <w:tcW w:w="1010" w:type="pct"/>
                  <w:noWrap/>
                  <w:vAlign w:val="center"/>
                </w:tcPr>
                <w:p w14:paraId="35D86105">
                  <w:pPr>
                    <w:pStyle w:val="13"/>
                    <w:jc w:val="center"/>
                  </w:pPr>
                  <w:r>
                    <w:rPr>
                      <w:rFonts w:hint="eastAsia"/>
                    </w:rPr>
                    <w:t>挤出</w:t>
                  </w:r>
                </w:p>
              </w:tc>
              <w:tc>
                <w:tcPr>
                  <w:tcW w:w="1011" w:type="pct"/>
                  <w:noWrap/>
                  <w:vAlign w:val="center"/>
                </w:tcPr>
                <w:p w14:paraId="490EDE13">
                  <w:pPr>
                    <w:pStyle w:val="13"/>
                    <w:jc w:val="center"/>
                  </w:pPr>
                  <w:r>
                    <w:rPr>
                      <w:rFonts w:hint="eastAsia"/>
                    </w:rPr>
                    <w:t>S1-1</w:t>
                  </w:r>
                </w:p>
              </w:tc>
              <w:tc>
                <w:tcPr>
                  <w:tcW w:w="2147" w:type="pct"/>
                  <w:noWrap/>
                  <w:vAlign w:val="center"/>
                </w:tcPr>
                <w:p w14:paraId="5A6A4FE6">
                  <w:pPr>
                    <w:pStyle w:val="13"/>
                    <w:jc w:val="center"/>
                  </w:pPr>
                  <w:r>
                    <w:rPr>
                      <w:rFonts w:hint="eastAsia"/>
                    </w:rPr>
                    <w:t>废边角料</w:t>
                  </w:r>
                </w:p>
              </w:tc>
            </w:tr>
            <w:tr w14:paraId="0C025482">
              <w:trPr>
                <w:trHeight w:val="340" w:hRule="atLeast"/>
                <w:jc w:val="center"/>
              </w:trPr>
              <w:tc>
                <w:tcPr>
                  <w:tcW w:w="831" w:type="pct"/>
                  <w:vMerge w:val="continue"/>
                  <w:noWrap/>
                  <w:vAlign w:val="center"/>
                </w:tcPr>
                <w:p w14:paraId="6E25B0F4">
                  <w:pPr>
                    <w:pStyle w:val="13"/>
                    <w:jc w:val="center"/>
                  </w:pPr>
                </w:p>
              </w:tc>
              <w:tc>
                <w:tcPr>
                  <w:tcW w:w="1010" w:type="pct"/>
                  <w:vMerge w:val="restart"/>
                  <w:noWrap/>
                  <w:vAlign w:val="center"/>
                </w:tcPr>
                <w:p w14:paraId="37026F63">
                  <w:pPr>
                    <w:pStyle w:val="13"/>
                    <w:jc w:val="center"/>
                  </w:pPr>
                  <w:r>
                    <w:rPr>
                      <w:rFonts w:hint="eastAsia"/>
                    </w:rPr>
                    <w:t>废气处理</w:t>
                  </w:r>
                </w:p>
              </w:tc>
              <w:tc>
                <w:tcPr>
                  <w:tcW w:w="1011" w:type="pct"/>
                  <w:noWrap/>
                  <w:vAlign w:val="center"/>
                </w:tcPr>
                <w:p w14:paraId="7377EE6C">
                  <w:pPr>
                    <w:pStyle w:val="13"/>
                    <w:jc w:val="center"/>
                  </w:pPr>
                  <w:r>
                    <w:t>/</w:t>
                  </w:r>
                </w:p>
              </w:tc>
              <w:tc>
                <w:tcPr>
                  <w:tcW w:w="2147" w:type="pct"/>
                  <w:noWrap/>
                  <w:vAlign w:val="center"/>
                </w:tcPr>
                <w:p w14:paraId="5B028DAF">
                  <w:pPr>
                    <w:pStyle w:val="13"/>
                    <w:jc w:val="center"/>
                  </w:pPr>
                  <w:r>
                    <w:rPr>
                      <w:rFonts w:hint="eastAsia"/>
                    </w:rPr>
                    <w:t>废活性炭</w:t>
                  </w:r>
                </w:p>
              </w:tc>
            </w:tr>
            <w:tr w14:paraId="10CAC509">
              <w:trPr>
                <w:trHeight w:val="340" w:hRule="atLeast"/>
                <w:jc w:val="center"/>
              </w:trPr>
              <w:tc>
                <w:tcPr>
                  <w:tcW w:w="831" w:type="pct"/>
                  <w:vMerge w:val="continue"/>
                  <w:noWrap/>
                  <w:vAlign w:val="center"/>
                </w:tcPr>
                <w:p w14:paraId="5070C236">
                  <w:pPr>
                    <w:pStyle w:val="13"/>
                    <w:jc w:val="center"/>
                  </w:pPr>
                </w:p>
              </w:tc>
              <w:tc>
                <w:tcPr>
                  <w:tcW w:w="1010" w:type="pct"/>
                  <w:vMerge w:val="continue"/>
                  <w:noWrap/>
                  <w:vAlign w:val="center"/>
                </w:tcPr>
                <w:p w14:paraId="10D77A4C">
                  <w:pPr>
                    <w:pStyle w:val="13"/>
                    <w:jc w:val="center"/>
                  </w:pPr>
                </w:p>
              </w:tc>
              <w:tc>
                <w:tcPr>
                  <w:tcW w:w="1011" w:type="pct"/>
                  <w:noWrap/>
                  <w:vAlign w:val="center"/>
                </w:tcPr>
                <w:p w14:paraId="357B5F92">
                  <w:pPr>
                    <w:pStyle w:val="13"/>
                    <w:jc w:val="center"/>
                  </w:pPr>
                  <w:r>
                    <w:t>/</w:t>
                  </w:r>
                </w:p>
              </w:tc>
              <w:tc>
                <w:tcPr>
                  <w:tcW w:w="2147" w:type="pct"/>
                  <w:noWrap/>
                  <w:vAlign w:val="center"/>
                </w:tcPr>
                <w:p w14:paraId="590E3316">
                  <w:pPr>
                    <w:pStyle w:val="13"/>
                    <w:jc w:val="center"/>
                  </w:pPr>
                  <w:r>
                    <w:rPr>
                      <w:rFonts w:hint="eastAsia"/>
                    </w:rPr>
                    <w:t>除尘器收集的粉尘</w:t>
                  </w:r>
                </w:p>
              </w:tc>
            </w:tr>
            <w:tr w14:paraId="26B6CCFA">
              <w:trPr>
                <w:trHeight w:val="340" w:hRule="atLeast"/>
                <w:jc w:val="center"/>
              </w:trPr>
              <w:tc>
                <w:tcPr>
                  <w:tcW w:w="831" w:type="pct"/>
                  <w:vMerge w:val="continue"/>
                  <w:noWrap/>
                  <w:vAlign w:val="center"/>
                </w:tcPr>
                <w:p w14:paraId="4DF5AF47">
                  <w:pPr>
                    <w:pStyle w:val="13"/>
                    <w:jc w:val="center"/>
                  </w:pPr>
                </w:p>
              </w:tc>
              <w:tc>
                <w:tcPr>
                  <w:tcW w:w="1010" w:type="pct"/>
                  <w:noWrap/>
                  <w:vAlign w:val="center"/>
                </w:tcPr>
                <w:p w14:paraId="65521BCB">
                  <w:pPr>
                    <w:pStyle w:val="13"/>
                    <w:jc w:val="center"/>
                  </w:pPr>
                  <w:r>
                    <w:rPr>
                      <w:rFonts w:hint="eastAsia"/>
                    </w:rPr>
                    <w:t>员工生活</w:t>
                  </w:r>
                </w:p>
              </w:tc>
              <w:tc>
                <w:tcPr>
                  <w:tcW w:w="1011" w:type="pct"/>
                  <w:noWrap/>
                  <w:vAlign w:val="center"/>
                </w:tcPr>
                <w:p w14:paraId="1A013542">
                  <w:pPr>
                    <w:pStyle w:val="13"/>
                    <w:jc w:val="center"/>
                  </w:pPr>
                  <w:r>
                    <w:t>/</w:t>
                  </w:r>
                </w:p>
              </w:tc>
              <w:tc>
                <w:tcPr>
                  <w:tcW w:w="2147" w:type="pct"/>
                  <w:noWrap/>
                  <w:vAlign w:val="center"/>
                </w:tcPr>
                <w:p w14:paraId="3B64D7C7">
                  <w:pPr>
                    <w:pStyle w:val="13"/>
                    <w:jc w:val="center"/>
                  </w:pPr>
                  <w:r>
                    <w:rPr>
                      <w:rFonts w:hint="eastAsia"/>
                    </w:rPr>
                    <w:t>生活垃圾</w:t>
                  </w:r>
                </w:p>
              </w:tc>
            </w:tr>
            <w:tr w14:paraId="022D440C">
              <w:trPr>
                <w:trHeight w:val="340" w:hRule="atLeast"/>
                <w:jc w:val="center"/>
              </w:trPr>
              <w:tc>
                <w:tcPr>
                  <w:tcW w:w="5000" w:type="pct"/>
                  <w:gridSpan w:val="4"/>
                  <w:noWrap/>
                  <w:vAlign w:val="center"/>
                </w:tcPr>
                <w:p w14:paraId="4DE26AEF">
                  <w:pPr>
                    <w:pStyle w:val="2"/>
                    <w:spacing w:line="240" w:lineRule="auto"/>
                    <w:jc w:val="both"/>
                  </w:pPr>
                  <w:r>
                    <w:rPr>
                      <w:rFonts w:hint="eastAsia"/>
                    </w:rPr>
                    <w:t>备注：其他特征污染物包含</w:t>
                  </w:r>
                  <w:r>
                    <w:t>TDI、MDI、IPDI、PAPI</w:t>
                  </w:r>
                  <w:r>
                    <w:rPr>
                      <w:rFonts w:hint="eastAsia"/>
                    </w:rPr>
                    <w:t>、</w:t>
                  </w:r>
                  <w:r>
                    <w:t>丙烯酸、丙烯酸甲酯、丙烯酸丁酯、甲基丙烯酸甲酯</w:t>
                  </w:r>
                  <w:r>
                    <w:rPr>
                      <w:rFonts w:hint="eastAsia"/>
                    </w:rPr>
                    <w:t>、</w:t>
                  </w:r>
                  <w:r>
                    <w:t>邻苯二甲酸酐</w:t>
                  </w:r>
                  <w:r>
                    <w:rPr>
                      <w:rFonts w:hint="eastAsia"/>
                    </w:rPr>
                    <w:t>、</w:t>
                  </w:r>
                  <w:r>
                    <w:t>氟化氢</w:t>
                  </w:r>
                  <w:r>
                    <w:rPr>
                      <w:rFonts w:hint="eastAsia"/>
                    </w:rPr>
                    <w:t>、</w:t>
                  </w:r>
                  <w:r>
                    <w:t>氨</w:t>
                  </w:r>
                  <w:r>
                    <w:rPr>
                      <w:rFonts w:hint="eastAsia"/>
                    </w:rPr>
                    <w:t>、</w:t>
                  </w:r>
                  <w:r>
                    <w:t>四氢呋喃</w:t>
                  </w:r>
                  <w:r>
                    <w:rPr>
                      <w:rFonts w:hint="eastAsia"/>
                    </w:rPr>
                    <w:t>、</w:t>
                  </w:r>
                  <w:r>
                    <w:t>酚类、二氧化硫</w:t>
                  </w:r>
                  <w:r>
                    <w:rPr>
                      <w:rFonts w:hint="eastAsia"/>
                    </w:rPr>
                    <w:t>、</w:t>
                  </w:r>
                  <w:r>
                    <w:t>甲苯</w:t>
                  </w:r>
                  <w:r>
                    <w:rPr>
                      <w:rFonts w:hint="eastAsia"/>
                    </w:rPr>
                    <w:t>、</w:t>
                  </w:r>
                  <w:r>
                    <w:t>硫化氢、氯苯</w:t>
                  </w:r>
                  <w:r>
                    <w:rPr>
                      <w:rFonts w:hint="eastAsia"/>
                    </w:rPr>
                    <w:t>，本次评价均以非甲烷总烃计算。</w:t>
                  </w:r>
                </w:p>
              </w:tc>
            </w:tr>
          </w:tbl>
          <w:p w14:paraId="1D981F15">
            <w:pPr>
              <w:pStyle w:val="2"/>
              <w:jc w:val="both"/>
            </w:pPr>
          </w:p>
        </w:tc>
      </w:tr>
      <w:tr w14:paraId="62B5E9D8">
        <w:tc>
          <w:tcPr>
            <w:tcW w:w="476" w:type="dxa"/>
            <w:vAlign w:val="center"/>
          </w:tcPr>
          <w:p w14:paraId="7913C12F">
            <w:pPr>
              <w:ind w:firstLine="0" w:firstLineChars="0"/>
              <w:jc w:val="center"/>
            </w:pPr>
            <w:r>
              <w:rPr>
                <w:rFonts w:hint="eastAsia"/>
              </w:rPr>
              <w:t>与项目有关的原有环境污染问题</w:t>
            </w:r>
          </w:p>
        </w:tc>
        <w:tc>
          <w:tcPr>
            <w:tcW w:w="8046" w:type="dxa"/>
          </w:tcPr>
          <w:p w14:paraId="05E71EFD">
            <w:pPr>
              <w:ind w:firstLine="480"/>
              <w:jc w:val="both"/>
            </w:pPr>
            <w:r>
              <w:rPr>
                <w:rFonts w:hint="eastAsia"/>
              </w:rPr>
              <w:t>1、现有项目概况</w:t>
            </w:r>
          </w:p>
          <w:p w14:paraId="0E9C8D94">
            <w:pPr>
              <w:ind w:firstLine="480"/>
              <w:jc w:val="both"/>
            </w:pPr>
            <w:r>
              <w:rPr>
                <w:rFonts w:hint="eastAsia"/>
              </w:rPr>
              <w:t>浙江三基色新材料有限公司（曾用名：杭州三基色塑胶染料有限公司）成立于2005年，注册地址位于浙江省杭州市余杭区仁和街道三星路4号，专业从事塑料粒子制造的生产企业。</w:t>
            </w:r>
          </w:p>
          <w:p w14:paraId="26F02D0D">
            <w:pPr>
              <w:numPr>
                <w:ilvl w:val="0"/>
                <w:numId w:val="7"/>
              </w:numPr>
              <w:ind w:firstLine="480"/>
              <w:jc w:val="both"/>
            </w:pPr>
            <w:r>
              <w:rPr>
                <w:rFonts w:hint="eastAsia"/>
              </w:rPr>
              <w:t>现有环保手续履行情况</w:t>
            </w:r>
          </w:p>
          <w:p w14:paraId="66FD0DBC">
            <w:pPr>
              <w:pStyle w:val="14"/>
              <w:numPr>
                <w:ilvl w:val="0"/>
                <w:numId w:val="6"/>
              </w:numPr>
              <w:spacing w:before="156"/>
              <w:ind w:firstLine="0"/>
            </w:pPr>
            <w:r>
              <w:rPr>
                <w:rFonts w:hint="eastAsia"/>
              </w:rPr>
              <w:t xml:space="preserve"> </w:t>
            </w:r>
            <w:r>
              <w:t xml:space="preserve"> </w:t>
            </w:r>
            <w:r>
              <w:rPr>
                <w:rFonts w:hint="eastAsia"/>
              </w:rPr>
              <w:t>本项目环保审批、验收情况汇总表</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2018"/>
              <w:gridCol w:w="1949"/>
              <w:gridCol w:w="1691"/>
              <w:gridCol w:w="1502"/>
            </w:tblGrid>
            <w:tr w14:paraId="25A6D5F9">
              <w:trPr>
                <w:trHeight w:val="340" w:hRule="atLeast"/>
              </w:trPr>
              <w:tc>
                <w:tcPr>
                  <w:tcW w:w="420" w:type="pct"/>
                  <w:vAlign w:val="center"/>
                </w:tcPr>
                <w:p w14:paraId="1504C01D">
                  <w:pPr>
                    <w:pStyle w:val="13"/>
                    <w:jc w:val="center"/>
                  </w:pPr>
                  <w:r>
                    <w:rPr>
                      <w:rFonts w:hint="eastAsia"/>
                    </w:rPr>
                    <w:t>序号</w:t>
                  </w:r>
                </w:p>
              </w:tc>
              <w:tc>
                <w:tcPr>
                  <w:tcW w:w="1290" w:type="pct"/>
                  <w:vAlign w:val="center"/>
                </w:tcPr>
                <w:p w14:paraId="724AD1B4">
                  <w:pPr>
                    <w:pStyle w:val="13"/>
                    <w:jc w:val="center"/>
                  </w:pPr>
                  <w:r>
                    <w:rPr>
                      <w:rFonts w:hint="eastAsia"/>
                    </w:rPr>
                    <w:t>项目名称</w:t>
                  </w:r>
                </w:p>
              </w:tc>
              <w:tc>
                <w:tcPr>
                  <w:tcW w:w="1246" w:type="pct"/>
                  <w:vAlign w:val="center"/>
                </w:tcPr>
                <w:p w14:paraId="3B5BD6EF">
                  <w:pPr>
                    <w:pStyle w:val="13"/>
                    <w:jc w:val="center"/>
                  </w:pPr>
                  <w:r>
                    <w:rPr>
                      <w:rFonts w:hint="eastAsia"/>
                    </w:rPr>
                    <w:t>产品方案</w:t>
                  </w:r>
                </w:p>
              </w:tc>
              <w:tc>
                <w:tcPr>
                  <w:tcW w:w="1081" w:type="pct"/>
                  <w:vAlign w:val="center"/>
                </w:tcPr>
                <w:p w14:paraId="4D516212">
                  <w:pPr>
                    <w:pStyle w:val="13"/>
                    <w:jc w:val="center"/>
                  </w:pPr>
                  <w:r>
                    <w:rPr>
                      <w:rFonts w:hint="eastAsia"/>
                    </w:rPr>
                    <w:t>审批文号</w:t>
                  </w:r>
                </w:p>
              </w:tc>
              <w:tc>
                <w:tcPr>
                  <w:tcW w:w="960" w:type="pct"/>
                  <w:vAlign w:val="center"/>
                </w:tcPr>
                <w:p w14:paraId="462C1ECF">
                  <w:pPr>
                    <w:pStyle w:val="13"/>
                    <w:jc w:val="center"/>
                  </w:pPr>
                  <w:r>
                    <w:rPr>
                      <w:rFonts w:hint="eastAsia"/>
                    </w:rPr>
                    <w:t>验收文号</w:t>
                  </w:r>
                </w:p>
              </w:tc>
            </w:tr>
            <w:tr w14:paraId="57B80921">
              <w:trPr>
                <w:trHeight w:val="340" w:hRule="atLeast"/>
              </w:trPr>
              <w:tc>
                <w:tcPr>
                  <w:tcW w:w="420" w:type="pct"/>
                  <w:vAlign w:val="center"/>
                </w:tcPr>
                <w:p w14:paraId="0C6B8515">
                  <w:pPr>
                    <w:pStyle w:val="13"/>
                    <w:jc w:val="center"/>
                  </w:pPr>
                  <w:r>
                    <w:rPr>
                      <w:rFonts w:hint="eastAsia"/>
                    </w:rPr>
                    <w:t>1</w:t>
                  </w:r>
                </w:p>
              </w:tc>
              <w:tc>
                <w:tcPr>
                  <w:tcW w:w="1290" w:type="pct"/>
                  <w:vAlign w:val="center"/>
                </w:tcPr>
                <w:p w14:paraId="13DD1F05">
                  <w:pPr>
                    <w:pStyle w:val="13"/>
                    <w:jc w:val="center"/>
                  </w:pPr>
                  <w:r>
                    <w:rPr>
                      <w:rFonts w:hint="eastAsia"/>
                    </w:rPr>
                    <w:t>塑料粒子配制项目</w:t>
                  </w:r>
                </w:p>
              </w:tc>
              <w:tc>
                <w:tcPr>
                  <w:tcW w:w="1246" w:type="pct"/>
                  <w:vAlign w:val="center"/>
                </w:tcPr>
                <w:p w14:paraId="24FBB29F">
                  <w:pPr>
                    <w:pStyle w:val="13"/>
                    <w:jc w:val="center"/>
                  </w:pPr>
                  <w:r>
                    <w:rPr>
                      <w:rFonts w:hint="eastAsia"/>
                    </w:rPr>
                    <w:t>年产塑料粒子60吨</w:t>
                  </w:r>
                </w:p>
              </w:tc>
              <w:tc>
                <w:tcPr>
                  <w:tcW w:w="1081" w:type="pct"/>
                  <w:vAlign w:val="center"/>
                </w:tcPr>
                <w:p w14:paraId="67005341">
                  <w:pPr>
                    <w:pStyle w:val="13"/>
                    <w:jc w:val="center"/>
                  </w:pPr>
                  <w:r>
                    <w:rPr>
                      <w:rFonts w:hint="eastAsia"/>
                    </w:rPr>
                    <w:t>登记表批复〔2009〕2768号</w:t>
                  </w:r>
                </w:p>
              </w:tc>
              <w:tc>
                <w:tcPr>
                  <w:tcW w:w="960" w:type="pct"/>
                  <w:vAlign w:val="center"/>
                </w:tcPr>
                <w:p w14:paraId="1286C81F">
                  <w:pPr>
                    <w:pStyle w:val="13"/>
                    <w:jc w:val="center"/>
                  </w:pPr>
                  <w:r>
                    <w:rPr>
                      <w:rFonts w:hint="eastAsia"/>
                    </w:rPr>
                    <w:t>/</w:t>
                  </w:r>
                </w:p>
              </w:tc>
            </w:tr>
            <w:tr w14:paraId="14A9BC01">
              <w:trPr>
                <w:trHeight w:val="340" w:hRule="atLeast"/>
              </w:trPr>
              <w:tc>
                <w:tcPr>
                  <w:tcW w:w="420" w:type="pct"/>
                  <w:vAlign w:val="center"/>
                </w:tcPr>
                <w:p w14:paraId="4A4315D9">
                  <w:pPr>
                    <w:pStyle w:val="13"/>
                    <w:jc w:val="center"/>
                  </w:pPr>
                  <w:r>
                    <w:rPr>
                      <w:rFonts w:hint="eastAsia"/>
                    </w:rPr>
                    <w:t>2</w:t>
                  </w:r>
                </w:p>
              </w:tc>
              <w:tc>
                <w:tcPr>
                  <w:tcW w:w="1290" w:type="pct"/>
                  <w:vAlign w:val="center"/>
                </w:tcPr>
                <w:p w14:paraId="0AA9FE07">
                  <w:pPr>
                    <w:pStyle w:val="13"/>
                    <w:jc w:val="center"/>
                  </w:pPr>
                  <w:r>
                    <w:rPr>
                      <w:rFonts w:hint="eastAsia"/>
                    </w:rPr>
                    <w:t>迁扩建年产160吨塑料粒子生产线技改项目</w:t>
                  </w:r>
                </w:p>
              </w:tc>
              <w:tc>
                <w:tcPr>
                  <w:tcW w:w="1246" w:type="pct"/>
                  <w:vAlign w:val="center"/>
                </w:tcPr>
                <w:p w14:paraId="3682FE01">
                  <w:pPr>
                    <w:pStyle w:val="13"/>
                    <w:jc w:val="center"/>
                  </w:pPr>
                  <w:r>
                    <w:rPr>
                      <w:rFonts w:hint="eastAsia"/>
                    </w:rPr>
                    <w:t>年产塑料粒子160吨</w:t>
                  </w:r>
                </w:p>
              </w:tc>
              <w:tc>
                <w:tcPr>
                  <w:tcW w:w="1081" w:type="pct"/>
                  <w:vAlign w:val="center"/>
                </w:tcPr>
                <w:p w14:paraId="5A572D53">
                  <w:pPr>
                    <w:pStyle w:val="13"/>
                    <w:jc w:val="center"/>
                  </w:pPr>
                  <w:r>
                    <w:rPr>
                      <w:rFonts w:hint="eastAsia"/>
                    </w:rPr>
                    <w:t>环评批复〔2011〕348号</w:t>
                  </w:r>
                </w:p>
              </w:tc>
              <w:tc>
                <w:tcPr>
                  <w:tcW w:w="960" w:type="pct"/>
                  <w:vAlign w:val="center"/>
                </w:tcPr>
                <w:p w14:paraId="5D72B57F">
                  <w:pPr>
                    <w:pStyle w:val="13"/>
                    <w:jc w:val="center"/>
                  </w:pPr>
                  <w:r>
                    <w:rPr>
                      <w:rFonts w:hint="eastAsia"/>
                    </w:rPr>
                    <w:t>已验收，验收意见编号〔2012〕3-046号</w:t>
                  </w:r>
                </w:p>
              </w:tc>
            </w:tr>
            <w:tr w14:paraId="7DC3C63F">
              <w:trPr>
                <w:trHeight w:val="340" w:hRule="atLeast"/>
              </w:trPr>
              <w:tc>
                <w:tcPr>
                  <w:tcW w:w="420" w:type="pct"/>
                  <w:vAlign w:val="center"/>
                </w:tcPr>
                <w:p w14:paraId="4E9E374C">
                  <w:pPr>
                    <w:pStyle w:val="13"/>
                    <w:jc w:val="center"/>
                  </w:pPr>
                  <w:r>
                    <w:rPr>
                      <w:rFonts w:hint="eastAsia"/>
                    </w:rPr>
                    <w:t>3</w:t>
                  </w:r>
                </w:p>
              </w:tc>
              <w:tc>
                <w:tcPr>
                  <w:tcW w:w="1290" w:type="pct"/>
                  <w:vAlign w:val="center"/>
                </w:tcPr>
                <w:p w14:paraId="26BC3CA5">
                  <w:pPr>
                    <w:pStyle w:val="13"/>
                    <w:jc w:val="center"/>
                  </w:pPr>
                  <w:r>
                    <w:rPr>
                      <w:rFonts w:hint="eastAsia"/>
                    </w:rPr>
                    <w:t>年产160吨塑料粒子生产线项目(迁建)</w:t>
                  </w:r>
                </w:p>
              </w:tc>
              <w:tc>
                <w:tcPr>
                  <w:tcW w:w="1246" w:type="pct"/>
                  <w:vAlign w:val="center"/>
                </w:tcPr>
                <w:p w14:paraId="1E6F5E36">
                  <w:pPr>
                    <w:pStyle w:val="13"/>
                    <w:jc w:val="center"/>
                  </w:pPr>
                  <w:r>
                    <w:rPr>
                      <w:rFonts w:hint="eastAsia"/>
                    </w:rPr>
                    <w:t>整体搬迁至余杭区仁和街道三星路4号，年产塑料粒子60吨</w:t>
                  </w:r>
                </w:p>
              </w:tc>
              <w:tc>
                <w:tcPr>
                  <w:tcW w:w="1081" w:type="pct"/>
                  <w:vAlign w:val="center"/>
                </w:tcPr>
                <w:p w14:paraId="317DF00C">
                  <w:pPr>
                    <w:pStyle w:val="13"/>
                    <w:jc w:val="center"/>
                  </w:pPr>
                  <w:r>
                    <w:rPr>
                      <w:rFonts w:hint="eastAsia"/>
                    </w:rPr>
                    <w:t>“零土地”备案编号：报告表2016-214号</w:t>
                  </w:r>
                </w:p>
              </w:tc>
              <w:tc>
                <w:tcPr>
                  <w:tcW w:w="960" w:type="pct"/>
                  <w:vAlign w:val="center"/>
                </w:tcPr>
                <w:p w14:paraId="476EB933">
                  <w:pPr>
                    <w:pStyle w:val="13"/>
                    <w:jc w:val="center"/>
                  </w:pPr>
                  <w:r>
                    <w:rPr>
                      <w:rFonts w:hint="eastAsia"/>
                    </w:rPr>
                    <w:t>已验收，验收意见编号〔2016〕5-7号</w:t>
                  </w:r>
                </w:p>
              </w:tc>
            </w:tr>
            <w:tr w14:paraId="4330C216">
              <w:trPr>
                <w:trHeight w:val="340" w:hRule="atLeast"/>
              </w:trPr>
              <w:tc>
                <w:tcPr>
                  <w:tcW w:w="420" w:type="pct"/>
                  <w:vAlign w:val="center"/>
                </w:tcPr>
                <w:p w14:paraId="5A994E3B">
                  <w:pPr>
                    <w:pStyle w:val="13"/>
                    <w:jc w:val="center"/>
                  </w:pPr>
                  <w:r>
                    <w:rPr>
                      <w:rFonts w:hint="eastAsia"/>
                    </w:rPr>
                    <w:t>4</w:t>
                  </w:r>
                </w:p>
              </w:tc>
              <w:tc>
                <w:tcPr>
                  <w:tcW w:w="1290" w:type="pct"/>
                  <w:vAlign w:val="center"/>
                </w:tcPr>
                <w:p w14:paraId="465B0447">
                  <w:pPr>
                    <w:pStyle w:val="13"/>
                    <w:jc w:val="center"/>
                  </w:pPr>
                  <w:r>
                    <w:rPr>
                      <w:rFonts w:hint="eastAsia"/>
                    </w:rPr>
                    <w:t>杭州三基色塑胶燃料有限公司年产塑料粒子8000吨项目</w:t>
                  </w:r>
                </w:p>
              </w:tc>
              <w:tc>
                <w:tcPr>
                  <w:tcW w:w="1246" w:type="pct"/>
                  <w:vAlign w:val="center"/>
                </w:tcPr>
                <w:p w14:paraId="2CBFDF47">
                  <w:pPr>
                    <w:pStyle w:val="13"/>
                    <w:jc w:val="center"/>
                  </w:pPr>
                  <w:r>
                    <w:rPr>
                      <w:rFonts w:hint="eastAsia"/>
                    </w:rPr>
                    <w:t>年产塑料粒子8000吨</w:t>
                  </w:r>
                </w:p>
              </w:tc>
              <w:tc>
                <w:tcPr>
                  <w:tcW w:w="1081" w:type="pct"/>
                  <w:vAlign w:val="center"/>
                </w:tcPr>
                <w:p w14:paraId="57E56535">
                  <w:pPr>
                    <w:pStyle w:val="13"/>
                    <w:jc w:val="center"/>
                  </w:pPr>
                  <w:r>
                    <w:rPr>
                      <w:rFonts w:hint="eastAsia"/>
                    </w:rPr>
                    <w:t>环评批复〔2017〕310号</w:t>
                  </w:r>
                </w:p>
              </w:tc>
              <w:tc>
                <w:tcPr>
                  <w:tcW w:w="960" w:type="pct"/>
                  <w:vAlign w:val="center"/>
                </w:tcPr>
                <w:p w14:paraId="166887DC">
                  <w:pPr>
                    <w:pStyle w:val="13"/>
                    <w:jc w:val="center"/>
                  </w:pPr>
                  <w:r>
                    <w:rPr>
                      <w:rFonts w:hint="eastAsia"/>
                    </w:rPr>
                    <w:t>2018年5月自主验收</w:t>
                  </w:r>
                </w:p>
              </w:tc>
            </w:tr>
          </w:tbl>
          <w:p w14:paraId="4092A48D">
            <w:pPr>
              <w:numPr>
                <w:ilvl w:val="0"/>
                <w:numId w:val="7"/>
              </w:numPr>
              <w:ind w:firstLine="480"/>
              <w:jc w:val="both"/>
            </w:pPr>
            <w:r>
              <w:rPr>
                <w:rFonts w:hint="eastAsia"/>
              </w:rPr>
              <w:t>排污许可手续履行情况</w:t>
            </w:r>
          </w:p>
          <w:p w14:paraId="54BF97E7">
            <w:pPr>
              <w:ind w:firstLine="480"/>
              <w:jc w:val="both"/>
            </w:pPr>
            <w:r>
              <w:t>根据《固定污染源排污许可分类管理名录（2019年版）》规定，</w:t>
            </w:r>
            <w:r>
              <w:rPr>
                <w:rFonts w:hint="eastAsia"/>
              </w:rPr>
              <w:t>现有</w:t>
            </w:r>
            <w:r>
              <w:t>项目属于</w:t>
            </w:r>
            <w:r>
              <w:rPr>
                <w:rFonts w:hint="eastAsia"/>
              </w:rPr>
              <w:t>登记</w:t>
            </w:r>
            <w:r>
              <w:t>管理，并取得了登记回执（编号：9133011077928742XN001X），有效期202</w:t>
            </w:r>
            <w:r>
              <w:rPr>
                <w:rFonts w:hint="eastAsia"/>
              </w:rPr>
              <w:t>5</w:t>
            </w:r>
            <w:r>
              <w:t>年</w:t>
            </w:r>
            <w:r>
              <w:rPr>
                <w:rFonts w:hint="eastAsia"/>
              </w:rPr>
              <w:t>5</w:t>
            </w:r>
            <w:r>
              <w:t>月</w:t>
            </w:r>
            <w:r>
              <w:rPr>
                <w:rFonts w:hint="eastAsia"/>
              </w:rPr>
              <w:t>2</w:t>
            </w:r>
            <w:r>
              <w:t>3日至20</w:t>
            </w:r>
            <w:r>
              <w:rPr>
                <w:rFonts w:hint="eastAsia"/>
              </w:rPr>
              <w:t>30</w:t>
            </w:r>
            <w:r>
              <w:t>年</w:t>
            </w:r>
            <w:r>
              <w:rPr>
                <w:rFonts w:hint="eastAsia"/>
              </w:rPr>
              <w:t>5</w:t>
            </w:r>
            <w:r>
              <w:t>月</w:t>
            </w:r>
            <w:r>
              <w:rPr>
                <w:rFonts w:hint="eastAsia"/>
              </w:rPr>
              <w:t>2</w:t>
            </w:r>
            <w:r>
              <w:t>2日。</w:t>
            </w:r>
          </w:p>
          <w:p w14:paraId="55335B39">
            <w:pPr>
              <w:ind w:left="480" w:leftChars="200" w:firstLine="0" w:firstLineChars="0"/>
              <w:jc w:val="both"/>
            </w:pPr>
            <w:r>
              <w:rPr>
                <w:rFonts w:hint="eastAsia"/>
              </w:rPr>
              <w:t>2、现有项目产品方案</w:t>
            </w:r>
          </w:p>
          <w:p w14:paraId="2E3F7F89">
            <w:pPr>
              <w:ind w:left="480" w:leftChars="200" w:firstLine="0" w:firstLineChars="0"/>
              <w:jc w:val="both"/>
            </w:pPr>
            <w:r>
              <w:t>根据企业生产台账，本项目厂区实际生产情况详见</w:t>
            </w:r>
            <w:r>
              <w:rPr>
                <w:rFonts w:hint="eastAsia"/>
              </w:rPr>
              <w:t>下表。</w:t>
            </w:r>
          </w:p>
          <w:p w14:paraId="550C7ED7">
            <w:pPr>
              <w:pStyle w:val="14"/>
              <w:numPr>
                <w:ilvl w:val="0"/>
                <w:numId w:val="6"/>
              </w:numPr>
              <w:spacing w:before="156"/>
              <w:ind w:firstLine="0"/>
            </w:pPr>
            <w:r>
              <w:rPr>
                <w:rFonts w:hint="eastAsia"/>
              </w:rPr>
              <w:t xml:space="preserve"> </w:t>
            </w:r>
            <w:r>
              <w:t xml:space="preserve"> </w:t>
            </w:r>
            <w:r>
              <w:rPr>
                <w:rFonts w:hint="eastAsia"/>
              </w:rPr>
              <w:t>本项目现有工程产品方案一览表  单位t/a</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720"/>
              <w:gridCol w:w="1787"/>
              <w:gridCol w:w="1907"/>
              <w:gridCol w:w="1584"/>
            </w:tblGrid>
            <w:tr w14:paraId="5598EF96">
              <w:trPr>
                <w:trHeight w:val="340" w:hRule="atLeast"/>
                <w:jc w:val="center"/>
              </w:trPr>
              <w:tc>
                <w:tcPr>
                  <w:tcW w:w="524" w:type="pct"/>
                  <w:noWrap/>
                  <w:vAlign w:val="center"/>
                </w:tcPr>
                <w:p w14:paraId="5B6AD04D">
                  <w:pPr>
                    <w:pStyle w:val="13"/>
                    <w:jc w:val="center"/>
                  </w:pPr>
                  <w:r>
                    <w:rPr>
                      <w:rFonts w:hint="eastAsia"/>
                    </w:rPr>
                    <w:t>序号</w:t>
                  </w:r>
                </w:p>
              </w:tc>
              <w:tc>
                <w:tcPr>
                  <w:tcW w:w="1099" w:type="pct"/>
                  <w:noWrap/>
                  <w:vAlign w:val="center"/>
                </w:tcPr>
                <w:p w14:paraId="2BC5FDC7">
                  <w:pPr>
                    <w:pStyle w:val="13"/>
                    <w:jc w:val="center"/>
                  </w:pPr>
                  <w:r>
                    <w:rPr>
                      <w:rFonts w:hint="eastAsia"/>
                    </w:rPr>
                    <w:t>产品种类</w:t>
                  </w:r>
                </w:p>
              </w:tc>
              <w:tc>
                <w:tcPr>
                  <w:tcW w:w="1143" w:type="pct"/>
                  <w:noWrap/>
                  <w:vAlign w:val="center"/>
                </w:tcPr>
                <w:p w14:paraId="65A59308">
                  <w:pPr>
                    <w:pStyle w:val="13"/>
                    <w:jc w:val="center"/>
                  </w:pPr>
                  <w:r>
                    <w:rPr>
                      <w:rFonts w:hint="eastAsia"/>
                    </w:rPr>
                    <w:t>原审批年产量</w:t>
                  </w:r>
                </w:p>
              </w:tc>
              <w:tc>
                <w:tcPr>
                  <w:tcW w:w="1220" w:type="pct"/>
                  <w:noWrap/>
                  <w:vAlign w:val="center"/>
                </w:tcPr>
                <w:p w14:paraId="1C068EA6">
                  <w:pPr>
                    <w:pStyle w:val="13"/>
                    <w:jc w:val="center"/>
                  </w:pPr>
                  <w:r>
                    <w:rPr>
                      <w:rFonts w:hint="eastAsia"/>
                    </w:rPr>
                    <w:t>已验收年产量</w:t>
                  </w:r>
                </w:p>
              </w:tc>
              <w:tc>
                <w:tcPr>
                  <w:tcW w:w="1584" w:type="dxa"/>
                  <w:noWrap/>
                  <w:vAlign w:val="center"/>
                </w:tcPr>
                <w:p w14:paraId="429B29A1">
                  <w:pPr>
                    <w:pStyle w:val="13"/>
                    <w:jc w:val="center"/>
                  </w:pPr>
                  <w:r>
                    <w:rPr>
                      <w:rFonts w:hint="eastAsia"/>
                    </w:rPr>
                    <w:t>2024年实际产量</w:t>
                  </w:r>
                </w:p>
              </w:tc>
            </w:tr>
            <w:tr w14:paraId="086FF8F8">
              <w:trPr>
                <w:trHeight w:val="340" w:hRule="atLeast"/>
                <w:jc w:val="center"/>
              </w:trPr>
              <w:tc>
                <w:tcPr>
                  <w:tcW w:w="524" w:type="pct"/>
                  <w:noWrap/>
                  <w:vAlign w:val="center"/>
                </w:tcPr>
                <w:p w14:paraId="672C2F1F">
                  <w:pPr>
                    <w:pStyle w:val="13"/>
                    <w:jc w:val="center"/>
                  </w:pPr>
                  <w:r>
                    <w:rPr>
                      <w:rFonts w:hint="eastAsia"/>
                    </w:rPr>
                    <w:t>1</w:t>
                  </w:r>
                </w:p>
              </w:tc>
              <w:tc>
                <w:tcPr>
                  <w:tcW w:w="1099" w:type="pct"/>
                  <w:noWrap/>
                  <w:vAlign w:val="center"/>
                </w:tcPr>
                <w:p w14:paraId="2518AC1A">
                  <w:pPr>
                    <w:pStyle w:val="13"/>
                    <w:jc w:val="center"/>
                  </w:pPr>
                  <w:r>
                    <w:rPr>
                      <w:rFonts w:hint="eastAsia"/>
                    </w:rPr>
                    <w:t>ABS塑料粒子</w:t>
                  </w:r>
                </w:p>
              </w:tc>
              <w:tc>
                <w:tcPr>
                  <w:tcW w:w="1143" w:type="pct"/>
                  <w:noWrap/>
                  <w:vAlign w:val="center"/>
                </w:tcPr>
                <w:p w14:paraId="3E8F343E">
                  <w:pPr>
                    <w:pStyle w:val="13"/>
                    <w:jc w:val="center"/>
                  </w:pPr>
                  <w:r>
                    <w:rPr>
                      <w:rFonts w:hint="eastAsia"/>
                    </w:rPr>
                    <w:t>640</w:t>
                  </w:r>
                </w:p>
              </w:tc>
              <w:tc>
                <w:tcPr>
                  <w:tcW w:w="1908" w:type="dxa"/>
                  <w:noWrap/>
                  <w:vAlign w:val="center"/>
                </w:tcPr>
                <w:p w14:paraId="16D3FD5A">
                  <w:pPr>
                    <w:pStyle w:val="13"/>
                    <w:jc w:val="center"/>
                  </w:pPr>
                  <w:r>
                    <w:rPr>
                      <w:rFonts w:hint="eastAsia"/>
                    </w:rPr>
                    <w:t>640</w:t>
                  </w:r>
                </w:p>
              </w:tc>
              <w:tc>
                <w:tcPr>
                  <w:tcW w:w="1584" w:type="dxa"/>
                  <w:noWrap/>
                  <w:vAlign w:val="center"/>
                </w:tcPr>
                <w:p w14:paraId="5DAB1C77">
                  <w:pPr>
                    <w:pStyle w:val="13"/>
                    <w:jc w:val="center"/>
                  </w:pPr>
                  <w:r>
                    <w:rPr>
                      <w:rFonts w:hint="eastAsia"/>
                    </w:rPr>
                    <w:t>220</w:t>
                  </w:r>
                </w:p>
              </w:tc>
            </w:tr>
            <w:tr w14:paraId="5E754A72">
              <w:trPr>
                <w:trHeight w:val="340" w:hRule="atLeast"/>
                <w:jc w:val="center"/>
              </w:trPr>
              <w:tc>
                <w:tcPr>
                  <w:tcW w:w="524" w:type="pct"/>
                  <w:noWrap/>
                  <w:vAlign w:val="center"/>
                </w:tcPr>
                <w:p w14:paraId="4AAEFF9C">
                  <w:pPr>
                    <w:pStyle w:val="13"/>
                    <w:jc w:val="center"/>
                  </w:pPr>
                  <w:r>
                    <w:rPr>
                      <w:rFonts w:hint="eastAsia"/>
                    </w:rPr>
                    <w:t>2</w:t>
                  </w:r>
                </w:p>
              </w:tc>
              <w:tc>
                <w:tcPr>
                  <w:tcW w:w="1099" w:type="pct"/>
                  <w:noWrap/>
                  <w:vAlign w:val="center"/>
                </w:tcPr>
                <w:p w14:paraId="3690E262">
                  <w:pPr>
                    <w:pStyle w:val="13"/>
                    <w:jc w:val="center"/>
                  </w:pPr>
                  <w:r>
                    <w:rPr>
                      <w:rFonts w:hint="eastAsia"/>
                    </w:rPr>
                    <w:t>PP塑料粒子</w:t>
                  </w:r>
                </w:p>
              </w:tc>
              <w:tc>
                <w:tcPr>
                  <w:tcW w:w="1143" w:type="pct"/>
                  <w:noWrap/>
                  <w:vAlign w:val="center"/>
                </w:tcPr>
                <w:p w14:paraId="6F4993DA">
                  <w:pPr>
                    <w:pStyle w:val="13"/>
                    <w:jc w:val="center"/>
                  </w:pPr>
                  <w:r>
                    <w:rPr>
                      <w:rFonts w:hint="eastAsia"/>
                    </w:rPr>
                    <w:t>3700</w:t>
                  </w:r>
                </w:p>
              </w:tc>
              <w:tc>
                <w:tcPr>
                  <w:tcW w:w="1908" w:type="dxa"/>
                  <w:noWrap/>
                  <w:vAlign w:val="center"/>
                </w:tcPr>
                <w:p w14:paraId="74BA129F">
                  <w:pPr>
                    <w:pStyle w:val="13"/>
                    <w:jc w:val="center"/>
                  </w:pPr>
                  <w:r>
                    <w:rPr>
                      <w:rFonts w:hint="eastAsia"/>
                    </w:rPr>
                    <w:t>3700</w:t>
                  </w:r>
                </w:p>
              </w:tc>
              <w:tc>
                <w:tcPr>
                  <w:tcW w:w="1584" w:type="dxa"/>
                  <w:noWrap/>
                  <w:vAlign w:val="center"/>
                </w:tcPr>
                <w:p w14:paraId="2169447E">
                  <w:pPr>
                    <w:pStyle w:val="13"/>
                    <w:jc w:val="center"/>
                  </w:pPr>
                  <w:r>
                    <w:rPr>
                      <w:rFonts w:hint="eastAsia"/>
                    </w:rPr>
                    <w:t>2400</w:t>
                  </w:r>
                </w:p>
              </w:tc>
            </w:tr>
            <w:tr w14:paraId="705731F7">
              <w:trPr>
                <w:trHeight w:val="340" w:hRule="atLeast"/>
                <w:jc w:val="center"/>
              </w:trPr>
              <w:tc>
                <w:tcPr>
                  <w:tcW w:w="524" w:type="pct"/>
                  <w:noWrap/>
                  <w:vAlign w:val="center"/>
                </w:tcPr>
                <w:p w14:paraId="54B5EBDA">
                  <w:pPr>
                    <w:pStyle w:val="13"/>
                    <w:jc w:val="center"/>
                  </w:pPr>
                  <w:r>
                    <w:rPr>
                      <w:rFonts w:hint="eastAsia"/>
                    </w:rPr>
                    <w:t>3</w:t>
                  </w:r>
                </w:p>
              </w:tc>
              <w:tc>
                <w:tcPr>
                  <w:tcW w:w="1099" w:type="pct"/>
                  <w:noWrap/>
                  <w:vAlign w:val="center"/>
                </w:tcPr>
                <w:p w14:paraId="6225EE5F">
                  <w:pPr>
                    <w:pStyle w:val="13"/>
                    <w:jc w:val="center"/>
                  </w:pPr>
                  <w:r>
                    <w:rPr>
                      <w:rFonts w:hint="eastAsia"/>
                    </w:rPr>
                    <w:t>PS塑料粒子</w:t>
                  </w:r>
                </w:p>
              </w:tc>
              <w:tc>
                <w:tcPr>
                  <w:tcW w:w="1143" w:type="pct"/>
                  <w:noWrap/>
                  <w:vAlign w:val="center"/>
                </w:tcPr>
                <w:p w14:paraId="6436AD18">
                  <w:pPr>
                    <w:pStyle w:val="13"/>
                    <w:jc w:val="center"/>
                  </w:pPr>
                  <w:r>
                    <w:rPr>
                      <w:rFonts w:hint="eastAsia"/>
                    </w:rPr>
                    <w:t>70</w:t>
                  </w:r>
                </w:p>
              </w:tc>
              <w:tc>
                <w:tcPr>
                  <w:tcW w:w="1908" w:type="dxa"/>
                  <w:noWrap/>
                  <w:vAlign w:val="center"/>
                </w:tcPr>
                <w:p w14:paraId="209B51DB">
                  <w:pPr>
                    <w:pStyle w:val="13"/>
                    <w:jc w:val="center"/>
                  </w:pPr>
                  <w:r>
                    <w:rPr>
                      <w:rFonts w:hint="eastAsia"/>
                    </w:rPr>
                    <w:t>70</w:t>
                  </w:r>
                </w:p>
              </w:tc>
              <w:tc>
                <w:tcPr>
                  <w:tcW w:w="1584" w:type="dxa"/>
                  <w:noWrap/>
                  <w:vAlign w:val="center"/>
                </w:tcPr>
                <w:p w14:paraId="019FF3C3">
                  <w:pPr>
                    <w:pStyle w:val="13"/>
                    <w:jc w:val="center"/>
                  </w:pPr>
                  <w:r>
                    <w:rPr>
                      <w:rFonts w:hint="eastAsia"/>
                    </w:rPr>
                    <w:t>25</w:t>
                  </w:r>
                </w:p>
              </w:tc>
            </w:tr>
            <w:tr w14:paraId="0869E75B">
              <w:trPr>
                <w:trHeight w:val="340" w:hRule="atLeast"/>
                <w:jc w:val="center"/>
              </w:trPr>
              <w:tc>
                <w:tcPr>
                  <w:tcW w:w="524" w:type="pct"/>
                  <w:noWrap/>
                  <w:vAlign w:val="center"/>
                </w:tcPr>
                <w:p w14:paraId="5C24BE6D">
                  <w:pPr>
                    <w:pStyle w:val="13"/>
                    <w:jc w:val="center"/>
                  </w:pPr>
                  <w:r>
                    <w:rPr>
                      <w:rFonts w:hint="eastAsia"/>
                    </w:rPr>
                    <w:t>4</w:t>
                  </w:r>
                </w:p>
              </w:tc>
              <w:tc>
                <w:tcPr>
                  <w:tcW w:w="1099" w:type="pct"/>
                  <w:noWrap/>
                  <w:vAlign w:val="center"/>
                </w:tcPr>
                <w:p w14:paraId="08AA3DFB">
                  <w:pPr>
                    <w:pStyle w:val="13"/>
                    <w:jc w:val="center"/>
                  </w:pPr>
                  <w:r>
                    <w:rPr>
                      <w:rFonts w:hint="eastAsia"/>
                    </w:rPr>
                    <w:t>PE塑料粒子</w:t>
                  </w:r>
                </w:p>
              </w:tc>
              <w:tc>
                <w:tcPr>
                  <w:tcW w:w="1143" w:type="pct"/>
                  <w:noWrap/>
                  <w:vAlign w:val="center"/>
                </w:tcPr>
                <w:p w14:paraId="06188C9F">
                  <w:pPr>
                    <w:pStyle w:val="13"/>
                    <w:jc w:val="center"/>
                  </w:pPr>
                  <w:r>
                    <w:rPr>
                      <w:rFonts w:hint="eastAsia"/>
                    </w:rPr>
                    <w:t>3500</w:t>
                  </w:r>
                </w:p>
              </w:tc>
              <w:tc>
                <w:tcPr>
                  <w:tcW w:w="1908" w:type="dxa"/>
                  <w:noWrap/>
                  <w:vAlign w:val="center"/>
                </w:tcPr>
                <w:p w14:paraId="76D75958">
                  <w:pPr>
                    <w:pStyle w:val="13"/>
                    <w:jc w:val="center"/>
                  </w:pPr>
                  <w:r>
                    <w:rPr>
                      <w:rFonts w:hint="eastAsia"/>
                    </w:rPr>
                    <w:t>3500</w:t>
                  </w:r>
                </w:p>
              </w:tc>
              <w:tc>
                <w:tcPr>
                  <w:tcW w:w="1584" w:type="dxa"/>
                  <w:noWrap/>
                  <w:vAlign w:val="center"/>
                </w:tcPr>
                <w:p w14:paraId="3E8B7DE7">
                  <w:pPr>
                    <w:pStyle w:val="13"/>
                    <w:jc w:val="center"/>
                  </w:pPr>
                  <w:r>
                    <w:rPr>
                      <w:rFonts w:hint="eastAsia"/>
                    </w:rPr>
                    <w:t>1800</w:t>
                  </w:r>
                </w:p>
              </w:tc>
            </w:tr>
            <w:tr w14:paraId="30B3A8C9">
              <w:trPr>
                <w:trHeight w:val="340" w:hRule="atLeast"/>
                <w:jc w:val="center"/>
              </w:trPr>
              <w:tc>
                <w:tcPr>
                  <w:tcW w:w="524" w:type="pct"/>
                  <w:noWrap/>
                  <w:vAlign w:val="center"/>
                </w:tcPr>
                <w:p w14:paraId="61DD38C4">
                  <w:pPr>
                    <w:pStyle w:val="13"/>
                    <w:jc w:val="center"/>
                  </w:pPr>
                  <w:r>
                    <w:rPr>
                      <w:rFonts w:hint="eastAsia"/>
                    </w:rPr>
                    <w:t>5</w:t>
                  </w:r>
                </w:p>
              </w:tc>
              <w:tc>
                <w:tcPr>
                  <w:tcW w:w="1099" w:type="pct"/>
                  <w:noWrap/>
                  <w:vAlign w:val="center"/>
                </w:tcPr>
                <w:p w14:paraId="7ED7A592">
                  <w:pPr>
                    <w:pStyle w:val="13"/>
                    <w:jc w:val="center"/>
                  </w:pPr>
                  <w:r>
                    <w:rPr>
                      <w:rFonts w:hint="eastAsia"/>
                    </w:rPr>
                    <w:t>PA塑料粒子</w:t>
                  </w:r>
                </w:p>
              </w:tc>
              <w:tc>
                <w:tcPr>
                  <w:tcW w:w="1143" w:type="pct"/>
                  <w:noWrap/>
                  <w:vAlign w:val="center"/>
                </w:tcPr>
                <w:p w14:paraId="31F7C13C">
                  <w:pPr>
                    <w:pStyle w:val="13"/>
                    <w:jc w:val="center"/>
                  </w:pPr>
                  <w:r>
                    <w:rPr>
                      <w:rFonts w:hint="eastAsia"/>
                    </w:rPr>
                    <w:t>40</w:t>
                  </w:r>
                </w:p>
              </w:tc>
              <w:tc>
                <w:tcPr>
                  <w:tcW w:w="1908" w:type="dxa"/>
                  <w:noWrap/>
                  <w:vAlign w:val="center"/>
                </w:tcPr>
                <w:p w14:paraId="08BCE38E">
                  <w:pPr>
                    <w:pStyle w:val="13"/>
                    <w:jc w:val="center"/>
                  </w:pPr>
                  <w:r>
                    <w:rPr>
                      <w:rFonts w:hint="eastAsia"/>
                    </w:rPr>
                    <w:t>40</w:t>
                  </w:r>
                </w:p>
              </w:tc>
              <w:tc>
                <w:tcPr>
                  <w:tcW w:w="1584" w:type="dxa"/>
                  <w:noWrap/>
                  <w:vAlign w:val="center"/>
                </w:tcPr>
                <w:p w14:paraId="5172805F">
                  <w:pPr>
                    <w:pStyle w:val="13"/>
                    <w:jc w:val="center"/>
                  </w:pPr>
                  <w:r>
                    <w:rPr>
                      <w:rFonts w:hint="eastAsia"/>
                    </w:rPr>
                    <w:t>20</w:t>
                  </w:r>
                </w:p>
              </w:tc>
            </w:tr>
            <w:tr w14:paraId="7584CD4E">
              <w:trPr>
                <w:trHeight w:val="340" w:hRule="atLeast"/>
                <w:jc w:val="center"/>
              </w:trPr>
              <w:tc>
                <w:tcPr>
                  <w:tcW w:w="524" w:type="pct"/>
                  <w:noWrap/>
                  <w:vAlign w:val="center"/>
                </w:tcPr>
                <w:p w14:paraId="775EEC8D">
                  <w:pPr>
                    <w:pStyle w:val="13"/>
                    <w:jc w:val="center"/>
                  </w:pPr>
                  <w:r>
                    <w:rPr>
                      <w:rFonts w:hint="eastAsia"/>
                    </w:rPr>
                    <w:t>6</w:t>
                  </w:r>
                </w:p>
              </w:tc>
              <w:tc>
                <w:tcPr>
                  <w:tcW w:w="1099" w:type="pct"/>
                  <w:noWrap/>
                  <w:vAlign w:val="center"/>
                </w:tcPr>
                <w:p w14:paraId="0FA5CCA5">
                  <w:pPr>
                    <w:pStyle w:val="13"/>
                    <w:jc w:val="center"/>
                  </w:pPr>
                  <w:r>
                    <w:rPr>
                      <w:rFonts w:hint="eastAsia"/>
                    </w:rPr>
                    <w:t>AS塑料粒子</w:t>
                  </w:r>
                </w:p>
              </w:tc>
              <w:tc>
                <w:tcPr>
                  <w:tcW w:w="1143" w:type="pct"/>
                  <w:noWrap/>
                  <w:vAlign w:val="center"/>
                </w:tcPr>
                <w:p w14:paraId="66A88D50">
                  <w:pPr>
                    <w:pStyle w:val="13"/>
                    <w:jc w:val="center"/>
                  </w:pPr>
                  <w:r>
                    <w:rPr>
                      <w:rFonts w:hint="eastAsia"/>
                    </w:rPr>
                    <w:t>50</w:t>
                  </w:r>
                </w:p>
              </w:tc>
              <w:tc>
                <w:tcPr>
                  <w:tcW w:w="1908" w:type="dxa"/>
                  <w:noWrap/>
                  <w:vAlign w:val="center"/>
                </w:tcPr>
                <w:p w14:paraId="6B4218D1">
                  <w:pPr>
                    <w:pStyle w:val="13"/>
                    <w:jc w:val="center"/>
                  </w:pPr>
                  <w:r>
                    <w:rPr>
                      <w:rFonts w:hint="eastAsia"/>
                    </w:rPr>
                    <w:t>50</w:t>
                  </w:r>
                </w:p>
              </w:tc>
              <w:tc>
                <w:tcPr>
                  <w:tcW w:w="1584" w:type="dxa"/>
                  <w:noWrap/>
                  <w:vAlign w:val="center"/>
                </w:tcPr>
                <w:p w14:paraId="61BEF333">
                  <w:pPr>
                    <w:pStyle w:val="13"/>
                    <w:jc w:val="center"/>
                  </w:pPr>
                  <w:r>
                    <w:rPr>
                      <w:rFonts w:hint="eastAsia"/>
                    </w:rPr>
                    <w:t>30</w:t>
                  </w:r>
                </w:p>
              </w:tc>
            </w:tr>
            <w:tr w14:paraId="2BE5E169">
              <w:trPr>
                <w:trHeight w:val="340" w:hRule="atLeast"/>
                <w:jc w:val="center"/>
              </w:trPr>
              <w:tc>
                <w:tcPr>
                  <w:tcW w:w="1624" w:type="pct"/>
                  <w:gridSpan w:val="2"/>
                  <w:noWrap/>
                  <w:vAlign w:val="center"/>
                </w:tcPr>
                <w:p w14:paraId="02C52B1E">
                  <w:pPr>
                    <w:pStyle w:val="13"/>
                    <w:jc w:val="center"/>
                  </w:pPr>
                  <w:r>
                    <w:rPr>
                      <w:rFonts w:hint="eastAsia"/>
                    </w:rPr>
                    <w:t>合计</w:t>
                  </w:r>
                </w:p>
              </w:tc>
              <w:tc>
                <w:tcPr>
                  <w:tcW w:w="1143" w:type="pct"/>
                  <w:noWrap/>
                  <w:vAlign w:val="center"/>
                </w:tcPr>
                <w:p w14:paraId="6113C216">
                  <w:pPr>
                    <w:pStyle w:val="13"/>
                    <w:jc w:val="center"/>
                  </w:pPr>
                  <w:r>
                    <w:rPr>
                      <w:rFonts w:hint="eastAsia"/>
                    </w:rPr>
                    <w:t>8000</w:t>
                  </w:r>
                </w:p>
              </w:tc>
              <w:tc>
                <w:tcPr>
                  <w:tcW w:w="1908" w:type="dxa"/>
                  <w:noWrap/>
                  <w:vAlign w:val="center"/>
                </w:tcPr>
                <w:p w14:paraId="4E09BBEE">
                  <w:pPr>
                    <w:pStyle w:val="13"/>
                    <w:jc w:val="center"/>
                  </w:pPr>
                  <w:r>
                    <w:rPr>
                      <w:rFonts w:hint="eastAsia"/>
                    </w:rPr>
                    <w:t>8000</w:t>
                  </w:r>
                </w:p>
              </w:tc>
              <w:tc>
                <w:tcPr>
                  <w:tcW w:w="1584" w:type="dxa"/>
                  <w:noWrap/>
                  <w:vAlign w:val="center"/>
                </w:tcPr>
                <w:p w14:paraId="667B868E">
                  <w:pPr>
                    <w:pStyle w:val="13"/>
                    <w:jc w:val="center"/>
                  </w:pPr>
                  <w:r>
                    <w:rPr>
                      <w:rFonts w:hint="eastAsia"/>
                    </w:rPr>
                    <w:t>4495</w:t>
                  </w:r>
                </w:p>
              </w:tc>
            </w:tr>
            <w:tr w14:paraId="3CBE2837">
              <w:trPr>
                <w:trHeight w:val="340" w:hRule="atLeast"/>
                <w:jc w:val="center"/>
              </w:trPr>
              <w:tc>
                <w:tcPr>
                  <w:tcW w:w="5000" w:type="pct"/>
                  <w:gridSpan w:val="5"/>
                  <w:noWrap/>
                  <w:vAlign w:val="center"/>
                </w:tcPr>
                <w:p w14:paraId="2D053B3C">
                  <w:pPr>
                    <w:pStyle w:val="13"/>
                    <w:jc w:val="both"/>
                  </w:pPr>
                  <w:r>
                    <w:rPr>
                      <w:rFonts w:hint="eastAsia"/>
                    </w:rPr>
                    <w:t>因市场波动，订单数量减少，故2024年企业未能达到原环评审批的总体产能</w:t>
                  </w:r>
                </w:p>
              </w:tc>
            </w:tr>
          </w:tbl>
          <w:p w14:paraId="6619A164">
            <w:pPr>
              <w:ind w:firstLine="480"/>
              <w:jc w:val="both"/>
            </w:pPr>
            <w:r>
              <w:rPr>
                <w:rFonts w:hint="eastAsia"/>
              </w:rPr>
              <w:t>3、现有项目主要生产设备</w:t>
            </w:r>
          </w:p>
          <w:p w14:paraId="00516A40">
            <w:pPr>
              <w:pStyle w:val="14"/>
              <w:numPr>
                <w:ilvl w:val="0"/>
                <w:numId w:val="6"/>
              </w:numPr>
              <w:spacing w:before="156"/>
              <w:ind w:firstLine="0"/>
            </w:pPr>
            <w:r>
              <w:rPr>
                <w:rFonts w:hint="eastAsia"/>
              </w:rPr>
              <w:t xml:space="preserve"> </w:t>
            </w:r>
            <w:r>
              <w:t xml:space="preserve"> </w:t>
            </w:r>
            <w:r>
              <w:rPr>
                <w:rFonts w:hint="eastAsia"/>
              </w:rPr>
              <w:t>本项目现有工程主要生产设备一览表  单位：台/套</w:t>
            </w:r>
          </w:p>
          <w:tbl>
            <w:tblPr>
              <w:tblStyle w:val="9"/>
              <w:tblW w:w="7686" w:type="dxa"/>
              <w:jc w:val="center"/>
              <w:tblLayout w:type="fixed"/>
              <w:tblCellMar>
                <w:top w:w="0" w:type="dxa"/>
                <w:left w:w="108" w:type="dxa"/>
                <w:bottom w:w="0" w:type="dxa"/>
                <w:right w:w="108" w:type="dxa"/>
              </w:tblCellMar>
            </w:tblPr>
            <w:tblGrid>
              <w:gridCol w:w="731"/>
              <w:gridCol w:w="1647"/>
              <w:gridCol w:w="1745"/>
              <w:gridCol w:w="1734"/>
              <w:gridCol w:w="1829"/>
            </w:tblGrid>
            <w:tr w14:paraId="19BA86A0">
              <w:trPr>
                <w:trHeight w:val="340" w:hRule="atLeast"/>
                <w:jc w:val="center"/>
              </w:trPr>
              <w:tc>
                <w:tcPr>
                  <w:tcW w:w="475" w:type="pct"/>
                  <w:vMerge w:val="restart"/>
                  <w:tcBorders>
                    <w:top w:val="single" w:color="auto" w:sz="4" w:space="0"/>
                    <w:left w:val="single" w:color="auto" w:sz="4" w:space="0"/>
                    <w:bottom w:val="single" w:color="auto" w:sz="4" w:space="0"/>
                    <w:right w:val="single" w:color="auto" w:sz="4" w:space="0"/>
                  </w:tcBorders>
                  <w:noWrap/>
                  <w:vAlign w:val="center"/>
                </w:tcPr>
                <w:p w14:paraId="4E65C276">
                  <w:pPr>
                    <w:pStyle w:val="13"/>
                    <w:jc w:val="center"/>
                  </w:pPr>
                  <w:r>
                    <w:rPr>
                      <w:rFonts w:hint="eastAsia"/>
                    </w:rPr>
                    <w:t>序号</w:t>
                  </w:r>
                </w:p>
              </w:tc>
              <w:tc>
                <w:tcPr>
                  <w:tcW w:w="1071" w:type="pct"/>
                  <w:vMerge w:val="restart"/>
                  <w:tcBorders>
                    <w:top w:val="single" w:color="auto" w:sz="4" w:space="0"/>
                    <w:left w:val="single" w:color="auto" w:sz="4" w:space="0"/>
                    <w:bottom w:val="single" w:color="auto" w:sz="4" w:space="0"/>
                    <w:right w:val="single" w:color="auto" w:sz="4" w:space="0"/>
                  </w:tcBorders>
                  <w:noWrap/>
                  <w:vAlign w:val="center"/>
                </w:tcPr>
                <w:p w14:paraId="30E1FEF6">
                  <w:pPr>
                    <w:pStyle w:val="13"/>
                    <w:jc w:val="center"/>
                  </w:pPr>
                  <w:r>
                    <w:rPr>
                      <w:rFonts w:hint="eastAsia"/>
                    </w:rPr>
                    <w:t>名称</w:t>
                  </w:r>
                </w:p>
              </w:tc>
              <w:tc>
                <w:tcPr>
                  <w:tcW w:w="3453" w:type="pct"/>
                  <w:gridSpan w:val="3"/>
                  <w:tcBorders>
                    <w:top w:val="single" w:color="auto" w:sz="4" w:space="0"/>
                    <w:left w:val="nil"/>
                    <w:bottom w:val="single" w:color="auto" w:sz="4" w:space="0"/>
                    <w:right w:val="single" w:color="auto" w:sz="4" w:space="0"/>
                  </w:tcBorders>
                  <w:noWrap/>
                  <w:vAlign w:val="center"/>
                </w:tcPr>
                <w:p w14:paraId="68FF0047">
                  <w:pPr>
                    <w:pStyle w:val="13"/>
                    <w:jc w:val="center"/>
                  </w:pPr>
                  <w:r>
                    <w:rPr>
                      <w:rFonts w:hint="eastAsia"/>
                    </w:rPr>
                    <w:t>现有工程</w:t>
                  </w:r>
                </w:p>
              </w:tc>
            </w:tr>
            <w:tr w14:paraId="4400FFC0">
              <w:trPr>
                <w:trHeight w:val="340" w:hRule="atLeast"/>
                <w:jc w:val="center"/>
              </w:trPr>
              <w:tc>
                <w:tcPr>
                  <w:tcW w:w="475" w:type="pct"/>
                  <w:vMerge w:val="continue"/>
                  <w:tcBorders>
                    <w:top w:val="single" w:color="auto" w:sz="4" w:space="0"/>
                    <w:left w:val="single" w:color="auto" w:sz="4" w:space="0"/>
                    <w:bottom w:val="single" w:color="auto" w:sz="4" w:space="0"/>
                    <w:right w:val="single" w:color="auto" w:sz="4" w:space="0"/>
                  </w:tcBorders>
                  <w:noWrap/>
                  <w:vAlign w:val="center"/>
                </w:tcPr>
                <w:p w14:paraId="23CB7202">
                  <w:pPr>
                    <w:pStyle w:val="13"/>
                    <w:jc w:val="center"/>
                  </w:pPr>
                </w:p>
              </w:tc>
              <w:tc>
                <w:tcPr>
                  <w:tcW w:w="1071" w:type="pct"/>
                  <w:vMerge w:val="continue"/>
                  <w:tcBorders>
                    <w:top w:val="single" w:color="auto" w:sz="4" w:space="0"/>
                    <w:left w:val="single" w:color="auto" w:sz="4" w:space="0"/>
                    <w:bottom w:val="single" w:color="auto" w:sz="4" w:space="0"/>
                    <w:right w:val="single" w:color="auto" w:sz="4" w:space="0"/>
                  </w:tcBorders>
                  <w:noWrap/>
                  <w:vAlign w:val="center"/>
                </w:tcPr>
                <w:p w14:paraId="4EE16DF3">
                  <w:pPr>
                    <w:pStyle w:val="13"/>
                    <w:jc w:val="center"/>
                  </w:pPr>
                </w:p>
              </w:tc>
              <w:tc>
                <w:tcPr>
                  <w:tcW w:w="1135" w:type="pct"/>
                  <w:tcBorders>
                    <w:top w:val="nil"/>
                    <w:left w:val="nil"/>
                    <w:bottom w:val="single" w:color="auto" w:sz="4" w:space="0"/>
                    <w:right w:val="single" w:color="auto" w:sz="4" w:space="0"/>
                  </w:tcBorders>
                  <w:noWrap/>
                  <w:vAlign w:val="center"/>
                </w:tcPr>
                <w:p w14:paraId="3943D819">
                  <w:pPr>
                    <w:pStyle w:val="13"/>
                    <w:jc w:val="center"/>
                  </w:pPr>
                  <w:r>
                    <w:rPr>
                      <w:rFonts w:hint="eastAsia"/>
                    </w:rPr>
                    <w:t>原审批</w:t>
                  </w:r>
                </w:p>
              </w:tc>
              <w:tc>
                <w:tcPr>
                  <w:tcW w:w="1128" w:type="pct"/>
                  <w:tcBorders>
                    <w:top w:val="nil"/>
                    <w:left w:val="nil"/>
                    <w:bottom w:val="single" w:color="auto" w:sz="4" w:space="0"/>
                    <w:right w:val="single" w:color="auto" w:sz="4" w:space="0"/>
                  </w:tcBorders>
                  <w:noWrap/>
                  <w:vAlign w:val="center"/>
                </w:tcPr>
                <w:p w14:paraId="7AC6023B">
                  <w:pPr>
                    <w:pStyle w:val="13"/>
                    <w:jc w:val="center"/>
                  </w:pPr>
                  <w:r>
                    <w:rPr>
                      <w:rFonts w:hint="eastAsia"/>
                    </w:rPr>
                    <w:t>已验收</w:t>
                  </w:r>
                </w:p>
              </w:tc>
              <w:tc>
                <w:tcPr>
                  <w:tcW w:w="1188" w:type="pct"/>
                  <w:tcBorders>
                    <w:top w:val="nil"/>
                    <w:left w:val="nil"/>
                    <w:bottom w:val="single" w:color="auto" w:sz="4" w:space="0"/>
                    <w:right w:val="single" w:color="auto" w:sz="4" w:space="0"/>
                  </w:tcBorders>
                  <w:noWrap/>
                  <w:vAlign w:val="center"/>
                </w:tcPr>
                <w:p w14:paraId="195098C2">
                  <w:pPr>
                    <w:pStyle w:val="13"/>
                    <w:jc w:val="center"/>
                  </w:pPr>
                  <w:r>
                    <w:rPr>
                      <w:rFonts w:hint="eastAsia"/>
                    </w:rPr>
                    <w:t>变化量</w:t>
                  </w:r>
                </w:p>
              </w:tc>
            </w:tr>
            <w:tr w14:paraId="0B4468FD">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75604835">
                  <w:pPr>
                    <w:pStyle w:val="13"/>
                    <w:jc w:val="center"/>
                  </w:pPr>
                  <w:r>
                    <w:rPr>
                      <w:rFonts w:hint="eastAsia"/>
                    </w:rPr>
                    <w:t>1</w:t>
                  </w:r>
                </w:p>
              </w:tc>
              <w:tc>
                <w:tcPr>
                  <w:tcW w:w="1071" w:type="pct"/>
                  <w:tcBorders>
                    <w:top w:val="nil"/>
                    <w:left w:val="nil"/>
                    <w:bottom w:val="single" w:color="auto" w:sz="4" w:space="0"/>
                    <w:right w:val="single" w:color="auto" w:sz="4" w:space="0"/>
                  </w:tcBorders>
                  <w:vAlign w:val="center"/>
                </w:tcPr>
                <w:p w14:paraId="09BF02D5">
                  <w:pPr>
                    <w:pStyle w:val="13"/>
                    <w:jc w:val="center"/>
                  </w:pPr>
                  <w:r>
                    <w:rPr>
                      <w:rFonts w:hint="eastAsia"/>
                    </w:rPr>
                    <w:t>螺杆挤出机</w:t>
                  </w:r>
                </w:p>
              </w:tc>
              <w:tc>
                <w:tcPr>
                  <w:tcW w:w="1135" w:type="pct"/>
                  <w:tcBorders>
                    <w:top w:val="nil"/>
                    <w:left w:val="nil"/>
                    <w:bottom w:val="single" w:color="auto" w:sz="4" w:space="0"/>
                    <w:right w:val="single" w:color="auto" w:sz="4" w:space="0"/>
                  </w:tcBorders>
                  <w:noWrap/>
                  <w:vAlign w:val="center"/>
                </w:tcPr>
                <w:p w14:paraId="7FDC564E">
                  <w:pPr>
                    <w:pStyle w:val="13"/>
                    <w:jc w:val="center"/>
                  </w:pPr>
                  <w:r>
                    <w:rPr>
                      <w:rFonts w:hint="eastAsia"/>
                    </w:rPr>
                    <w:t>12</w:t>
                  </w:r>
                </w:p>
              </w:tc>
              <w:tc>
                <w:tcPr>
                  <w:tcW w:w="1128" w:type="pct"/>
                  <w:tcBorders>
                    <w:top w:val="nil"/>
                    <w:left w:val="nil"/>
                    <w:bottom w:val="single" w:color="auto" w:sz="4" w:space="0"/>
                    <w:right w:val="single" w:color="auto" w:sz="4" w:space="0"/>
                  </w:tcBorders>
                  <w:noWrap/>
                  <w:vAlign w:val="center"/>
                </w:tcPr>
                <w:p w14:paraId="42E7DFA1">
                  <w:pPr>
                    <w:pStyle w:val="13"/>
                    <w:jc w:val="center"/>
                  </w:pPr>
                  <w:r>
                    <w:rPr>
                      <w:rFonts w:hint="eastAsia"/>
                    </w:rPr>
                    <w:t>12</w:t>
                  </w:r>
                </w:p>
              </w:tc>
              <w:tc>
                <w:tcPr>
                  <w:tcW w:w="1188" w:type="pct"/>
                  <w:tcBorders>
                    <w:top w:val="nil"/>
                    <w:left w:val="nil"/>
                    <w:bottom w:val="single" w:color="auto" w:sz="4" w:space="0"/>
                    <w:right w:val="single" w:color="auto" w:sz="4" w:space="0"/>
                  </w:tcBorders>
                  <w:noWrap/>
                  <w:vAlign w:val="center"/>
                </w:tcPr>
                <w:p w14:paraId="547AEF8A">
                  <w:pPr>
                    <w:pStyle w:val="13"/>
                    <w:jc w:val="center"/>
                  </w:pPr>
                  <w:r>
                    <w:rPr>
                      <w:rFonts w:hint="eastAsia"/>
                    </w:rPr>
                    <w:t>0</w:t>
                  </w:r>
                </w:p>
              </w:tc>
            </w:tr>
            <w:tr w14:paraId="55360156">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5A7C5BF2">
                  <w:pPr>
                    <w:pStyle w:val="13"/>
                    <w:jc w:val="center"/>
                  </w:pPr>
                  <w:r>
                    <w:rPr>
                      <w:rFonts w:hint="eastAsia"/>
                    </w:rPr>
                    <w:t>2</w:t>
                  </w:r>
                </w:p>
              </w:tc>
              <w:tc>
                <w:tcPr>
                  <w:tcW w:w="1071" w:type="pct"/>
                  <w:tcBorders>
                    <w:top w:val="nil"/>
                    <w:left w:val="nil"/>
                    <w:bottom w:val="single" w:color="auto" w:sz="4" w:space="0"/>
                    <w:right w:val="single" w:color="auto" w:sz="4" w:space="0"/>
                  </w:tcBorders>
                  <w:vAlign w:val="center"/>
                </w:tcPr>
                <w:p w14:paraId="6FE028EE">
                  <w:pPr>
                    <w:pStyle w:val="13"/>
                    <w:jc w:val="center"/>
                  </w:pPr>
                  <w:r>
                    <w:rPr>
                      <w:rFonts w:hint="eastAsia"/>
                    </w:rPr>
                    <w:t>打粉机</w:t>
                  </w:r>
                </w:p>
              </w:tc>
              <w:tc>
                <w:tcPr>
                  <w:tcW w:w="1135" w:type="pct"/>
                  <w:tcBorders>
                    <w:top w:val="nil"/>
                    <w:left w:val="nil"/>
                    <w:bottom w:val="single" w:color="auto" w:sz="4" w:space="0"/>
                    <w:right w:val="single" w:color="auto" w:sz="4" w:space="0"/>
                  </w:tcBorders>
                  <w:noWrap/>
                  <w:vAlign w:val="center"/>
                </w:tcPr>
                <w:p w14:paraId="058F2062">
                  <w:pPr>
                    <w:pStyle w:val="13"/>
                    <w:jc w:val="center"/>
                  </w:pPr>
                  <w:r>
                    <w:rPr>
                      <w:rFonts w:hint="eastAsia"/>
                    </w:rPr>
                    <w:t>2</w:t>
                  </w:r>
                </w:p>
              </w:tc>
              <w:tc>
                <w:tcPr>
                  <w:tcW w:w="1128" w:type="pct"/>
                  <w:tcBorders>
                    <w:top w:val="nil"/>
                    <w:left w:val="nil"/>
                    <w:bottom w:val="single" w:color="auto" w:sz="4" w:space="0"/>
                    <w:right w:val="single" w:color="auto" w:sz="4" w:space="0"/>
                  </w:tcBorders>
                  <w:noWrap/>
                  <w:vAlign w:val="center"/>
                </w:tcPr>
                <w:p w14:paraId="5EDA150F">
                  <w:pPr>
                    <w:pStyle w:val="13"/>
                    <w:jc w:val="center"/>
                  </w:pPr>
                  <w:r>
                    <w:rPr>
                      <w:rFonts w:hint="eastAsia"/>
                    </w:rPr>
                    <w:t>2</w:t>
                  </w:r>
                </w:p>
              </w:tc>
              <w:tc>
                <w:tcPr>
                  <w:tcW w:w="1188" w:type="pct"/>
                  <w:tcBorders>
                    <w:top w:val="nil"/>
                    <w:left w:val="nil"/>
                    <w:bottom w:val="single" w:color="auto" w:sz="4" w:space="0"/>
                    <w:right w:val="single" w:color="auto" w:sz="4" w:space="0"/>
                  </w:tcBorders>
                  <w:noWrap/>
                  <w:vAlign w:val="center"/>
                </w:tcPr>
                <w:p w14:paraId="6F66C8E6">
                  <w:pPr>
                    <w:pStyle w:val="13"/>
                    <w:jc w:val="center"/>
                  </w:pPr>
                  <w:r>
                    <w:rPr>
                      <w:rFonts w:hint="eastAsia"/>
                    </w:rPr>
                    <w:t>0</w:t>
                  </w:r>
                </w:p>
              </w:tc>
            </w:tr>
            <w:tr w14:paraId="25314664">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13DE1BBC">
                  <w:pPr>
                    <w:pStyle w:val="13"/>
                    <w:jc w:val="center"/>
                  </w:pPr>
                  <w:r>
                    <w:rPr>
                      <w:rFonts w:hint="eastAsia"/>
                    </w:rPr>
                    <w:t>3</w:t>
                  </w:r>
                </w:p>
              </w:tc>
              <w:tc>
                <w:tcPr>
                  <w:tcW w:w="1071" w:type="pct"/>
                  <w:tcBorders>
                    <w:top w:val="nil"/>
                    <w:left w:val="nil"/>
                    <w:bottom w:val="single" w:color="auto" w:sz="4" w:space="0"/>
                    <w:right w:val="single" w:color="auto" w:sz="4" w:space="0"/>
                  </w:tcBorders>
                  <w:vAlign w:val="center"/>
                </w:tcPr>
                <w:p w14:paraId="4ADAA675">
                  <w:pPr>
                    <w:pStyle w:val="13"/>
                    <w:jc w:val="center"/>
                  </w:pPr>
                  <w:r>
                    <w:rPr>
                      <w:rFonts w:hint="eastAsia"/>
                    </w:rPr>
                    <w:t>拌料机</w:t>
                  </w:r>
                </w:p>
              </w:tc>
              <w:tc>
                <w:tcPr>
                  <w:tcW w:w="1135" w:type="pct"/>
                  <w:tcBorders>
                    <w:top w:val="nil"/>
                    <w:left w:val="nil"/>
                    <w:bottom w:val="single" w:color="auto" w:sz="4" w:space="0"/>
                    <w:right w:val="single" w:color="auto" w:sz="4" w:space="0"/>
                  </w:tcBorders>
                  <w:noWrap/>
                  <w:vAlign w:val="center"/>
                </w:tcPr>
                <w:p w14:paraId="4130A1F5">
                  <w:pPr>
                    <w:pStyle w:val="13"/>
                    <w:jc w:val="center"/>
                  </w:pPr>
                  <w:r>
                    <w:rPr>
                      <w:rFonts w:hint="eastAsia"/>
                    </w:rPr>
                    <w:t>15</w:t>
                  </w:r>
                </w:p>
              </w:tc>
              <w:tc>
                <w:tcPr>
                  <w:tcW w:w="1128" w:type="pct"/>
                  <w:tcBorders>
                    <w:top w:val="nil"/>
                    <w:left w:val="nil"/>
                    <w:bottom w:val="single" w:color="auto" w:sz="4" w:space="0"/>
                    <w:right w:val="single" w:color="auto" w:sz="4" w:space="0"/>
                  </w:tcBorders>
                  <w:noWrap/>
                  <w:vAlign w:val="center"/>
                </w:tcPr>
                <w:p w14:paraId="01C20A7A">
                  <w:pPr>
                    <w:pStyle w:val="13"/>
                    <w:jc w:val="center"/>
                  </w:pPr>
                  <w:r>
                    <w:rPr>
                      <w:rFonts w:hint="eastAsia"/>
                    </w:rPr>
                    <w:t>15</w:t>
                  </w:r>
                </w:p>
              </w:tc>
              <w:tc>
                <w:tcPr>
                  <w:tcW w:w="1188" w:type="pct"/>
                  <w:tcBorders>
                    <w:top w:val="nil"/>
                    <w:left w:val="nil"/>
                    <w:bottom w:val="single" w:color="auto" w:sz="4" w:space="0"/>
                    <w:right w:val="single" w:color="auto" w:sz="4" w:space="0"/>
                  </w:tcBorders>
                  <w:noWrap/>
                  <w:vAlign w:val="center"/>
                </w:tcPr>
                <w:p w14:paraId="0C188EF7">
                  <w:pPr>
                    <w:pStyle w:val="13"/>
                    <w:jc w:val="center"/>
                  </w:pPr>
                  <w:r>
                    <w:rPr>
                      <w:rFonts w:hint="eastAsia"/>
                    </w:rPr>
                    <w:t>0</w:t>
                  </w:r>
                </w:p>
              </w:tc>
            </w:tr>
            <w:tr w14:paraId="40970B4D">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6E663EAF">
                  <w:pPr>
                    <w:pStyle w:val="13"/>
                    <w:jc w:val="center"/>
                  </w:pPr>
                  <w:r>
                    <w:rPr>
                      <w:rFonts w:hint="eastAsia"/>
                    </w:rPr>
                    <w:t>4</w:t>
                  </w:r>
                </w:p>
              </w:tc>
              <w:tc>
                <w:tcPr>
                  <w:tcW w:w="1071" w:type="pct"/>
                  <w:tcBorders>
                    <w:top w:val="nil"/>
                    <w:left w:val="nil"/>
                    <w:bottom w:val="single" w:color="auto" w:sz="4" w:space="0"/>
                    <w:right w:val="single" w:color="auto" w:sz="4" w:space="0"/>
                  </w:tcBorders>
                  <w:vAlign w:val="center"/>
                </w:tcPr>
                <w:p w14:paraId="637FC4C2">
                  <w:pPr>
                    <w:pStyle w:val="13"/>
                    <w:jc w:val="center"/>
                  </w:pPr>
                  <w:r>
                    <w:rPr>
                      <w:rFonts w:hint="eastAsia"/>
                    </w:rPr>
                    <w:t>切粒机</w:t>
                  </w:r>
                </w:p>
              </w:tc>
              <w:tc>
                <w:tcPr>
                  <w:tcW w:w="1135" w:type="pct"/>
                  <w:tcBorders>
                    <w:top w:val="nil"/>
                    <w:left w:val="nil"/>
                    <w:bottom w:val="single" w:color="auto" w:sz="4" w:space="0"/>
                    <w:right w:val="single" w:color="auto" w:sz="4" w:space="0"/>
                  </w:tcBorders>
                  <w:noWrap/>
                  <w:vAlign w:val="center"/>
                </w:tcPr>
                <w:p w14:paraId="37AC2E67">
                  <w:pPr>
                    <w:pStyle w:val="13"/>
                    <w:jc w:val="center"/>
                  </w:pPr>
                  <w:r>
                    <w:rPr>
                      <w:rFonts w:hint="eastAsia"/>
                    </w:rPr>
                    <w:t>15</w:t>
                  </w:r>
                </w:p>
              </w:tc>
              <w:tc>
                <w:tcPr>
                  <w:tcW w:w="1128" w:type="pct"/>
                  <w:tcBorders>
                    <w:top w:val="nil"/>
                    <w:left w:val="nil"/>
                    <w:bottom w:val="single" w:color="auto" w:sz="4" w:space="0"/>
                    <w:right w:val="single" w:color="auto" w:sz="4" w:space="0"/>
                  </w:tcBorders>
                  <w:noWrap/>
                  <w:vAlign w:val="center"/>
                </w:tcPr>
                <w:p w14:paraId="637CFCC8">
                  <w:pPr>
                    <w:pStyle w:val="13"/>
                    <w:jc w:val="center"/>
                  </w:pPr>
                  <w:r>
                    <w:rPr>
                      <w:rFonts w:hint="eastAsia"/>
                    </w:rPr>
                    <w:t>15</w:t>
                  </w:r>
                </w:p>
              </w:tc>
              <w:tc>
                <w:tcPr>
                  <w:tcW w:w="1188" w:type="pct"/>
                  <w:tcBorders>
                    <w:top w:val="nil"/>
                    <w:left w:val="nil"/>
                    <w:bottom w:val="single" w:color="auto" w:sz="4" w:space="0"/>
                    <w:right w:val="single" w:color="auto" w:sz="4" w:space="0"/>
                  </w:tcBorders>
                  <w:noWrap/>
                  <w:vAlign w:val="center"/>
                </w:tcPr>
                <w:p w14:paraId="4CFA7CEA">
                  <w:pPr>
                    <w:pStyle w:val="13"/>
                    <w:jc w:val="center"/>
                  </w:pPr>
                  <w:r>
                    <w:rPr>
                      <w:rFonts w:hint="eastAsia"/>
                    </w:rPr>
                    <w:t>0</w:t>
                  </w:r>
                </w:p>
              </w:tc>
            </w:tr>
            <w:tr w14:paraId="190A764F">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7D997132">
                  <w:pPr>
                    <w:pStyle w:val="13"/>
                    <w:jc w:val="center"/>
                  </w:pPr>
                  <w:r>
                    <w:rPr>
                      <w:rFonts w:hint="eastAsia"/>
                    </w:rPr>
                    <w:t>5</w:t>
                  </w:r>
                </w:p>
              </w:tc>
              <w:tc>
                <w:tcPr>
                  <w:tcW w:w="1071" w:type="pct"/>
                  <w:tcBorders>
                    <w:top w:val="nil"/>
                    <w:left w:val="nil"/>
                    <w:bottom w:val="single" w:color="auto" w:sz="4" w:space="0"/>
                    <w:right w:val="single" w:color="auto" w:sz="4" w:space="0"/>
                  </w:tcBorders>
                  <w:vAlign w:val="center"/>
                </w:tcPr>
                <w:p w14:paraId="02987E68">
                  <w:pPr>
                    <w:pStyle w:val="13"/>
                    <w:jc w:val="center"/>
                  </w:pPr>
                  <w:r>
                    <w:rPr>
                      <w:rFonts w:hint="eastAsia"/>
                    </w:rPr>
                    <w:t>打水器</w:t>
                  </w:r>
                </w:p>
              </w:tc>
              <w:tc>
                <w:tcPr>
                  <w:tcW w:w="1135" w:type="pct"/>
                  <w:tcBorders>
                    <w:top w:val="nil"/>
                    <w:left w:val="nil"/>
                    <w:bottom w:val="single" w:color="auto" w:sz="4" w:space="0"/>
                    <w:right w:val="single" w:color="auto" w:sz="4" w:space="0"/>
                  </w:tcBorders>
                  <w:noWrap/>
                  <w:vAlign w:val="center"/>
                </w:tcPr>
                <w:p w14:paraId="2F361D58">
                  <w:pPr>
                    <w:pStyle w:val="13"/>
                    <w:jc w:val="center"/>
                  </w:pPr>
                  <w:r>
                    <w:rPr>
                      <w:rFonts w:hint="eastAsia"/>
                    </w:rPr>
                    <w:t>9</w:t>
                  </w:r>
                </w:p>
              </w:tc>
              <w:tc>
                <w:tcPr>
                  <w:tcW w:w="1128" w:type="pct"/>
                  <w:tcBorders>
                    <w:top w:val="nil"/>
                    <w:left w:val="nil"/>
                    <w:bottom w:val="single" w:color="auto" w:sz="4" w:space="0"/>
                    <w:right w:val="single" w:color="auto" w:sz="4" w:space="0"/>
                  </w:tcBorders>
                  <w:noWrap/>
                  <w:vAlign w:val="center"/>
                </w:tcPr>
                <w:p w14:paraId="4A109056">
                  <w:pPr>
                    <w:pStyle w:val="13"/>
                    <w:jc w:val="center"/>
                  </w:pPr>
                  <w:r>
                    <w:rPr>
                      <w:rFonts w:hint="eastAsia"/>
                    </w:rPr>
                    <w:t>9</w:t>
                  </w:r>
                </w:p>
              </w:tc>
              <w:tc>
                <w:tcPr>
                  <w:tcW w:w="1188" w:type="pct"/>
                  <w:tcBorders>
                    <w:top w:val="nil"/>
                    <w:left w:val="nil"/>
                    <w:bottom w:val="single" w:color="auto" w:sz="4" w:space="0"/>
                    <w:right w:val="single" w:color="auto" w:sz="4" w:space="0"/>
                  </w:tcBorders>
                  <w:noWrap/>
                  <w:vAlign w:val="center"/>
                </w:tcPr>
                <w:p w14:paraId="787E1C24">
                  <w:pPr>
                    <w:pStyle w:val="13"/>
                    <w:jc w:val="center"/>
                  </w:pPr>
                  <w:r>
                    <w:rPr>
                      <w:rFonts w:hint="eastAsia"/>
                    </w:rPr>
                    <w:t>0</w:t>
                  </w:r>
                </w:p>
              </w:tc>
            </w:tr>
            <w:tr w14:paraId="4185C394">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41697776">
                  <w:pPr>
                    <w:pStyle w:val="13"/>
                    <w:jc w:val="center"/>
                  </w:pPr>
                  <w:r>
                    <w:rPr>
                      <w:rFonts w:hint="eastAsia"/>
                    </w:rPr>
                    <w:t>6</w:t>
                  </w:r>
                </w:p>
              </w:tc>
              <w:tc>
                <w:tcPr>
                  <w:tcW w:w="1071" w:type="pct"/>
                  <w:tcBorders>
                    <w:top w:val="nil"/>
                    <w:left w:val="nil"/>
                    <w:bottom w:val="single" w:color="auto" w:sz="4" w:space="0"/>
                    <w:right w:val="single" w:color="auto" w:sz="4" w:space="0"/>
                  </w:tcBorders>
                  <w:vAlign w:val="center"/>
                </w:tcPr>
                <w:p w14:paraId="0618BDA4">
                  <w:pPr>
                    <w:pStyle w:val="13"/>
                    <w:jc w:val="center"/>
                  </w:pPr>
                  <w:r>
                    <w:rPr>
                      <w:rFonts w:hint="eastAsia"/>
                    </w:rPr>
                    <w:t>破碎机</w:t>
                  </w:r>
                </w:p>
              </w:tc>
              <w:tc>
                <w:tcPr>
                  <w:tcW w:w="1135" w:type="pct"/>
                  <w:tcBorders>
                    <w:top w:val="nil"/>
                    <w:left w:val="nil"/>
                    <w:bottom w:val="single" w:color="auto" w:sz="4" w:space="0"/>
                    <w:right w:val="single" w:color="auto" w:sz="4" w:space="0"/>
                  </w:tcBorders>
                  <w:noWrap/>
                  <w:vAlign w:val="center"/>
                </w:tcPr>
                <w:p w14:paraId="7E2FF2E6">
                  <w:pPr>
                    <w:pStyle w:val="13"/>
                    <w:jc w:val="center"/>
                  </w:pPr>
                  <w:r>
                    <w:rPr>
                      <w:rFonts w:hint="eastAsia"/>
                    </w:rPr>
                    <w:t>4</w:t>
                  </w:r>
                </w:p>
              </w:tc>
              <w:tc>
                <w:tcPr>
                  <w:tcW w:w="1128" w:type="pct"/>
                  <w:tcBorders>
                    <w:top w:val="nil"/>
                    <w:left w:val="nil"/>
                    <w:bottom w:val="single" w:color="auto" w:sz="4" w:space="0"/>
                    <w:right w:val="single" w:color="auto" w:sz="4" w:space="0"/>
                  </w:tcBorders>
                  <w:noWrap/>
                  <w:vAlign w:val="center"/>
                </w:tcPr>
                <w:p w14:paraId="108655D9">
                  <w:pPr>
                    <w:pStyle w:val="13"/>
                    <w:jc w:val="center"/>
                  </w:pPr>
                  <w:r>
                    <w:rPr>
                      <w:rFonts w:hint="eastAsia"/>
                    </w:rPr>
                    <w:t>4</w:t>
                  </w:r>
                </w:p>
              </w:tc>
              <w:tc>
                <w:tcPr>
                  <w:tcW w:w="1188" w:type="pct"/>
                  <w:tcBorders>
                    <w:top w:val="nil"/>
                    <w:left w:val="nil"/>
                    <w:bottom w:val="single" w:color="auto" w:sz="4" w:space="0"/>
                    <w:right w:val="single" w:color="auto" w:sz="4" w:space="0"/>
                  </w:tcBorders>
                  <w:noWrap/>
                  <w:vAlign w:val="center"/>
                </w:tcPr>
                <w:p w14:paraId="0C9815B7">
                  <w:pPr>
                    <w:pStyle w:val="13"/>
                    <w:jc w:val="center"/>
                  </w:pPr>
                  <w:r>
                    <w:rPr>
                      <w:rFonts w:hint="eastAsia"/>
                    </w:rPr>
                    <w:t>0</w:t>
                  </w:r>
                </w:p>
              </w:tc>
            </w:tr>
            <w:tr w14:paraId="0DC93595">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43ACE426">
                  <w:pPr>
                    <w:pStyle w:val="13"/>
                    <w:jc w:val="center"/>
                  </w:pPr>
                  <w:r>
                    <w:rPr>
                      <w:rFonts w:hint="eastAsia"/>
                    </w:rPr>
                    <w:t>7</w:t>
                  </w:r>
                </w:p>
              </w:tc>
              <w:tc>
                <w:tcPr>
                  <w:tcW w:w="1071" w:type="pct"/>
                  <w:tcBorders>
                    <w:top w:val="nil"/>
                    <w:left w:val="nil"/>
                    <w:bottom w:val="single" w:color="auto" w:sz="4" w:space="0"/>
                    <w:right w:val="single" w:color="auto" w:sz="4" w:space="0"/>
                  </w:tcBorders>
                  <w:vAlign w:val="center"/>
                </w:tcPr>
                <w:p w14:paraId="5AB96869">
                  <w:pPr>
                    <w:pStyle w:val="13"/>
                    <w:jc w:val="center"/>
                  </w:pPr>
                  <w:r>
                    <w:rPr>
                      <w:rFonts w:hint="eastAsia"/>
                    </w:rPr>
                    <w:t>注塑机</w:t>
                  </w:r>
                </w:p>
              </w:tc>
              <w:tc>
                <w:tcPr>
                  <w:tcW w:w="1135" w:type="pct"/>
                  <w:tcBorders>
                    <w:top w:val="nil"/>
                    <w:left w:val="nil"/>
                    <w:bottom w:val="single" w:color="auto" w:sz="4" w:space="0"/>
                    <w:right w:val="single" w:color="auto" w:sz="4" w:space="0"/>
                  </w:tcBorders>
                  <w:noWrap/>
                  <w:vAlign w:val="center"/>
                </w:tcPr>
                <w:p w14:paraId="15E75F7C">
                  <w:pPr>
                    <w:pStyle w:val="13"/>
                    <w:jc w:val="center"/>
                  </w:pPr>
                  <w:r>
                    <w:rPr>
                      <w:rFonts w:hint="eastAsia"/>
                    </w:rPr>
                    <w:t>5</w:t>
                  </w:r>
                </w:p>
              </w:tc>
              <w:tc>
                <w:tcPr>
                  <w:tcW w:w="1128" w:type="pct"/>
                  <w:tcBorders>
                    <w:top w:val="nil"/>
                    <w:left w:val="nil"/>
                    <w:bottom w:val="single" w:color="auto" w:sz="4" w:space="0"/>
                    <w:right w:val="single" w:color="auto" w:sz="4" w:space="0"/>
                  </w:tcBorders>
                  <w:noWrap/>
                  <w:vAlign w:val="center"/>
                </w:tcPr>
                <w:p w14:paraId="6846DBA1">
                  <w:pPr>
                    <w:pStyle w:val="13"/>
                    <w:jc w:val="center"/>
                  </w:pPr>
                  <w:r>
                    <w:rPr>
                      <w:rFonts w:hint="eastAsia"/>
                    </w:rPr>
                    <w:t>5</w:t>
                  </w:r>
                </w:p>
              </w:tc>
              <w:tc>
                <w:tcPr>
                  <w:tcW w:w="1188" w:type="pct"/>
                  <w:tcBorders>
                    <w:top w:val="nil"/>
                    <w:left w:val="nil"/>
                    <w:bottom w:val="single" w:color="auto" w:sz="4" w:space="0"/>
                    <w:right w:val="single" w:color="auto" w:sz="4" w:space="0"/>
                  </w:tcBorders>
                  <w:noWrap/>
                  <w:vAlign w:val="center"/>
                </w:tcPr>
                <w:p w14:paraId="0164A98D">
                  <w:pPr>
                    <w:pStyle w:val="13"/>
                    <w:jc w:val="center"/>
                  </w:pPr>
                  <w:r>
                    <w:rPr>
                      <w:rFonts w:hint="eastAsia"/>
                    </w:rPr>
                    <w:t>0</w:t>
                  </w:r>
                </w:p>
              </w:tc>
            </w:tr>
            <w:tr w14:paraId="6AFC1D79">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7B1940CF">
                  <w:pPr>
                    <w:pStyle w:val="13"/>
                    <w:jc w:val="center"/>
                  </w:pPr>
                  <w:r>
                    <w:rPr>
                      <w:rFonts w:hint="eastAsia"/>
                    </w:rPr>
                    <w:t>8</w:t>
                  </w:r>
                </w:p>
              </w:tc>
              <w:tc>
                <w:tcPr>
                  <w:tcW w:w="1071" w:type="pct"/>
                  <w:tcBorders>
                    <w:top w:val="nil"/>
                    <w:left w:val="nil"/>
                    <w:bottom w:val="single" w:color="auto" w:sz="4" w:space="0"/>
                    <w:right w:val="single" w:color="auto" w:sz="4" w:space="0"/>
                  </w:tcBorders>
                  <w:vAlign w:val="center"/>
                </w:tcPr>
                <w:p w14:paraId="12D84CEF">
                  <w:pPr>
                    <w:pStyle w:val="13"/>
                    <w:jc w:val="center"/>
                  </w:pPr>
                  <w:r>
                    <w:rPr>
                      <w:rFonts w:hint="eastAsia"/>
                    </w:rPr>
                    <w:t>空气压缩机</w:t>
                  </w:r>
                </w:p>
              </w:tc>
              <w:tc>
                <w:tcPr>
                  <w:tcW w:w="1135" w:type="pct"/>
                  <w:tcBorders>
                    <w:top w:val="nil"/>
                    <w:left w:val="nil"/>
                    <w:bottom w:val="single" w:color="auto" w:sz="4" w:space="0"/>
                    <w:right w:val="single" w:color="auto" w:sz="4" w:space="0"/>
                  </w:tcBorders>
                  <w:noWrap/>
                  <w:vAlign w:val="center"/>
                </w:tcPr>
                <w:p w14:paraId="0F0C3522">
                  <w:pPr>
                    <w:pStyle w:val="13"/>
                    <w:jc w:val="center"/>
                  </w:pPr>
                  <w:r>
                    <w:rPr>
                      <w:rFonts w:hint="eastAsia"/>
                    </w:rPr>
                    <w:t>1</w:t>
                  </w:r>
                </w:p>
              </w:tc>
              <w:tc>
                <w:tcPr>
                  <w:tcW w:w="1128" w:type="pct"/>
                  <w:tcBorders>
                    <w:top w:val="nil"/>
                    <w:left w:val="nil"/>
                    <w:bottom w:val="single" w:color="auto" w:sz="4" w:space="0"/>
                    <w:right w:val="single" w:color="auto" w:sz="4" w:space="0"/>
                  </w:tcBorders>
                  <w:noWrap/>
                  <w:vAlign w:val="center"/>
                </w:tcPr>
                <w:p w14:paraId="625F17B1">
                  <w:pPr>
                    <w:pStyle w:val="13"/>
                    <w:jc w:val="center"/>
                  </w:pPr>
                  <w:r>
                    <w:rPr>
                      <w:rFonts w:hint="eastAsia"/>
                    </w:rPr>
                    <w:t>1</w:t>
                  </w:r>
                </w:p>
              </w:tc>
              <w:tc>
                <w:tcPr>
                  <w:tcW w:w="1188" w:type="pct"/>
                  <w:tcBorders>
                    <w:top w:val="nil"/>
                    <w:left w:val="nil"/>
                    <w:bottom w:val="single" w:color="auto" w:sz="4" w:space="0"/>
                    <w:right w:val="single" w:color="auto" w:sz="4" w:space="0"/>
                  </w:tcBorders>
                  <w:noWrap/>
                  <w:vAlign w:val="center"/>
                </w:tcPr>
                <w:p w14:paraId="751CBFEF">
                  <w:pPr>
                    <w:pStyle w:val="13"/>
                    <w:jc w:val="center"/>
                  </w:pPr>
                  <w:r>
                    <w:rPr>
                      <w:rFonts w:hint="eastAsia"/>
                    </w:rPr>
                    <w:t>0</w:t>
                  </w:r>
                </w:p>
              </w:tc>
            </w:tr>
            <w:tr w14:paraId="04643BA0">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6503894A">
                  <w:pPr>
                    <w:pStyle w:val="13"/>
                    <w:jc w:val="center"/>
                  </w:pPr>
                  <w:r>
                    <w:rPr>
                      <w:rFonts w:hint="eastAsia"/>
                    </w:rPr>
                    <w:t>9</w:t>
                  </w:r>
                </w:p>
              </w:tc>
              <w:tc>
                <w:tcPr>
                  <w:tcW w:w="1071" w:type="pct"/>
                  <w:tcBorders>
                    <w:top w:val="nil"/>
                    <w:left w:val="nil"/>
                    <w:bottom w:val="single" w:color="auto" w:sz="4" w:space="0"/>
                    <w:right w:val="single" w:color="auto" w:sz="4" w:space="0"/>
                  </w:tcBorders>
                  <w:vAlign w:val="center"/>
                </w:tcPr>
                <w:p w14:paraId="53B6D019">
                  <w:pPr>
                    <w:pStyle w:val="13"/>
                    <w:jc w:val="center"/>
                  </w:pPr>
                  <w:r>
                    <w:rPr>
                      <w:rFonts w:hint="eastAsia"/>
                    </w:rPr>
                    <w:t>震动筛</w:t>
                  </w:r>
                </w:p>
              </w:tc>
              <w:tc>
                <w:tcPr>
                  <w:tcW w:w="1135" w:type="pct"/>
                  <w:tcBorders>
                    <w:top w:val="nil"/>
                    <w:left w:val="nil"/>
                    <w:bottom w:val="single" w:color="auto" w:sz="4" w:space="0"/>
                    <w:right w:val="single" w:color="auto" w:sz="4" w:space="0"/>
                  </w:tcBorders>
                  <w:noWrap/>
                  <w:vAlign w:val="center"/>
                </w:tcPr>
                <w:p w14:paraId="275A1E5C">
                  <w:pPr>
                    <w:pStyle w:val="13"/>
                    <w:jc w:val="center"/>
                  </w:pPr>
                  <w:r>
                    <w:rPr>
                      <w:rFonts w:hint="eastAsia"/>
                    </w:rPr>
                    <w:t>6</w:t>
                  </w:r>
                </w:p>
              </w:tc>
              <w:tc>
                <w:tcPr>
                  <w:tcW w:w="1128" w:type="pct"/>
                  <w:tcBorders>
                    <w:top w:val="nil"/>
                    <w:left w:val="nil"/>
                    <w:bottom w:val="single" w:color="auto" w:sz="4" w:space="0"/>
                    <w:right w:val="single" w:color="auto" w:sz="4" w:space="0"/>
                  </w:tcBorders>
                  <w:noWrap/>
                  <w:vAlign w:val="center"/>
                </w:tcPr>
                <w:p w14:paraId="474B69A4">
                  <w:pPr>
                    <w:pStyle w:val="13"/>
                    <w:jc w:val="center"/>
                  </w:pPr>
                  <w:r>
                    <w:rPr>
                      <w:rFonts w:hint="eastAsia"/>
                    </w:rPr>
                    <w:t>6</w:t>
                  </w:r>
                </w:p>
              </w:tc>
              <w:tc>
                <w:tcPr>
                  <w:tcW w:w="1188" w:type="pct"/>
                  <w:tcBorders>
                    <w:top w:val="nil"/>
                    <w:left w:val="nil"/>
                    <w:bottom w:val="single" w:color="auto" w:sz="4" w:space="0"/>
                    <w:right w:val="single" w:color="auto" w:sz="4" w:space="0"/>
                  </w:tcBorders>
                  <w:noWrap/>
                  <w:vAlign w:val="center"/>
                </w:tcPr>
                <w:p w14:paraId="33209797">
                  <w:pPr>
                    <w:pStyle w:val="13"/>
                    <w:jc w:val="center"/>
                  </w:pPr>
                  <w:r>
                    <w:rPr>
                      <w:rFonts w:hint="eastAsia"/>
                    </w:rPr>
                    <w:t>0</w:t>
                  </w:r>
                </w:p>
              </w:tc>
            </w:tr>
            <w:tr w14:paraId="2C84D0E1">
              <w:trPr>
                <w:trHeight w:val="340" w:hRule="atLeast"/>
                <w:jc w:val="center"/>
              </w:trPr>
              <w:tc>
                <w:tcPr>
                  <w:tcW w:w="475" w:type="pct"/>
                  <w:tcBorders>
                    <w:top w:val="nil"/>
                    <w:left w:val="single" w:color="auto" w:sz="4" w:space="0"/>
                    <w:bottom w:val="single" w:color="auto" w:sz="4" w:space="0"/>
                    <w:right w:val="single" w:color="auto" w:sz="4" w:space="0"/>
                  </w:tcBorders>
                  <w:noWrap/>
                  <w:vAlign w:val="center"/>
                </w:tcPr>
                <w:p w14:paraId="14500C58">
                  <w:pPr>
                    <w:pStyle w:val="13"/>
                    <w:jc w:val="center"/>
                  </w:pPr>
                  <w:r>
                    <w:rPr>
                      <w:rFonts w:hint="eastAsia"/>
                    </w:rPr>
                    <w:t>10</w:t>
                  </w:r>
                </w:p>
              </w:tc>
              <w:tc>
                <w:tcPr>
                  <w:tcW w:w="1071" w:type="pct"/>
                  <w:tcBorders>
                    <w:top w:val="nil"/>
                    <w:left w:val="nil"/>
                    <w:bottom w:val="single" w:color="auto" w:sz="4" w:space="0"/>
                    <w:right w:val="single" w:color="auto" w:sz="4" w:space="0"/>
                  </w:tcBorders>
                  <w:vAlign w:val="center"/>
                </w:tcPr>
                <w:p w14:paraId="5DF64DAE">
                  <w:pPr>
                    <w:pStyle w:val="13"/>
                    <w:jc w:val="center"/>
                  </w:pPr>
                  <w:r>
                    <w:rPr>
                      <w:rFonts w:hint="eastAsia"/>
                    </w:rPr>
                    <w:t>料仓</w:t>
                  </w:r>
                </w:p>
              </w:tc>
              <w:tc>
                <w:tcPr>
                  <w:tcW w:w="1135" w:type="pct"/>
                  <w:tcBorders>
                    <w:top w:val="nil"/>
                    <w:left w:val="nil"/>
                    <w:bottom w:val="single" w:color="auto" w:sz="4" w:space="0"/>
                    <w:right w:val="single" w:color="auto" w:sz="4" w:space="0"/>
                  </w:tcBorders>
                  <w:noWrap/>
                  <w:vAlign w:val="center"/>
                </w:tcPr>
                <w:p w14:paraId="4D0EF183">
                  <w:pPr>
                    <w:pStyle w:val="13"/>
                    <w:jc w:val="center"/>
                  </w:pPr>
                  <w:r>
                    <w:rPr>
                      <w:rFonts w:hint="eastAsia"/>
                    </w:rPr>
                    <w:t>7</w:t>
                  </w:r>
                </w:p>
              </w:tc>
              <w:tc>
                <w:tcPr>
                  <w:tcW w:w="1128" w:type="pct"/>
                  <w:tcBorders>
                    <w:top w:val="nil"/>
                    <w:left w:val="nil"/>
                    <w:bottom w:val="single" w:color="auto" w:sz="4" w:space="0"/>
                    <w:right w:val="single" w:color="auto" w:sz="4" w:space="0"/>
                  </w:tcBorders>
                  <w:noWrap/>
                  <w:vAlign w:val="center"/>
                </w:tcPr>
                <w:p w14:paraId="51541E9B">
                  <w:pPr>
                    <w:pStyle w:val="13"/>
                    <w:jc w:val="center"/>
                  </w:pPr>
                  <w:r>
                    <w:rPr>
                      <w:rFonts w:hint="eastAsia"/>
                    </w:rPr>
                    <w:t>7</w:t>
                  </w:r>
                </w:p>
              </w:tc>
              <w:tc>
                <w:tcPr>
                  <w:tcW w:w="1188" w:type="pct"/>
                  <w:tcBorders>
                    <w:top w:val="nil"/>
                    <w:left w:val="nil"/>
                    <w:bottom w:val="single" w:color="auto" w:sz="4" w:space="0"/>
                    <w:right w:val="single" w:color="auto" w:sz="4" w:space="0"/>
                  </w:tcBorders>
                  <w:noWrap/>
                  <w:vAlign w:val="center"/>
                </w:tcPr>
                <w:p w14:paraId="23270F5B">
                  <w:pPr>
                    <w:pStyle w:val="13"/>
                    <w:jc w:val="center"/>
                  </w:pPr>
                  <w:r>
                    <w:rPr>
                      <w:rFonts w:hint="eastAsia"/>
                    </w:rPr>
                    <w:t>0</w:t>
                  </w:r>
                </w:p>
              </w:tc>
            </w:tr>
          </w:tbl>
          <w:p w14:paraId="7E4E11C4">
            <w:pPr>
              <w:ind w:firstLine="480"/>
              <w:jc w:val="both"/>
            </w:pPr>
            <w:r>
              <w:rPr>
                <w:rFonts w:hint="eastAsia"/>
              </w:rPr>
              <w:t>4、现有项目主要原辅材料消耗</w:t>
            </w:r>
          </w:p>
          <w:p w14:paraId="140C77BA">
            <w:pPr>
              <w:pStyle w:val="14"/>
              <w:numPr>
                <w:ilvl w:val="0"/>
                <w:numId w:val="6"/>
              </w:numPr>
              <w:spacing w:before="156"/>
              <w:ind w:firstLine="0"/>
            </w:pPr>
            <w:r>
              <w:rPr>
                <w:rFonts w:hint="eastAsia"/>
              </w:rPr>
              <w:t xml:space="preserve"> </w:t>
            </w:r>
            <w:r>
              <w:t xml:space="preserve"> </w:t>
            </w:r>
            <w:r>
              <w:rPr>
                <w:rFonts w:hint="eastAsia"/>
              </w:rPr>
              <w:t>本项目现有工程主要原辅材料消耗一览表  单位：t/a</w:t>
            </w:r>
          </w:p>
          <w:tbl>
            <w:tblPr>
              <w:tblStyle w:val="9"/>
              <w:tblW w:w="48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113"/>
              <w:gridCol w:w="1248"/>
              <w:gridCol w:w="1601"/>
              <w:gridCol w:w="1760"/>
              <w:gridCol w:w="1250"/>
            </w:tblGrid>
            <w:tr w14:paraId="4BEC93B0">
              <w:trPr>
                <w:trHeight w:val="340" w:hRule="atLeast"/>
                <w:jc w:val="center"/>
              </w:trPr>
              <w:tc>
                <w:tcPr>
                  <w:tcW w:w="448" w:type="pct"/>
                  <w:vAlign w:val="center"/>
                </w:tcPr>
                <w:p w14:paraId="3D59E739">
                  <w:pPr>
                    <w:pStyle w:val="13"/>
                    <w:jc w:val="center"/>
                  </w:pPr>
                  <w:r>
                    <w:rPr>
                      <w:rFonts w:hint="eastAsia"/>
                    </w:rPr>
                    <w:t>序号</w:t>
                  </w:r>
                </w:p>
              </w:tc>
              <w:tc>
                <w:tcPr>
                  <w:tcW w:w="726" w:type="pct"/>
                  <w:vAlign w:val="center"/>
                </w:tcPr>
                <w:p w14:paraId="3D084894">
                  <w:pPr>
                    <w:pStyle w:val="13"/>
                    <w:jc w:val="center"/>
                  </w:pPr>
                  <w:r>
                    <w:rPr>
                      <w:rFonts w:hint="eastAsia"/>
                    </w:rPr>
                    <w:t>物料名称</w:t>
                  </w:r>
                </w:p>
              </w:tc>
              <w:tc>
                <w:tcPr>
                  <w:tcW w:w="815" w:type="pct"/>
                  <w:vAlign w:val="center"/>
                </w:tcPr>
                <w:p w14:paraId="01D52B90">
                  <w:pPr>
                    <w:pStyle w:val="13"/>
                    <w:jc w:val="center"/>
                  </w:pPr>
                  <w:r>
                    <w:rPr>
                      <w:rFonts w:hint="eastAsia"/>
                    </w:rPr>
                    <w:t>包装规格</w:t>
                  </w:r>
                </w:p>
              </w:tc>
              <w:tc>
                <w:tcPr>
                  <w:tcW w:w="1044" w:type="pct"/>
                  <w:noWrap/>
                  <w:vAlign w:val="center"/>
                </w:tcPr>
                <w:p w14:paraId="69F4E5F6">
                  <w:pPr>
                    <w:pStyle w:val="13"/>
                    <w:jc w:val="center"/>
                  </w:pPr>
                  <w:r>
                    <w:rPr>
                      <w:rFonts w:hint="eastAsia"/>
                    </w:rPr>
                    <w:t>已验收年用量</w:t>
                  </w:r>
                </w:p>
              </w:tc>
              <w:tc>
                <w:tcPr>
                  <w:tcW w:w="1148" w:type="pct"/>
                  <w:noWrap/>
                  <w:vAlign w:val="center"/>
                </w:tcPr>
                <w:p w14:paraId="7327067A">
                  <w:pPr>
                    <w:pStyle w:val="13"/>
                    <w:jc w:val="center"/>
                  </w:pPr>
                  <w:r>
                    <w:rPr>
                      <w:rFonts w:hint="eastAsia"/>
                    </w:rPr>
                    <w:t>2024年实际用量</w:t>
                  </w:r>
                </w:p>
              </w:tc>
              <w:tc>
                <w:tcPr>
                  <w:tcW w:w="816" w:type="pct"/>
                  <w:noWrap/>
                  <w:vAlign w:val="center"/>
                </w:tcPr>
                <w:p w14:paraId="3B306DAF">
                  <w:pPr>
                    <w:pStyle w:val="13"/>
                    <w:jc w:val="center"/>
                  </w:pPr>
                  <w:r>
                    <w:rPr>
                      <w:rFonts w:hint="eastAsia"/>
                    </w:rPr>
                    <w:t>折达产量</w:t>
                  </w:r>
                </w:p>
              </w:tc>
            </w:tr>
            <w:tr w14:paraId="0A5A1F7B">
              <w:trPr>
                <w:trHeight w:val="340" w:hRule="atLeast"/>
                <w:jc w:val="center"/>
              </w:trPr>
              <w:tc>
                <w:tcPr>
                  <w:tcW w:w="448" w:type="pct"/>
                  <w:vAlign w:val="center"/>
                </w:tcPr>
                <w:p w14:paraId="4DEA9ADB">
                  <w:pPr>
                    <w:pStyle w:val="13"/>
                    <w:jc w:val="center"/>
                  </w:pPr>
                  <w:r>
                    <w:t>1</w:t>
                  </w:r>
                </w:p>
              </w:tc>
              <w:tc>
                <w:tcPr>
                  <w:tcW w:w="726" w:type="pct"/>
                  <w:noWrap/>
                  <w:vAlign w:val="center"/>
                </w:tcPr>
                <w:p w14:paraId="3C43AE2F">
                  <w:pPr>
                    <w:pStyle w:val="13"/>
                    <w:jc w:val="center"/>
                  </w:pPr>
                  <w:r>
                    <w:rPr>
                      <w:rFonts w:hint="eastAsia"/>
                    </w:rPr>
                    <w:t>ABS</w:t>
                  </w:r>
                </w:p>
              </w:tc>
              <w:tc>
                <w:tcPr>
                  <w:tcW w:w="815" w:type="pct"/>
                  <w:vAlign w:val="center"/>
                </w:tcPr>
                <w:p w14:paraId="0B7E06C3">
                  <w:pPr>
                    <w:pStyle w:val="13"/>
                    <w:jc w:val="center"/>
                  </w:pPr>
                  <w:r>
                    <w:t>25kg/袋</w:t>
                  </w:r>
                </w:p>
              </w:tc>
              <w:tc>
                <w:tcPr>
                  <w:tcW w:w="1044" w:type="pct"/>
                  <w:noWrap/>
                  <w:vAlign w:val="center"/>
                </w:tcPr>
                <w:p w14:paraId="7CD61777">
                  <w:pPr>
                    <w:pStyle w:val="13"/>
                    <w:jc w:val="center"/>
                  </w:pPr>
                  <w:r>
                    <w:rPr>
                      <w:rFonts w:hint="eastAsia"/>
                    </w:rPr>
                    <w:t>500</w:t>
                  </w:r>
                </w:p>
              </w:tc>
              <w:tc>
                <w:tcPr>
                  <w:tcW w:w="1148" w:type="pct"/>
                  <w:vAlign w:val="center"/>
                </w:tcPr>
                <w:p w14:paraId="3C4F2C03">
                  <w:pPr>
                    <w:pStyle w:val="13"/>
                    <w:jc w:val="center"/>
                  </w:pPr>
                  <w:r>
                    <w:t>200</w:t>
                  </w:r>
                </w:p>
              </w:tc>
              <w:tc>
                <w:tcPr>
                  <w:tcW w:w="816" w:type="pct"/>
                  <w:vAlign w:val="center"/>
                </w:tcPr>
                <w:p w14:paraId="44584BA0">
                  <w:pPr>
                    <w:pStyle w:val="13"/>
                    <w:jc w:val="center"/>
                  </w:pPr>
                  <w:r>
                    <w:rPr>
                      <w:rFonts w:hint="eastAsia"/>
                    </w:rPr>
                    <w:t>490</w:t>
                  </w:r>
                </w:p>
              </w:tc>
            </w:tr>
            <w:tr w14:paraId="00E7C2D4">
              <w:trPr>
                <w:trHeight w:val="340" w:hRule="atLeast"/>
                <w:jc w:val="center"/>
              </w:trPr>
              <w:tc>
                <w:tcPr>
                  <w:tcW w:w="448" w:type="pct"/>
                  <w:vAlign w:val="center"/>
                </w:tcPr>
                <w:p w14:paraId="3E7669CE">
                  <w:pPr>
                    <w:pStyle w:val="13"/>
                    <w:jc w:val="center"/>
                  </w:pPr>
                  <w:r>
                    <w:t>2</w:t>
                  </w:r>
                </w:p>
              </w:tc>
              <w:tc>
                <w:tcPr>
                  <w:tcW w:w="726" w:type="pct"/>
                  <w:noWrap/>
                  <w:vAlign w:val="center"/>
                </w:tcPr>
                <w:p w14:paraId="5FC5DF8C">
                  <w:pPr>
                    <w:pStyle w:val="13"/>
                    <w:jc w:val="center"/>
                  </w:pPr>
                  <w:r>
                    <w:rPr>
                      <w:rFonts w:hint="eastAsia"/>
                    </w:rPr>
                    <w:t>PP</w:t>
                  </w:r>
                </w:p>
              </w:tc>
              <w:tc>
                <w:tcPr>
                  <w:tcW w:w="815" w:type="pct"/>
                  <w:vAlign w:val="center"/>
                </w:tcPr>
                <w:p w14:paraId="451DE449">
                  <w:pPr>
                    <w:pStyle w:val="13"/>
                    <w:jc w:val="center"/>
                  </w:pPr>
                  <w:r>
                    <w:t>25kg/袋</w:t>
                  </w:r>
                </w:p>
              </w:tc>
              <w:tc>
                <w:tcPr>
                  <w:tcW w:w="1044" w:type="pct"/>
                  <w:noWrap/>
                  <w:vAlign w:val="center"/>
                </w:tcPr>
                <w:p w14:paraId="26CBA9F9">
                  <w:pPr>
                    <w:pStyle w:val="13"/>
                    <w:jc w:val="center"/>
                  </w:pPr>
                  <w:r>
                    <w:rPr>
                      <w:rFonts w:hint="eastAsia"/>
                    </w:rPr>
                    <w:t>3500</w:t>
                  </w:r>
                </w:p>
              </w:tc>
              <w:tc>
                <w:tcPr>
                  <w:tcW w:w="1148" w:type="pct"/>
                  <w:vAlign w:val="center"/>
                </w:tcPr>
                <w:p w14:paraId="6E448D0C">
                  <w:pPr>
                    <w:pStyle w:val="13"/>
                    <w:jc w:val="center"/>
                  </w:pPr>
                  <w:r>
                    <w:t>2230</w:t>
                  </w:r>
                </w:p>
              </w:tc>
              <w:tc>
                <w:tcPr>
                  <w:tcW w:w="816" w:type="pct"/>
                  <w:vAlign w:val="center"/>
                </w:tcPr>
                <w:p w14:paraId="56E3EC29">
                  <w:pPr>
                    <w:pStyle w:val="13"/>
                    <w:jc w:val="center"/>
                  </w:pPr>
                  <w:r>
                    <w:rPr>
                      <w:rFonts w:hint="eastAsia"/>
                    </w:rPr>
                    <w:t>3350</w:t>
                  </w:r>
                </w:p>
              </w:tc>
            </w:tr>
            <w:tr w14:paraId="0DC2A65B">
              <w:trPr>
                <w:trHeight w:val="340" w:hRule="atLeast"/>
                <w:jc w:val="center"/>
              </w:trPr>
              <w:tc>
                <w:tcPr>
                  <w:tcW w:w="448" w:type="pct"/>
                  <w:vAlign w:val="center"/>
                </w:tcPr>
                <w:p w14:paraId="562A0200">
                  <w:pPr>
                    <w:pStyle w:val="13"/>
                    <w:jc w:val="center"/>
                  </w:pPr>
                  <w:r>
                    <w:t>3</w:t>
                  </w:r>
                </w:p>
              </w:tc>
              <w:tc>
                <w:tcPr>
                  <w:tcW w:w="726" w:type="pct"/>
                  <w:noWrap/>
                  <w:vAlign w:val="center"/>
                </w:tcPr>
                <w:p w14:paraId="249BA2AE">
                  <w:pPr>
                    <w:pStyle w:val="13"/>
                    <w:jc w:val="center"/>
                  </w:pPr>
                  <w:r>
                    <w:rPr>
                      <w:rFonts w:hint="eastAsia"/>
                    </w:rPr>
                    <w:t>PS</w:t>
                  </w:r>
                </w:p>
              </w:tc>
              <w:tc>
                <w:tcPr>
                  <w:tcW w:w="815" w:type="pct"/>
                  <w:vAlign w:val="center"/>
                </w:tcPr>
                <w:p w14:paraId="01BCA2A4">
                  <w:pPr>
                    <w:pStyle w:val="13"/>
                    <w:jc w:val="center"/>
                  </w:pPr>
                  <w:r>
                    <w:t>25kg/袋</w:t>
                  </w:r>
                </w:p>
              </w:tc>
              <w:tc>
                <w:tcPr>
                  <w:tcW w:w="1044" w:type="pct"/>
                  <w:noWrap/>
                  <w:vAlign w:val="center"/>
                </w:tcPr>
                <w:p w14:paraId="3CB80E3F">
                  <w:pPr>
                    <w:pStyle w:val="13"/>
                    <w:jc w:val="center"/>
                  </w:pPr>
                  <w:r>
                    <w:rPr>
                      <w:rFonts w:hint="eastAsia"/>
                    </w:rPr>
                    <w:t>50</w:t>
                  </w:r>
                </w:p>
              </w:tc>
              <w:tc>
                <w:tcPr>
                  <w:tcW w:w="1148" w:type="pct"/>
                  <w:vAlign w:val="center"/>
                </w:tcPr>
                <w:p w14:paraId="7C076838">
                  <w:pPr>
                    <w:pStyle w:val="13"/>
                    <w:jc w:val="center"/>
                  </w:pPr>
                  <w:r>
                    <w:t>20</w:t>
                  </w:r>
                </w:p>
              </w:tc>
              <w:tc>
                <w:tcPr>
                  <w:tcW w:w="816" w:type="pct"/>
                  <w:vAlign w:val="center"/>
                </w:tcPr>
                <w:p w14:paraId="43361B50">
                  <w:pPr>
                    <w:pStyle w:val="13"/>
                    <w:jc w:val="center"/>
                  </w:pPr>
                  <w:r>
                    <w:rPr>
                      <w:rFonts w:hint="eastAsia"/>
                    </w:rPr>
                    <w:t>44</w:t>
                  </w:r>
                </w:p>
              </w:tc>
            </w:tr>
            <w:tr w14:paraId="4798F743">
              <w:trPr>
                <w:trHeight w:val="340" w:hRule="atLeast"/>
                <w:jc w:val="center"/>
              </w:trPr>
              <w:tc>
                <w:tcPr>
                  <w:tcW w:w="448" w:type="pct"/>
                  <w:vAlign w:val="center"/>
                </w:tcPr>
                <w:p w14:paraId="7F749FCF">
                  <w:pPr>
                    <w:pStyle w:val="13"/>
                    <w:jc w:val="center"/>
                  </w:pPr>
                  <w:r>
                    <w:t>4</w:t>
                  </w:r>
                </w:p>
              </w:tc>
              <w:tc>
                <w:tcPr>
                  <w:tcW w:w="726" w:type="pct"/>
                  <w:noWrap/>
                  <w:vAlign w:val="center"/>
                </w:tcPr>
                <w:p w14:paraId="3823D597">
                  <w:pPr>
                    <w:pStyle w:val="13"/>
                    <w:jc w:val="center"/>
                  </w:pPr>
                  <w:r>
                    <w:rPr>
                      <w:rFonts w:hint="eastAsia"/>
                    </w:rPr>
                    <w:t>PE</w:t>
                  </w:r>
                </w:p>
              </w:tc>
              <w:tc>
                <w:tcPr>
                  <w:tcW w:w="815" w:type="pct"/>
                  <w:vAlign w:val="center"/>
                </w:tcPr>
                <w:p w14:paraId="51C5D267">
                  <w:pPr>
                    <w:pStyle w:val="13"/>
                    <w:jc w:val="center"/>
                  </w:pPr>
                  <w:r>
                    <w:t>25kg/袋</w:t>
                  </w:r>
                </w:p>
              </w:tc>
              <w:tc>
                <w:tcPr>
                  <w:tcW w:w="1044" w:type="pct"/>
                  <w:noWrap/>
                  <w:vAlign w:val="center"/>
                </w:tcPr>
                <w:p w14:paraId="2D259D60">
                  <w:pPr>
                    <w:pStyle w:val="13"/>
                    <w:jc w:val="center"/>
                  </w:pPr>
                  <w:r>
                    <w:rPr>
                      <w:rFonts w:hint="eastAsia"/>
                    </w:rPr>
                    <w:t>3290</w:t>
                  </w:r>
                </w:p>
              </w:tc>
              <w:tc>
                <w:tcPr>
                  <w:tcW w:w="1148" w:type="pct"/>
                  <w:vAlign w:val="center"/>
                </w:tcPr>
                <w:p w14:paraId="17132B31">
                  <w:pPr>
                    <w:pStyle w:val="13"/>
                    <w:jc w:val="center"/>
                  </w:pPr>
                  <w:r>
                    <w:t>1745</w:t>
                  </w:r>
                </w:p>
              </w:tc>
              <w:tc>
                <w:tcPr>
                  <w:tcW w:w="816" w:type="pct"/>
                  <w:vAlign w:val="center"/>
                </w:tcPr>
                <w:p w14:paraId="556CBCEF">
                  <w:pPr>
                    <w:pStyle w:val="13"/>
                    <w:jc w:val="center"/>
                  </w:pPr>
                  <w:r>
                    <w:rPr>
                      <w:rFonts w:hint="eastAsia"/>
                    </w:rPr>
                    <w:t>3105</w:t>
                  </w:r>
                </w:p>
              </w:tc>
            </w:tr>
            <w:tr w14:paraId="551E067A">
              <w:trPr>
                <w:trHeight w:val="340" w:hRule="atLeast"/>
                <w:jc w:val="center"/>
              </w:trPr>
              <w:tc>
                <w:tcPr>
                  <w:tcW w:w="448" w:type="pct"/>
                  <w:vAlign w:val="center"/>
                </w:tcPr>
                <w:p w14:paraId="5252A865">
                  <w:pPr>
                    <w:pStyle w:val="13"/>
                    <w:jc w:val="center"/>
                  </w:pPr>
                  <w:r>
                    <w:t>5</w:t>
                  </w:r>
                </w:p>
              </w:tc>
              <w:tc>
                <w:tcPr>
                  <w:tcW w:w="726" w:type="pct"/>
                  <w:noWrap/>
                  <w:vAlign w:val="center"/>
                </w:tcPr>
                <w:p w14:paraId="4813097A">
                  <w:pPr>
                    <w:pStyle w:val="13"/>
                    <w:jc w:val="center"/>
                  </w:pPr>
                  <w:r>
                    <w:rPr>
                      <w:rFonts w:hint="eastAsia"/>
                    </w:rPr>
                    <w:t>PA</w:t>
                  </w:r>
                </w:p>
              </w:tc>
              <w:tc>
                <w:tcPr>
                  <w:tcW w:w="815" w:type="pct"/>
                  <w:vAlign w:val="center"/>
                </w:tcPr>
                <w:p w14:paraId="1D5F5E8C">
                  <w:pPr>
                    <w:pStyle w:val="13"/>
                    <w:jc w:val="center"/>
                  </w:pPr>
                  <w:r>
                    <w:t>25kg/袋</w:t>
                  </w:r>
                </w:p>
              </w:tc>
              <w:tc>
                <w:tcPr>
                  <w:tcW w:w="1044" w:type="pct"/>
                  <w:noWrap/>
                  <w:vAlign w:val="center"/>
                </w:tcPr>
                <w:p w14:paraId="6EBAD070">
                  <w:pPr>
                    <w:pStyle w:val="13"/>
                    <w:jc w:val="center"/>
                  </w:pPr>
                  <w:r>
                    <w:rPr>
                      <w:rFonts w:hint="eastAsia"/>
                    </w:rPr>
                    <w:t>20</w:t>
                  </w:r>
                </w:p>
              </w:tc>
              <w:tc>
                <w:tcPr>
                  <w:tcW w:w="1148" w:type="pct"/>
                  <w:vAlign w:val="center"/>
                </w:tcPr>
                <w:p w14:paraId="0FDB3FA4">
                  <w:pPr>
                    <w:pStyle w:val="13"/>
                    <w:jc w:val="center"/>
                  </w:pPr>
                  <w:r>
                    <w:t>17</w:t>
                  </w:r>
                </w:p>
              </w:tc>
              <w:tc>
                <w:tcPr>
                  <w:tcW w:w="816" w:type="pct"/>
                  <w:vAlign w:val="center"/>
                </w:tcPr>
                <w:p w14:paraId="6925403B">
                  <w:pPr>
                    <w:pStyle w:val="13"/>
                    <w:jc w:val="center"/>
                  </w:pPr>
                  <w:r>
                    <w:rPr>
                      <w:rFonts w:hint="eastAsia"/>
                    </w:rPr>
                    <w:t>18</w:t>
                  </w:r>
                </w:p>
              </w:tc>
            </w:tr>
            <w:tr w14:paraId="662DBB62">
              <w:trPr>
                <w:trHeight w:val="340" w:hRule="atLeast"/>
                <w:jc w:val="center"/>
              </w:trPr>
              <w:tc>
                <w:tcPr>
                  <w:tcW w:w="448" w:type="pct"/>
                  <w:vAlign w:val="center"/>
                </w:tcPr>
                <w:p w14:paraId="7BEB5780">
                  <w:pPr>
                    <w:pStyle w:val="13"/>
                    <w:jc w:val="center"/>
                  </w:pPr>
                  <w:r>
                    <w:t>6</w:t>
                  </w:r>
                </w:p>
              </w:tc>
              <w:tc>
                <w:tcPr>
                  <w:tcW w:w="726" w:type="pct"/>
                  <w:noWrap/>
                  <w:vAlign w:val="center"/>
                </w:tcPr>
                <w:p w14:paraId="0E88B9E5">
                  <w:pPr>
                    <w:pStyle w:val="13"/>
                    <w:jc w:val="center"/>
                  </w:pPr>
                  <w:r>
                    <w:rPr>
                      <w:rFonts w:hint="eastAsia"/>
                    </w:rPr>
                    <w:t>AS</w:t>
                  </w:r>
                </w:p>
              </w:tc>
              <w:tc>
                <w:tcPr>
                  <w:tcW w:w="815" w:type="pct"/>
                  <w:vAlign w:val="center"/>
                </w:tcPr>
                <w:p w14:paraId="2E504B5A">
                  <w:pPr>
                    <w:pStyle w:val="13"/>
                    <w:jc w:val="center"/>
                  </w:pPr>
                  <w:r>
                    <w:t>25kg/袋</w:t>
                  </w:r>
                </w:p>
              </w:tc>
              <w:tc>
                <w:tcPr>
                  <w:tcW w:w="1044" w:type="pct"/>
                  <w:noWrap/>
                  <w:vAlign w:val="center"/>
                </w:tcPr>
                <w:p w14:paraId="59678845">
                  <w:pPr>
                    <w:pStyle w:val="13"/>
                    <w:jc w:val="center"/>
                  </w:pPr>
                  <w:r>
                    <w:rPr>
                      <w:rFonts w:hint="eastAsia"/>
                    </w:rPr>
                    <w:t>30</w:t>
                  </w:r>
                </w:p>
              </w:tc>
              <w:tc>
                <w:tcPr>
                  <w:tcW w:w="1148" w:type="pct"/>
                  <w:vAlign w:val="center"/>
                </w:tcPr>
                <w:p w14:paraId="73E3B154">
                  <w:pPr>
                    <w:pStyle w:val="13"/>
                    <w:jc w:val="center"/>
                  </w:pPr>
                  <w:r>
                    <w:t>25</w:t>
                  </w:r>
                </w:p>
              </w:tc>
              <w:tc>
                <w:tcPr>
                  <w:tcW w:w="816" w:type="pct"/>
                  <w:vAlign w:val="center"/>
                </w:tcPr>
                <w:p w14:paraId="0116E3CC">
                  <w:pPr>
                    <w:pStyle w:val="13"/>
                    <w:jc w:val="center"/>
                  </w:pPr>
                  <w:r>
                    <w:rPr>
                      <w:rFonts w:hint="eastAsia"/>
                    </w:rPr>
                    <w:t>27</w:t>
                  </w:r>
                </w:p>
              </w:tc>
            </w:tr>
            <w:tr w14:paraId="3E061DA0">
              <w:trPr>
                <w:trHeight w:val="340" w:hRule="atLeast"/>
                <w:jc w:val="center"/>
              </w:trPr>
              <w:tc>
                <w:tcPr>
                  <w:tcW w:w="448" w:type="pct"/>
                  <w:vAlign w:val="center"/>
                </w:tcPr>
                <w:p w14:paraId="037A9A3D">
                  <w:pPr>
                    <w:pStyle w:val="13"/>
                    <w:jc w:val="center"/>
                  </w:pPr>
                  <w:r>
                    <w:rPr>
                      <w:rFonts w:hint="eastAsia"/>
                    </w:rPr>
                    <w:t>7</w:t>
                  </w:r>
                </w:p>
              </w:tc>
              <w:tc>
                <w:tcPr>
                  <w:tcW w:w="1121" w:type="dxa"/>
                  <w:noWrap/>
                  <w:vAlign w:val="center"/>
                </w:tcPr>
                <w:p w14:paraId="117BC9DD">
                  <w:pPr>
                    <w:pStyle w:val="13"/>
                    <w:jc w:val="center"/>
                  </w:pPr>
                  <w:r>
                    <w:rPr>
                      <w:rFonts w:hint="eastAsia"/>
                    </w:rPr>
                    <w:t>颜料</w:t>
                  </w:r>
                </w:p>
              </w:tc>
              <w:tc>
                <w:tcPr>
                  <w:tcW w:w="1260" w:type="dxa"/>
                  <w:vAlign w:val="center"/>
                </w:tcPr>
                <w:p w14:paraId="54FBE37F">
                  <w:pPr>
                    <w:pStyle w:val="13"/>
                    <w:jc w:val="center"/>
                  </w:pPr>
                  <w:r>
                    <w:t>25kg/袋</w:t>
                  </w:r>
                </w:p>
              </w:tc>
              <w:tc>
                <w:tcPr>
                  <w:tcW w:w="1614" w:type="dxa"/>
                  <w:noWrap/>
                  <w:vAlign w:val="center"/>
                </w:tcPr>
                <w:p w14:paraId="5E537286">
                  <w:pPr>
                    <w:pStyle w:val="13"/>
                    <w:jc w:val="center"/>
                  </w:pPr>
                  <w:r>
                    <w:rPr>
                      <w:rFonts w:hint="eastAsia"/>
                    </w:rPr>
                    <w:t>10</w:t>
                  </w:r>
                </w:p>
              </w:tc>
              <w:tc>
                <w:tcPr>
                  <w:tcW w:w="1773" w:type="dxa"/>
                  <w:vAlign w:val="center"/>
                </w:tcPr>
                <w:p w14:paraId="425D7464">
                  <w:pPr>
                    <w:pStyle w:val="13"/>
                    <w:jc w:val="center"/>
                  </w:pPr>
                  <w:r>
                    <w:t>8</w:t>
                  </w:r>
                </w:p>
              </w:tc>
              <w:tc>
                <w:tcPr>
                  <w:tcW w:w="1262" w:type="dxa"/>
                  <w:vAlign w:val="center"/>
                </w:tcPr>
                <w:p w14:paraId="164707E2">
                  <w:pPr>
                    <w:pStyle w:val="13"/>
                    <w:jc w:val="center"/>
                  </w:pPr>
                  <w:r>
                    <w:rPr>
                      <w:rFonts w:hint="eastAsia"/>
                    </w:rPr>
                    <w:t>8</w:t>
                  </w:r>
                </w:p>
              </w:tc>
            </w:tr>
            <w:tr w14:paraId="5A64105C">
              <w:trPr>
                <w:trHeight w:val="340" w:hRule="atLeast"/>
                <w:jc w:val="center"/>
              </w:trPr>
              <w:tc>
                <w:tcPr>
                  <w:tcW w:w="448" w:type="pct"/>
                  <w:vAlign w:val="center"/>
                </w:tcPr>
                <w:p w14:paraId="0BAB69A1">
                  <w:pPr>
                    <w:pStyle w:val="13"/>
                    <w:jc w:val="center"/>
                  </w:pPr>
                  <w:r>
                    <w:rPr>
                      <w:rFonts w:hint="eastAsia"/>
                    </w:rPr>
                    <w:t>8</w:t>
                  </w:r>
                </w:p>
              </w:tc>
              <w:tc>
                <w:tcPr>
                  <w:tcW w:w="1121" w:type="dxa"/>
                  <w:noWrap/>
                  <w:vAlign w:val="center"/>
                </w:tcPr>
                <w:p w14:paraId="4A000B8C">
                  <w:pPr>
                    <w:pStyle w:val="13"/>
                    <w:jc w:val="center"/>
                  </w:pPr>
                  <w:r>
                    <w:rPr>
                      <w:rFonts w:hint="eastAsia"/>
                    </w:rPr>
                    <w:t>碳酸钙</w:t>
                  </w:r>
                </w:p>
              </w:tc>
              <w:tc>
                <w:tcPr>
                  <w:tcW w:w="1260" w:type="dxa"/>
                  <w:vAlign w:val="center"/>
                </w:tcPr>
                <w:p w14:paraId="7EC7CD53">
                  <w:pPr>
                    <w:pStyle w:val="13"/>
                    <w:jc w:val="center"/>
                  </w:pPr>
                  <w:r>
                    <w:t>25kg/袋</w:t>
                  </w:r>
                </w:p>
              </w:tc>
              <w:tc>
                <w:tcPr>
                  <w:tcW w:w="1614" w:type="dxa"/>
                  <w:noWrap/>
                  <w:vAlign w:val="center"/>
                </w:tcPr>
                <w:p w14:paraId="521CF6B1">
                  <w:pPr>
                    <w:pStyle w:val="13"/>
                    <w:jc w:val="center"/>
                  </w:pPr>
                  <w:r>
                    <w:rPr>
                      <w:rFonts w:hint="eastAsia"/>
                    </w:rPr>
                    <w:t>500</w:t>
                  </w:r>
                </w:p>
              </w:tc>
              <w:tc>
                <w:tcPr>
                  <w:tcW w:w="1773" w:type="dxa"/>
                  <w:vAlign w:val="center"/>
                </w:tcPr>
                <w:p w14:paraId="3C30C2C9">
                  <w:pPr>
                    <w:pStyle w:val="13"/>
                    <w:jc w:val="center"/>
                  </w:pPr>
                  <w:r>
                    <w:t>200</w:t>
                  </w:r>
                </w:p>
              </w:tc>
              <w:tc>
                <w:tcPr>
                  <w:tcW w:w="1262" w:type="dxa"/>
                  <w:vAlign w:val="center"/>
                </w:tcPr>
                <w:p w14:paraId="35AD74BC">
                  <w:pPr>
                    <w:pStyle w:val="13"/>
                    <w:jc w:val="center"/>
                  </w:pPr>
                  <w:r>
                    <w:rPr>
                      <w:rFonts w:hint="eastAsia"/>
                    </w:rPr>
                    <w:t>490</w:t>
                  </w:r>
                </w:p>
              </w:tc>
            </w:tr>
            <w:tr w14:paraId="7C9DD178">
              <w:trPr>
                <w:trHeight w:val="340" w:hRule="atLeast"/>
                <w:jc w:val="center"/>
              </w:trPr>
              <w:tc>
                <w:tcPr>
                  <w:tcW w:w="448" w:type="pct"/>
                  <w:vAlign w:val="center"/>
                </w:tcPr>
                <w:p w14:paraId="4BD47EE0">
                  <w:pPr>
                    <w:pStyle w:val="13"/>
                    <w:jc w:val="center"/>
                  </w:pPr>
                  <w:r>
                    <w:rPr>
                      <w:rFonts w:hint="eastAsia"/>
                    </w:rPr>
                    <w:t>9</w:t>
                  </w:r>
                </w:p>
              </w:tc>
              <w:tc>
                <w:tcPr>
                  <w:tcW w:w="1121" w:type="dxa"/>
                  <w:noWrap/>
                  <w:vAlign w:val="center"/>
                </w:tcPr>
                <w:p w14:paraId="32142EF8">
                  <w:pPr>
                    <w:pStyle w:val="13"/>
                    <w:jc w:val="center"/>
                  </w:pPr>
                  <w:r>
                    <w:rPr>
                      <w:rFonts w:hint="eastAsia"/>
                    </w:rPr>
                    <w:t>钛白粉</w:t>
                  </w:r>
                </w:p>
              </w:tc>
              <w:tc>
                <w:tcPr>
                  <w:tcW w:w="1260" w:type="dxa"/>
                  <w:vAlign w:val="center"/>
                </w:tcPr>
                <w:p w14:paraId="4B5AA088">
                  <w:pPr>
                    <w:pStyle w:val="13"/>
                    <w:jc w:val="center"/>
                  </w:pPr>
                  <w:r>
                    <w:t>25kg/袋</w:t>
                  </w:r>
                </w:p>
              </w:tc>
              <w:tc>
                <w:tcPr>
                  <w:tcW w:w="1614" w:type="dxa"/>
                  <w:noWrap/>
                  <w:vAlign w:val="center"/>
                </w:tcPr>
                <w:p w14:paraId="6ECD6356">
                  <w:pPr>
                    <w:pStyle w:val="13"/>
                    <w:jc w:val="center"/>
                  </w:pPr>
                  <w:r>
                    <w:rPr>
                      <w:rFonts w:hint="eastAsia"/>
                    </w:rPr>
                    <w:t>80</w:t>
                  </w:r>
                </w:p>
              </w:tc>
              <w:tc>
                <w:tcPr>
                  <w:tcW w:w="1773" w:type="dxa"/>
                  <w:vAlign w:val="center"/>
                </w:tcPr>
                <w:p w14:paraId="5868C397">
                  <w:pPr>
                    <w:pStyle w:val="13"/>
                    <w:jc w:val="center"/>
                  </w:pPr>
                  <w:r>
                    <w:t>40</w:t>
                  </w:r>
                </w:p>
              </w:tc>
              <w:tc>
                <w:tcPr>
                  <w:tcW w:w="1262" w:type="dxa"/>
                  <w:vAlign w:val="center"/>
                </w:tcPr>
                <w:p w14:paraId="462460AE">
                  <w:pPr>
                    <w:pStyle w:val="13"/>
                    <w:jc w:val="center"/>
                  </w:pPr>
                  <w:r>
                    <w:rPr>
                      <w:rFonts w:hint="eastAsia"/>
                    </w:rPr>
                    <w:t>60</w:t>
                  </w:r>
                </w:p>
              </w:tc>
            </w:tr>
            <w:tr w14:paraId="63F289E1">
              <w:trPr>
                <w:trHeight w:val="340" w:hRule="atLeast"/>
                <w:jc w:val="center"/>
              </w:trPr>
              <w:tc>
                <w:tcPr>
                  <w:tcW w:w="448" w:type="pct"/>
                  <w:vAlign w:val="center"/>
                </w:tcPr>
                <w:p w14:paraId="4D79D5C4">
                  <w:pPr>
                    <w:pStyle w:val="13"/>
                    <w:jc w:val="center"/>
                  </w:pPr>
                  <w:r>
                    <w:rPr>
                      <w:rFonts w:hint="eastAsia"/>
                    </w:rPr>
                    <w:t>10</w:t>
                  </w:r>
                </w:p>
              </w:tc>
              <w:tc>
                <w:tcPr>
                  <w:tcW w:w="1121" w:type="dxa"/>
                  <w:noWrap/>
                  <w:vAlign w:val="center"/>
                </w:tcPr>
                <w:p w14:paraId="560A8CB4">
                  <w:pPr>
                    <w:pStyle w:val="13"/>
                    <w:jc w:val="center"/>
                  </w:pPr>
                  <w:r>
                    <w:rPr>
                      <w:rFonts w:hint="eastAsia"/>
                    </w:rPr>
                    <w:t>聚乙烯蜡</w:t>
                  </w:r>
                </w:p>
              </w:tc>
              <w:tc>
                <w:tcPr>
                  <w:tcW w:w="1260" w:type="dxa"/>
                  <w:vAlign w:val="center"/>
                </w:tcPr>
                <w:p w14:paraId="6DC4C0AF">
                  <w:pPr>
                    <w:pStyle w:val="13"/>
                    <w:jc w:val="center"/>
                  </w:pPr>
                  <w:r>
                    <w:t>25kg/袋</w:t>
                  </w:r>
                </w:p>
              </w:tc>
              <w:tc>
                <w:tcPr>
                  <w:tcW w:w="1614" w:type="dxa"/>
                  <w:noWrap/>
                  <w:vAlign w:val="center"/>
                </w:tcPr>
                <w:p w14:paraId="3020FDF9">
                  <w:pPr>
                    <w:pStyle w:val="13"/>
                    <w:jc w:val="center"/>
                  </w:pPr>
                  <w:r>
                    <w:rPr>
                      <w:rFonts w:hint="eastAsia"/>
                    </w:rPr>
                    <w:t>20</w:t>
                  </w:r>
                </w:p>
              </w:tc>
              <w:tc>
                <w:tcPr>
                  <w:tcW w:w="1773" w:type="dxa"/>
                  <w:vAlign w:val="center"/>
                </w:tcPr>
                <w:p w14:paraId="7CBC11CB">
                  <w:pPr>
                    <w:pStyle w:val="13"/>
                    <w:jc w:val="center"/>
                  </w:pPr>
                  <w:r>
                    <w:t>10</w:t>
                  </w:r>
                </w:p>
              </w:tc>
              <w:tc>
                <w:tcPr>
                  <w:tcW w:w="1262" w:type="dxa"/>
                  <w:vAlign w:val="center"/>
                </w:tcPr>
                <w:p w14:paraId="56039EDE">
                  <w:pPr>
                    <w:pStyle w:val="13"/>
                    <w:jc w:val="center"/>
                  </w:pPr>
                  <w:r>
                    <w:rPr>
                      <w:rFonts w:hint="eastAsia"/>
                    </w:rPr>
                    <w:t>14</w:t>
                  </w:r>
                </w:p>
              </w:tc>
            </w:tr>
          </w:tbl>
          <w:p w14:paraId="6AA077C5">
            <w:pPr>
              <w:ind w:firstLine="480"/>
              <w:jc w:val="both"/>
            </w:pPr>
            <w:r>
              <w:rPr>
                <w:rFonts w:hint="eastAsia"/>
              </w:rPr>
              <w:t>5、现有项目主要生产工艺</w:t>
            </w:r>
          </w:p>
          <w:p w14:paraId="291FA426">
            <w:pPr>
              <w:ind w:firstLine="480"/>
              <w:jc w:val="both"/>
              <w:rPr>
                <w:rFonts w:cs="Times New Roman"/>
              </w:rPr>
            </w:pPr>
            <w:r>
              <w:rPr>
                <w:rFonts w:hint="eastAsia"/>
              </w:rPr>
              <w:t>本项目现有工程主要生产工艺与技改项目工艺一致，故不在此赘述，</w:t>
            </w:r>
            <w:r>
              <w:rPr>
                <w:rFonts w:hint="eastAsia" w:cs="Times New Roman"/>
              </w:rPr>
              <w:t>厂内实际生产工艺与原审批情况无变化。</w:t>
            </w:r>
          </w:p>
          <w:p w14:paraId="3DE908A4">
            <w:pPr>
              <w:ind w:firstLine="480"/>
              <w:jc w:val="both"/>
            </w:pPr>
            <w:r>
              <w:rPr>
                <w:rFonts w:hint="eastAsia"/>
              </w:rPr>
              <w:t>6、现有项目主要环保措施及达标情况</w:t>
            </w:r>
          </w:p>
          <w:p w14:paraId="2FFD5651">
            <w:pPr>
              <w:ind w:firstLine="480"/>
              <w:jc w:val="both"/>
              <w:rPr>
                <w:rFonts w:cs="Times New Roman"/>
              </w:rPr>
            </w:pPr>
            <w:r>
              <w:rPr>
                <w:rFonts w:hint="eastAsia" w:cs="Times New Roman"/>
              </w:rPr>
              <w:t>(1)主要环保措施</w:t>
            </w:r>
          </w:p>
          <w:p w14:paraId="24E539FE">
            <w:pPr>
              <w:pStyle w:val="14"/>
              <w:numPr>
                <w:ilvl w:val="0"/>
                <w:numId w:val="6"/>
              </w:numPr>
              <w:spacing w:before="156"/>
              <w:ind w:firstLine="0"/>
            </w:pPr>
            <w:r>
              <w:rPr>
                <w:rFonts w:hint="eastAsia"/>
              </w:rPr>
              <w:t xml:space="preserve"> </w:t>
            </w:r>
            <w:r>
              <w:t xml:space="preserve"> </w:t>
            </w:r>
            <w:r>
              <w:rPr>
                <w:rFonts w:hint="eastAsia"/>
              </w:rPr>
              <w:t>本项目现有工程主要环保措施落实情况一览表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87"/>
              <w:gridCol w:w="3273"/>
              <w:gridCol w:w="3660"/>
            </w:tblGrid>
            <w:tr w14:paraId="7423BFF0">
              <w:trPr>
                <w:tblHeader/>
                <w:jc w:val="center"/>
              </w:trPr>
              <w:tc>
                <w:tcPr>
                  <w:tcW w:w="989" w:type="dxa"/>
                  <w:tcBorders>
                    <w:top w:val="single" w:color="auto" w:sz="4" w:space="0"/>
                    <w:left w:val="single" w:color="auto" w:sz="4" w:space="0"/>
                    <w:bottom w:val="single" w:color="auto" w:sz="4" w:space="0"/>
                    <w:right w:val="single" w:color="auto" w:sz="4" w:space="0"/>
                  </w:tcBorders>
                  <w:vAlign w:val="center"/>
                </w:tcPr>
                <w:p w14:paraId="08EE9394">
                  <w:pPr>
                    <w:pStyle w:val="13"/>
                    <w:jc w:val="center"/>
                  </w:pPr>
                  <w:r>
                    <w:rPr>
                      <w:rFonts w:hint="eastAsia"/>
                    </w:rPr>
                    <w:t>项目</w:t>
                  </w:r>
                </w:p>
              </w:tc>
              <w:tc>
                <w:tcPr>
                  <w:tcW w:w="3697" w:type="dxa"/>
                  <w:tcBorders>
                    <w:top w:val="single" w:color="auto" w:sz="4" w:space="0"/>
                    <w:left w:val="single" w:color="auto" w:sz="4" w:space="0"/>
                    <w:bottom w:val="single" w:color="auto" w:sz="4" w:space="0"/>
                    <w:right w:val="single" w:color="auto" w:sz="4" w:space="0"/>
                  </w:tcBorders>
                  <w:vAlign w:val="center"/>
                </w:tcPr>
                <w:p w14:paraId="43A04120">
                  <w:pPr>
                    <w:pStyle w:val="13"/>
                    <w:jc w:val="center"/>
                  </w:pPr>
                  <w:r>
                    <w:rPr>
                      <w:rFonts w:hint="eastAsia"/>
                    </w:rPr>
                    <w:t>环评批复要求</w:t>
                  </w:r>
                </w:p>
              </w:tc>
              <w:tc>
                <w:tcPr>
                  <w:tcW w:w="4136" w:type="dxa"/>
                  <w:tcBorders>
                    <w:top w:val="single" w:color="auto" w:sz="4" w:space="0"/>
                    <w:left w:val="single" w:color="auto" w:sz="4" w:space="0"/>
                    <w:bottom w:val="single" w:color="auto" w:sz="4" w:space="0"/>
                    <w:right w:val="single" w:color="auto" w:sz="4" w:space="0"/>
                  </w:tcBorders>
                  <w:vAlign w:val="center"/>
                </w:tcPr>
                <w:p w14:paraId="75EF307A">
                  <w:pPr>
                    <w:pStyle w:val="13"/>
                    <w:jc w:val="center"/>
                  </w:pPr>
                  <w:r>
                    <w:rPr>
                      <w:rFonts w:hint="eastAsia"/>
                    </w:rPr>
                    <w:t>落实情况</w:t>
                  </w:r>
                </w:p>
              </w:tc>
            </w:tr>
            <w:tr w14:paraId="1F1E0FBD">
              <w:trPr>
                <w:jc w:val="center"/>
              </w:trPr>
              <w:tc>
                <w:tcPr>
                  <w:tcW w:w="989" w:type="dxa"/>
                  <w:tcBorders>
                    <w:top w:val="single" w:color="auto" w:sz="4" w:space="0"/>
                    <w:left w:val="single" w:color="auto" w:sz="4" w:space="0"/>
                    <w:bottom w:val="single" w:color="auto" w:sz="4" w:space="0"/>
                    <w:right w:val="single" w:color="auto" w:sz="4" w:space="0"/>
                  </w:tcBorders>
                  <w:vAlign w:val="center"/>
                </w:tcPr>
                <w:p w14:paraId="1A8751B3">
                  <w:pPr>
                    <w:pStyle w:val="13"/>
                    <w:jc w:val="center"/>
                  </w:pPr>
                  <w:r>
                    <w:rPr>
                      <w:rFonts w:hint="eastAsia"/>
                    </w:rPr>
                    <w:t>建设内容</w:t>
                  </w:r>
                </w:p>
              </w:tc>
              <w:tc>
                <w:tcPr>
                  <w:tcW w:w="3697" w:type="dxa"/>
                  <w:tcBorders>
                    <w:top w:val="single" w:color="auto" w:sz="4" w:space="0"/>
                    <w:left w:val="single" w:color="auto" w:sz="4" w:space="0"/>
                    <w:bottom w:val="single" w:color="auto" w:sz="4" w:space="0"/>
                    <w:right w:val="single" w:color="auto" w:sz="4" w:space="0"/>
                  </w:tcBorders>
                  <w:vAlign w:val="center"/>
                </w:tcPr>
                <w:p w14:paraId="54560F13">
                  <w:pPr>
                    <w:pStyle w:val="13"/>
                    <w:jc w:val="both"/>
                  </w:pPr>
                  <w:r>
                    <w:rPr>
                      <w:rFonts w:hint="eastAsia"/>
                    </w:rPr>
                    <w:t>该项目属扩建工程，在杭州市余杭区仁和街道三星路</w:t>
                  </w:r>
                  <w:r>
                    <w:t>4</w:t>
                  </w:r>
                  <w:r>
                    <w:rPr>
                      <w:rFonts w:hint="eastAsia"/>
                    </w:rPr>
                    <w:t>号建设。项目建设内容及规模为：年产</w:t>
                  </w:r>
                  <w:r>
                    <w:t>8000</w:t>
                  </w:r>
                  <w:r>
                    <w:rPr>
                      <w:rFonts w:hint="eastAsia"/>
                    </w:rPr>
                    <w:t>吨塑料粒子。</w:t>
                  </w:r>
                </w:p>
              </w:tc>
              <w:tc>
                <w:tcPr>
                  <w:tcW w:w="4136" w:type="dxa"/>
                  <w:tcBorders>
                    <w:top w:val="single" w:color="auto" w:sz="4" w:space="0"/>
                    <w:left w:val="single" w:color="auto" w:sz="4" w:space="0"/>
                    <w:bottom w:val="single" w:color="auto" w:sz="4" w:space="0"/>
                    <w:right w:val="single" w:color="auto" w:sz="4" w:space="0"/>
                  </w:tcBorders>
                  <w:vAlign w:val="center"/>
                </w:tcPr>
                <w:p w14:paraId="048D3DF2">
                  <w:pPr>
                    <w:pStyle w:val="13"/>
                    <w:jc w:val="both"/>
                  </w:pPr>
                  <w:r>
                    <w:rPr>
                      <w:rFonts w:hint="eastAsia"/>
                    </w:rPr>
                    <w:t>已落实</w:t>
                  </w:r>
                </w:p>
                <w:p w14:paraId="398E31EC">
                  <w:pPr>
                    <w:pStyle w:val="13"/>
                    <w:jc w:val="both"/>
                  </w:pPr>
                  <w:r>
                    <w:rPr>
                      <w:rFonts w:hint="eastAsia"/>
                    </w:rPr>
                    <w:t>项目建设地点及建设内容与环评批复一致</w:t>
                  </w:r>
                </w:p>
              </w:tc>
            </w:tr>
            <w:tr w14:paraId="49F11627">
              <w:trPr>
                <w:jc w:val="center"/>
              </w:trPr>
              <w:tc>
                <w:tcPr>
                  <w:tcW w:w="989" w:type="dxa"/>
                  <w:tcBorders>
                    <w:top w:val="single" w:color="auto" w:sz="4" w:space="0"/>
                    <w:left w:val="single" w:color="auto" w:sz="4" w:space="0"/>
                    <w:bottom w:val="single" w:color="auto" w:sz="4" w:space="0"/>
                    <w:right w:val="single" w:color="auto" w:sz="4" w:space="0"/>
                  </w:tcBorders>
                  <w:vAlign w:val="center"/>
                </w:tcPr>
                <w:p w14:paraId="5F4E99CE">
                  <w:pPr>
                    <w:pStyle w:val="13"/>
                    <w:jc w:val="center"/>
                  </w:pPr>
                  <w:r>
                    <w:rPr>
                      <w:rFonts w:hint="eastAsia"/>
                    </w:rPr>
                    <w:t>废水防治措施</w:t>
                  </w:r>
                </w:p>
              </w:tc>
              <w:tc>
                <w:tcPr>
                  <w:tcW w:w="3697" w:type="dxa"/>
                  <w:tcBorders>
                    <w:top w:val="single" w:color="auto" w:sz="4" w:space="0"/>
                    <w:left w:val="single" w:color="auto" w:sz="4" w:space="0"/>
                    <w:bottom w:val="single" w:color="auto" w:sz="4" w:space="0"/>
                    <w:right w:val="single" w:color="auto" w:sz="4" w:space="0"/>
                  </w:tcBorders>
                  <w:vAlign w:val="center"/>
                </w:tcPr>
                <w:p w14:paraId="656F4D00">
                  <w:pPr>
                    <w:pStyle w:val="13"/>
                    <w:jc w:val="both"/>
                  </w:pPr>
                  <w:r>
                    <w:rPr>
                      <w:rFonts w:hint="eastAsia"/>
                    </w:rPr>
                    <w:t>加强废水污染防治。挤出工序使用的冷却水及废气处理设施喷淋水循环使用；生活污水须经收集处理达到《污水综合排放标准》（</w:t>
                  </w:r>
                  <w:r>
                    <w:t>GB8978-1996 )</w:t>
                  </w:r>
                  <w:r>
                    <w:rPr>
                      <w:rFonts w:hint="eastAsia"/>
                    </w:rPr>
                    <w:t>中三级标准后纳入污水管网送良渚污水处理厂处理。</w:t>
                  </w:r>
                </w:p>
              </w:tc>
              <w:tc>
                <w:tcPr>
                  <w:tcW w:w="4136" w:type="dxa"/>
                  <w:tcBorders>
                    <w:top w:val="single" w:color="auto" w:sz="4" w:space="0"/>
                    <w:left w:val="single" w:color="auto" w:sz="4" w:space="0"/>
                    <w:bottom w:val="single" w:color="auto" w:sz="4" w:space="0"/>
                    <w:right w:val="single" w:color="auto" w:sz="4" w:space="0"/>
                  </w:tcBorders>
                  <w:vAlign w:val="center"/>
                </w:tcPr>
                <w:p w14:paraId="79E9D8AE">
                  <w:pPr>
                    <w:pStyle w:val="13"/>
                    <w:jc w:val="both"/>
                  </w:pPr>
                  <w:r>
                    <w:rPr>
                      <w:rFonts w:hint="eastAsia"/>
                    </w:rPr>
                    <w:t>已落实</w:t>
                  </w:r>
                </w:p>
                <w:p w14:paraId="1B2A89B1">
                  <w:pPr>
                    <w:pStyle w:val="13"/>
                    <w:jc w:val="both"/>
                  </w:pPr>
                  <w:r>
                    <w:rPr>
                      <w:rFonts w:hint="eastAsia"/>
                    </w:rPr>
                    <w:t>企业挤出工序使用的冷却水及废气处理的喷淋水经沉淀处理后循环使用，定期添加新鲜水，不排放。企业没有生产废水，只产生生活污水。冲厕废水经化粪池处理后汇同其余生活污水纳管送良渚污水处理厂处理。</w:t>
                  </w:r>
                </w:p>
              </w:tc>
            </w:tr>
            <w:tr w14:paraId="3B75820C">
              <w:trPr>
                <w:jc w:val="center"/>
              </w:trPr>
              <w:tc>
                <w:tcPr>
                  <w:tcW w:w="989" w:type="dxa"/>
                  <w:tcBorders>
                    <w:top w:val="single" w:color="auto" w:sz="4" w:space="0"/>
                    <w:left w:val="single" w:color="auto" w:sz="4" w:space="0"/>
                    <w:bottom w:val="single" w:color="auto" w:sz="4" w:space="0"/>
                    <w:right w:val="single" w:color="auto" w:sz="4" w:space="0"/>
                  </w:tcBorders>
                  <w:vAlign w:val="center"/>
                </w:tcPr>
                <w:p w14:paraId="40EBC19E">
                  <w:pPr>
                    <w:pStyle w:val="13"/>
                    <w:jc w:val="center"/>
                  </w:pPr>
                  <w:r>
                    <w:rPr>
                      <w:rFonts w:hint="eastAsia"/>
                    </w:rPr>
                    <w:t>废气防治措施</w:t>
                  </w:r>
                </w:p>
              </w:tc>
              <w:tc>
                <w:tcPr>
                  <w:tcW w:w="3697" w:type="dxa"/>
                  <w:tcBorders>
                    <w:top w:val="single" w:color="auto" w:sz="4" w:space="0"/>
                    <w:left w:val="single" w:color="auto" w:sz="4" w:space="0"/>
                    <w:bottom w:val="single" w:color="auto" w:sz="4" w:space="0"/>
                    <w:right w:val="single" w:color="auto" w:sz="4" w:space="0"/>
                  </w:tcBorders>
                  <w:vAlign w:val="center"/>
                </w:tcPr>
                <w:p w14:paraId="2F6F9002">
                  <w:pPr>
                    <w:pStyle w:val="13"/>
                    <w:jc w:val="both"/>
                  </w:pPr>
                  <w:r>
                    <w:rPr>
                      <w:rFonts w:hint="eastAsia"/>
                    </w:rPr>
                    <w:t>加强废气污染防治。做好投料、搅拌及挤出工序产生的废气的收集处理工作，挤出车间须密闭，挤出废气须经收集处理达到《大气污染物综合排放标准》</w:t>
                  </w:r>
                  <w:r>
                    <w:t>(GB16297-1996 )</w:t>
                  </w:r>
                  <w:r>
                    <w:rPr>
                      <w:rFonts w:hint="eastAsia"/>
                    </w:rPr>
                    <w:t>后高空排放；食堂油烟废气须经收集处理达到《饮食业油烟排放标准》</w:t>
                  </w:r>
                  <w:r>
                    <w:t>(GB18483-2001 )</w:t>
                  </w:r>
                  <w:r>
                    <w:rPr>
                      <w:rFonts w:hint="eastAsia"/>
                    </w:rPr>
                    <w:t>后排放。</w:t>
                  </w:r>
                </w:p>
              </w:tc>
              <w:tc>
                <w:tcPr>
                  <w:tcW w:w="4136" w:type="dxa"/>
                  <w:tcBorders>
                    <w:top w:val="single" w:color="auto" w:sz="4" w:space="0"/>
                    <w:left w:val="single" w:color="auto" w:sz="4" w:space="0"/>
                    <w:bottom w:val="single" w:color="auto" w:sz="4" w:space="0"/>
                    <w:right w:val="single" w:color="auto" w:sz="4" w:space="0"/>
                  </w:tcBorders>
                  <w:vAlign w:val="center"/>
                </w:tcPr>
                <w:p w14:paraId="65F46CBF">
                  <w:pPr>
                    <w:pStyle w:val="13"/>
                    <w:jc w:val="both"/>
                  </w:pPr>
                  <w:r>
                    <w:rPr>
                      <w:rFonts w:hint="eastAsia"/>
                    </w:rPr>
                    <w:t>已落实</w:t>
                  </w:r>
                </w:p>
                <w:p w14:paraId="6CFCDB49">
                  <w:pPr>
                    <w:pStyle w:val="13"/>
                    <w:jc w:val="both"/>
                  </w:pPr>
                  <w:r>
                    <w:rPr>
                      <w:rFonts w:hint="eastAsia"/>
                    </w:rPr>
                    <w:t>①挤出废气：企业委托昆山菲特尔环保科技有限公司进行废气治理工程设计，在每台挤出机上方设置</w:t>
                  </w:r>
                  <w:r>
                    <w:t>3</w:t>
                  </w:r>
                  <w:r>
                    <w:rPr>
                      <w:rFonts w:hint="eastAsia"/>
                    </w:rPr>
                    <w:t>个集气罩（熔体泵、抽真空结合部及出料口会有废气排放），有机废气收集并经水喷淋+水雾过滤器</w:t>
                  </w:r>
                  <w:r>
                    <w:t>+</w:t>
                  </w:r>
                  <w:r>
                    <w:rPr>
                      <w:rFonts w:hint="eastAsia"/>
                    </w:rPr>
                    <w:t>活性炭吸附过滤器处理后通过</w:t>
                  </w:r>
                  <w:r>
                    <w:t>15m</w:t>
                  </w:r>
                  <w:r>
                    <w:rPr>
                      <w:rFonts w:hint="eastAsia"/>
                    </w:rPr>
                    <w:t>高排气筒排放。经检测，非甲烷总烃有组织排放达《合成树脂工业污染物排放标准》（GB 31572-2015，含2024年修改单）要求。②配料及搅拌粉尘：设置密闭的配料室及搅拌室，在每个产尘点设置一个集气罩，收集并经脉冲滤筒除尘器处理后通过</w:t>
                  </w:r>
                  <w:r>
                    <w:t>15m</w:t>
                  </w:r>
                  <w:r>
                    <w:rPr>
                      <w:rFonts w:hint="eastAsia"/>
                    </w:rPr>
                    <w:t>高排气筒排放。经检测，粉尘有组织排放达《合成树脂工业污染物排放标准》（GB 31572-2015，含2024年修改单）限值要求。经监测，厂界无组织废气中的非甲烷总烃、颗粒物浓度达《合成树脂工业污染物排放标准》（GB 31572-2015，含2024年修改单）限要求值。</w:t>
                  </w:r>
                </w:p>
              </w:tc>
            </w:tr>
            <w:tr w14:paraId="4D50D81D">
              <w:trPr>
                <w:jc w:val="center"/>
              </w:trPr>
              <w:tc>
                <w:tcPr>
                  <w:tcW w:w="989" w:type="dxa"/>
                  <w:tcBorders>
                    <w:top w:val="single" w:color="auto" w:sz="4" w:space="0"/>
                    <w:left w:val="single" w:color="auto" w:sz="4" w:space="0"/>
                    <w:bottom w:val="single" w:color="auto" w:sz="4" w:space="0"/>
                    <w:right w:val="single" w:color="auto" w:sz="4" w:space="0"/>
                  </w:tcBorders>
                  <w:vAlign w:val="center"/>
                </w:tcPr>
                <w:p w14:paraId="260ACA06">
                  <w:pPr>
                    <w:pStyle w:val="13"/>
                    <w:jc w:val="center"/>
                  </w:pPr>
                  <w:r>
                    <w:rPr>
                      <w:rFonts w:hint="eastAsia"/>
                    </w:rPr>
                    <w:t>噪声防治措施</w:t>
                  </w:r>
                </w:p>
              </w:tc>
              <w:tc>
                <w:tcPr>
                  <w:tcW w:w="3697" w:type="dxa"/>
                  <w:tcBorders>
                    <w:top w:val="single" w:color="auto" w:sz="4" w:space="0"/>
                    <w:left w:val="single" w:color="auto" w:sz="4" w:space="0"/>
                    <w:bottom w:val="single" w:color="auto" w:sz="4" w:space="0"/>
                    <w:right w:val="single" w:color="auto" w:sz="4" w:space="0"/>
                  </w:tcBorders>
                  <w:vAlign w:val="center"/>
                </w:tcPr>
                <w:p w14:paraId="06F4FC7C">
                  <w:pPr>
                    <w:pStyle w:val="13"/>
                    <w:jc w:val="both"/>
                  </w:pPr>
                  <w:r>
                    <w:rPr>
                      <w:rFonts w:hint="eastAsia"/>
                    </w:rPr>
                    <w:t>加强噪声污染防治。优先选择低噪声的生产设备、合理布局并釆取减震、隔声等措施，使厂界噪声达标。厂界南、西、北噪声执行《工业企业厂界环境噪声排放标准》</w:t>
                  </w:r>
                  <w:r>
                    <w:t>(GB12348-2008 )</w:t>
                  </w:r>
                  <w:r>
                    <w:rPr>
                      <w:rFonts w:hint="eastAsia"/>
                    </w:rPr>
                    <w:t>中</w:t>
                  </w:r>
                  <w:r>
                    <w:t>2</w:t>
                  </w:r>
                  <w:r>
                    <w:rPr>
                      <w:rFonts w:hint="eastAsia"/>
                    </w:rPr>
                    <w:t>类标准，厂界东执行</w:t>
                  </w:r>
                  <w:r>
                    <w:t>4</w:t>
                  </w:r>
                  <w:r>
                    <w:rPr>
                      <w:rFonts w:hint="eastAsia"/>
                    </w:rPr>
                    <w:t>类标准。</w:t>
                  </w:r>
                </w:p>
              </w:tc>
              <w:tc>
                <w:tcPr>
                  <w:tcW w:w="4136" w:type="dxa"/>
                  <w:tcBorders>
                    <w:top w:val="single" w:color="auto" w:sz="4" w:space="0"/>
                    <w:left w:val="single" w:color="auto" w:sz="4" w:space="0"/>
                    <w:bottom w:val="single" w:color="auto" w:sz="4" w:space="0"/>
                    <w:right w:val="single" w:color="auto" w:sz="4" w:space="0"/>
                  </w:tcBorders>
                  <w:vAlign w:val="center"/>
                </w:tcPr>
                <w:p w14:paraId="7F86CC47">
                  <w:pPr>
                    <w:pStyle w:val="13"/>
                    <w:jc w:val="both"/>
                  </w:pPr>
                  <w:r>
                    <w:rPr>
                      <w:rFonts w:hint="eastAsia"/>
                    </w:rPr>
                    <w:t>已落实</w:t>
                  </w:r>
                </w:p>
                <w:p w14:paraId="7157B893">
                  <w:pPr>
                    <w:pStyle w:val="13"/>
                    <w:jc w:val="both"/>
                  </w:pPr>
                  <w:r>
                    <w:rPr>
                      <w:rFonts w:hint="eastAsia"/>
                    </w:rPr>
                    <w:t>经监测，东侧厂界昼间、夜间噪声均符合《工业企业厂界环境噪声排放标准》（</w:t>
                  </w:r>
                  <w:r>
                    <w:t>GB12348-2008</w:t>
                  </w:r>
                  <w:r>
                    <w:rPr>
                      <w:rFonts w:hint="eastAsia"/>
                    </w:rPr>
                    <w:t>）中</w:t>
                  </w:r>
                  <w:r>
                    <w:t>4</w:t>
                  </w:r>
                  <w:r>
                    <w:rPr>
                      <w:rFonts w:hint="eastAsia"/>
                    </w:rPr>
                    <w:t>类标准限值要求；其余三侧厂界昼间、夜间噪声均符合《工业企业厂界环境噪声排放标准》（</w:t>
                  </w:r>
                  <w:r>
                    <w:t>GB12348-2008</w:t>
                  </w:r>
                  <w:r>
                    <w:rPr>
                      <w:rFonts w:hint="eastAsia"/>
                    </w:rPr>
                    <w:t>）中3类标准限值要求。</w:t>
                  </w:r>
                </w:p>
              </w:tc>
            </w:tr>
            <w:tr w14:paraId="6A798039">
              <w:trPr>
                <w:jc w:val="center"/>
              </w:trPr>
              <w:tc>
                <w:tcPr>
                  <w:tcW w:w="989" w:type="dxa"/>
                  <w:tcBorders>
                    <w:top w:val="single" w:color="auto" w:sz="4" w:space="0"/>
                    <w:left w:val="single" w:color="auto" w:sz="4" w:space="0"/>
                    <w:bottom w:val="single" w:color="auto" w:sz="4" w:space="0"/>
                    <w:right w:val="single" w:color="auto" w:sz="4" w:space="0"/>
                  </w:tcBorders>
                  <w:vAlign w:val="center"/>
                </w:tcPr>
                <w:p w14:paraId="317F9BFD">
                  <w:pPr>
                    <w:pStyle w:val="13"/>
                    <w:jc w:val="center"/>
                  </w:pPr>
                  <w:r>
                    <w:rPr>
                      <w:rFonts w:hint="eastAsia"/>
                    </w:rPr>
                    <w:t>固废防治措施</w:t>
                  </w:r>
                </w:p>
              </w:tc>
              <w:tc>
                <w:tcPr>
                  <w:tcW w:w="3697" w:type="dxa"/>
                  <w:tcBorders>
                    <w:top w:val="single" w:color="auto" w:sz="4" w:space="0"/>
                    <w:left w:val="single" w:color="auto" w:sz="4" w:space="0"/>
                    <w:bottom w:val="single" w:color="auto" w:sz="4" w:space="0"/>
                    <w:right w:val="single" w:color="auto" w:sz="4" w:space="0"/>
                  </w:tcBorders>
                  <w:vAlign w:val="center"/>
                </w:tcPr>
                <w:p w14:paraId="07900F62">
                  <w:pPr>
                    <w:pStyle w:val="13"/>
                    <w:jc w:val="both"/>
                  </w:pPr>
                  <w:r>
                    <w:rPr>
                      <w:rFonts w:hint="eastAsia"/>
                    </w:rPr>
                    <w:t>加强固废污染防治。固体废弃物应按照“资源化、减量化、无害化”处置原则，危险废物和一般固废分类收集、堆放、分质处置，尽可能实现资源的综合利用。废活性炭须妥善收集委托有资质的单位进行处置；厂内危废暂存场所应按相关规范进行设置，做好危险废物的入库、存放、出库记录，严格执行转移联单制度，并设置危险废物识别标志，做好防雨、防渗、防漏等工作，杜绝对环境造成二次污染。颜料包装袋、边角料、收集的粉尘收集后回用生产；其他废包装收集后出售给废品回收单位做综合利用；生活垃圾由环卫部门统一清运无害化处理。</w:t>
                  </w:r>
                </w:p>
              </w:tc>
              <w:tc>
                <w:tcPr>
                  <w:tcW w:w="4136" w:type="dxa"/>
                  <w:tcBorders>
                    <w:top w:val="single" w:color="auto" w:sz="4" w:space="0"/>
                    <w:left w:val="single" w:color="auto" w:sz="4" w:space="0"/>
                    <w:bottom w:val="single" w:color="auto" w:sz="4" w:space="0"/>
                    <w:right w:val="single" w:color="auto" w:sz="4" w:space="0"/>
                  </w:tcBorders>
                  <w:vAlign w:val="center"/>
                </w:tcPr>
                <w:p w14:paraId="3CAAC73E">
                  <w:pPr>
                    <w:pStyle w:val="13"/>
                    <w:jc w:val="both"/>
                  </w:pPr>
                  <w:r>
                    <w:rPr>
                      <w:rFonts w:hint="eastAsia"/>
                    </w:rPr>
                    <w:t>已落实</w:t>
                  </w:r>
                </w:p>
                <w:p w14:paraId="7EAA688A">
                  <w:pPr>
                    <w:pStyle w:val="13"/>
                    <w:jc w:val="both"/>
                  </w:pPr>
                  <w:r>
                    <w:rPr>
                      <w:rFonts w:hint="eastAsia"/>
                    </w:rPr>
                    <w:t>建设单位已设置10m</w:t>
                  </w:r>
                  <w:r>
                    <w:rPr>
                      <w:rFonts w:hint="eastAsia"/>
                      <w:vertAlign w:val="superscript"/>
                    </w:rPr>
                    <w:t>2</w:t>
                  </w:r>
                  <w:r>
                    <w:rPr>
                      <w:rFonts w:hint="eastAsia"/>
                    </w:rPr>
                    <w:t>危废暂存间1处，产生的危险废物收集后暂存于厂区危废间，委托有资质的单位进行处置，危废处置合同见附件。</w:t>
                  </w:r>
                </w:p>
              </w:tc>
            </w:tr>
            <w:tr w14:paraId="4287E183">
              <w:trPr>
                <w:jc w:val="center"/>
              </w:trPr>
              <w:tc>
                <w:tcPr>
                  <w:tcW w:w="989" w:type="dxa"/>
                  <w:tcBorders>
                    <w:top w:val="single" w:color="auto" w:sz="4" w:space="0"/>
                    <w:left w:val="single" w:color="auto" w:sz="4" w:space="0"/>
                    <w:bottom w:val="single" w:color="auto" w:sz="4" w:space="0"/>
                    <w:right w:val="single" w:color="auto" w:sz="4" w:space="0"/>
                  </w:tcBorders>
                  <w:vAlign w:val="center"/>
                </w:tcPr>
                <w:p w14:paraId="523901EB">
                  <w:pPr>
                    <w:pStyle w:val="13"/>
                    <w:jc w:val="center"/>
                  </w:pPr>
                  <w:r>
                    <w:rPr>
                      <w:rFonts w:hint="eastAsia"/>
                    </w:rPr>
                    <w:t>环境</w:t>
                  </w:r>
                </w:p>
                <w:p w14:paraId="700B6DD5">
                  <w:pPr>
                    <w:pStyle w:val="13"/>
                    <w:jc w:val="center"/>
                  </w:pPr>
                  <w:r>
                    <w:rPr>
                      <w:rFonts w:hint="eastAsia"/>
                    </w:rPr>
                    <w:t>管理</w:t>
                  </w:r>
                </w:p>
              </w:tc>
              <w:tc>
                <w:tcPr>
                  <w:tcW w:w="3697" w:type="dxa"/>
                  <w:tcBorders>
                    <w:top w:val="single" w:color="auto" w:sz="4" w:space="0"/>
                    <w:left w:val="single" w:color="auto" w:sz="4" w:space="0"/>
                    <w:bottom w:val="single" w:color="auto" w:sz="4" w:space="0"/>
                    <w:right w:val="single" w:color="auto" w:sz="4" w:space="0"/>
                  </w:tcBorders>
                  <w:vAlign w:val="center"/>
                </w:tcPr>
                <w:p w14:paraId="01817FF1">
                  <w:pPr>
                    <w:pStyle w:val="13"/>
                    <w:jc w:val="both"/>
                  </w:pPr>
                  <w:r>
                    <w:rPr>
                      <w:rFonts w:hint="eastAsia"/>
                    </w:rPr>
                    <w:t>加强项目的日常管理。设置专门的环保管理机构，专职负责环境管理工作，实行清洁生产，加强设备及环保设施的维护运行，确保各类污染物稳定达标排放。</w:t>
                  </w:r>
                </w:p>
              </w:tc>
              <w:tc>
                <w:tcPr>
                  <w:tcW w:w="4136" w:type="dxa"/>
                  <w:tcBorders>
                    <w:top w:val="single" w:color="auto" w:sz="4" w:space="0"/>
                    <w:left w:val="single" w:color="auto" w:sz="4" w:space="0"/>
                    <w:bottom w:val="single" w:color="auto" w:sz="4" w:space="0"/>
                    <w:right w:val="single" w:color="auto" w:sz="4" w:space="0"/>
                  </w:tcBorders>
                  <w:vAlign w:val="center"/>
                </w:tcPr>
                <w:p w14:paraId="6015E1E4">
                  <w:pPr>
                    <w:pStyle w:val="13"/>
                    <w:jc w:val="both"/>
                  </w:pPr>
                  <w:r>
                    <w:rPr>
                      <w:rFonts w:hint="eastAsia"/>
                    </w:rPr>
                    <w:t>已落实</w:t>
                  </w:r>
                </w:p>
              </w:tc>
            </w:tr>
          </w:tbl>
          <w:p w14:paraId="71E3434A">
            <w:pPr>
              <w:ind w:firstLine="480"/>
              <w:jc w:val="both"/>
              <w:rPr>
                <w:rFonts w:cs="Times New Roman"/>
              </w:rPr>
            </w:pPr>
            <w:r>
              <w:rPr>
                <w:rFonts w:hint="eastAsia" w:cs="Times New Roman"/>
              </w:rPr>
              <w:t>(2)现有项目污染物达标情况</w:t>
            </w:r>
          </w:p>
          <w:p w14:paraId="369972E2">
            <w:pPr>
              <w:ind w:firstLine="480"/>
              <w:jc w:val="both"/>
            </w:pPr>
            <w:r>
              <w:t>①</w:t>
            </w:r>
            <w:r>
              <w:rPr>
                <w:rFonts w:hint="eastAsia"/>
              </w:rPr>
              <w:t>废气</w:t>
            </w:r>
          </w:p>
          <w:p w14:paraId="37D90B77">
            <w:pPr>
              <w:ind w:firstLine="480"/>
              <w:jc w:val="both"/>
            </w:pPr>
            <w:r>
              <w:rPr>
                <w:rFonts w:hint="eastAsia" w:ascii="宋体" w:hAnsi="宋体" w:cs="Times New Roman"/>
                <w:szCs w:val="24"/>
              </w:rPr>
              <w:t>本次评价引用杭州三基色新材料有限公司</w:t>
            </w:r>
            <w:r>
              <w:rPr>
                <w:rFonts w:cs="Times New Roman"/>
                <w:szCs w:val="24"/>
              </w:rPr>
              <w:t>202</w:t>
            </w:r>
            <w:r>
              <w:rPr>
                <w:rFonts w:hint="eastAsia" w:cs="Times New Roman"/>
                <w:szCs w:val="24"/>
              </w:rPr>
              <w:t>4</w:t>
            </w:r>
            <w:r>
              <w:rPr>
                <w:rFonts w:cs="Times New Roman"/>
                <w:szCs w:val="24"/>
              </w:rPr>
              <w:t>年</w:t>
            </w:r>
            <w:r>
              <w:rPr>
                <w:rFonts w:hint="eastAsia" w:cs="Times New Roman"/>
                <w:szCs w:val="24"/>
              </w:rPr>
              <w:t>10月31日</w:t>
            </w:r>
            <w:r>
              <w:rPr>
                <w:rFonts w:cs="Times New Roman"/>
                <w:szCs w:val="24"/>
              </w:rPr>
              <w:t>的自行监测</w:t>
            </w:r>
            <w:r>
              <w:rPr>
                <w:rFonts w:hint="eastAsia" w:cs="Times New Roman"/>
                <w:szCs w:val="24"/>
              </w:rPr>
              <w:t>报告</w:t>
            </w:r>
            <w:r>
              <w:rPr>
                <w:rFonts w:cs="Times New Roman"/>
                <w:szCs w:val="24"/>
              </w:rPr>
              <w:t>(</w:t>
            </w:r>
            <w:r>
              <w:rPr>
                <w:rFonts w:hint="eastAsia" w:cs="Times New Roman"/>
                <w:szCs w:val="24"/>
              </w:rPr>
              <w:t>报告编号：RA2024H2647</w:t>
            </w:r>
            <w:r>
              <w:rPr>
                <w:rFonts w:cs="Times New Roman"/>
                <w:szCs w:val="24"/>
              </w:rPr>
              <w:t>)作</w:t>
            </w:r>
            <w:r>
              <w:rPr>
                <w:rFonts w:hint="eastAsia" w:ascii="宋体" w:hAnsi="宋体" w:cs="Times New Roman"/>
                <w:szCs w:val="24"/>
              </w:rPr>
              <w:t>为现状达标的评价依据，具体数据如下：</w:t>
            </w:r>
          </w:p>
          <w:p w14:paraId="1C999306">
            <w:pPr>
              <w:pStyle w:val="14"/>
              <w:numPr>
                <w:ilvl w:val="0"/>
                <w:numId w:val="6"/>
              </w:numPr>
              <w:spacing w:before="156"/>
              <w:ind w:firstLine="0"/>
            </w:pPr>
            <w:r>
              <w:rPr>
                <w:rFonts w:hint="eastAsia"/>
              </w:rPr>
              <w:t xml:space="preserve"> </w:t>
            </w:r>
            <w:r>
              <w:t xml:space="preserve"> </w:t>
            </w:r>
            <w:r>
              <w:rPr>
                <w:rFonts w:hint="eastAsia"/>
              </w:rPr>
              <w:t>本项目现有工程DA001废气检测结果一览表</w:t>
            </w:r>
          </w:p>
          <w:tbl>
            <w:tblPr>
              <w:tblStyle w:val="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2232"/>
              <w:gridCol w:w="1701"/>
              <w:gridCol w:w="1613"/>
              <w:gridCol w:w="1420"/>
            </w:tblGrid>
            <w:tr w14:paraId="1F6498C1">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4AAA08E6">
                  <w:pPr>
                    <w:spacing w:line="240" w:lineRule="auto"/>
                    <w:ind w:firstLine="0" w:firstLineChars="0"/>
                    <w:jc w:val="center"/>
                    <w:rPr>
                      <w:rFonts w:cs="Times New Roman"/>
                      <w:sz w:val="18"/>
                    </w:rPr>
                  </w:pPr>
                  <w:r>
                    <w:rPr>
                      <w:rFonts w:hint="eastAsia" w:cs="Times New Roman"/>
                      <w:sz w:val="18"/>
                    </w:rPr>
                    <w:t>净化器名称及型号</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78243079">
                  <w:pPr>
                    <w:spacing w:line="240" w:lineRule="auto"/>
                    <w:ind w:firstLine="0" w:firstLineChars="0"/>
                    <w:jc w:val="center"/>
                    <w:rPr>
                      <w:rFonts w:cs="Times New Roman"/>
                      <w:sz w:val="18"/>
                    </w:rPr>
                  </w:pPr>
                  <w:r>
                    <w:rPr>
                      <w:rFonts w:hint="eastAsia" w:cs="Times New Roman"/>
                      <w:sz w:val="18"/>
                    </w:rPr>
                    <w:t>2#水喷淋+水雾过滤器+活性炭吸附</w:t>
                  </w:r>
                </w:p>
              </w:tc>
            </w:tr>
            <w:tr w14:paraId="79A11A48">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7144F542">
                  <w:pPr>
                    <w:spacing w:line="240" w:lineRule="auto"/>
                    <w:ind w:firstLine="0" w:firstLineChars="0"/>
                    <w:jc w:val="center"/>
                    <w:rPr>
                      <w:rFonts w:cs="Times New Roman"/>
                      <w:sz w:val="18"/>
                    </w:rPr>
                  </w:pPr>
                  <w:r>
                    <w:rPr>
                      <w:rFonts w:hint="eastAsia" w:cs="Times New Roman"/>
                      <w:sz w:val="18"/>
                    </w:rPr>
                    <w:t>排气筒高度（m）</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7D81DA50">
                  <w:pPr>
                    <w:spacing w:line="240" w:lineRule="auto"/>
                    <w:ind w:firstLine="0" w:firstLineChars="0"/>
                    <w:jc w:val="center"/>
                    <w:rPr>
                      <w:rFonts w:cs="Times New Roman"/>
                      <w:sz w:val="18"/>
                    </w:rPr>
                  </w:pPr>
                  <w:r>
                    <w:rPr>
                      <w:rFonts w:hint="eastAsia" w:cs="Times New Roman"/>
                      <w:sz w:val="18"/>
                    </w:rPr>
                    <w:t>15</w:t>
                  </w:r>
                </w:p>
              </w:tc>
            </w:tr>
            <w:tr w14:paraId="1B1DD8EB">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347A39AA">
                  <w:pPr>
                    <w:spacing w:line="240" w:lineRule="auto"/>
                    <w:ind w:firstLine="0" w:firstLineChars="0"/>
                    <w:jc w:val="center"/>
                    <w:rPr>
                      <w:rFonts w:cs="Times New Roman"/>
                      <w:sz w:val="18"/>
                    </w:rPr>
                  </w:pPr>
                  <w:r>
                    <w:rPr>
                      <w:rFonts w:hint="eastAsia" w:cs="Times New Roman"/>
                      <w:kern w:val="0"/>
                      <w:sz w:val="18"/>
                      <w:lang w:bidi="ar"/>
                    </w:rPr>
                    <w:t>排气筒编号</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5002EBD3">
                  <w:pPr>
                    <w:spacing w:line="240" w:lineRule="auto"/>
                    <w:ind w:firstLine="0" w:firstLineChars="0"/>
                    <w:jc w:val="center"/>
                    <w:rPr>
                      <w:rFonts w:cs="Times New Roman"/>
                      <w:sz w:val="18"/>
                    </w:rPr>
                  </w:pPr>
                  <w:r>
                    <w:rPr>
                      <w:rFonts w:hint="eastAsia" w:cs="Times New Roman"/>
                      <w:kern w:val="0"/>
                      <w:sz w:val="18"/>
                      <w:lang w:bidi="ar"/>
                    </w:rPr>
                    <w:t>DA001</w:t>
                  </w:r>
                </w:p>
              </w:tc>
            </w:tr>
            <w:tr w14:paraId="71A0D4E9">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63176BFC">
                  <w:pPr>
                    <w:spacing w:line="240" w:lineRule="auto"/>
                    <w:ind w:firstLine="0" w:firstLineChars="0"/>
                    <w:jc w:val="center"/>
                    <w:rPr>
                      <w:rFonts w:cs="Times New Roman"/>
                      <w:sz w:val="18"/>
                    </w:rPr>
                  </w:pPr>
                  <w:r>
                    <w:rPr>
                      <w:rFonts w:hint="eastAsia" w:cs="Times New Roman"/>
                      <w:sz w:val="18"/>
                    </w:rPr>
                    <w:t>测试断面</w:t>
                  </w:r>
                </w:p>
              </w:tc>
              <w:tc>
                <w:tcPr>
                  <w:tcW w:w="3028" w:type="pct"/>
                  <w:gridSpan w:val="3"/>
                  <w:tcBorders>
                    <w:top w:val="single" w:color="000000" w:sz="4" w:space="0"/>
                    <w:left w:val="single" w:color="000000" w:sz="4" w:space="0"/>
                    <w:bottom w:val="single" w:color="auto" w:sz="4" w:space="0"/>
                    <w:right w:val="single" w:color="auto" w:sz="4" w:space="0"/>
                  </w:tcBorders>
                  <w:vAlign w:val="center"/>
                </w:tcPr>
                <w:p w14:paraId="1496A0BB">
                  <w:pPr>
                    <w:spacing w:line="240" w:lineRule="auto"/>
                    <w:ind w:firstLine="0" w:firstLineChars="0"/>
                    <w:jc w:val="center"/>
                    <w:rPr>
                      <w:rFonts w:cs="Times New Roman"/>
                      <w:sz w:val="18"/>
                    </w:rPr>
                  </w:pPr>
                  <w:r>
                    <w:rPr>
                      <w:rFonts w:hint="eastAsia" w:cs="Times New Roman"/>
                      <w:sz w:val="18"/>
                    </w:rPr>
                    <w:t>废气出口</w:t>
                  </w:r>
                </w:p>
              </w:tc>
            </w:tr>
            <w:tr w14:paraId="0FD9763B">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4214EA93">
                  <w:pPr>
                    <w:spacing w:line="240" w:lineRule="auto"/>
                    <w:ind w:firstLine="0" w:firstLineChars="0"/>
                    <w:jc w:val="center"/>
                    <w:rPr>
                      <w:rFonts w:cs="Times New Roman"/>
                      <w:sz w:val="18"/>
                    </w:rPr>
                  </w:pPr>
                  <w:r>
                    <w:rPr>
                      <w:rFonts w:hint="eastAsia" w:cs="Times New Roman"/>
                      <w:sz w:val="18"/>
                    </w:rPr>
                    <w:t>采样日期</w:t>
                  </w:r>
                </w:p>
              </w:tc>
              <w:tc>
                <w:tcPr>
                  <w:tcW w:w="3028" w:type="pct"/>
                  <w:gridSpan w:val="3"/>
                  <w:tcBorders>
                    <w:top w:val="single" w:color="000000" w:sz="4" w:space="0"/>
                    <w:left w:val="single" w:color="000000" w:sz="4" w:space="0"/>
                    <w:bottom w:val="single" w:color="auto" w:sz="4" w:space="0"/>
                    <w:right w:val="single" w:color="auto" w:sz="4" w:space="0"/>
                  </w:tcBorders>
                  <w:vAlign w:val="center"/>
                </w:tcPr>
                <w:p w14:paraId="3777F407">
                  <w:pPr>
                    <w:spacing w:line="240" w:lineRule="auto"/>
                    <w:ind w:firstLine="0" w:firstLineChars="0"/>
                    <w:jc w:val="center"/>
                    <w:rPr>
                      <w:rFonts w:cs="Times New Roman"/>
                      <w:sz w:val="18"/>
                    </w:rPr>
                  </w:pPr>
                  <w:r>
                    <w:rPr>
                      <w:rFonts w:hint="eastAsia" w:cs="Times New Roman"/>
                      <w:sz w:val="18"/>
                    </w:rPr>
                    <w:t>2024.10.31</w:t>
                  </w:r>
                </w:p>
              </w:tc>
            </w:tr>
            <w:tr w14:paraId="2888BBE7">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24996610">
                  <w:pPr>
                    <w:spacing w:line="240" w:lineRule="auto"/>
                    <w:ind w:firstLine="0" w:firstLineChars="0"/>
                    <w:jc w:val="center"/>
                    <w:rPr>
                      <w:rFonts w:cs="Times New Roman"/>
                      <w:sz w:val="18"/>
                    </w:rPr>
                  </w:pPr>
                  <w:r>
                    <w:rPr>
                      <w:rFonts w:hint="eastAsia" w:cs="Times New Roman"/>
                      <w:sz w:val="18"/>
                    </w:rPr>
                    <w:t>测点烟气温度 (</w:t>
                  </w:r>
                  <w:r>
                    <w:rPr>
                      <w:rFonts w:cs="Times New Roman"/>
                      <w:sz w:val="18"/>
                    </w:rPr>
                    <w:t>℃</w:t>
                  </w:r>
                  <w:r>
                    <w:rPr>
                      <w:rFonts w:hint="eastAsia" w:cs="Times New Roman"/>
                      <w:sz w:val="18"/>
                    </w:rPr>
                    <w:t>)</w:t>
                  </w:r>
                </w:p>
              </w:tc>
              <w:tc>
                <w:tcPr>
                  <w:tcW w:w="1088" w:type="pct"/>
                  <w:tcBorders>
                    <w:top w:val="single" w:color="000000" w:sz="4" w:space="0"/>
                    <w:left w:val="single" w:color="000000" w:sz="4" w:space="0"/>
                    <w:bottom w:val="single" w:color="000000" w:sz="4" w:space="0"/>
                    <w:right w:val="single" w:color="auto" w:sz="4" w:space="0"/>
                  </w:tcBorders>
                  <w:vAlign w:val="center"/>
                </w:tcPr>
                <w:p w14:paraId="2BED493B">
                  <w:pPr>
                    <w:spacing w:line="240" w:lineRule="auto"/>
                    <w:ind w:firstLine="0" w:firstLineChars="0"/>
                    <w:jc w:val="center"/>
                    <w:rPr>
                      <w:rFonts w:cs="Times New Roman"/>
                      <w:sz w:val="18"/>
                    </w:rPr>
                  </w:pPr>
                  <w:r>
                    <w:rPr>
                      <w:rFonts w:hint="eastAsia" w:cs="Times New Roman"/>
                      <w:sz w:val="18"/>
                    </w:rPr>
                    <w:t>23.3</w:t>
                  </w:r>
                </w:p>
              </w:tc>
              <w:tc>
                <w:tcPr>
                  <w:tcW w:w="1032" w:type="pct"/>
                  <w:tcBorders>
                    <w:top w:val="single" w:color="000000" w:sz="4" w:space="0"/>
                    <w:left w:val="single" w:color="auto" w:sz="4" w:space="0"/>
                    <w:bottom w:val="single" w:color="000000" w:sz="4" w:space="0"/>
                    <w:right w:val="single" w:color="auto" w:sz="4" w:space="0"/>
                  </w:tcBorders>
                  <w:vAlign w:val="center"/>
                </w:tcPr>
                <w:p w14:paraId="491F38F8">
                  <w:pPr>
                    <w:spacing w:line="240" w:lineRule="auto"/>
                    <w:ind w:firstLine="0" w:firstLineChars="0"/>
                    <w:jc w:val="center"/>
                    <w:rPr>
                      <w:rFonts w:cs="Times New Roman"/>
                      <w:sz w:val="18"/>
                    </w:rPr>
                  </w:pPr>
                  <w:r>
                    <w:rPr>
                      <w:rFonts w:hint="eastAsia" w:cs="Times New Roman"/>
                      <w:sz w:val="18"/>
                    </w:rPr>
                    <w:t>23.4</w:t>
                  </w:r>
                </w:p>
              </w:tc>
              <w:tc>
                <w:tcPr>
                  <w:tcW w:w="908" w:type="pct"/>
                  <w:tcBorders>
                    <w:top w:val="single" w:color="000000" w:sz="4" w:space="0"/>
                    <w:left w:val="single" w:color="auto" w:sz="4" w:space="0"/>
                    <w:bottom w:val="single" w:color="000000" w:sz="4" w:space="0"/>
                    <w:right w:val="single" w:color="auto" w:sz="4" w:space="0"/>
                  </w:tcBorders>
                  <w:vAlign w:val="center"/>
                </w:tcPr>
                <w:p w14:paraId="4DD96872">
                  <w:pPr>
                    <w:spacing w:line="240" w:lineRule="auto"/>
                    <w:ind w:firstLine="0" w:firstLineChars="0"/>
                    <w:jc w:val="center"/>
                    <w:rPr>
                      <w:rFonts w:cs="Times New Roman"/>
                      <w:sz w:val="18"/>
                    </w:rPr>
                  </w:pPr>
                  <w:r>
                    <w:rPr>
                      <w:rFonts w:hint="eastAsia" w:cs="Times New Roman"/>
                      <w:sz w:val="18"/>
                    </w:rPr>
                    <w:t>23.5</w:t>
                  </w:r>
                </w:p>
              </w:tc>
            </w:tr>
            <w:tr w14:paraId="62738C61">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209D4245">
                  <w:pPr>
                    <w:spacing w:line="240" w:lineRule="auto"/>
                    <w:ind w:firstLine="0" w:firstLineChars="0"/>
                    <w:jc w:val="center"/>
                    <w:rPr>
                      <w:rFonts w:cs="Times New Roman"/>
                      <w:sz w:val="18"/>
                    </w:rPr>
                  </w:pPr>
                  <w:r>
                    <w:rPr>
                      <w:rFonts w:hint="eastAsia" w:cs="Times New Roman"/>
                      <w:sz w:val="18"/>
                    </w:rPr>
                    <w:t>烟气含湿量 (%)</w:t>
                  </w:r>
                </w:p>
              </w:tc>
              <w:tc>
                <w:tcPr>
                  <w:tcW w:w="1088" w:type="pct"/>
                  <w:tcBorders>
                    <w:top w:val="single" w:color="000000" w:sz="4" w:space="0"/>
                    <w:left w:val="single" w:color="000000" w:sz="4" w:space="0"/>
                    <w:bottom w:val="single" w:color="000000" w:sz="4" w:space="0"/>
                    <w:right w:val="single" w:color="auto" w:sz="4" w:space="0"/>
                  </w:tcBorders>
                  <w:vAlign w:val="center"/>
                </w:tcPr>
                <w:p w14:paraId="4C041121">
                  <w:pPr>
                    <w:spacing w:line="240" w:lineRule="auto"/>
                    <w:ind w:firstLine="0" w:firstLineChars="0"/>
                    <w:jc w:val="center"/>
                    <w:rPr>
                      <w:rFonts w:cs="Times New Roman"/>
                      <w:sz w:val="18"/>
                    </w:rPr>
                  </w:pPr>
                  <w:r>
                    <w:rPr>
                      <w:rFonts w:hint="eastAsia" w:cs="Times New Roman"/>
                      <w:sz w:val="18"/>
                    </w:rPr>
                    <w:t>2.88</w:t>
                  </w:r>
                </w:p>
              </w:tc>
              <w:tc>
                <w:tcPr>
                  <w:tcW w:w="1032" w:type="pct"/>
                  <w:tcBorders>
                    <w:top w:val="single" w:color="000000" w:sz="4" w:space="0"/>
                    <w:left w:val="single" w:color="auto" w:sz="4" w:space="0"/>
                    <w:bottom w:val="single" w:color="000000" w:sz="4" w:space="0"/>
                    <w:right w:val="single" w:color="auto" w:sz="4" w:space="0"/>
                  </w:tcBorders>
                  <w:vAlign w:val="center"/>
                </w:tcPr>
                <w:p w14:paraId="53120471">
                  <w:pPr>
                    <w:spacing w:line="240" w:lineRule="auto"/>
                    <w:ind w:firstLine="0" w:firstLineChars="0"/>
                    <w:jc w:val="center"/>
                    <w:rPr>
                      <w:rFonts w:cs="Times New Roman"/>
                      <w:sz w:val="18"/>
                    </w:rPr>
                  </w:pPr>
                  <w:r>
                    <w:rPr>
                      <w:rFonts w:hint="eastAsia" w:cs="Times New Roman"/>
                      <w:sz w:val="18"/>
                    </w:rPr>
                    <w:t>2.88</w:t>
                  </w:r>
                </w:p>
              </w:tc>
              <w:tc>
                <w:tcPr>
                  <w:tcW w:w="908" w:type="pct"/>
                  <w:tcBorders>
                    <w:top w:val="single" w:color="000000" w:sz="4" w:space="0"/>
                    <w:left w:val="single" w:color="auto" w:sz="4" w:space="0"/>
                    <w:bottom w:val="single" w:color="000000" w:sz="4" w:space="0"/>
                    <w:right w:val="single" w:color="auto" w:sz="4" w:space="0"/>
                  </w:tcBorders>
                  <w:vAlign w:val="center"/>
                </w:tcPr>
                <w:p w14:paraId="75413AA4">
                  <w:pPr>
                    <w:spacing w:line="240" w:lineRule="auto"/>
                    <w:ind w:firstLine="0" w:firstLineChars="0"/>
                    <w:jc w:val="center"/>
                    <w:rPr>
                      <w:rFonts w:cs="Times New Roman"/>
                      <w:sz w:val="18"/>
                    </w:rPr>
                  </w:pPr>
                  <w:r>
                    <w:rPr>
                      <w:rFonts w:hint="eastAsia" w:cs="Times New Roman"/>
                      <w:sz w:val="18"/>
                    </w:rPr>
                    <w:t>2.88</w:t>
                  </w:r>
                </w:p>
              </w:tc>
            </w:tr>
            <w:tr w14:paraId="06B0B5E2">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05DD472C">
                  <w:pPr>
                    <w:spacing w:line="240" w:lineRule="auto"/>
                    <w:ind w:firstLine="0" w:firstLineChars="0"/>
                    <w:jc w:val="center"/>
                    <w:rPr>
                      <w:rFonts w:cs="Times New Roman"/>
                      <w:sz w:val="18"/>
                    </w:rPr>
                  </w:pPr>
                  <w:r>
                    <w:rPr>
                      <w:rFonts w:hint="eastAsia" w:cs="Times New Roman"/>
                      <w:sz w:val="18"/>
                    </w:rPr>
                    <w:t>测点烟气流速 (m/s)</w:t>
                  </w:r>
                </w:p>
              </w:tc>
              <w:tc>
                <w:tcPr>
                  <w:tcW w:w="1088" w:type="pct"/>
                  <w:tcBorders>
                    <w:top w:val="single" w:color="000000" w:sz="4" w:space="0"/>
                    <w:left w:val="single" w:color="000000" w:sz="4" w:space="0"/>
                    <w:bottom w:val="single" w:color="000000" w:sz="4" w:space="0"/>
                    <w:right w:val="single" w:color="auto" w:sz="4" w:space="0"/>
                  </w:tcBorders>
                  <w:vAlign w:val="center"/>
                </w:tcPr>
                <w:p w14:paraId="150025F9">
                  <w:pPr>
                    <w:spacing w:line="240" w:lineRule="auto"/>
                    <w:ind w:firstLine="0" w:firstLineChars="0"/>
                    <w:jc w:val="center"/>
                    <w:rPr>
                      <w:rFonts w:cs="Times New Roman"/>
                      <w:sz w:val="18"/>
                    </w:rPr>
                  </w:pPr>
                  <w:r>
                    <w:rPr>
                      <w:rFonts w:hint="eastAsia" w:cs="Times New Roman"/>
                      <w:sz w:val="18"/>
                    </w:rPr>
                    <w:t>11.5</w:t>
                  </w:r>
                </w:p>
              </w:tc>
              <w:tc>
                <w:tcPr>
                  <w:tcW w:w="1032" w:type="pct"/>
                  <w:tcBorders>
                    <w:top w:val="single" w:color="000000" w:sz="4" w:space="0"/>
                    <w:left w:val="single" w:color="auto" w:sz="4" w:space="0"/>
                    <w:bottom w:val="single" w:color="000000" w:sz="4" w:space="0"/>
                    <w:right w:val="single" w:color="auto" w:sz="4" w:space="0"/>
                  </w:tcBorders>
                  <w:vAlign w:val="center"/>
                </w:tcPr>
                <w:p w14:paraId="41BD83C5">
                  <w:pPr>
                    <w:spacing w:line="240" w:lineRule="auto"/>
                    <w:ind w:firstLine="0" w:firstLineChars="0"/>
                    <w:jc w:val="center"/>
                    <w:rPr>
                      <w:rFonts w:cs="Times New Roman"/>
                      <w:sz w:val="18"/>
                    </w:rPr>
                  </w:pPr>
                  <w:r>
                    <w:rPr>
                      <w:rFonts w:hint="eastAsia" w:cs="Times New Roman"/>
                      <w:sz w:val="18"/>
                    </w:rPr>
                    <w:t>11.6</w:t>
                  </w:r>
                </w:p>
              </w:tc>
              <w:tc>
                <w:tcPr>
                  <w:tcW w:w="908" w:type="pct"/>
                  <w:tcBorders>
                    <w:top w:val="single" w:color="000000" w:sz="4" w:space="0"/>
                    <w:left w:val="single" w:color="auto" w:sz="4" w:space="0"/>
                    <w:bottom w:val="single" w:color="000000" w:sz="4" w:space="0"/>
                    <w:right w:val="single" w:color="auto" w:sz="4" w:space="0"/>
                  </w:tcBorders>
                  <w:vAlign w:val="center"/>
                </w:tcPr>
                <w:p w14:paraId="1E74ECE4">
                  <w:pPr>
                    <w:spacing w:line="240" w:lineRule="auto"/>
                    <w:ind w:firstLine="0" w:firstLineChars="0"/>
                    <w:jc w:val="center"/>
                    <w:rPr>
                      <w:rFonts w:cs="Times New Roman"/>
                      <w:sz w:val="18"/>
                    </w:rPr>
                  </w:pPr>
                  <w:r>
                    <w:rPr>
                      <w:rFonts w:hint="eastAsia" w:cs="Times New Roman"/>
                      <w:sz w:val="18"/>
                    </w:rPr>
                    <w:t>11.7</w:t>
                  </w:r>
                </w:p>
              </w:tc>
            </w:tr>
            <w:tr w14:paraId="023044CA">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443E446A">
                  <w:pPr>
                    <w:spacing w:line="240" w:lineRule="auto"/>
                    <w:ind w:firstLine="0" w:firstLineChars="0"/>
                    <w:jc w:val="center"/>
                    <w:rPr>
                      <w:rFonts w:cs="Times New Roman"/>
                      <w:sz w:val="18"/>
                    </w:rPr>
                  </w:pPr>
                  <w:r>
                    <w:rPr>
                      <w:rFonts w:hint="eastAsia" w:cs="Times New Roman"/>
                      <w:sz w:val="18"/>
                    </w:rPr>
                    <w:t>实测烟气量 (m</w:t>
                  </w:r>
                  <w:r>
                    <w:rPr>
                      <w:rFonts w:hint="eastAsia" w:cs="Times New Roman"/>
                      <w:sz w:val="18"/>
                      <w:vertAlign w:val="superscript"/>
                    </w:rPr>
                    <w:t>3</w:t>
                  </w:r>
                  <w:r>
                    <w:rPr>
                      <w:rFonts w:hint="eastAsia" w:cs="Times New Roman"/>
                      <w:sz w:val="18"/>
                    </w:rPr>
                    <w:t>/h)</w:t>
                  </w:r>
                </w:p>
              </w:tc>
              <w:tc>
                <w:tcPr>
                  <w:tcW w:w="1088" w:type="pct"/>
                  <w:tcBorders>
                    <w:top w:val="single" w:color="000000" w:sz="4" w:space="0"/>
                    <w:left w:val="single" w:color="000000" w:sz="4" w:space="0"/>
                    <w:bottom w:val="single" w:color="000000" w:sz="4" w:space="0"/>
                    <w:right w:val="single" w:color="auto" w:sz="4" w:space="0"/>
                  </w:tcBorders>
                  <w:vAlign w:val="center"/>
                </w:tcPr>
                <w:p w14:paraId="23D381E2">
                  <w:pPr>
                    <w:spacing w:line="240" w:lineRule="auto"/>
                    <w:ind w:firstLine="0" w:firstLineChars="0"/>
                    <w:jc w:val="center"/>
                    <w:rPr>
                      <w:rFonts w:cs="Times New Roman"/>
                      <w:sz w:val="18"/>
                    </w:rPr>
                  </w:pPr>
                  <w:r>
                    <w:rPr>
                      <w:rFonts w:hint="eastAsia" w:cs="Times New Roman"/>
                      <w:sz w:val="18"/>
                    </w:rPr>
                    <w:t>23560</w:t>
                  </w:r>
                </w:p>
              </w:tc>
              <w:tc>
                <w:tcPr>
                  <w:tcW w:w="1032" w:type="pct"/>
                  <w:tcBorders>
                    <w:top w:val="single" w:color="000000" w:sz="4" w:space="0"/>
                    <w:left w:val="single" w:color="auto" w:sz="4" w:space="0"/>
                    <w:bottom w:val="single" w:color="000000" w:sz="4" w:space="0"/>
                    <w:right w:val="single" w:color="auto" w:sz="4" w:space="0"/>
                  </w:tcBorders>
                  <w:vAlign w:val="center"/>
                </w:tcPr>
                <w:p w14:paraId="042A79BF">
                  <w:pPr>
                    <w:spacing w:line="240" w:lineRule="auto"/>
                    <w:ind w:firstLine="0" w:firstLineChars="0"/>
                    <w:jc w:val="center"/>
                    <w:rPr>
                      <w:rFonts w:cs="Times New Roman"/>
                      <w:sz w:val="18"/>
                    </w:rPr>
                  </w:pPr>
                  <w:r>
                    <w:rPr>
                      <w:rFonts w:hint="eastAsia" w:cs="Times New Roman"/>
                      <w:sz w:val="18"/>
                    </w:rPr>
                    <w:t>23771</w:t>
                  </w:r>
                </w:p>
              </w:tc>
              <w:tc>
                <w:tcPr>
                  <w:tcW w:w="908" w:type="pct"/>
                  <w:tcBorders>
                    <w:top w:val="single" w:color="000000" w:sz="4" w:space="0"/>
                    <w:left w:val="single" w:color="auto" w:sz="4" w:space="0"/>
                    <w:bottom w:val="single" w:color="000000" w:sz="4" w:space="0"/>
                    <w:right w:val="single" w:color="auto" w:sz="4" w:space="0"/>
                  </w:tcBorders>
                  <w:vAlign w:val="center"/>
                </w:tcPr>
                <w:p w14:paraId="6C8D422A">
                  <w:pPr>
                    <w:spacing w:line="240" w:lineRule="auto"/>
                    <w:ind w:firstLine="0" w:firstLineChars="0"/>
                    <w:jc w:val="center"/>
                    <w:rPr>
                      <w:rFonts w:cs="Times New Roman"/>
                      <w:sz w:val="18"/>
                    </w:rPr>
                  </w:pPr>
                  <w:r>
                    <w:rPr>
                      <w:rFonts w:hint="eastAsia" w:cs="Times New Roman"/>
                      <w:sz w:val="18"/>
                    </w:rPr>
                    <w:t>23838</w:t>
                  </w:r>
                </w:p>
              </w:tc>
            </w:tr>
            <w:tr w14:paraId="435D3C43">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10CBB2DB">
                  <w:pPr>
                    <w:spacing w:line="240" w:lineRule="auto"/>
                    <w:ind w:firstLine="0" w:firstLineChars="0"/>
                    <w:jc w:val="center"/>
                    <w:rPr>
                      <w:rFonts w:cs="Times New Roman"/>
                      <w:sz w:val="18"/>
                    </w:rPr>
                  </w:pPr>
                  <w:r>
                    <w:rPr>
                      <w:rFonts w:hint="eastAsia" w:cs="Times New Roman"/>
                      <w:sz w:val="18"/>
                    </w:rPr>
                    <w:t>标态干烟气量（m</w:t>
                  </w:r>
                  <w:r>
                    <w:rPr>
                      <w:rFonts w:hint="eastAsia" w:cs="Times New Roman"/>
                      <w:sz w:val="18"/>
                      <w:vertAlign w:val="superscript"/>
                    </w:rPr>
                    <w:t>3</w:t>
                  </w:r>
                  <w:r>
                    <w:rPr>
                      <w:rFonts w:hint="eastAsia" w:cs="Times New Roman"/>
                      <w:sz w:val="18"/>
                    </w:rPr>
                    <w:t>/h）</w:t>
                  </w:r>
                </w:p>
              </w:tc>
              <w:tc>
                <w:tcPr>
                  <w:tcW w:w="1088" w:type="pct"/>
                  <w:tcBorders>
                    <w:top w:val="single" w:color="000000" w:sz="4" w:space="0"/>
                    <w:left w:val="single" w:color="000000" w:sz="4" w:space="0"/>
                    <w:bottom w:val="single" w:color="000000" w:sz="4" w:space="0"/>
                    <w:right w:val="single" w:color="auto" w:sz="4" w:space="0"/>
                  </w:tcBorders>
                  <w:vAlign w:val="center"/>
                </w:tcPr>
                <w:p w14:paraId="71993B3F">
                  <w:pPr>
                    <w:spacing w:line="240" w:lineRule="auto"/>
                    <w:ind w:firstLine="0" w:firstLineChars="0"/>
                    <w:jc w:val="center"/>
                    <w:rPr>
                      <w:rFonts w:cs="Times New Roman"/>
                      <w:sz w:val="18"/>
                    </w:rPr>
                  </w:pPr>
                  <w:r>
                    <w:rPr>
                      <w:rFonts w:hint="eastAsia" w:cs="Times New Roman"/>
                      <w:sz w:val="18"/>
                    </w:rPr>
                    <w:t>21222</w:t>
                  </w:r>
                </w:p>
              </w:tc>
              <w:tc>
                <w:tcPr>
                  <w:tcW w:w="1032" w:type="pct"/>
                  <w:tcBorders>
                    <w:top w:val="single" w:color="000000" w:sz="4" w:space="0"/>
                    <w:left w:val="single" w:color="auto" w:sz="4" w:space="0"/>
                    <w:bottom w:val="single" w:color="000000" w:sz="4" w:space="0"/>
                    <w:right w:val="single" w:color="auto" w:sz="4" w:space="0"/>
                  </w:tcBorders>
                  <w:vAlign w:val="center"/>
                </w:tcPr>
                <w:p w14:paraId="1E82DFDE">
                  <w:pPr>
                    <w:spacing w:line="240" w:lineRule="auto"/>
                    <w:ind w:firstLine="0" w:firstLineChars="0"/>
                    <w:jc w:val="center"/>
                    <w:rPr>
                      <w:rFonts w:cs="Times New Roman"/>
                      <w:sz w:val="18"/>
                    </w:rPr>
                  </w:pPr>
                  <w:r>
                    <w:rPr>
                      <w:rFonts w:hint="eastAsia" w:cs="Times New Roman"/>
                      <w:sz w:val="18"/>
                    </w:rPr>
                    <w:t>21406</w:t>
                  </w:r>
                </w:p>
              </w:tc>
              <w:tc>
                <w:tcPr>
                  <w:tcW w:w="908" w:type="pct"/>
                  <w:tcBorders>
                    <w:top w:val="single" w:color="000000" w:sz="4" w:space="0"/>
                    <w:left w:val="single" w:color="auto" w:sz="4" w:space="0"/>
                    <w:bottom w:val="single" w:color="000000" w:sz="4" w:space="0"/>
                    <w:right w:val="single" w:color="auto" w:sz="4" w:space="0"/>
                  </w:tcBorders>
                  <w:vAlign w:val="center"/>
                </w:tcPr>
                <w:p w14:paraId="1DD3046B">
                  <w:pPr>
                    <w:spacing w:line="240" w:lineRule="auto"/>
                    <w:ind w:firstLine="0" w:firstLineChars="0"/>
                    <w:jc w:val="center"/>
                    <w:rPr>
                      <w:rFonts w:cs="Times New Roman"/>
                      <w:sz w:val="18"/>
                    </w:rPr>
                  </w:pPr>
                  <w:r>
                    <w:rPr>
                      <w:rFonts w:hint="eastAsia" w:cs="Times New Roman"/>
                      <w:sz w:val="18"/>
                    </w:rPr>
                    <w:t>21461</w:t>
                  </w:r>
                </w:p>
              </w:tc>
            </w:tr>
            <w:tr w14:paraId="06858595">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6ADDA370">
                  <w:pPr>
                    <w:spacing w:line="240" w:lineRule="auto"/>
                    <w:ind w:firstLine="0" w:firstLineChars="0"/>
                    <w:jc w:val="center"/>
                    <w:rPr>
                      <w:rFonts w:cs="Times New Roman"/>
                      <w:sz w:val="18"/>
                    </w:rPr>
                  </w:pPr>
                  <w:r>
                    <w:rPr>
                      <w:rFonts w:hint="eastAsia" w:cs="Times New Roman"/>
                      <w:sz w:val="18"/>
                    </w:rPr>
                    <w:t>管道截面积（m</w:t>
                  </w:r>
                  <w:r>
                    <w:rPr>
                      <w:rFonts w:hint="eastAsia" w:cs="Times New Roman"/>
                      <w:sz w:val="18"/>
                      <w:vertAlign w:val="superscript"/>
                    </w:rPr>
                    <w:t>2</w:t>
                  </w:r>
                  <w:r>
                    <w:rPr>
                      <w:rFonts w:hint="eastAsia" w:cs="Times New Roman"/>
                      <w:sz w:val="18"/>
                    </w:rPr>
                    <w:t>）</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53D3FC5E">
                  <w:pPr>
                    <w:spacing w:line="240" w:lineRule="auto"/>
                    <w:ind w:firstLine="0" w:firstLineChars="0"/>
                    <w:jc w:val="center"/>
                    <w:rPr>
                      <w:rFonts w:cs="Times New Roman"/>
                      <w:sz w:val="18"/>
                    </w:rPr>
                  </w:pPr>
                  <w:r>
                    <w:rPr>
                      <w:rFonts w:hint="eastAsia" w:cs="Times New Roman"/>
                      <w:sz w:val="18"/>
                    </w:rPr>
                    <w:t>0.5674</w:t>
                  </w:r>
                </w:p>
              </w:tc>
            </w:tr>
            <w:tr w14:paraId="546DA798">
              <w:trPr>
                <w:trHeight w:val="340" w:hRule="atLeast"/>
                <w:jc w:val="center"/>
              </w:trPr>
              <w:tc>
                <w:tcPr>
                  <w:tcW w:w="544" w:type="pct"/>
                  <w:vMerge w:val="restart"/>
                  <w:tcBorders>
                    <w:top w:val="single" w:color="000000" w:sz="4" w:space="0"/>
                    <w:left w:val="single" w:color="000000" w:sz="4" w:space="0"/>
                    <w:right w:val="single" w:color="000000" w:sz="4" w:space="0"/>
                  </w:tcBorders>
                  <w:vAlign w:val="center"/>
                </w:tcPr>
                <w:p w14:paraId="4B625A07">
                  <w:pPr>
                    <w:spacing w:line="240" w:lineRule="auto"/>
                    <w:ind w:firstLine="0" w:firstLineChars="0"/>
                    <w:jc w:val="center"/>
                    <w:rPr>
                      <w:rFonts w:cs="Times New Roman"/>
                      <w:sz w:val="18"/>
                    </w:rPr>
                  </w:pPr>
                  <w:r>
                    <w:rPr>
                      <w:rFonts w:hint="eastAsia" w:cs="Times New Roman"/>
                      <w:sz w:val="18"/>
                    </w:rPr>
                    <w:t>非甲烷总烃</w:t>
                  </w:r>
                </w:p>
              </w:tc>
              <w:tc>
                <w:tcPr>
                  <w:tcW w:w="1427" w:type="pct"/>
                  <w:tcBorders>
                    <w:top w:val="single" w:color="auto" w:sz="4" w:space="0"/>
                    <w:left w:val="single" w:color="000000" w:sz="4" w:space="0"/>
                    <w:bottom w:val="single" w:color="auto" w:sz="4" w:space="0"/>
                    <w:right w:val="single" w:color="000000" w:sz="4" w:space="0"/>
                  </w:tcBorders>
                  <w:vAlign w:val="center"/>
                </w:tcPr>
                <w:p w14:paraId="1724A187">
                  <w:pPr>
                    <w:spacing w:line="240" w:lineRule="auto"/>
                    <w:ind w:firstLine="0" w:firstLineChars="0"/>
                    <w:jc w:val="center"/>
                    <w:rPr>
                      <w:rFonts w:cs="Times New Roman"/>
                      <w:sz w:val="18"/>
                    </w:rPr>
                  </w:pPr>
                  <w:r>
                    <w:rPr>
                      <w:rFonts w:hint="eastAsia" w:cs="Times New Roman"/>
                      <w:sz w:val="18"/>
                    </w:rPr>
                    <w:t>污染物排放浓度 (mg/m</w:t>
                  </w:r>
                  <w:r>
                    <w:rPr>
                      <w:rFonts w:hint="eastAsia" w:cs="Times New Roman"/>
                      <w:sz w:val="18"/>
                      <w:vertAlign w:val="superscript"/>
                    </w:rPr>
                    <w:t>3</w:t>
                  </w:r>
                  <w:r>
                    <w:rPr>
                      <w:rFonts w:hint="eastAsia" w:cs="Times New Roman"/>
                      <w:sz w:val="18"/>
                    </w:rPr>
                    <w:t>)</w:t>
                  </w:r>
                </w:p>
              </w:tc>
              <w:tc>
                <w:tcPr>
                  <w:tcW w:w="1088" w:type="pct"/>
                  <w:tcBorders>
                    <w:top w:val="single" w:color="000000" w:sz="4" w:space="0"/>
                    <w:left w:val="single" w:color="000000" w:sz="4" w:space="0"/>
                    <w:bottom w:val="single" w:color="000000" w:sz="4" w:space="0"/>
                    <w:right w:val="single" w:color="auto" w:sz="4" w:space="0"/>
                  </w:tcBorders>
                  <w:vAlign w:val="center"/>
                </w:tcPr>
                <w:p w14:paraId="7355697E">
                  <w:pPr>
                    <w:spacing w:line="240" w:lineRule="auto"/>
                    <w:ind w:firstLine="0" w:firstLineChars="0"/>
                    <w:jc w:val="center"/>
                    <w:rPr>
                      <w:rFonts w:cs="Times New Roman"/>
                      <w:sz w:val="18"/>
                    </w:rPr>
                  </w:pPr>
                  <w:r>
                    <w:rPr>
                      <w:rFonts w:hint="eastAsia" w:cs="Times New Roman"/>
                      <w:sz w:val="18"/>
                    </w:rPr>
                    <w:t>1.58</w:t>
                  </w:r>
                </w:p>
              </w:tc>
              <w:tc>
                <w:tcPr>
                  <w:tcW w:w="1032" w:type="pct"/>
                  <w:tcBorders>
                    <w:top w:val="single" w:color="000000" w:sz="4" w:space="0"/>
                    <w:left w:val="single" w:color="auto" w:sz="4" w:space="0"/>
                    <w:bottom w:val="single" w:color="000000" w:sz="4" w:space="0"/>
                    <w:right w:val="single" w:color="auto" w:sz="4" w:space="0"/>
                  </w:tcBorders>
                  <w:vAlign w:val="center"/>
                </w:tcPr>
                <w:p w14:paraId="2EBD027B">
                  <w:pPr>
                    <w:spacing w:line="240" w:lineRule="auto"/>
                    <w:ind w:firstLine="0" w:firstLineChars="0"/>
                    <w:jc w:val="center"/>
                    <w:rPr>
                      <w:rFonts w:cs="Times New Roman"/>
                      <w:sz w:val="18"/>
                    </w:rPr>
                  </w:pPr>
                  <w:r>
                    <w:rPr>
                      <w:rFonts w:hint="eastAsia" w:cs="Times New Roman"/>
                      <w:sz w:val="18"/>
                    </w:rPr>
                    <w:t>1.97</w:t>
                  </w:r>
                </w:p>
              </w:tc>
              <w:tc>
                <w:tcPr>
                  <w:tcW w:w="908" w:type="pct"/>
                  <w:tcBorders>
                    <w:top w:val="single" w:color="000000" w:sz="4" w:space="0"/>
                    <w:left w:val="single" w:color="auto" w:sz="4" w:space="0"/>
                    <w:bottom w:val="single" w:color="000000" w:sz="4" w:space="0"/>
                    <w:right w:val="single" w:color="auto" w:sz="4" w:space="0"/>
                  </w:tcBorders>
                  <w:vAlign w:val="center"/>
                </w:tcPr>
                <w:p w14:paraId="2414FE54">
                  <w:pPr>
                    <w:spacing w:line="240" w:lineRule="auto"/>
                    <w:ind w:firstLine="0" w:firstLineChars="0"/>
                    <w:jc w:val="center"/>
                    <w:rPr>
                      <w:rFonts w:cs="Times New Roman"/>
                      <w:sz w:val="18"/>
                    </w:rPr>
                  </w:pPr>
                  <w:r>
                    <w:rPr>
                      <w:rFonts w:hint="eastAsia" w:cs="Times New Roman"/>
                      <w:sz w:val="18"/>
                    </w:rPr>
                    <w:t>2.07</w:t>
                  </w:r>
                </w:p>
              </w:tc>
            </w:tr>
            <w:tr w14:paraId="195F104D">
              <w:trPr>
                <w:trHeight w:val="340" w:hRule="atLeast"/>
                <w:jc w:val="center"/>
              </w:trPr>
              <w:tc>
                <w:tcPr>
                  <w:tcW w:w="544" w:type="pct"/>
                  <w:vMerge w:val="continue"/>
                  <w:tcBorders>
                    <w:left w:val="single" w:color="000000" w:sz="4" w:space="0"/>
                    <w:right w:val="single" w:color="000000" w:sz="4" w:space="0"/>
                  </w:tcBorders>
                  <w:vAlign w:val="center"/>
                </w:tcPr>
                <w:p w14:paraId="0DC34C36">
                  <w:pPr>
                    <w:spacing w:line="240" w:lineRule="auto"/>
                    <w:ind w:firstLine="0" w:firstLineChars="0"/>
                    <w:jc w:val="center"/>
                    <w:rPr>
                      <w:rFonts w:cs="Times New Roman"/>
                      <w:sz w:val="18"/>
                    </w:rPr>
                  </w:pPr>
                </w:p>
              </w:tc>
              <w:tc>
                <w:tcPr>
                  <w:tcW w:w="1427" w:type="pct"/>
                  <w:tcBorders>
                    <w:top w:val="single" w:color="auto" w:sz="4" w:space="0"/>
                    <w:left w:val="single" w:color="000000" w:sz="4" w:space="0"/>
                    <w:bottom w:val="single" w:color="auto" w:sz="4" w:space="0"/>
                    <w:right w:val="single" w:color="000000" w:sz="4" w:space="0"/>
                  </w:tcBorders>
                  <w:vAlign w:val="center"/>
                </w:tcPr>
                <w:p w14:paraId="184F6CDD">
                  <w:pPr>
                    <w:spacing w:line="240" w:lineRule="auto"/>
                    <w:ind w:firstLine="0" w:firstLineChars="0"/>
                    <w:jc w:val="center"/>
                    <w:rPr>
                      <w:rFonts w:cs="Times New Roman"/>
                      <w:sz w:val="18"/>
                    </w:rPr>
                  </w:pPr>
                  <w:r>
                    <w:rPr>
                      <w:rFonts w:hint="eastAsia" w:cs="Times New Roman"/>
                      <w:sz w:val="18"/>
                    </w:rPr>
                    <w:t>排放限值 (mg/m</w:t>
                  </w:r>
                  <w:r>
                    <w:rPr>
                      <w:rFonts w:hint="eastAsia" w:cs="Times New Roman"/>
                      <w:sz w:val="18"/>
                      <w:vertAlign w:val="superscript"/>
                    </w:rPr>
                    <w:t>3</w:t>
                  </w:r>
                  <w:r>
                    <w:rPr>
                      <w:rFonts w:hint="eastAsia" w:cs="Times New Roman"/>
                      <w:sz w:val="18"/>
                    </w:rPr>
                    <w:t>)</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3A102B6F">
                  <w:pPr>
                    <w:spacing w:line="240" w:lineRule="auto"/>
                    <w:ind w:firstLine="0" w:firstLineChars="0"/>
                    <w:jc w:val="center"/>
                    <w:rPr>
                      <w:rFonts w:cs="Times New Roman"/>
                      <w:sz w:val="18"/>
                    </w:rPr>
                  </w:pPr>
                  <w:r>
                    <w:rPr>
                      <w:rFonts w:hint="eastAsia" w:cs="Times New Roman"/>
                      <w:sz w:val="18"/>
                    </w:rPr>
                    <w:t>60</w:t>
                  </w:r>
                </w:p>
              </w:tc>
            </w:tr>
            <w:tr w14:paraId="440D657C">
              <w:trPr>
                <w:trHeight w:val="340" w:hRule="atLeast"/>
                <w:jc w:val="center"/>
              </w:trPr>
              <w:tc>
                <w:tcPr>
                  <w:tcW w:w="544" w:type="pct"/>
                  <w:vMerge w:val="continue"/>
                  <w:tcBorders>
                    <w:left w:val="single" w:color="000000" w:sz="4" w:space="0"/>
                    <w:right w:val="single" w:color="000000" w:sz="4" w:space="0"/>
                  </w:tcBorders>
                  <w:vAlign w:val="center"/>
                </w:tcPr>
                <w:p w14:paraId="6F011EAE">
                  <w:pPr>
                    <w:spacing w:line="240" w:lineRule="auto"/>
                    <w:ind w:firstLine="0" w:firstLineChars="0"/>
                    <w:jc w:val="center"/>
                    <w:rPr>
                      <w:rFonts w:cs="Times New Roman"/>
                      <w:sz w:val="18"/>
                    </w:rPr>
                  </w:pPr>
                </w:p>
              </w:tc>
              <w:tc>
                <w:tcPr>
                  <w:tcW w:w="1427" w:type="pct"/>
                  <w:tcBorders>
                    <w:top w:val="single" w:color="auto" w:sz="4" w:space="0"/>
                    <w:left w:val="single" w:color="000000" w:sz="4" w:space="0"/>
                    <w:bottom w:val="single" w:color="auto" w:sz="4" w:space="0"/>
                    <w:right w:val="single" w:color="000000" w:sz="4" w:space="0"/>
                  </w:tcBorders>
                  <w:vAlign w:val="center"/>
                </w:tcPr>
                <w:p w14:paraId="1902E8B5">
                  <w:pPr>
                    <w:spacing w:line="240" w:lineRule="auto"/>
                    <w:ind w:firstLine="0" w:firstLineChars="0"/>
                    <w:jc w:val="center"/>
                    <w:rPr>
                      <w:rFonts w:cs="Times New Roman"/>
                      <w:sz w:val="18"/>
                    </w:rPr>
                  </w:pPr>
                  <w:r>
                    <w:rPr>
                      <w:rFonts w:hint="eastAsia" w:cs="Times New Roman"/>
                      <w:sz w:val="18"/>
                    </w:rPr>
                    <w:t>平均排放速率(kg/h)</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1FA62606">
                  <w:pPr>
                    <w:spacing w:line="240" w:lineRule="auto"/>
                    <w:ind w:firstLine="0" w:firstLineChars="0"/>
                    <w:jc w:val="center"/>
                    <w:rPr>
                      <w:rFonts w:cs="Times New Roman"/>
                      <w:sz w:val="18"/>
                    </w:rPr>
                  </w:pPr>
                  <w:r>
                    <w:rPr>
                      <w:rFonts w:hint="eastAsia" w:cs="Times New Roman"/>
                      <w:sz w:val="18"/>
                    </w:rPr>
                    <w:t>0.04</w:t>
                  </w:r>
                </w:p>
              </w:tc>
            </w:tr>
          </w:tbl>
          <w:p w14:paraId="50FB0D74">
            <w:pPr>
              <w:pStyle w:val="14"/>
              <w:numPr>
                <w:ilvl w:val="0"/>
                <w:numId w:val="6"/>
              </w:numPr>
              <w:spacing w:before="156"/>
              <w:ind w:firstLine="0"/>
            </w:pPr>
            <w:r>
              <w:rPr>
                <w:rFonts w:hint="eastAsia"/>
              </w:rPr>
              <w:t xml:space="preserve"> </w:t>
            </w:r>
            <w:r>
              <w:t xml:space="preserve"> </w:t>
            </w:r>
            <w:r>
              <w:rPr>
                <w:rFonts w:hint="eastAsia"/>
              </w:rPr>
              <w:t>本项目现有工程DA002废气检测结果一览表</w:t>
            </w:r>
          </w:p>
          <w:tbl>
            <w:tblPr>
              <w:tblStyle w:val="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2232"/>
              <w:gridCol w:w="1701"/>
              <w:gridCol w:w="1613"/>
              <w:gridCol w:w="1420"/>
            </w:tblGrid>
            <w:tr w14:paraId="5CC22127">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4A3FF8F3">
                  <w:pPr>
                    <w:spacing w:line="240" w:lineRule="auto"/>
                    <w:ind w:firstLine="0" w:firstLineChars="0"/>
                    <w:jc w:val="center"/>
                    <w:rPr>
                      <w:rFonts w:cs="Times New Roman"/>
                      <w:sz w:val="18"/>
                    </w:rPr>
                  </w:pPr>
                  <w:r>
                    <w:rPr>
                      <w:rFonts w:hint="eastAsia" w:cs="Times New Roman"/>
                      <w:sz w:val="18"/>
                    </w:rPr>
                    <w:t>净化器名称及型号</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133E6C01">
                  <w:pPr>
                    <w:spacing w:line="240" w:lineRule="auto"/>
                    <w:ind w:firstLine="0" w:firstLineChars="0"/>
                    <w:jc w:val="center"/>
                    <w:rPr>
                      <w:rFonts w:cs="Times New Roman"/>
                      <w:sz w:val="18"/>
                    </w:rPr>
                  </w:pPr>
                  <w:r>
                    <w:rPr>
                      <w:rFonts w:hint="eastAsia" w:cs="Times New Roman"/>
                      <w:sz w:val="18"/>
                    </w:rPr>
                    <w:t>3#滤筒除尘器</w:t>
                  </w:r>
                </w:p>
              </w:tc>
            </w:tr>
            <w:tr w14:paraId="4D3FEF6B">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1E7EB740">
                  <w:pPr>
                    <w:spacing w:line="240" w:lineRule="auto"/>
                    <w:ind w:firstLine="0" w:firstLineChars="0"/>
                    <w:jc w:val="center"/>
                    <w:rPr>
                      <w:rFonts w:cs="Times New Roman"/>
                      <w:sz w:val="18"/>
                    </w:rPr>
                  </w:pPr>
                  <w:r>
                    <w:rPr>
                      <w:rFonts w:hint="eastAsia" w:cs="Times New Roman"/>
                      <w:sz w:val="18"/>
                    </w:rPr>
                    <w:t>排气筒高度（m）</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7E48E32B">
                  <w:pPr>
                    <w:spacing w:line="240" w:lineRule="auto"/>
                    <w:ind w:firstLine="0" w:firstLineChars="0"/>
                    <w:jc w:val="center"/>
                    <w:rPr>
                      <w:rFonts w:cs="Times New Roman"/>
                      <w:sz w:val="18"/>
                    </w:rPr>
                  </w:pPr>
                  <w:r>
                    <w:rPr>
                      <w:rFonts w:hint="eastAsia" w:cs="Times New Roman"/>
                      <w:sz w:val="18"/>
                    </w:rPr>
                    <w:t>15</w:t>
                  </w:r>
                </w:p>
              </w:tc>
            </w:tr>
            <w:tr w14:paraId="20BC9B75">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28D0AD05">
                  <w:pPr>
                    <w:spacing w:line="240" w:lineRule="auto"/>
                    <w:ind w:firstLine="0" w:firstLineChars="0"/>
                    <w:jc w:val="center"/>
                    <w:rPr>
                      <w:rFonts w:cs="Times New Roman"/>
                      <w:sz w:val="18"/>
                    </w:rPr>
                  </w:pPr>
                  <w:r>
                    <w:rPr>
                      <w:rFonts w:hint="eastAsia" w:cs="Times New Roman"/>
                      <w:kern w:val="0"/>
                      <w:sz w:val="18"/>
                      <w:lang w:bidi="ar"/>
                    </w:rPr>
                    <w:t>排气筒编号</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688A67CA">
                  <w:pPr>
                    <w:spacing w:line="240" w:lineRule="auto"/>
                    <w:ind w:firstLine="0" w:firstLineChars="0"/>
                    <w:jc w:val="center"/>
                    <w:rPr>
                      <w:rFonts w:cs="Times New Roman"/>
                      <w:sz w:val="18"/>
                    </w:rPr>
                  </w:pPr>
                  <w:r>
                    <w:rPr>
                      <w:rFonts w:hint="eastAsia" w:cs="Times New Roman"/>
                      <w:kern w:val="0"/>
                      <w:sz w:val="18"/>
                      <w:lang w:bidi="ar"/>
                    </w:rPr>
                    <w:t>DA001</w:t>
                  </w:r>
                </w:p>
              </w:tc>
            </w:tr>
            <w:tr w14:paraId="5563856C">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7EA4A0A1">
                  <w:pPr>
                    <w:spacing w:line="240" w:lineRule="auto"/>
                    <w:ind w:firstLine="0" w:firstLineChars="0"/>
                    <w:jc w:val="center"/>
                    <w:rPr>
                      <w:rFonts w:cs="Times New Roman"/>
                      <w:sz w:val="18"/>
                    </w:rPr>
                  </w:pPr>
                  <w:r>
                    <w:rPr>
                      <w:rFonts w:hint="eastAsia" w:cs="Times New Roman"/>
                      <w:sz w:val="18"/>
                    </w:rPr>
                    <w:t>测试断面</w:t>
                  </w:r>
                </w:p>
              </w:tc>
              <w:tc>
                <w:tcPr>
                  <w:tcW w:w="3028" w:type="pct"/>
                  <w:gridSpan w:val="3"/>
                  <w:tcBorders>
                    <w:top w:val="single" w:color="000000" w:sz="4" w:space="0"/>
                    <w:left w:val="single" w:color="000000" w:sz="4" w:space="0"/>
                    <w:bottom w:val="single" w:color="auto" w:sz="4" w:space="0"/>
                    <w:right w:val="single" w:color="auto" w:sz="4" w:space="0"/>
                  </w:tcBorders>
                  <w:vAlign w:val="center"/>
                </w:tcPr>
                <w:p w14:paraId="0CB34B7C">
                  <w:pPr>
                    <w:spacing w:line="240" w:lineRule="auto"/>
                    <w:ind w:firstLine="0" w:firstLineChars="0"/>
                    <w:jc w:val="center"/>
                    <w:rPr>
                      <w:rFonts w:cs="Times New Roman"/>
                      <w:sz w:val="18"/>
                    </w:rPr>
                  </w:pPr>
                  <w:r>
                    <w:rPr>
                      <w:rFonts w:hint="eastAsia" w:cs="Times New Roman"/>
                      <w:sz w:val="18"/>
                    </w:rPr>
                    <w:t>废气出口</w:t>
                  </w:r>
                </w:p>
              </w:tc>
            </w:tr>
            <w:tr w14:paraId="6218CB8A">
              <w:trPr>
                <w:trHeight w:val="340" w:hRule="atLeast"/>
                <w:jc w:val="center"/>
              </w:trPr>
              <w:tc>
                <w:tcPr>
                  <w:tcW w:w="1971" w:type="pct"/>
                  <w:gridSpan w:val="2"/>
                  <w:tcBorders>
                    <w:top w:val="single" w:color="000000" w:sz="4" w:space="0"/>
                    <w:left w:val="single" w:color="000000" w:sz="4" w:space="0"/>
                    <w:bottom w:val="single" w:color="000000" w:sz="4" w:space="0"/>
                    <w:right w:val="single" w:color="000000" w:sz="4" w:space="0"/>
                  </w:tcBorders>
                  <w:vAlign w:val="center"/>
                </w:tcPr>
                <w:p w14:paraId="660274F8">
                  <w:pPr>
                    <w:spacing w:line="240" w:lineRule="auto"/>
                    <w:ind w:firstLine="0" w:firstLineChars="0"/>
                    <w:jc w:val="center"/>
                    <w:rPr>
                      <w:rFonts w:cs="Times New Roman"/>
                      <w:sz w:val="18"/>
                    </w:rPr>
                  </w:pPr>
                  <w:r>
                    <w:rPr>
                      <w:rFonts w:hint="eastAsia" w:cs="Times New Roman"/>
                      <w:sz w:val="18"/>
                    </w:rPr>
                    <w:t>采样日期</w:t>
                  </w:r>
                </w:p>
              </w:tc>
              <w:tc>
                <w:tcPr>
                  <w:tcW w:w="3028" w:type="pct"/>
                  <w:gridSpan w:val="3"/>
                  <w:tcBorders>
                    <w:top w:val="single" w:color="000000" w:sz="4" w:space="0"/>
                    <w:left w:val="single" w:color="000000" w:sz="4" w:space="0"/>
                    <w:bottom w:val="single" w:color="auto" w:sz="4" w:space="0"/>
                    <w:right w:val="single" w:color="auto" w:sz="4" w:space="0"/>
                  </w:tcBorders>
                  <w:vAlign w:val="center"/>
                </w:tcPr>
                <w:p w14:paraId="074E4E26">
                  <w:pPr>
                    <w:spacing w:line="240" w:lineRule="auto"/>
                    <w:ind w:firstLine="0" w:firstLineChars="0"/>
                    <w:jc w:val="center"/>
                    <w:rPr>
                      <w:rFonts w:cs="Times New Roman"/>
                      <w:sz w:val="18"/>
                    </w:rPr>
                  </w:pPr>
                  <w:r>
                    <w:rPr>
                      <w:rFonts w:hint="eastAsia" w:cs="Times New Roman"/>
                      <w:sz w:val="18"/>
                    </w:rPr>
                    <w:t>2024.10.31</w:t>
                  </w:r>
                </w:p>
              </w:tc>
            </w:tr>
            <w:tr w14:paraId="25F5C124">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6C454EC3">
                  <w:pPr>
                    <w:spacing w:line="240" w:lineRule="auto"/>
                    <w:ind w:firstLine="0" w:firstLineChars="0"/>
                    <w:jc w:val="center"/>
                    <w:rPr>
                      <w:rFonts w:cs="Times New Roman"/>
                      <w:sz w:val="18"/>
                    </w:rPr>
                  </w:pPr>
                  <w:r>
                    <w:rPr>
                      <w:rFonts w:hint="eastAsia" w:cs="Times New Roman"/>
                      <w:sz w:val="18"/>
                    </w:rPr>
                    <w:t>测点烟气温度 (</w:t>
                  </w:r>
                  <w:r>
                    <w:rPr>
                      <w:rFonts w:cs="Times New Roman"/>
                      <w:sz w:val="18"/>
                    </w:rPr>
                    <w:t>℃</w:t>
                  </w:r>
                  <w:r>
                    <w:rPr>
                      <w:rFonts w:hint="eastAsia" w:cs="Times New Roman"/>
                      <w:sz w:val="18"/>
                    </w:rPr>
                    <w:t>)</w:t>
                  </w:r>
                </w:p>
              </w:tc>
              <w:tc>
                <w:tcPr>
                  <w:tcW w:w="1088" w:type="pct"/>
                  <w:tcBorders>
                    <w:top w:val="single" w:color="000000" w:sz="4" w:space="0"/>
                    <w:left w:val="single" w:color="000000" w:sz="4" w:space="0"/>
                    <w:bottom w:val="single" w:color="000000" w:sz="4" w:space="0"/>
                    <w:right w:val="single" w:color="auto" w:sz="4" w:space="0"/>
                  </w:tcBorders>
                  <w:vAlign w:val="center"/>
                </w:tcPr>
                <w:p w14:paraId="39EB82AE">
                  <w:pPr>
                    <w:spacing w:line="240" w:lineRule="auto"/>
                    <w:ind w:firstLine="0" w:firstLineChars="0"/>
                    <w:jc w:val="center"/>
                    <w:rPr>
                      <w:rFonts w:cs="Times New Roman"/>
                      <w:sz w:val="18"/>
                    </w:rPr>
                  </w:pPr>
                  <w:r>
                    <w:rPr>
                      <w:rFonts w:hint="eastAsia" w:cs="Times New Roman"/>
                      <w:sz w:val="18"/>
                    </w:rPr>
                    <w:t>25.2</w:t>
                  </w:r>
                </w:p>
              </w:tc>
              <w:tc>
                <w:tcPr>
                  <w:tcW w:w="1032" w:type="pct"/>
                  <w:tcBorders>
                    <w:top w:val="single" w:color="000000" w:sz="4" w:space="0"/>
                    <w:left w:val="single" w:color="auto" w:sz="4" w:space="0"/>
                    <w:bottom w:val="single" w:color="000000" w:sz="4" w:space="0"/>
                    <w:right w:val="single" w:color="auto" w:sz="4" w:space="0"/>
                  </w:tcBorders>
                  <w:vAlign w:val="center"/>
                </w:tcPr>
                <w:p w14:paraId="1B012029">
                  <w:pPr>
                    <w:spacing w:line="240" w:lineRule="auto"/>
                    <w:ind w:firstLine="0" w:firstLineChars="0"/>
                    <w:jc w:val="center"/>
                    <w:rPr>
                      <w:rFonts w:cs="Times New Roman"/>
                      <w:sz w:val="18"/>
                    </w:rPr>
                  </w:pPr>
                  <w:r>
                    <w:rPr>
                      <w:rFonts w:hint="eastAsia" w:cs="Times New Roman"/>
                      <w:sz w:val="18"/>
                    </w:rPr>
                    <w:t>25.0</w:t>
                  </w:r>
                </w:p>
              </w:tc>
              <w:tc>
                <w:tcPr>
                  <w:tcW w:w="908" w:type="pct"/>
                  <w:tcBorders>
                    <w:top w:val="single" w:color="000000" w:sz="4" w:space="0"/>
                    <w:left w:val="single" w:color="auto" w:sz="4" w:space="0"/>
                    <w:bottom w:val="single" w:color="000000" w:sz="4" w:space="0"/>
                    <w:right w:val="single" w:color="auto" w:sz="4" w:space="0"/>
                  </w:tcBorders>
                  <w:vAlign w:val="center"/>
                </w:tcPr>
                <w:p w14:paraId="153B7B4C">
                  <w:pPr>
                    <w:spacing w:line="240" w:lineRule="auto"/>
                    <w:ind w:firstLine="0" w:firstLineChars="0"/>
                    <w:jc w:val="center"/>
                    <w:rPr>
                      <w:rFonts w:cs="Times New Roman"/>
                      <w:sz w:val="18"/>
                    </w:rPr>
                  </w:pPr>
                  <w:r>
                    <w:rPr>
                      <w:rFonts w:hint="eastAsia" w:cs="Times New Roman"/>
                      <w:sz w:val="18"/>
                    </w:rPr>
                    <w:t>24.9</w:t>
                  </w:r>
                </w:p>
              </w:tc>
            </w:tr>
            <w:tr w14:paraId="0DF33F8D">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5FFF5433">
                  <w:pPr>
                    <w:spacing w:line="240" w:lineRule="auto"/>
                    <w:ind w:firstLine="0" w:firstLineChars="0"/>
                    <w:jc w:val="center"/>
                    <w:rPr>
                      <w:rFonts w:cs="Times New Roman"/>
                      <w:sz w:val="18"/>
                    </w:rPr>
                  </w:pPr>
                  <w:r>
                    <w:rPr>
                      <w:rFonts w:hint="eastAsia" w:cs="Times New Roman"/>
                      <w:sz w:val="18"/>
                    </w:rPr>
                    <w:t>烟气含湿量 (%)</w:t>
                  </w:r>
                </w:p>
              </w:tc>
              <w:tc>
                <w:tcPr>
                  <w:tcW w:w="1088" w:type="pct"/>
                  <w:tcBorders>
                    <w:top w:val="single" w:color="000000" w:sz="4" w:space="0"/>
                    <w:left w:val="single" w:color="000000" w:sz="4" w:space="0"/>
                    <w:bottom w:val="single" w:color="000000" w:sz="4" w:space="0"/>
                    <w:right w:val="single" w:color="auto" w:sz="4" w:space="0"/>
                  </w:tcBorders>
                  <w:vAlign w:val="center"/>
                </w:tcPr>
                <w:p w14:paraId="614E055D">
                  <w:pPr>
                    <w:spacing w:line="240" w:lineRule="auto"/>
                    <w:ind w:firstLine="0" w:firstLineChars="0"/>
                    <w:jc w:val="center"/>
                    <w:rPr>
                      <w:rFonts w:cs="Times New Roman"/>
                      <w:sz w:val="18"/>
                    </w:rPr>
                  </w:pPr>
                  <w:r>
                    <w:rPr>
                      <w:rFonts w:hint="eastAsia" w:cs="Times New Roman"/>
                      <w:sz w:val="18"/>
                    </w:rPr>
                    <w:t>2.57</w:t>
                  </w:r>
                </w:p>
              </w:tc>
              <w:tc>
                <w:tcPr>
                  <w:tcW w:w="1032" w:type="pct"/>
                  <w:tcBorders>
                    <w:top w:val="single" w:color="000000" w:sz="4" w:space="0"/>
                    <w:left w:val="single" w:color="auto" w:sz="4" w:space="0"/>
                    <w:bottom w:val="single" w:color="000000" w:sz="4" w:space="0"/>
                    <w:right w:val="single" w:color="auto" w:sz="4" w:space="0"/>
                  </w:tcBorders>
                  <w:vAlign w:val="center"/>
                </w:tcPr>
                <w:p w14:paraId="09309CA7">
                  <w:pPr>
                    <w:spacing w:line="240" w:lineRule="auto"/>
                    <w:ind w:firstLine="0" w:firstLineChars="0"/>
                    <w:jc w:val="center"/>
                    <w:rPr>
                      <w:rFonts w:cs="Times New Roman"/>
                      <w:sz w:val="18"/>
                    </w:rPr>
                  </w:pPr>
                  <w:r>
                    <w:rPr>
                      <w:rFonts w:hint="eastAsia" w:cs="Times New Roman"/>
                      <w:sz w:val="18"/>
                    </w:rPr>
                    <w:t>2.57</w:t>
                  </w:r>
                </w:p>
              </w:tc>
              <w:tc>
                <w:tcPr>
                  <w:tcW w:w="908" w:type="pct"/>
                  <w:tcBorders>
                    <w:top w:val="single" w:color="000000" w:sz="4" w:space="0"/>
                    <w:left w:val="single" w:color="auto" w:sz="4" w:space="0"/>
                    <w:bottom w:val="single" w:color="000000" w:sz="4" w:space="0"/>
                    <w:right w:val="single" w:color="auto" w:sz="4" w:space="0"/>
                  </w:tcBorders>
                  <w:vAlign w:val="center"/>
                </w:tcPr>
                <w:p w14:paraId="28F65A4F">
                  <w:pPr>
                    <w:spacing w:line="240" w:lineRule="auto"/>
                    <w:ind w:firstLine="0" w:firstLineChars="0"/>
                    <w:jc w:val="center"/>
                    <w:rPr>
                      <w:rFonts w:cs="Times New Roman"/>
                      <w:sz w:val="18"/>
                    </w:rPr>
                  </w:pPr>
                  <w:r>
                    <w:rPr>
                      <w:rFonts w:hint="eastAsia" w:cs="Times New Roman"/>
                      <w:sz w:val="18"/>
                    </w:rPr>
                    <w:t>2.57</w:t>
                  </w:r>
                </w:p>
              </w:tc>
            </w:tr>
            <w:tr w14:paraId="754B7974">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47D9B633">
                  <w:pPr>
                    <w:spacing w:line="240" w:lineRule="auto"/>
                    <w:ind w:firstLine="0" w:firstLineChars="0"/>
                    <w:jc w:val="center"/>
                    <w:rPr>
                      <w:rFonts w:cs="Times New Roman"/>
                      <w:sz w:val="18"/>
                    </w:rPr>
                  </w:pPr>
                  <w:r>
                    <w:rPr>
                      <w:rFonts w:hint="eastAsia" w:cs="Times New Roman"/>
                      <w:sz w:val="18"/>
                    </w:rPr>
                    <w:t>测点烟气流速 (m/s)</w:t>
                  </w:r>
                </w:p>
              </w:tc>
              <w:tc>
                <w:tcPr>
                  <w:tcW w:w="1088" w:type="pct"/>
                  <w:tcBorders>
                    <w:top w:val="single" w:color="000000" w:sz="4" w:space="0"/>
                    <w:left w:val="single" w:color="000000" w:sz="4" w:space="0"/>
                    <w:bottom w:val="single" w:color="000000" w:sz="4" w:space="0"/>
                    <w:right w:val="single" w:color="auto" w:sz="4" w:space="0"/>
                  </w:tcBorders>
                  <w:vAlign w:val="center"/>
                </w:tcPr>
                <w:p w14:paraId="062FA24A">
                  <w:pPr>
                    <w:spacing w:line="240" w:lineRule="auto"/>
                    <w:ind w:firstLine="0" w:firstLineChars="0"/>
                    <w:jc w:val="center"/>
                    <w:rPr>
                      <w:rFonts w:cs="Times New Roman"/>
                      <w:sz w:val="18"/>
                    </w:rPr>
                  </w:pPr>
                  <w:r>
                    <w:rPr>
                      <w:rFonts w:hint="eastAsia" w:cs="Times New Roman"/>
                      <w:sz w:val="18"/>
                    </w:rPr>
                    <w:t>8.2</w:t>
                  </w:r>
                </w:p>
              </w:tc>
              <w:tc>
                <w:tcPr>
                  <w:tcW w:w="1032" w:type="pct"/>
                  <w:tcBorders>
                    <w:top w:val="single" w:color="000000" w:sz="4" w:space="0"/>
                    <w:left w:val="single" w:color="auto" w:sz="4" w:space="0"/>
                    <w:bottom w:val="single" w:color="000000" w:sz="4" w:space="0"/>
                    <w:right w:val="single" w:color="auto" w:sz="4" w:space="0"/>
                  </w:tcBorders>
                  <w:vAlign w:val="center"/>
                </w:tcPr>
                <w:p w14:paraId="6C71A99A">
                  <w:pPr>
                    <w:spacing w:line="240" w:lineRule="auto"/>
                    <w:ind w:firstLine="0" w:firstLineChars="0"/>
                    <w:jc w:val="center"/>
                    <w:rPr>
                      <w:rFonts w:cs="Times New Roman"/>
                      <w:sz w:val="18"/>
                    </w:rPr>
                  </w:pPr>
                  <w:r>
                    <w:rPr>
                      <w:rFonts w:hint="eastAsia" w:cs="Times New Roman"/>
                      <w:sz w:val="18"/>
                    </w:rPr>
                    <w:t>8.2</w:t>
                  </w:r>
                </w:p>
              </w:tc>
              <w:tc>
                <w:tcPr>
                  <w:tcW w:w="908" w:type="pct"/>
                  <w:tcBorders>
                    <w:top w:val="single" w:color="000000" w:sz="4" w:space="0"/>
                    <w:left w:val="single" w:color="auto" w:sz="4" w:space="0"/>
                    <w:bottom w:val="single" w:color="000000" w:sz="4" w:space="0"/>
                    <w:right w:val="single" w:color="auto" w:sz="4" w:space="0"/>
                  </w:tcBorders>
                  <w:vAlign w:val="center"/>
                </w:tcPr>
                <w:p w14:paraId="5F84660A">
                  <w:pPr>
                    <w:spacing w:line="240" w:lineRule="auto"/>
                    <w:ind w:firstLine="0" w:firstLineChars="0"/>
                    <w:jc w:val="center"/>
                    <w:rPr>
                      <w:rFonts w:cs="Times New Roman"/>
                      <w:sz w:val="18"/>
                    </w:rPr>
                  </w:pPr>
                  <w:r>
                    <w:rPr>
                      <w:rFonts w:hint="eastAsia" w:cs="Times New Roman"/>
                      <w:sz w:val="18"/>
                    </w:rPr>
                    <w:t>8.3</w:t>
                  </w:r>
                </w:p>
              </w:tc>
            </w:tr>
            <w:tr w14:paraId="36235FDE">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6B7F3F97">
                  <w:pPr>
                    <w:spacing w:line="240" w:lineRule="auto"/>
                    <w:ind w:firstLine="0" w:firstLineChars="0"/>
                    <w:jc w:val="center"/>
                    <w:rPr>
                      <w:rFonts w:cs="Times New Roman"/>
                      <w:sz w:val="18"/>
                    </w:rPr>
                  </w:pPr>
                  <w:r>
                    <w:rPr>
                      <w:rFonts w:hint="eastAsia" w:cs="Times New Roman"/>
                      <w:sz w:val="18"/>
                    </w:rPr>
                    <w:t>实测烟气量 (m</w:t>
                  </w:r>
                  <w:r>
                    <w:rPr>
                      <w:rFonts w:hint="eastAsia" w:cs="Times New Roman"/>
                      <w:sz w:val="18"/>
                      <w:vertAlign w:val="superscript"/>
                    </w:rPr>
                    <w:t>3</w:t>
                  </w:r>
                  <w:r>
                    <w:rPr>
                      <w:rFonts w:hint="eastAsia" w:cs="Times New Roman"/>
                      <w:sz w:val="18"/>
                    </w:rPr>
                    <w:t>/h)</w:t>
                  </w:r>
                </w:p>
              </w:tc>
              <w:tc>
                <w:tcPr>
                  <w:tcW w:w="1088" w:type="pct"/>
                  <w:tcBorders>
                    <w:top w:val="single" w:color="000000" w:sz="4" w:space="0"/>
                    <w:left w:val="single" w:color="000000" w:sz="4" w:space="0"/>
                    <w:bottom w:val="single" w:color="000000" w:sz="4" w:space="0"/>
                    <w:right w:val="single" w:color="auto" w:sz="4" w:space="0"/>
                  </w:tcBorders>
                  <w:vAlign w:val="center"/>
                </w:tcPr>
                <w:p w14:paraId="0BB765CA">
                  <w:pPr>
                    <w:spacing w:line="240" w:lineRule="auto"/>
                    <w:ind w:firstLine="0" w:firstLineChars="0"/>
                    <w:jc w:val="center"/>
                    <w:rPr>
                      <w:rFonts w:cs="Times New Roman"/>
                      <w:sz w:val="18"/>
                    </w:rPr>
                  </w:pPr>
                  <w:r>
                    <w:rPr>
                      <w:rFonts w:hint="eastAsia" w:cs="Times New Roman"/>
                      <w:sz w:val="18"/>
                    </w:rPr>
                    <w:t>14924</w:t>
                  </w:r>
                </w:p>
              </w:tc>
              <w:tc>
                <w:tcPr>
                  <w:tcW w:w="1032" w:type="pct"/>
                  <w:tcBorders>
                    <w:top w:val="single" w:color="000000" w:sz="4" w:space="0"/>
                    <w:left w:val="single" w:color="auto" w:sz="4" w:space="0"/>
                    <w:bottom w:val="single" w:color="000000" w:sz="4" w:space="0"/>
                    <w:right w:val="single" w:color="auto" w:sz="4" w:space="0"/>
                  </w:tcBorders>
                  <w:vAlign w:val="center"/>
                </w:tcPr>
                <w:p w14:paraId="15C8B972">
                  <w:pPr>
                    <w:spacing w:line="240" w:lineRule="auto"/>
                    <w:ind w:firstLine="0" w:firstLineChars="0"/>
                    <w:jc w:val="center"/>
                    <w:rPr>
                      <w:rFonts w:cs="Times New Roman"/>
                      <w:sz w:val="18"/>
                    </w:rPr>
                  </w:pPr>
                  <w:r>
                    <w:rPr>
                      <w:rFonts w:hint="eastAsia" w:cs="Times New Roman"/>
                      <w:sz w:val="18"/>
                    </w:rPr>
                    <w:t>14906</w:t>
                  </w:r>
                </w:p>
              </w:tc>
              <w:tc>
                <w:tcPr>
                  <w:tcW w:w="908" w:type="pct"/>
                  <w:tcBorders>
                    <w:top w:val="single" w:color="000000" w:sz="4" w:space="0"/>
                    <w:left w:val="single" w:color="auto" w:sz="4" w:space="0"/>
                    <w:bottom w:val="single" w:color="000000" w:sz="4" w:space="0"/>
                    <w:right w:val="single" w:color="auto" w:sz="4" w:space="0"/>
                  </w:tcBorders>
                  <w:vAlign w:val="center"/>
                </w:tcPr>
                <w:p w14:paraId="507F13B1">
                  <w:pPr>
                    <w:spacing w:line="240" w:lineRule="auto"/>
                    <w:ind w:firstLine="0" w:firstLineChars="0"/>
                    <w:jc w:val="center"/>
                    <w:rPr>
                      <w:rFonts w:cs="Times New Roman"/>
                      <w:sz w:val="18"/>
                    </w:rPr>
                  </w:pPr>
                  <w:r>
                    <w:rPr>
                      <w:rFonts w:hint="eastAsia" w:cs="Times New Roman"/>
                      <w:sz w:val="18"/>
                    </w:rPr>
                    <w:t>14934</w:t>
                  </w:r>
                </w:p>
              </w:tc>
            </w:tr>
            <w:tr w14:paraId="368D8076">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06219714">
                  <w:pPr>
                    <w:spacing w:line="240" w:lineRule="auto"/>
                    <w:ind w:firstLine="0" w:firstLineChars="0"/>
                    <w:jc w:val="center"/>
                    <w:rPr>
                      <w:rFonts w:cs="Times New Roman"/>
                      <w:sz w:val="18"/>
                    </w:rPr>
                  </w:pPr>
                  <w:r>
                    <w:rPr>
                      <w:rFonts w:hint="eastAsia" w:cs="Times New Roman"/>
                      <w:sz w:val="18"/>
                    </w:rPr>
                    <w:t>标态干烟气量（m</w:t>
                  </w:r>
                  <w:r>
                    <w:rPr>
                      <w:rFonts w:hint="eastAsia" w:cs="Times New Roman"/>
                      <w:sz w:val="18"/>
                      <w:vertAlign w:val="superscript"/>
                    </w:rPr>
                    <w:t>3</w:t>
                  </w:r>
                  <w:r>
                    <w:rPr>
                      <w:rFonts w:hint="eastAsia" w:cs="Times New Roman"/>
                      <w:sz w:val="18"/>
                    </w:rPr>
                    <w:t>/h）</w:t>
                  </w:r>
                </w:p>
              </w:tc>
              <w:tc>
                <w:tcPr>
                  <w:tcW w:w="1088" w:type="pct"/>
                  <w:tcBorders>
                    <w:top w:val="single" w:color="000000" w:sz="4" w:space="0"/>
                    <w:left w:val="single" w:color="000000" w:sz="4" w:space="0"/>
                    <w:bottom w:val="single" w:color="000000" w:sz="4" w:space="0"/>
                    <w:right w:val="single" w:color="auto" w:sz="4" w:space="0"/>
                  </w:tcBorders>
                  <w:vAlign w:val="center"/>
                </w:tcPr>
                <w:p w14:paraId="51AD7C0F">
                  <w:pPr>
                    <w:spacing w:line="240" w:lineRule="auto"/>
                    <w:ind w:firstLine="0" w:firstLineChars="0"/>
                    <w:jc w:val="center"/>
                    <w:rPr>
                      <w:rFonts w:cs="Times New Roman"/>
                      <w:sz w:val="18"/>
                    </w:rPr>
                  </w:pPr>
                  <w:r>
                    <w:rPr>
                      <w:rFonts w:hint="eastAsia" w:cs="Times New Roman"/>
                      <w:sz w:val="18"/>
                    </w:rPr>
                    <w:t>13383</w:t>
                  </w:r>
                </w:p>
              </w:tc>
              <w:tc>
                <w:tcPr>
                  <w:tcW w:w="1032" w:type="pct"/>
                  <w:tcBorders>
                    <w:top w:val="single" w:color="000000" w:sz="4" w:space="0"/>
                    <w:left w:val="single" w:color="auto" w:sz="4" w:space="0"/>
                    <w:bottom w:val="single" w:color="000000" w:sz="4" w:space="0"/>
                    <w:right w:val="single" w:color="auto" w:sz="4" w:space="0"/>
                  </w:tcBorders>
                  <w:vAlign w:val="center"/>
                </w:tcPr>
                <w:p w14:paraId="077D2238">
                  <w:pPr>
                    <w:spacing w:line="240" w:lineRule="auto"/>
                    <w:ind w:firstLine="0" w:firstLineChars="0"/>
                    <w:jc w:val="center"/>
                    <w:rPr>
                      <w:rFonts w:cs="Times New Roman"/>
                      <w:sz w:val="18"/>
                    </w:rPr>
                  </w:pPr>
                  <w:r>
                    <w:rPr>
                      <w:rFonts w:hint="eastAsia" w:cs="Times New Roman"/>
                      <w:sz w:val="18"/>
                    </w:rPr>
                    <w:t>13372</w:t>
                  </w:r>
                </w:p>
              </w:tc>
              <w:tc>
                <w:tcPr>
                  <w:tcW w:w="908" w:type="pct"/>
                  <w:tcBorders>
                    <w:top w:val="single" w:color="000000" w:sz="4" w:space="0"/>
                    <w:left w:val="single" w:color="auto" w:sz="4" w:space="0"/>
                    <w:bottom w:val="single" w:color="000000" w:sz="4" w:space="0"/>
                    <w:right w:val="single" w:color="auto" w:sz="4" w:space="0"/>
                  </w:tcBorders>
                  <w:vAlign w:val="center"/>
                </w:tcPr>
                <w:p w14:paraId="66967EDB">
                  <w:pPr>
                    <w:spacing w:line="240" w:lineRule="auto"/>
                    <w:ind w:firstLine="0" w:firstLineChars="0"/>
                    <w:jc w:val="center"/>
                    <w:rPr>
                      <w:rFonts w:cs="Times New Roman"/>
                      <w:sz w:val="18"/>
                    </w:rPr>
                  </w:pPr>
                  <w:r>
                    <w:rPr>
                      <w:rFonts w:hint="eastAsia" w:cs="Times New Roman"/>
                      <w:sz w:val="18"/>
                    </w:rPr>
                    <w:t>13400</w:t>
                  </w:r>
                </w:p>
              </w:tc>
            </w:tr>
            <w:tr w14:paraId="3D851B80">
              <w:trPr>
                <w:trHeight w:val="340" w:hRule="atLeast"/>
                <w:jc w:val="center"/>
              </w:trPr>
              <w:tc>
                <w:tcPr>
                  <w:tcW w:w="1971" w:type="pct"/>
                  <w:gridSpan w:val="2"/>
                  <w:tcBorders>
                    <w:top w:val="single" w:color="auto" w:sz="4" w:space="0"/>
                    <w:left w:val="single" w:color="000000" w:sz="4" w:space="0"/>
                    <w:bottom w:val="single" w:color="auto" w:sz="4" w:space="0"/>
                    <w:right w:val="single" w:color="000000" w:sz="4" w:space="0"/>
                  </w:tcBorders>
                  <w:vAlign w:val="center"/>
                </w:tcPr>
                <w:p w14:paraId="6D85EDBB">
                  <w:pPr>
                    <w:spacing w:line="240" w:lineRule="auto"/>
                    <w:ind w:firstLine="0" w:firstLineChars="0"/>
                    <w:jc w:val="center"/>
                    <w:rPr>
                      <w:rFonts w:cs="Times New Roman"/>
                      <w:sz w:val="18"/>
                    </w:rPr>
                  </w:pPr>
                  <w:r>
                    <w:rPr>
                      <w:rFonts w:hint="eastAsia" w:cs="Times New Roman"/>
                      <w:sz w:val="18"/>
                    </w:rPr>
                    <w:t>管道截面积（m</w:t>
                  </w:r>
                  <w:r>
                    <w:rPr>
                      <w:rFonts w:hint="eastAsia" w:cs="Times New Roman"/>
                      <w:sz w:val="18"/>
                      <w:vertAlign w:val="superscript"/>
                    </w:rPr>
                    <w:t>2</w:t>
                  </w:r>
                  <w:r>
                    <w:rPr>
                      <w:rFonts w:hint="eastAsia" w:cs="Times New Roman"/>
                      <w:sz w:val="18"/>
                    </w:rPr>
                    <w:t>）</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45FE07FC">
                  <w:pPr>
                    <w:spacing w:line="240" w:lineRule="auto"/>
                    <w:ind w:firstLine="0" w:firstLineChars="0"/>
                    <w:jc w:val="center"/>
                    <w:rPr>
                      <w:rFonts w:cs="Times New Roman"/>
                      <w:sz w:val="18"/>
                    </w:rPr>
                  </w:pPr>
                  <w:r>
                    <w:rPr>
                      <w:rFonts w:hint="eastAsia" w:cs="Times New Roman"/>
                      <w:sz w:val="18"/>
                    </w:rPr>
                    <w:t>0.5027</w:t>
                  </w:r>
                </w:p>
              </w:tc>
            </w:tr>
            <w:tr w14:paraId="0C224F80">
              <w:trPr>
                <w:trHeight w:val="340" w:hRule="atLeast"/>
                <w:jc w:val="center"/>
              </w:trPr>
              <w:tc>
                <w:tcPr>
                  <w:tcW w:w="544" w:type="pct"/>
                  <w:vMerge w:val="restart"/>
                  <w:tcBorders>
                    <w:top w:val="single" w:color="000000" w:sz="4" w:space="0"/>
                    <w:left w:val="single" w:color="000000" w:sz="4" w:space="0"/>
                    <w:right w:val="single" w:color="000000" w:sz="4" w:space="0"/>
                  </w:tcBorders>
                  <w:vAlign w:val="center"/>
                </w:tcPr>
                <w:p w14:paraId="367CC5E2">
                  <w:pPr>
                    <w:spacing w:line="240" w:lineRule="auto"/>
                    <w:ind w:firstLine="0" w:firstLineChars="0"/>
                    <w:jc w:val="center"/>
                    <w:rPr>
                      <w:rFonts w:cs="Times New Roman"/>
                      <w:sz w:val="18"/>
                    </w:rPr>
                  </w:pPr>
                  <w:r>
                    <w:rPr>
                      <w:rFonts w:hint="eastAsia" w:cs="Times New Roman"/>
                      <w:sz w:val="18"/>
                    </w:rPr>
                    <w:t>颗粒物</w:t>
                  </w:r>
                </w:p>
              </w:tc>
              <w:tc>
                <w:tcPr>
                  <w:tcW w:w="1427" w:type="pct"/>
                  <w:tcBorders>
                    <w:top w:val="single" w:color="auto" w:sz="4" w:space="0"/>
                    <w:left w:val="single" w:color="000000" w:sz="4" w:space="0"/>
                    <w:bottom w:val="single" w:color="auto" w:sz="4" w:space="0"/>
                    <w:right w:val="single" w:color="000000" w:sz="4" w:space="0"/>
                  </w:tcBorders>
                  <w:vAlign w:val="center"/>
                </w:tcPr>
                <w:p w14:paraId="6BC03468">
                  <w:pPr>
                    <w:spacing w:line="240" w:lineRule="auto"/>
                    <w:ind w:firstLine="0" w:firstLineChars="0"/>
                    <w:jc w:val="center"/>
                    <w:rPr>
                      <w:rFonts w:cs="Times New Roman"/>
                      <w:sz w:val="18"/>
                    </w:rPr>
                  </w:pPr>
                  <w:r>
                    <w:rPr>
                      <w:rFonts w:hint="eastAsia" w:cs="Times New Roman"/>
                      <w:sz w:val="18"/>
                    </w:rPr>
                    <w:t>污染物排放浓度 (mg/m</w:t>
                  </w:r>
                  <w:r>
                    <w:rPr>
                      <w:rFonts w:hint="eastAsia" w:cs="Times New Roman"/>
                      <w:sz w:val="18"/>
                      <w:vertAlign w:val="superscript"/>
                    </w:rPr>
                    <w:t>3</w:t>
                  </w:r>
                  <w:r>
                    <w:rPr>
                      <w:rFonts w:hint="eastAsia" w:cs="Times New Roman"/>
                      <w:sz w:val="18"/>
                    </w:rPr>
                    <w:t>)</w:t>
                  </w:r>
                </w:p>
              </w:tc>
              <w:tc>
                <w:tcPr>
                  <w:tcW w:w="1088" w:type="pct"/>
                  <w:tcBorders>
                    <w:top w:val="single" w:color="000000" w:sz="4" w:space="0"/>
                    <w:left w:val="single" w:color="000000" w:sz="4" w:space="0"/>
                    <w:bottom w:val="single" w:color="000000" w:sz="4" w:space="0"/>
                    <w:right w:val="single" w:color="auto" w:sz="4" w:space="0"/>
                  </w:tcBorders>
                  <w:vAlign w:val="center"/>
                </w:tcPr>
                <w:p w14:paraId="47A77AA8">
                  <w:pPr>
                    <w:spacing w:line="240" w:lineRule="auto"/>
                    <w:ind w:firstLine="0" w:firstLineChars="0"/>
                    <w:jc w:val="center"/>
                    <w:rPr>
                      <w:rFonts w:cs="Times New Roman"/>
                      <w:sz w:val="18"/>
                    </w:rPr>
                  </w:pPr>
                  <w:r>
                    <w:rPr>
                      <w:rFonts w:hint="eastAsia" w:cs="Times New Roman"/>
                      <w:sz w:val="18"/>
                    </w:rPr>
                    <w:t>＜20</w:t>
                  </w:r>
                </w:p>
              </w:tc>
              <w:tc>
                <w:tcPr>
                  <w:tcW w:w="1032" w:type="pct"/>
                  <w:tcBorders>
                    <w:top w:val="single" w:color="000000" w:sz="4" w:space="0"/>
                    <w:left w:val="single" w:color="auto" w:sz="4" w:space="0"/>
                    <w:bottom w:val="single" w:color="000000" w:sz="4" w:space="0"/>
                    <w:right w:val="single" w:color="auto" w:sz="4" w:space="0"/>
                  </w:tcBorders>
                  <w:vAlign w:val="center"/>
                </w:tcPr>
                <w:p w14:paraId="7F19690D">
                  <w:pPr>
                    <w:spacing w:line="240" w:lineRule="auto"/>
                    <w:ind w:firstLine="0" w:firstLineChars="0"/>
                    <w:jc w:val="center"/>
                    <w:rPr>
                      <w:rFonts w:cs="Times New Roman"/>
                      <w:sz w:val="18"/>
                    </w:rPr>
                  </w:pPr>
                  <w:r>
                    <w:rPr>
                      <w:rFonts w:hint="eastAsia" w:cs="Times New Roman"/>
                      <w:sz w:val="18"/>
                    </w:rPr>
                    <w:t>＜20</w:t>
                  </w:r>
                </w:p>
              </w:tc>
              <w:tc>
                <w:tcPr>
                  <w:tcW w:w="908" w:type="pct"/>
                  <w:tcBorders>
                    <w:top w:val="single" w:color="000000" w:sz="4" w:space="0"/>
                    <w:left w:val="single" w:color="auto" w:sz="4" w:space="0"/>
                    <w:bottom w:val="single" w:color="000000" w:sz="4" w:space="0"/>
                    <w:right w:val="single" w:color="auto" w:sz="4" w:space="0"/>
                  </w:tcBorders>
                  <w:vAlign w:val="center"/>
                </w:tcPr>
                <w:p w14:paraId="0CE018C1">
                  <w:pPr>
                    <w:spacing w:line="240" w:lineRule="auto"/>
                    <w:ind w:firstLine="0" w:firstLineChars="0"/>
                    <w:jc w:val="center"/>
                    <w:rPr>
                      <w:rFonts w:cs="Times New Roman"/>
                      <w:sz w:val="18"/>
                    </w:rPr>
                  </w:pPr>
                  <w:r>
                    <w:rPr>
                      <w:rFonts w:hint="eastAsia" w:cs="Times New Roman"/>
                      <w:sz w:val="18"/>
                    </w:rPr>
                    <w:t>＜20</w:t>
                  </w:r>
                </w:p>
              </w:tc>
            </w:tr>
            <w:tr w14:paraId="7420B61F">
              <w:trPr>
                <w:trHeight w:val="340" w:hRule="atLeast"/>
                <w:jc w:val="center"/>
              </w:trPr>
              <w:tc>
                <w:tcPr>
                  <w:tcW w:w="544" w:type="pct"/>
                  <w:vMerge w:val="continue"/>
                  <w:tcBorders>
                    <w:left w:val="single" w:color="000000" w:sz="4" w:space="0"/>
                    <w:right w:val="single" w:color="000000" w:sz="4" w:space="0"/>
                  </w:tcBorders>
                  <w:vAlign w:val="center"/>
                </w:tcPr>
                <w:p w14:paraId="1B509B7F">
                  <w:pPr>
                    <w:spacing w:line="240" w:lineRule="auto"/>
                    <w:ind w:firstLine="0" w:firstLineChars="0"/>
                    <w:jc w:val="center"/>
                    <w:rPr>
                      <w:rFonts w:cs="Times New Roman"/>
                      <w:sz w:val="18"/>
                    </w:rPr>
                  </w:pPr>
                </w:p>
              </w:tc>
              <w:tc>
                <w:tcPr>
                  <w:tcW w:w="1427" w:type="pct"/>
                  <w:tcBorders>
                    <w:top w:val="single" w:color="auto" w:sz="4" w:space="0"/>
                    <w:left w:val="single" w:color="000000" w:sz="4" w:space="0"/>
                    <w:bottom w:val="single" w:color="auto" w:sz="4" w:space="0"/>
                    <w:right w:val="single" w:color="000000" w:sz="4" w:space="0"/>
                  </w:tcBorders>
                  <w:vAlign w:val="center"/>
                </w:tcPr>
                <w:p w14:paraId="7E6A213D">
                  <w:pPr>
                    <w:spacing w:line="240" w:lineRule="auto"/>
                    <w:ind w:firstLine="0" w:firstLineChars="0"/>
                    <w:jc w:val="center"/>
                    <w:rPr>
                      <w:rFonts w:cs="Times New Roman"/>
                      <w:sz w:val="18"/>
                    </w:rPr>
                  </w:pPr>
                  <w:r>
                    <w:rPr>
                      <w:rFonts w:hint="eastAsia" w:cs="Times New Roman"/>
                      <w:sz w:val="18"/>
                    </w:rPr>
                    <w:t>排放限值 (mg/m</w:t>
                  </w:r>
                  <w:r>
                    <w:rPr>
                      <w:rFonts w:hint="eastAsia" w:cs="Times New Roman"/>
                      <w:sz w:val="18"/>
                      <w:vertAlign w:val="superscript"/>
                    </w:rPr>
                    <w:t>3</w:t>
                  </w:r>
                  <w:r>
                    <w:rPr>
                      <w:rFonts w:hint="eastAsia" w:cs="Times New Roman"/>
                      <w:sz w:val="18"/>
                    </w:rPr>
                    <w:t>)</w:t>
                  </w:r>
                </w:p>
              </w:tc>
              <w:tc>
                <w:tcPr>
                  <w:tcW w:w="3028" w:type="pct"/>
                  <w:gridSpan w:val="3"/>
                  <w:tcBorders>
                    <w:top w:val="single" w:color="000000" w:sz="4" w:space="0"/>
                    <w:left w:val="single" w:color="000000" w:sz="4" w:space="0"/>
                    <w:bottom w:val="single" w:color="000000" w:sz="4" w:space="0"/>
                    <w:right w:val="single" w:color="auto" w:sz="4" w:space="0"/>
                  </w:tcBorders>
                  <w:vAlign w:val="center"/>
                </w:tcPr>
                <w:p w14:paraId="488A13A6">
                  <w:pPr>
                    <w:spacing w:line="240" w:lineRule="auto"/>
                    <w:ind w:firstLine="0" w:firstLineChars="0"/>
                    <w:jc w:val="center"/>
                    <w:rPr>
                      <w:rFonts w:cs="Times New Roman"/>
                      <w:sz w:val="18"/>
                    </w:rPr>
                  </w:pPr>
                  <w:r>
                    <w:rPr>
                      <w:rFonts w:hint="eastAsia" w:cs="Times New Roman"/>
                      <w:sz w:val="18"/>
                    </w:rPr>
                    <w:t>20</w:t>
                  </w:r>
                </w:p>
              </w:tc>
            </w:tr>
          </w:tbl>
          <w:p w14:paraId="25F7B5E7">
            <w:pPr>
              <w:pStyle w:val="14"/>
              <w:numPr>
                <w:ilvl w:val="0"/>
                <w:numId w:val="6"/>
              </w:numPr>
              <w:spacing w:before="156"/>
              <w:ind w:firstLine="0"/>
            </w:pPr>
            <w:r>
              <w:rPr>
                <w:rFonts w:hint="eastAsia"/>
              </w:rPr>
              <w:t xml:space="preserve"> </w:t>
            </w:r>
            <w:r>
              <w:t xml:space="preserve"> </w:t>
            </w:r>
            <w:r>
              <w:rPr>
                <w:rFonts w:hint="eastAsia"/>
              </w:rPr>
              <w:t>本项目现有工程厂界无组织废气检测结果一览表</w:t>
            </w:r>
          </w:p>
          <w:tbl>
            <w:tblPr>
              <w:tblStyle w:val="10"/>
              <w:tblW w:w="7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2"/>
              <w:gridCol w:w="1658"/>
              <w:gridCol w:w="1451"/>
              <w:gridCol w:w="1931"/>
              <w:gridCol w:w="1693"/>
            </w:tblGrid>
            <w:tr w14:paraId="1BC978CD">
              <w:trPr>
                <w:trHeight w:val="340" w:hRule="atLeast"/>
                <w:jc w:val="center"/>
              </w:trPr>
              <w:tc>
                <w:tcPr>
                  <w:tcW w:w="1152" w:type="dxa"/>
                  <w:vAlign w:val="center"/>
                </w:tcPr>
                <w:p w14:paraId="2B0A3576">
                  <w:pPr>
                    <w:pStyle w:val="13"/>
                    <w:jc w:val="center"/>
                  </w:pPr>
                  <w:r>
                    <w:rPr>
                      <w:rFonts w:hint="eastAsia"/>
                    </w:rPr>
                    <w:t>项目</w:t>
                  </w:r>
                </w:p>
              </w:tc>
              <w:tc>
                <w:tcPr>
                  <w:tcW w:w="1658" w:type="dxa"/>
                  <w:vAlign w:val="center"/>
                </w:tcPr>
                <w:p w14:paraId="41B1C1D7">
                  <w:pPr>
                    <w:pStyle w:val="13"/>
                    <w:jc w:val="center"/>
                  </w:pPr>
                  <w:r>
                    <w:rPr>
                      <w:rFonts w:hint="eastAsia"/>
                    </w:rPr>
                    <w:t>监测点位</w:t>
                  </w:r>
                </w:p>
              </w:tc>
              <w:tc>
                <w:tcPr>
                  <w:tcW w:w="1451" w:type="dxa"/>
                  <w:vAlign w:val="center"/>
                </w:tcPr>
                <w:p w14:paraId="5B662401">
                  <w:pPr>
                    <w:pStyle w:val="13"/>
                    <w:jc w:val="center"/>
                  </w:pPr>
                  <w:r>
                    <w:rPr>
                      <w:rFonts w:hint="eastAsia"/>
                    </w:rPr>
                    <w:t>检测频次</w:t>
                  </w:r>
                </w:p>
              </w:tc>
              <w:tc>
                <w:tcPr>
                  <w:tcW w:w="1931" w:type="dxa"/>
                  <w:vAlign w:val="center"/>
                </w:tcPr>
                <w:p w14:paraId="78801E77">
                  <w:pPr>
                    <w:pStyle w:val="13"/>
                    <w:jc w:val="center"/>
                  </w:pPr>
                  <w:r>
                    <w:rPr>
                      <w:rFonts w:hint="eastAsia"/>
                    </w:rPr>
                    <w:t>检测结果mg/m</w:t>
                  </w:r>
                  <w:r>
                    <w:rPr>
                      <w:rFonts w:hint="eastAsia"/>
                      <w:vertAlign w:val="superscript"/>
                    </w:rPr>
                    <w:t>3</w:t>
                  </w:r>
                </w:p>
              </w:tc>
              <w:tc>
                <w:tcPr>
                  <w:tcW w:w="1693" w:type="dxa"/>
                  <w:vAlign w:val="center"/>
                </w:tcPr>
                <w:p w14:paraId="661DAED8">
                  <w:pPr>
                    <w:pStyle w:val="13"/>
                    <w:jc w:val="center"/>
                  </w:pPr>
                  <w:r>
                    <w:rPr>
                      <w:rFonts w:hint="eastAsia"/>
                    </w:rPr>
                    <w:t>标准限值mg/m</w:t>
                  </w:r>
                  <w:r>
                    <w:rPr>
                      <w:rFonts w:hint="eastAsia"/>
                      <w:vertAlign w:val="superscript"/>
                    </w:rPr>
                    <w:t>3</w:t>
                  </w:r>
                </w:p>
              </w:tc>
            </w:tr>
            <w:tr w14:paraId="1E831396">
              <w:trPr>
                <w:trHeight w:val="340" w:hRule="atLeast"/>
                <w:jc w:val="center"/>
              </w:trPr>
              <w:tc>
                <w:tcPr>
                  <w:tcW w:w="1152" w:type="dxa"/>
                  <w:vMerge w:val="restart"/>
                  <w:vAlign w:val="center"/>
                </w:tcPr>
                <w:p w14:paraId="1B2C0C45">
                  <w:pPr>
                    <w:pStyle w:val="13"/>
                    <w:jc w:val="center"/>
                  </w:pPr>
                  <w:r>
                    <w:rPr>
                      <w:rFonts w:hint="eastAsia"/>
                    </w:rPr>
                    <w:t>颗粒物</w:t>
                  </w:r>
                </w:p>
              </w:tc>
              <w:tc>
                <w:tcPr>
                  <w:tcW w:w="1658" w:type="dxa"/>
                  <w:vMerge w:val="restart"/>
                  <w:vAlign w:val="center"/>
                </w:tcPr>
                <w:p w14:paraId="03DF6499">
                  <w:pPr>
                    <w:pStyle w:val="13"/>
                    <w:jc w:val="center"/>
                  </w:pPr>
                  <w:r>
                    <w:rPr>
                      <w:rFonts w:hint="eastAsia"/>
                    </w:rPr>
                    <w:t>上风向4#</w:t>
                  </w:r>
                </w:p>
              </w:tc>
              <w:tc>
                <w:tcPr>
                  <w:tcW w:w="1451" w:type="dxa"/>
                  <w:vAlign w:val="center"/>
                </w:tcPr>
                <w:p w14:paraId="2C22F788">
                  <w:pPr>
                    <w:pStyle w:val="13"/>
                    <w:jc w:val="center"/>
                  </w:pPr>
                  <w:r>
                    <w:rPr>
                      <w:rFonts w:hint="eastAsia"/>
                    </w:rPr>
                    <w:t>第一次</w:t>
                  </w:r>
                </w:p>
              </w:tc>
              <w:tc>
                <w:tcPr>
                  <w:tcW w:w="1931" w:type="dxa"/>
                  <w:vAlign w:val="center"/>
                </w:tcPr>
                <w:p w14:paraId="547EEDDA">
                  <w:pPr>
                    <w:pStyle w:val="13"/>
                    <w:jc w:val="center"/>
                  </w:pPr>
                  <w:r>
                    <w:rPr>
                      <w:rFonts w:hint="eastAsia"/>
                    </w:rPr>
                    <w:t>0.194</w:t>
                  </w:r>
                </w:p>
              </w:tc>
              <w:tc>
                <w:tcPr>
                  <w:tcW w:w="1693" w:type="dxa"/>
                  <w:vMerge w:val="restart"/>
                  <w:vAlign w:val="center"/>
                </w:tcPr>
                <w:p w14:paraId="2477AF0C">
                  <w:pPr>
                    <w:pStyle w:val="13"/>
                    <w:jc w:val="center"/>
                  </w:pPr>
                  <w:r>
                    <w:rPr>
                      <w:rFonts w:hint="eastAsia"/>
                    </w:rPr>
                    <w:t>1.0</w:t>
                  </w:r>
                </w:p>
              </w:tc>
            </w:tr>
            <w:tr w14:paraId="45EB40B0">
              <w:trPr>
                <w:trHeight w:val="340" w:hRule="atLeast"/>
                <w:jc w:val="center"/>
              </w:trPr>
              <w:tc>
                <w:tcPr>
                  <w:tcW w:w="1152" w:type="dxa"/>
                  <w:vMerge w:val="continue"/>
                  <w:vAlign w:val="center"/>
                </w:tcPr>
                <w:p w14:paraId="25932C1F">
                  <w:pPr>
                    <w:pStyle w:val="13"/>
                    <w:jc w:val="center"/>
                  </w:pPr>
                </w:p>
              </w:tc>
              <w:tc>
                <w:tcPr>
                  <w:tcW w:w="1658" w:type="dxa"/>
                  <w:vMerge w:val="continue"/>
                  <w:vAlign w:val="center"/>
                </w:tcPr>
                <w:p w14:paraId="1A1077CE">
                  <w:pPr>
                    <w:pStyle w:val="13"/>
                    <w:jc w:val="center"/>
                  </w:pPr>
                </w:p>
              </w:tc>
              <w:tc>
                <w:tcPr>
                  <w:tcW w:w="1451" w:type="dxa"/>
                  <w:vAlign w:val="center"/>
                </w:tcPr>
                <w:p w14:paraId="04D0EBD0">
                  <w:pPr>
                    <w:pStyle w:val="13"/>
                    <w:jc w:val="center"/>
                  </w:pPr>
                  <w:r>
                    <w:rPr>
                      <w:rFonts w:hint="eastAsia"/>
                    </w:rPr>
                    <w:t>第二次</w:t>
                  </w:r>
                </w:p>
              </w:tc>
              <w:tc>
                <w:tcPr>
                  <w:tcW w:w="1931" w:type="dxa"/>
                  <w:vAlign w:val="center"/>
                </w:tcPr>
                <w:p w14:paraId="5DF33319">
                  <w:pPr>
                    <w:pStyle w:val="13"/>
                    <w:jc w:val="center"/>
                  </w:pPr>
                  <w:r>
                    <w:rPr>
                      <w:rFonts w:hint="eastAsia"/>
                    </w:rPr>
                    <w:t>0.202</w:t>
                  </w:r>
                </w:p>
              </w:tc>
              <w:tc>
                <w:tcPr>
                  <w:tcW w:w="1693" w:type="dxa"/>
                  <w:vMerge w:val="continue"/>
                  <w:vAlign w:val="center"/>
                </w:tcPr>
                <w:p w14:paraId="55FC2A2F">
                  <w:pPr>
                    <w:pStyle w:val="13"/>
                    <w:jc w:val="center"/>
                  </w:pPr>
                </w:p>
              </w:tc>
            </w:tr>
            <w:tr w14:paraId="26287A83">
              <w:trPr>
                <w:trHeight w:val="340" w:hRule="atLeast"/>
                <w:jc w:val="center"/>
              </w:trPr>
              <w:tc>
                <w:tcPr>
                  <w:tcW w:w="1152" w:type="dxa"/>
                  <w:vMerge w:val="continue"/>
                  <w:vAlign w:val="center"/>
                </w:tcPr>
                <w:p w14:paraId="6D1D8430">
                  <w:pPr>
                    <w:pStyle w:val="13"/>
                    <w:jc w:val="center"/>
                  </w:pPr>
                </w:p>
              </w:tc>
              <w:tc>
                <w:tcPr>
                  <w:tcW w:w="1658" w:type="dxa"/>
                  <w:vMerge w:val="continue"/>
                  <w:vAlign w:val="center"/>
                </w:tcPr>
                <w:p w14:paraId="206526FE">
                  <w:pPr>
                    <w:pStyle w:val="13"/>
                    <w:jc w:val="center"/>
                  </w:pPr>
                </w:p>
              </w:tc>
              <w:tc>
                <w:tcPr>
                  <w:tcW w:w="1451" w:type="dxa"/>
                  <w:vAlign w:val="center"/>
                </w:tcPr>
                <w:p w14:paraId="639593FF">
                  <w:pPr>
                    <w:pStyle w:val="13"/>
                    <w:jc w:val="center"/>
                  </w:pPr>
                  <w:r>
                    <w:rPr>
                      <w:rFonts w:hint="eastAsia"/>
                    </w:rPr>
                    <w:t>第三次</w:t>
                  </w:r>
                </w:p>
              </w:tc>
              <w:tc>
                <w:tcPr>
                  <w:tcW w:w="1931" w:type="dxa"/>
                  <w:vAlign w:val="center"/>
                </w:tcPr>
                <w:p w14:paraId="7C5B808A">
                  <w:pPr>
                    <w:pStyle w:val="13"/>
                    <w:jc w:val="center"/>
                  </w:pPr>
                  <w:r>
                    <w:rPr>
                      <w:rFonts w:hint="eastAsia"/>
                    </w:rPr>
                    <w:t>0.198</w:t>
                  </w:r>
                </w:p>
              </w:tc>
              <w:tc>
                <w:tcPr>
                  <w:tcW w:w="1693" w:type="dxa"/>
                  <w:vMerge w:val="continue"/>
                  <w:vAlign w:val="center"/>
                </w:tcPr>
                <w:p w14:paraId="5D5F2558">
                  <w:pPr>
                    <w:pStyle w:val="13"/>
                    <w:jc w:val="center"/>
                  </w:pPr>
                </w:p>
              </w:tc>
            </w:tr>
            <w:tr w14:paraId="2213860C">
              <w:trPr>
                <w:trHeight w:val="340" w:hRule="atLeast"/>
                <w:jc w:val="center"/>
              </w:trPr>
              <w:tc>
                <w:tcPr>
                  <w:tcW w:w="1152" w:type="dxa"/>
                  <w:vMerge w:val="continue"/>
                  <w:vAlign w:val="center"/>
                </w:tcPr>
                <w:p w14:paraId="79F0A963">
                  <w:pPr>
                    <w:pStyle w:val="13"/>
                    <w:jc w:val="center"/>
                  </w:pPr>
                </w:p>
              </w:tc>
              <w:tc>
                <w:tcPr>
                  <w:tcW w:w="1658" w:type="dxa"/>
                  <w:vMerge w:val="continue"/>
                  <w:vAlign w:val="center"/>
                </w:tcPr>
                <w:p w14:paraId="209F24D7">
                  <w:pPr>
                    <w:pStyle w:val="13"/>
                    <w:jc w:val="center"/>
                  </w:pPr>
                </w:p>
              </w:tc>
              <w:tc>
                <w:tcPr>
                  <w:tcW w:w="1451" w:type="dxa"/>
                  <w:vAlign w:val="center"/>
                </w:tcPr>
                <w:p w14:paraId="145518E9">
                  <w:pPr>
                    <w:pStyle w:val="13"/>
                    <w:jc w:val="center"/>
                  </w:pPr>
                  <w:r>
                    <w:rPr>
                      <w:rFonts w:hint="eastAsia"/>
                    </w:rPr>
                    <w:t>平均值</w:t>
                  </w:r>
                </w:p>
              </w:tc>
              <w:tc>
                <w:tcPr>
                  <w:tcW w:w="1931" w:type="dxa"/>
                  <w:vAlign w:val="center"/>
                </w:tcPr>
                <w:p w14:paraId="1FA95D17">
                  <w:pPr>
                    <w:pStyle w:val="13"/>
                    <w:jc w:val="center"/>
                  </w:pPr>
                  <w:r>
                    <w:rPr>
                      <w:rFonts w:hint="eastAsia"/>
                    </w:rPr>
                    <w:t>0.198</w:t>
                  </w:r>
                </w:p>
              </w:tc>
              <w:tc>
                <w:tcPr>
                  <w:tcW w:w="1693" w:type="dxa"/>
                  <w:vMerge w:val="continue"/>
                  <w:vAlign w:val="center"/>
                </w:tcPr>
                <w:p w14:paraId="3F6508E8">
                  <w:pPr>
                    <w:pStyle w:val="13"/>
                    <w:jc w:val="center"/>
                  </w:pPr>
                </w:p>
              </w:tc>
            </w:tr>
            <w:tr w14:paraId="43BA911F">
              <w:trPr>
                <w:trHeight w:val="340" w:hRule="atLeast"/>
                <w:jc w:val="center"/>
              </w:trPr>
              <w:tc>
                <w:tcPr>
                  <w:tcW w:w="1152" w:type="dxa"/>
                  <w:vMerge w:val="continue"/>
                  <w:vAlign w:val="center"/>
                </w:tcPr>
                <w:p w14:paraId="620A4510">
                  <w:pPr>
                    <w:pStyle w:val="13"/>
                    <w:jc w:val="center"/>
                  </w:pPr>
                </w:p>
              </w:tc>
              <w:tc>
                <w:tcPr>
                  <w:tcW w:w="1658" w:type="dxa"/>
                  <w:vMerge w:val="restart"/>
                  <w:vAlign w:val="center"/>
                </w:tcPr>
                <w:p w14:paraId="3F085453">
                  <w:pPr>
                    <w:pStyle w:val="13"/>
                    <w:jc w:val="center"/>
                  </w:pPr>
                  <w:r>
                    <w:rPr>
                      <w:rFonts w:hint="eastAsia"/>
                    </w:rPr>
                    <w:t>下风向5#</w:t>
                  </w:r>
                </w:p>
              </w:tc>
              <w:tc>
                <w:tcPr>
                  <w:tcW w:w="1451" w:type="dxa"/>
                  <w:vAlign w:val="center"/>
                </w:tcPr>
                <w:p w14:paraId="3D97C201">
                  <w:pPr>
                    <w:pStyle w:val="13"/>
                    <w:jc w:val="center"/>
                  </w:pPr>
                  <w:r>
                    <w:rPr>
                      <w:rFonts w:hint="eastAsia"/>
                    </w:rPr>
                    <w:t>第一次</w:t>
                  </w:r>
                </w:p>
              </w:tc>
              <w:tc>
                <w:tcPr>
                  <w:tcW w:w="1931" w:type="dxa"/>
                  <w:vAlign w:val="center"/>
                </w:tcPr>
                <w:p w14:paraId="01FA6FA4">
                  <w:pPr>
                    <w:pStyle w:val="13"/>
                    <w:jc w:val="center"/>
                  </w:pPr>
                  <w:r>
                    <w:rPr>
                      <w:rFonts w:hint="eastAsia"/>
                    </w:rPr>
                    <w:t>0.224</w:t>
                  </w:r>
                </w:p>
              </w:tc>
              <w:tc>
                <w:tcPr>
                  <w:tcW w:w="1693" w:type="dxa"/>
                  <w:vMerge w:val="continue"/>
                  <w:vAlign w:val="center"/>
                </w:tcPr>
                <w:p w14:paraId="7F99A0CB">
                  <w:pPr>
                    <w:pStyle w:val="13"/>
                    <w:jc w:val="center"/>
                  </w:pPr>
                </w:p>
              </w:tc>
            </w:tr>
            <w:tr w14:paraId="7B9F6CE4">
              <w:trPr>
                <w:trHeight w:val="340" w:hRule="atLeast"/>
                <w:jc w:val="center"/>
              </w:trPr>
              <w:tc>
                <w:tcPr>
                  <w:tcW w:w="1152" w:type="dxa"/>
                  <w:vMerge w:val="continue"/>
                  <w:vAlign w:val="center"/>
                </w:tcPr>
                <w:p w14:paraId="675E291A">
                  <w:pPr>
                    <w:pStyle w:val="13"/>
                    <w:jc w:val="center"/>
                  </w:pPr>
                </w:p>
              </w:tc>
              <w:tc>
                <w:tcPr>
                  <w:tcW w:w="1658" w:type="dxa"/>
                  <w:vMerge w:val="continue"/>
                  <w:vAlign w:val="center"/>
                </w:tcPr>
                <w:p w14:paraId="225BB84B">
                  <w:pPr>
                    <w:pStyle w:val="13"/>
                    <w:jc w:val="center"/>
                  </w:pPr>
                </w:p>
              </w:tc>
              <w:tc>
                <w:tcPr>
                  <w:tcW w:w="1451" w:type="dxa"/>
                  <w:vAlign w:val="center"/>
                </w:tcPr>
                <w:p w14:paraId="33B9D3AA">
                  <w:pPr>
                    <w:pStyle w:val="13"/>
                    <w:jc w:val="center"/>
                  </w:pPr>
                  <w:r>
                    <w:rPr>
                      <w:rFonts w:hint="eastAsia"/>
                    </w:rPr>
                    <w:t>第二次</w:t>
                  </w:r>
                </w:p>
              </w:tc>
              <w:tc>
                <w:tcPr>
                  <w:tcW w:w="1931" w:type="dxa"/>
                  <w:vAlign w:val="center"/>
                </w:tcPr>
                <w:p w14:paraId="7AF9DFFE">
                  <w:pPr>
                    <w:pStyle w:val="13"/>
                    <w:jc w:val="center"/>
                  </w:pPr>
                  <w:r>
                    <w:rPr>
                      <w:rFonts w:hint="eastAsia"/>
                    </w:rPr>
                    <w:t>0.231</w:t>
                  </w:r>
                </w:p>
              </w:tc>
              <w:tc>
                <w:tcPr>
                  <w:tcW w:w="1693" w:type="dxa"/>
                  <w:vMerge w:val="continue"/>
                  <w:vAlign w:val="center"/>
                </w:tcPr>
                <w:p w14:paraId="5F131F2A">
                  <w:pPr>
                    <w:pStyle w:val="13"/>
                    <w:jc w:val="center"/>
                  </w:pPr>
                </w:p>
              </w:tc>
            </w:tr>
            <w:tr w14:paraId="16673B50">
              <w:trPr>
                <w:trHeight w:val="340" w:hRule="atLeast"/>
                <w:jc w:val="center"/>
              </w:trPr>
              <w:tc>
                <w:tcPr>
                  <w:tcW w:w="1152" w:type="dxa"/>
                  <w:vMerge w:val="continue"/>
                  <w:vAlign w:val="center"/>
                </w:tcPr>
                <w:p w14:paraId="2E21507A">
                  <w:pPr>
                    <w:pStyle w:val="13"/>
                    <w:jc w:val="center"/>
                  </w:pPr>
                </w:p>
              </w:tc>
              <w:tc>
                <w:tcPr>
                  <w:tcW w:w="1658" w:type="dxa"/>
                  <w:vMerge w:val="continue"/>
                  <w:vAlign w:val="center"/>
                </w:tcPr>
                <w:p w14:paraId="4F1936A8">
                  <w:pPr>
                    <w:pStyle w:val="13"/>
                    <w:jc w:val="center"/>
                  </w:pPr>
                </w:p>
              </w:tc>
              <w:tc>
                <w:tcPr>
                  <w:tcW w:w="1451" w:type="dxa"/>
                  <w:vAlign w:val="center"/>
                </w:tcPr>
                <w:p w14:paraId="155298CF">
                  <w:pPr>
                    <w:pStyle w:val="13"/>
                    <w:jc w:val="center"/>
                  </w:pPr>
                  <w:r>
                    <w:rPr>
                      <w:rFonts w:hint="eastAsia"/>
                    </w:rPr>
                    <w:t>第三次</w:t>
                  </w:r>
                </w:p>
              </w:tc>
              <w:tc>
                <w:tcPr>
                  <w:tcW w:w="1931" w:type="dxa"/>
                  <w:vAlign w:val="center"/>
                </w:tcPr>
                <w:p w14:paraId="1CBD0582">
                  <w:pPr>
                    <w:pStyle w:val="13"/>
                    <w:jc w:val="center"/>
                  </w:pPr>
                  <w:r>
                    <w:rPr>
                      <w:rFonts w:hint="eastAsia"/>
                    </w:rPr>
                    <w:t>0.219</w:t>
                  </w:r>
                </w:p>
              </w:tc>
              <w:tc>
                <w:tcPr>
                  <w:tcW w:w="1693" w:type="dxa"/>
                  <w:vMerge w:val="continue"/>
                  <w:vAlign w:val="center"/>
                </w:tcPr>
                <w:p w14:paraId="1A890A92">
                  <w:pPr>
                    <w:pStyle w:val="13"/>
                    <w:jc w:val="center"/>
                  </w:pPr>
                </w:p>
              </w:tc>
            </w:tr>
            <w:tr w14:paraId="7FF6A505">
              <w:trPr>
                <w:trHeight w:val="340" w:hRule="atLeast"/>
                <w:jc w:val="center"/>
              </w:trPr>
              <w:tc>
                <w:tcPr>
                  <w:tcW w:w="1152" w:type="dxa"/>
                  <w:vMerge w:val="continue"/>
                  <w:vAlign w:val="center"/>
                </w:tcPr>
                <w:p w14:paraId="115B2F5A">
                  <w:pPr>
                    <w:pStyle w:val="13"/>
                    <w:jc w:val="center"/>
                  </w:pPr>
                </w:p>
              </w:tc>
              <w:tc>
                <w:tcPr>
                  <w:tcW w:w="1658" w:type="dxa"/>
                  <w:vMerge w:val="continue"/>
                  <w:vAlign w:val="center"/>
                </w:tcPr>
                <w:p w14:paraId="72344784">
                  <w:pPr>
                    <w:pStyle w:val="13"/>
                    <w:jc w:val="center"/>
                  </w:pPr>
                </w:p>
              </w:tc>
              <w:tc>
                <w:tcPr>
                  <w:tcW w:w="1451" w:type="dxa"/>
                  <w:vAlign w:val="center"/>
                </w:tcPr>
                <w:p w14:paraId="5AA87927">
                  <w:pPr>
                    <w:pStyle w:val="13"/>
                    <w:jc w:val="center"/>
                  </w:pPr>
                  <w:r>
                    <w:rPr>
                      <w:rFonts w:hint="eastAsia"/>
                    </w:rPr>
                    <w:t>平均值</w:t>
                  </w:r>
                </w:p>
              </w:tc>
              <w:tc>
                <w:tcPr>
                  <w:tcW w:w="1931" w:type="dxa"/>
                  <w:vAlign w:val="center"/>
                </w:tcPr>
                <w:p w14:paraId="0C3CC415">
                  <w:pPr>
                    <w:pStyle w:val="13"/>
                    <w:jc w:val="center"/>
                  </w:pPr>
                  <w:r>
                    <w:rPr>
                      <w:rFonts w:hint="eastAsia"/>
                    </w:rPr>
                    <w:t>0.225</w:t>
                  </w:r>
                </w:p>
              </w:tc>
              <w:tc>
                <w:tcPr>
                  <w:tcW w:w="1693" w:type="dxa"/>
                  <w:vMerge w:val="continue"/>
                  <w:vAlign w:val="center"/>
                </w:tcPr>
                <w:p w14:paraId="123B1739">
                  <w:pPr>
                    <w:pStyle w:val="13"/>
                    <w:jc w:val="center"/>
                  </w:pPr>
                </w:p>
              </w:tc>
            </w:tr>
            <w:tr w14:paraId="079AA61D">
              <w:trPr>
                <w:trHeight w:val="340" w:hRule="atLeast"/>
                <w:jc w:val="center"/>
              </w:trPr>
              <w:tc>
                <w:tcPr>
                  <w:tcW w:w="1152" w:type="dxa"/>
                  <w:vMerge w:val="continue"/>
                  <w:vAlign w:val="center"/>
                </w:tcPr>
                <w:p w14:paraId="34259D50">
                  <w:pPr>
                    <w:pStyle w:val="13"/>
                    <w:jc w:val="center"/>
                  </w:pPr>
                </w:p>
              </w:tc>
              <w:tc>
                <w:tcPr>
                  <w:tcW w:w="1658" w:type="dxa"/>
                  <w:vMerge w:val="restart"/>
                  <w:vAlign w:val="center"/>
                </w:tcPr>
                <w:p w14:paraId="2210E081">
                  <w:pPr>
                    <w:pStyle w:val="13"/>
                    <w:jc w:val="center"/>
                  </w:pPr>
                  <w:r>
                    <w:rPr>
                      <w:rFonts w:hint="eastAsia"/>
                    </w:rPr>
                    <w:t>下风向6#</w:t>
                  </w:r>
                </w:p>
              </w:tc>
              <w:tc>
                <w:tcPr>
                  <w:tcW w:w="1451" w:type="dxa"/>
                  <w:vAlign w:val="center"/>
                </w:tcPr>
                <w:p w14:paraId="7C81718D">
                  <w:pPr>
                    <w:pStyle w:val="13"/>
                    <w:jc w:val="center"/>
                  </w:pPr>
                  <w:r>
                    <w:rPr>
                      <w:rFonts w:hint="eastAsia"/>
                    </w:rPr>
                    <w:t>第一次</w:t>
                  </w:r>
                </w:p>
              </w:tc>
              <w:tc>
                <w:tcPr>
                  <w:tcW w:w="1931" w:type="dxa"/>
                  <w:vAlign w:val="center"/>
                </w:tcPr>
                <w:p w14:paraId="0CEE3360">
                  <w:pPr>
                    <w:pStyle w:val="13"/>
                    <w:jc w:val="center"/>
                  </w:pPr>
                  <w:r>
                    <w:rPr>
                      <w:rFonts w:hint="eastAsia"/>
                    </w:rPr>
                    <w:t>0.212</w:t>
                  </w:r>
                </w:p>
              </w:tc>
              <w:tc>
                <w:tcPr>
                  <w:tcW w:w="1693" w:type="dxa"/>
                  <w:vMerge w:val="continue"/>
                  <w:vAlign w:val="center"/>
                </w:tcPr>
                <w:p w14:paraId="293594D0">
                  <w:pPr>
                    <w:pStyle w:val="13"/>
                    <w:jc w:val="center"/>
                  </w:pPr>
                </w:p>
              </w:tc>
            </w:tr>
            <w:tr w14:paraId="5F304472">
              <w:trPr>
                <w:trHeight w:val="340" w:hRule="atLeast"/>
                <w:jc w:val="center"/>
              </w:trPr>
              <w:tc>
                <w:tcPr>
                  <w:tcW w:w="1152" w:type="dxa"/>
                  <w:vMerge w:val="continue"/>
                  <w:vAlign w:val="center"/>
                </w:tcPr>
                <w:p w14:paraId="52E36300">
                  <w:pPr>
                    <w:pStyle w:val="13"/>
                    <w:jc w:val="center"/>
                  </w:pPr>
                </w:p>
              </w:tc>
              <w:tc>
                <w:tcPr>
                  <w:tcW w:w="1658" w:type="dxa"/>
                  <w:vMerge w:val="continue"/>
                  <w:vAlign w:val="center"/>
                </w:tcPr>
                <w:p w14:paraId="7859E73D">
                  <w:pPr>
                    <w:pStyle w:val="13"/>
                    <w:jc w:val="center"/>
                  </w:pPr>
                </w:p>
              </w:tc>
              <w:tc>
                <w:tcPr>
                  <w:tcW w:w="1451" w:type="dxa"/>
                  <w:vAlign w:val="center"/>
                </w:tcPr>
                <w:p w14:paraId="2C09131C">
                  <w:pPr>
                    <w:pStyle w:val="13"/>
                    <w:jc w:val="center"/>
                  </w:pPr>
                  <w:r>
                    <w:rPr>
                      <w:rFonts w:hint="eastAsia"/>
                    </w:rPr>
                    <w:t>第二次</w:t>
                  </w:r>
                </w:p>
              </w:tc>
              <w:tc>
                <w:tcPr>
                  <w:tcW w:w="1931" w:type="dxa"/>
                  <w:vAlign w:val="center"/>
                </w:tcPr>
                <w:p w14:paraId="732EEE10">
                  <w:pPr>
                    <w:pStyle w:val="13"/>
                    <w:jc w:val="center"/>
                  </w:pPr>
                  <w:r>
                    <w:rPr>
                      <w:rFonts w:hint="eastAsia"/>
                    </w:rPr>
                    <w:t>0.214</w:t>
                  </w:r>
                </w:p>
              </w:tc>
              <w:tc>
                <w:tcPr>
                  <w:tcW w:w="1693" w:type="dxa"/>
                  <w:vMerge w:val="continue"/>
                  <w:vAlign w:val="center"/>
                </w:tcPr>
                <w:p w14:paraId="6A6FD44C">
                  <w:pPr>
                    <w:pStyle w:val="13"/>
                    <w:jc w:val="center"/>
                  </w:pPr>
                </w:p>
              </w:tc>
            </w:tr>
            <w:tr w14:paraId="10265B08">
              <w:trPr>
                <w:trHeight w:val="340" w:hRule="atLeast"/>
                <w:jc w:val="center"/>
              </w:trPr>
              <w:tc>
                <w:tcPr>
                  <w:tcW w:w="1152" w:type="dxa"/>
                  <w:vMerge w:val="continue"/>
                  <w:vAlign w:val="center"/>
                </w:tcPr>
                <w:p w14:paraId="59BEA546">
                  <w:pPr>
                    <w:pStyle w:val="13"/>
                    <w:jc w:val="center"/>
                  </w:pPr>
                </w:p>
              </w:tc>
              <w:tc>
                <w:tcPr>
                  <w:tcW w:w="1658" w:type="dxa"/>
                  <w:vMerge w:val="continue"/>
                  <w:vAlign w:val="center"/>
                </w:tcPr>
                <w:p w14:paraId="01D762CC">
                  <w:pPr>
                    <w:pStyle w:val="13"/>
                    <w:jc w:val="center"/>
                  </w:pPr>
                </w:p>
              </w:tc>
              <w:tc>
                <w:tcPr>
                  <w:tcW w:w="1451" w:type="dxa"/>
                  <w:vAlign w:val="center"/>
                </w:tcPr>
                <w:p w14:paraId="3EF5E2F5">
                  <w:pPr>
                    <w:pStyle w:val="13"/>
                    <w:jc w:val="center"/>
                  </w:pPr>
                  <w:r>
                    <w:rPr>
                      <w:rFonts w:hint="eastAsia"/>
                    </w:rPr>
                    <w:t>第三次</w:t>
                  </w:r>
                </w:p>
              </w:tc>
              <w:tc>
                <w:tcPr>
                  <w:tcW w:w="1931" w:type="dxa"/>
                  <w:vAlign w:val="center"/>
                </w:tcPr>
                <w:p w14:paraId="7A10A958">
                  <w:pPr>
                    <w:pStyle w:val="13"/>
                    <w:jc w:val="center"/>
                  </w:pPr>
                  <w:r>
                    <w:rPr>
                      <w:rFonts w:hint="eastAsia"/>
                    </w:rPr>
                    <w:t>0.216</w:t>
                  </w:r>
                </w:p>
              </w:tc>
              <w:tc>
                <w:tcPr>
                  <w:tcW w:w="1693" w:type="dxa"/>
                  <w:vMerge w:val="continue"/>
                  <w:vAlign w:val="center"/>
                </w:tcPr>
                <w:p w14:paraId="6C3D8BBA">
                  <w:pPr>
                    <w:pStyle w:val="13"/>
                    <w:jc w:val="center"/>
                  </w:pPr>
                </w:p>
              </w:tc>
            </w:tr>
            <w:tr w14:paraId="2FC9E4C4">
              <w:trPr>
                <w:trHeight w:val="340" w:hRule="atLeast"/>
                <w:jc w:val="center"/>
              </w:trPr>
              <w:tc>
                <w:tcPr>
                  <w:tcW w:w="1152" w:type="dxa"/>
                  <w:vMerge w:val="continue"/>
                  <w:vAlign w:val="center"/>
                </w:tcPr>
                <w:p w14:paraId="2A7EEA25">
                  <w:pPr>
                    <w:pStyle w:val="13"/>
                    <w:jc w:val="center"/>
                  </w:pPr>
                </w:p>
              </w:tc>
              <w:tc>
                <w:tcPr>
                  <w:tcW w:w="1658" w:type="dxa"/>
                  <w:vMerge w:val="continue"/>
                  <w:vAlign w:val="center"/>
                </w:tcPr>
                <w:p w14:paraId="61E955AC">
                  <w:pPr>
                    <w:pStyle w:val="13"/>
                    <w:jc w:val="center"/>
                  </w:pPr>
                </w:p>
              </w:tc>
              <w:tc>
                <w:tcPr>
                  <w:tcW w:w="1451" w:type="dxa"/>
                  <w:vAlign w:val="center"/>
                </w:tcPr>
                <w:p w14:paraId="4F888538">
                  <w:pPr>
                    <w:pStyle w:val="13"/>
                    <w:jc w:val="center"/>
                  </w:pPr>
                  <w:r>
                    <w:rPr>
                      <w:rFonts w:hint="eastAsia"/>
                    </w:rPr>
                    <w:t>平均值</w:t>
                  </w:r>
                </w:p>
              </w:tc>
              <w:tc>
                <w:tcPr>
                  <w:tcW w:w="1931" w:type="dxa"/>
                  <w:vAlign w:val="center"/>
                </w:tcPr>
                <w:p w14:paraId="436B9819">
                  <w:pPr>
                    <w:pStyle w:val="13"/>
                    <w:jc w:val="center"/>
                  </w:pPr>
                  <w:r>
                    <w:rPr>
                      <w:rFonts w:hint="eastAsia"/>
                    </w:rPr>
                    <w:t>0.214</w:t>
                  </w:r>
                </w:p>
              </w:tc>
              <w:tc>
                <w:tcPr>
                  <w:tcW w:w="1693" w:type="dxa"/>
                  <w:vMerge w:val="continue"/>
                  <w:vAlign w:val="center"/>
                </w:tcPr>
                <w:p w14:paraId="11B6E05C">
                  <w:pPr>
                    <w:pStyle w:val="13"/>
                    <w:jc w:val="center"/>
                  </w:pPr>
                </w:p>
              </w:tc>
            </w:tr>
            <w:tr w14:paraId="55E45538">
              <w:trPr>
                <w:trHeight w:val="340" w:hRule="atLeast"/>
                <w:jc w:val="center"/>
              </w:trPr>
              <w:tc>
                <w:tcPr>
                  <w:tcW w:w="1152" w:type="dxa"/>
                  <w:vMerge w:val="continue"/>
                  <w:vAlign w:val="center"/>
                </w:tcPr>
                <w:p w14:paraId="6F5A07A5">
                  <w:pPr>
                    <w:pStyle w:val="13"/>
                    <w:jc w:val="center"/>
                  </w:pPr>
                </w:p>
              </w:tc>
              <w:tc>
                <w:tcPr>
                  <w:tcW w:w="1658" w:type="dxa"/>
                  <w:vMerge w:val="restart"/>
                  <w:vAlign w:val="center"/>
                </w:tcPr>
                <w:p w14:paraId="6BE439FA">
                  <w:pPr>
                    <w:pStyle w:val="13"/>
                    <w:jc w:val="center"/>
                  </w:pPr>
                  <w:r>
                    <w:rPr>
                      <w:rFonts w:hint="eastAsia"/>
                    </w:rPr>
                    <w:t>下风向7#</w:t>
                  </w:r>
                </w:p>
              </w:tc>
              <w:tc>
                <w:tcPr>
                  <w:tcW w:w="1451" w:type="dxa"/>
                  <w:vAlign w:val="center"/>
                </w:tcPr>
                <w:p w14:paraId="2D912189">
                  <w:pPr>
                    <w:pStyle w:val="13"/>
                    <w:jc w:val="center"/>
                  </w:pPr>
                  <w:r>
                    <w:rPr>
                      <w:rFonts w:hint="eastAsia"/>
                    </w:rPr>
                    <w:t>第一次</w:t>
                  </w:r>
                </w:p>
              </w:tc>
              <w:tc>
                <w:tcPr>
                  <w:tcW w:w="1931" w:type="dxa"/>
                  <w:vAlign w:val="center"/>
                </w:tcPr>
                <w:p w14:paraId="33C04608">
                  <w:pPr>
                    <w:pStyle w:val="13"/>
                    <w:jc w:val="center"/>
                  </w:pPr>
                  <w:r>
                    <w:rPr>
                      <w:rFonts w:hint="eastAsia"/>
                    </w:rPr>
                    <w:t>0.219</w:t>
                  </w:r>
                </w:p>
              </w:tc>
              <w:tc>
                <w:tcPr>
                  <w:tcW w:w="1693" w:type="dxa"/>
                  <w:vMerge w:val="continue"/>
                  <w:vAlign w:val="center"/>
                </w:tcPr>
                <w:p w14:paraId="724B82C3">
                  <w:pPr>
                    <w:pStyle w:val="13"/>
                    <w:jc w:val="center"/>
                  </w:pPr>
                </w:p>
              </w:tc>
            </w:tr>
            <w:tr w14:paraId="2375B9C1">
              <w:trPr>
                <w:trHeight w:val="340" w:hRule="atLeast"/>
                <w:jc w:val="center"/>
              </w:trPr>
              <w:tc>
                <w:tcPr>
                  <w:tcW w:w="1152" w:type="dxa"/>
                  <w:vMerge w:val="continue"/>
                  <w:vAlign w:val="center"/>
                </w:tcPr>
                <w:p w14:paraId="33A63237">
                  <w:pPr>
                    <w:pStyle w:val="13"/>
                    <w:jc w:val="center"/>
                  </w:pPr>
                </w:p>
              </w:tc>
              <w:tc>
                <w:tcPr>
                  <w:tcW w:w="1658" w:type="dxa"/>
                  <w:vMerge w:val="continue"/>
                  <w:vAlign w:val="center"/>
                </w:tcPr>
                <w:p w14:paraId="09E13EE7">
                  <w:pPr>
                    <w:pStyle w:val="13"/>
                    <w:jc w:val="center"/>
                  </w:pPr>
                </w:p>
              </w:tc>
              <w:tc>
                <w:tcPr>
                  <w:tcW w:w="1451" w:type="dxa"/>
                  <w:vAlign w:val="center"/>
                </w:tcPr>
                <w:p w14:paraId="2136CC02">
                  <w:pPr>
                    <w:pStyle w:val="13"/>
                    <w:jc w:val="center"/>
                  </w:pPr>
                  <w:r>
                    <w:rPr>
                      <w:rFonts w:hint="eastAsia"/>
                    </w:rPr>
                    <w:t>第二次</w:t>
                  </w:r>
                </w:p>
              </w:tc>
              <w:tc>
                <w:tcPr>
                  <w:tcW w:w="1931" w:type="dxa"/>
                  <w:vAlign w:val="center"/>
                </w:tcPr>
                <w:p w14:paraId="4E3D2305">
                  <w:pPr>
                    <w:pStyle w:val="13"/>
                    <w:jc w:val="center"/>
                  </w:pPr>
                  <w:r>
                    <w:rPr>
                      <w:rFonts w:hint="eastAsia"/>
                    </w:rPr>
                    <w:t>0.233</w:t>
                  </w:r>
                </w:p>
              </w:tc>
              <w:tc>
                <w:tcPr>
                  <w:tcW w:w="1693" w:type="dxa"/>
                  <w:vMerge w:val="continue"/>
                  <w:vAlign w:val="center"/>
                </w:tcPr>
                <w:p w14:paraId="1A755CCC">
                  <w:pPr>
                    <w:pStyle w:val="13"/>
                    <w:jc w:val="center"/>
                  </w:pPr>
                </w:p>
              </w:tc>
            </w:tr>
            <w:tr w14:paraId="6A3E1B06">
              <w:trPr>
                <w:trHeight w:val="340" w:hRule="atLeast"/>
                <w:jc w:val="center"/>
              </w:trPr>
              <w:tc>
                <w:tcPr>
                  <w:tcW w:w="1152" w:type="dxa"/>
                  <w:vMerge w:val="continue"/>
                  <w:vAlign w:val="center"/>
                </w:tcPr>
                <w:p w14:paraId="7663EB11">
                  <w:pPr>
                    <w:pStyle w:val="13"/>
                    <w:jc w:val="center"/>
                  </w:pPr>
                </w:p>
              </w:tc>
              <w:tc>
                <w:tcPr>
                  <w:tcW w:w="1658" w:type="dxa"/>
                  <w:vMerge w:val="continue"/>
                  <w:vAlign w:val="center"/>
                </w:tcPr>
                <w:p w14:paraId="723DCFBA">
                  <w:pPr>
                    <w:pStyle w:val="13"/>
                    <w:jc w:val="center"/>
                  </w:pPr>
                </w:p>
              </w:tc>
              <w:tc>
                <w:tcPr>
                  <w:tcW w:w="1451" w:type="dxa"/>
                  <w:vAlign w:val="center"/>
                </w:tcPr>
                <w:p w14:paraId="485709C8">
                  <w:pPr>
                    <w:pStyle w:val="13"/>
                    <w:jc w:val="center"/>
                  </w:pPr>
                  <w:r>
                    <w:rPr>
                      <w:rFonts w:hint="eastAsia"/>
                    </w:rPr>
                    <w:t>第三次</w:t>
                  </w:r>
                </w:p>
              </w:tc>
              <w:tc>
                <w:tcPr>
                  <w:tcW w:w="1931" w:type="dxa"/>
                  <w:vAlign w:val="center"/>
                </w:tcPr>
                <w:p w14:paraId="4E1F1732">
                  <w:pPr>
                    <w:pStyle w:val="13"/>
                    <w:jc w:val="center"/>
                  </w:pPr>
                  <w:r>
                    <w:rPr>
                      <w:rFonts w:hint="eastAsia"/>
                    </w:rPr>
                    <w:t>0.222</w:t>
                  </w:r>
                </w:p>
              </w:tc>
              <w:tc>
                <w:tcPr>
                  <w:tcW w:w="1693" w:type="dxa"/>
                  <w:vMerge w:val="continue"/>
                  <w:vAlign w:val="center"/>
                </w:tcPr>
                <w:p w14:paraId="19C9B554">
                  <w:pPr>
                    <w:pStyle w:val="13"/>
                    <w:jc w:val="center"/>
                  </w:pPr>
                </w:p>
              </w:tc>
            </w:tr>
            <w:tr w14:paraId="796B6C4E">
              <w:trPr>
                <w:trHeight w:val="340" w:hRule="atLeast"/>
                <w:jc w:val="center"/>
              </w:trPr>
              <w:tc>
                <w:tcPr>
                  <w:tcW w:w="1152" w:type="dxa"/>
                  <w:vMerge w:val="continue"/>
                  <w:vAlign w:val="center"/>
                </w:tcPr>
                <w:p w14:paraId="6B9FA844">
                  <w:pPr>
                    <w:pStyle w:val="13"/>
                    <w:jc w:val="center"/>
                  </w:pPr>
                </w:p>
              </w:tc>
              <w:tc>
                <w:tcPr>
                  <w:tcW w:w="1658" w:type="dxa"/>
                  <w:vMerge w:val="continue"/>
                  <w:vAlign w:val="center"/>
                </w:tcPr>
                <w:p w14:paraId="670738E7">
                  <w:pPr>
                    <w:pStyle w:val="13"/>
                    <w:jc w:val="center"/>
                  </w:pPr>
                </w:p>
              </w:tc>
              <w:tc>
                <w:tcPr>
                  <w:tcW w:w="1451" w:type="dxa"/>
                  <w:vAlign w:val="center"/>
                </w:tcPr>
                <w:p w14:paraId="1B1EEE08">
                  <w:pPr>
                    <w:pStyle w:val="13"/>
                    <w:jc w:val="center"/>
                  </w:pPr>
                  <w:r>
                    <w:rPr>
                      <w:rFonts w:hint="eastAsia"/>
                    </w:rPr>
                    <w:t>平均值</w:t>
                  </w:r>
                </w:p>
              </w:tc>
              <w:tc>
                <w:tcPr>
                  <w:tcW w:w="1931" w:type="dxa"/>
                  <w:vAlign w:val="center"/>
                </w:tcPr>
                <w:p w14:paraId="0C9E62E7">
                  <w:pPr>
                    <w:pStyle w:val="13"/>
                    <w:jc w:val="center"/>
                  </w:pPr>
                  <w:r>
                    <w:rPr>
                      <w:rFonts w:hint="eastAsia"/>
                    </w:rPr>
                    <w:t>0.225</w:t>
                  </w:r>
                </w:p>
              </w:tc>
              <w:tc>
                <w:tcPr>
                  <w:tcW w:w="1693" w:type="dxa"/>
                  <w:vMerge w:val="continue"/>
                  <w:vAlign w:val="center"/>
                </w:tcPr>
                <w:p w14:paraId="33450206">
                  <w:pPr>
                    <w:pStyle w:val="13"/>
                    <w:jc w:val="center"/>
                  </w:pPr>
                </w:p>
              </w:tc>
            </w:tr>
            <w:tr w14:paraId="45DA7DD6">
              <w:trPr>
                <w:trHeight w:val="340" w:hRule="atLeast"/>
                <w:jc w:val="center"/>
              </w:trPr>
              <w:tc>
                <w:tcPr>
                  <w:tcW w:w="1152" w:type="dxa"/>
                  <w:vMerge w:val="restart"/>
                  <w:vAlign w:val="center"/>
                </w:tcPr>
                <w:p w14:paraId="2926DB28">
                  <w:pPr>
                    <w:pStyle w:val="13"/>
                    <w:jc w:val="center"/>
                  </w:pPr>
                  <w:r>
                    <w:rPr>
                      <w:rFonts w:hint="eastAsia"/>
                    </w:rPr>
                    <w:t>非甲烷总烃</w:t>
                  </w:r>
                </w:p>
              </w:tc>
              <w:tc>
                <w:tcPr>
                  <w:tcW w:w="1658" w:type="dxa"/>
                  <w:vMerge w:val="restart"/>
                  <w:vAlign w:val="center"/>
                </w:tcPr>
                <w:p w14:paraId="52B259E2">
                  <w:pPr>
                    <w:pStyle w:val="13"/>
                    <w:jc w:val="center"/>
                  </w:pPr>
                  <w:r>
                    <w:rPr>
                      <w:rFonts w:hint="eastAsia"/>
                    </w:rPr>
                    <w:t>上风向4#</w:t>
                  </w:r>
                </w:p>
              </w:tc>
              <w:tc>
                <w:tcPr>
                  <w:tcW w:w="1451" w:type="dxa"/>
                  <w:vAlign w:val="center"/>
                </w:tcPr>
                <w:p w14:paraId="1F2F1077">
                  <w:pPr>
                    <w:pStyle w:val="13"/>
                    <w:jc w:val="center"/>
                  </w:pPr>
                  <w:r>
                    <w:rPr>
                      <w:rFonts w:hint="eastAsia"/>
                    </w:rPr>
                    <w:t>第一次</w:t>
                  </w:r>
                </w:p>
              </w:tc>
              <w:tc>
                <w:tcPr>
                  <w:tcW w:w="1931" w:type="dxa"/>
                  <w:vAlign w:val="center"/>
                </w:tcPr>
                <w:p w14:paraId="6B976524">
                  <w:pPr>
                    <w:pStyle w:val="13"/>
                    <w:jc w:val="center"/>
                  </w:pPr>
                  <w:r>
                    <w:rPr>
                      <w:rFonts w:hint="eastAsia"/>
                    </w:rPr>
                    <w:t>0.68</w:t>
                  </w:r>
                </w:p>
              </w:tc>
              <w:tc>
                <w:tcPr>
                  <w:tcW w:w="1693" w:type="dxa"/>
                  <w:vMerge w:val="restart"/>
                  <w:vAlign w:val="center"/>
                </w:tcPr>
                <w:p w14:paraId="2A1013F6">
                  <w:pPr>
                    <w:pStyle w:val="13"/>
                    <w:jc w:val="center"/>
                  </w:pPr>
                  <w:r>
                    <w:rPr>
                      <w:rFonts w:hint="eastAsia"/>
                    </w:rPr>
                    <w:t>4.0</w:t>
                  </w:r>
                </w:p>
              </w:tc>
            </w:tr>
            <w:tr w14:paraId="593C48B2">
              <w:trPr>
                <w:trHeight w:val="340" w:hRule="atLeast"/>
                <w:jc w:val="center"/>
              </w:trPr>
              <w:tc>
                <w:tcPr>
                  <w:tcW w:w="1152" w:type="dxa"/>
                  <w:vMerge w:val="continue"/>
                  <w:vAlign w:val="center"/>
                </w:tcPr>
                <w:p w14:paraId="6A1A60CB">
                  <w:pPr>
                    <w:pStyle w:val="13"/>
                    <w:jc w:val="center"/>
                  </w:pPr>
                </w:p>
              </w:tc>
              <w:tc>
                <w:tcPr>
                  <w:tcW w:w="1658" w:type="dxa"/>
                  <w:vMerge w:val="continue"/>
                  <w:vAlign w:val="center"/>
                </w:tcPr>
                <w:p w14:paraId="110034B9">
                  <w:pPr>
                    <w:pStyle w:val="13"/>
                    <w:jc w:val="center"/>
                  </w:pPr>
                </w:p>
              </w:tc>
              <w:tc>
                <w:tcPr>
                  <w:tcW w:w="1451" w:type="dxa"/>
                  <w:vAlign w:val="center"/>
                </w:tcPr>
                <w:p w14:paraId="4FF3630A">
                  <w:pPr>
                    <w:pStyle w:val="13"/>
                    <w:jc w:val="center"/>
                  </w:pPr>
                  <w:r>
                    <w:rPr>
                      <w:rFonts w:hint="eastAsia"/>
                    </w:rPr>
                    <w:t>第二次</w:t>
                  </w:r>
                </w:p>
              </w:tc>
              <w:tc>
                <w:tcPr>
                  <w:tcW w:w="1931" w:type="dxa"/>
                  <w:vAlign w:val="center"/>
                </w:tcPr>
                <w:p w14:paraId="472B5B90">
                  <w:pPr>
                    <w:pStyle w:val="13"/>
                    <w:jc w:val="center"/>
                  </w:pPr>
                  <w:r>
                    <w:rPr>
                      <w:rFonts w:hint="eastAsia"/>
                    </w:rPr>
                    <w:t>0.69</w:t>
                  </w:r>
                </w:p>
              </w:tc>
              <w:tc>
                <w:tcPr>
                  <w:tcW w:w="1693" w:type="dxa"/>
                  <w:vMerge w:val="continue"/>
                  <w:vAlign w:val="center"/>
                </w:tcPr>
                <w:p w14:paraId="6564707D">
                  <w:pPr>
                    <w:pStyle w:val="13"/>
                    <w:jc w:val="center"/>
                  </w:pPr>
                </w:p>
              </w:tc>
            </w:tr>
            <w:tr w14:paraId="7640A2CD">
              <w:trPr>
                <w:trHeight w:val="340" w:hRule="atLeast"/>
                <w:jc w:val="center"/>
              </w:trPr>
              <w:tc>
                <w:tcPr>
                  <w:tcW w:w="1152" w:type="dxa"/>
                  <w:vMerge w:val="continue"/>
                  <w:vAlign w:val="center"/>
                </w:tcPr>
                <w:p w14:paraId="78BDB3F8">
                  <w:pPr>
                    <w:pStyle w:val="13"/>
                    <w:jc w:val="center"/>
                  </w:pPr>
                </w:p>
              </w:tc>
              <w:tc>
                <w:tcPr>
                  <w:tcW w:w="1658" w:type="dxa"/>
                  <w:vMerge w:val="continue"/>
                  <w:vAlign w:val="center"/>
                </w:tcPr>
                <w:p w14:paraId="20AE3319">
                  <w:pPr>
                    <w:pStyle w:val="13"/>
                    <w:jc w:val="center"/>
                  </w:pPr>
                </w:p>
              </w:tc>
              <w:tc>
                <w:tcPr>
                  <w:tcW w:w="1451" w:type="dxa"/>
                  <w:vAlign w:val="center"/>
                </w:tcPr>
                <w:p w14:paraId="55EAFF40">
                  <w:pPr>
                    <w:pStyle w:val="13"/>
                    <w:jc w:val="center"/>
                  </w:pPr>
                  <w:r>
                    <w:rPr>
                      <w:rFonts w:hint="eastAsia"/>
                    </w:rPr>
                    <w:t>第三次</w:t>
                  </w:r>
                </w:p>
              </w:tc>
              <w:tc>
                <w:tcPr>
                  <w:tcW w:w="1931" w:type="dxa"/>
                  <w:vAlign w:val="center"/>
                </w:tcPr>
                <w:p w14:paraId="334F2ACB">
                  <w:pPr>
                    <w:pStyle w:val="13"/>
                    <w:jc w:val="center"/>
                  </w:pPr>
                  <w:r>
                    <w:rPr>
                      <w:rFonts w:hint="eastAsia"/>
                    </w:rPr>
                    <w:t>0.68</w:t>
                  </w:r>
                </w:p>
              </w:tc>
              <w:tc>
                <w:tcPr>
                  <w:tcW w:w="1693" w:type="dxa"/>
                  <w:vMerge w:val="continue"/>
                  <w:vAlign w:val="center"/>
                </w:tcPr>
                <w:p w14:paraId="7F2980D7">
                  <w:pPr>
                    <w:pStyle w:val="13"/>
                    <w:jc w:val="center"/>
                  </w:pPr>
                </w:p>
              </w:tc>
            </w:tr>
            <w:tr w14:paraId="0D4DA301">
              <w:trPr>
                <w:trHeight w:val="340" w:hRule="atLeast"/>
                <w:jc w:val="center"/>
              </w:trPr>
              <w:tc>
                <w:tcPr>
                  <w:tcW w:w="1152" w:type="dxa"/>
                  <w:vMerge w:val="continue"/>
                  <w:vAlign w:val="center"/>
                </w:tcPr>
                <w:p w14:paraId="28B2857D">
                  <w:pPr>
                    <w:pStyle w:val="13"/>
                    <w:jc w:val="center"/>
                  </w:pPr>
                </w:p>
              </w:tc>
              <w:tc>
                <w:tcPr>
                  <w:tcW w:w="1658" w:type="dxa"/>
                  <w:vMerge w:val="continue"/>
                  <w:vAlign w:val="center"/>
                </w:tcPr>
                <w:p w14:paraId="63B7DF5B">
                  <w:pPr>
                    <w:pStyle w:val="13"/>
                    <w:jc w:val="center"/>
                  </w:pPr>
                </w:p>
              </w:tc>
              <w:tc>
                <w:tcPr>
                  <w:tcW w:w="1451" w:type="dxa"/>
                  <w:vAlign w:val="center"/>
                </w:tcPr>
                <w:p w14:paraId="200082D2">
                  <w:pPr>
                    <w:pStyle w:val="13"/>
                    <w:jc w:val="center"/>
                  </w:pPr>
                  <w:r>
                    <w:rPr>
                      <w:rFonts w:hint="eastAsia"/>
                    </w:rPr>
                    <w:t>平均值</w:t>
                  </w:r>
                </w:p>
              </w:tc>
              <w:tc>
                <w:tcPr>
                  <w:tcW w:w="1931" w:type="dxa"/>
                  <w:vAlign w:val="center"/>
                </w:tcPr>
                <w:p w14:paraId="4EA7872F">
                  <w:pPr>
                    <w:pStyle w:val="13"/>
                    <w:jc w:val="center"/>
                  </w:pPr>
                  <w:r>
                    <w:rPr>
                      <w:rFonts w:hint="eastAsia"/>
                    </w:rPr>
                    <w:t>0.68</w:t>
                  </w:r>
                </w:p>
              </w:tc>
              <w:tc>
                <w:tcPr>
                  <w:tcW w:w="1693" w:type="dxa"/>
                  <w:vMerge w:val="continue"/>
                  <w:vAlign w:val="center"/>
                </w:tcPr>
                <w:p w14:paraId="0BF9E833">
                  <w:pPr>
                    <w:pStyle w:val="13"/>
                    <w:jc w:val="center"/>
                  </w:pPr>
                </w:p>
              </w:tc>
            </w:tr>
            <w:tr w14:paraId="3577CEBA">
              <w:trPr>
                <w:trHeight w:val="340" w:hRule="atLeast"/>
                <w:jc w:val="center"/>
              </w:trPr>
              <w:tc>
                <w:tcPr>
                  <w:tcW w:w="1152" w:type="dxa"/>
                  <w:vMerge w:val="continue"/>
                  <w:vAlign w:val="center"/>
                </w:tcPr>
                <w:p w14:paraId="767312DC">
                  <w:pPr>
                    <w:pStyle w:val="13"/>
                    <w:jc w:val="center"/>
                  </w:pPr>
                </w:p>
              </w:tc>
              <w:tc>
                <w:tcPr>
                  <w:tcW w:w="1658" w:type="dxa"/>
                  <w:vMerge w:val="restart"/>
                  <w:vAlign w:val="center"/>
                </w:tcPr>
                <w:p w14:paraId="37A77649">
                  <w:pPr>
                    <w:pStyle w:val="13"/>
                    <w:jc w:val="center"/>
                  </w:pPr>
                  <w:r>
                    <w:rPr>
                      <w:rFonts w:hint="eastAsia"/>
                    </w:rPr>
                    <w:t>下风向5#</w:t>
                  </w:r>
                </w:p>
              </w:tc>
              <w:tc>
                <w:tcPr>
                  <w:tcW w:w="1451" w:type="dxa"/>
                  <w:vAlign w:val="center"/>
                </w:tcPr>
                <w:p w14:paraId="2E71ABCF">
                  <w:pPr>
                    <w:pStyle w:val="13"/>
                    <w:jc w:val="center"/>
                  </w:pPr>
                  <w:r>
                    <w:rPr>
                      <w:rFonts w:hint="eastAsia"/>
                    </w:rPr>
                    <w:t>第一次</w:t>
                  </w:r>
                </w:p>
              </w:tc>
              <w:tc>
                <w:tcPr>
                  <w:tcW w:w="1931" w:type="dxa"/>
                  <w:vAlign w:val="center"/>
                </w:tcPr>
                <w:p w14:paraId="59D8DD25">
                  <w:pPr>
                    <w:pStyle w:val="13"/>
                    <w:jc w:val="center"/>
                  </w:pPr>
                  <w:r>
                    <w:rPr>
                      <w:rFonts w:hint="eastAsia"/>
                    </w:rPr>
                    <w:t>0.87</w:t>
                  </w:r>
                </w:p>
              </w:tc>
              <w:tc>
                <w:tcPr>
                  <w:tcW w:w="1693" w:type="dxa"/>
                  <w:vMerge w:val="continue"/>
                  <w:vAlign w:val="center"/>
                </w:tcPr>
                <w:p w14:paraId="6FA8B013">
                  <w:pPr>
                    <w:pStyle w:val="13"/>
                    <w:jc w:val="center"/>
                  </w:pPr>
                </w:p>
              </w:tc>
            </w:tr>
            <w:tr w14:paraId="56D36D47">
              <w:trPr>
                <w:trHeight w:val="340" w:hRule="atLeast"/>
                <w:jc w:val="center"/>
              </w:trPr>
              <w:tc>
                <w:tcPr>
                  <w:tcW w:w="1152" w:type="dxa"/>
                  <w:vMerge w:val="continue"/>
                  <w:vAlign w:val="center"/>
                </w:tcPr>
                <w:p w14:paraId="504278EE">
                  <w:pPr>
                    <w:pStyle w:val="13"/>
                    <w:jc w:val="center"/>
                  </w:pPr>
                </w:p>
              </w:tc>
              <w:tc>
                <w:tcPr>
                  <w:tcW w:w="1658" w:type="dxa"/>
                  <w:vMerge w:val="continue"/>
                  <w:vAlign w:val="center"/>
                </w:tcPr>
                <w:p w14:paraId="2126279E">
                  <w:pPr>
                    <w:pStyle w:val="13"/>
                    <w:jc w:val="center"/>
                  </w:pPr>
                </w:p>
              </w:tc>
              <w:tc>
                <w:tcPr>
                  <w:tcW w:w="1451" w:type="dxa"/>
                  <w:vAlign w:val="center"/>
                </w:tcPr>
                <w:p w14:paraId="4FCA941E">
                  <w:pPr>
                    <w:pStyle w:val="13"/>
                    <w:jc w:val="center"/>
                  </w:pPr>
                  <w:r>
                    <w:rPr>
                      <w:rFonts w:hint="eastAsia"/>
                    </w:rPr>
                    <w:t>第二次</w:t>
                  </w:r>
                </w:p>
              </w:tc>
              <w:tc>
                <w:tcPr>
                  <w:tcW w:w="1931" w:type="dxa"/>
                  <w:vAlign w:val="center"/>
                </w:tcPr>
                <w:p w14:paraId="29A113D3">
                  <w:pPr>
                    <w:pStyle w:val="13"/>
                    <w:jc w:val="center"/>
                  </w:pPr>
                  <w:r>
                    <w:rPr>
                      <w:rFonts w:hint="eastAsia"/>
                    </w:rPr>
                    <w:t>0.89</w:t>
                  </w:r>
                </w:p>
              </w:tc>
              <w:tc>
                <w:tcPr>
                  <w:tcW w:w="1693" w:type="dxa"/>
                  <w:vMerge w:val="continue"/>
                  <w:vAlign w:val="center"/>
                </w:tcPr>
                <w:p w14:paraId="23823FB9">
                  <w:pPr>
                    <w:pStyle w:val="13"/>
                    <w:jc w:val="center"/>
                  </w:pPr>
                </w:p>
              </w:tc>
            </w:tr>
            <w:tr w14:paraId="1A237D6C">
              <w:trPr>
                <w:trHeight w:val="340" w:hRule="atLeast"/>
                <w:jc w:val="center"/>
              </w:trPr>
              <w:tc>
                <w:tcPr>
                  <w:tcW w:w="1152" w:type="dxa"/>
                  <w:vMerge w:val="continue"/>
                  <w:vAlign w:val="center"/>
                </w:tcPr>
                <w:p w14:paraId="08142B2B">
                  <w:pPr>
                    <w:pStyle w:val="13"/>
                    <w:jc w:val="center"/>
                  </w:pPr>
                </w:p>
              </w:tc>
              <w:tc>
                <w:tcPr>
                  <w:tcW w:w="1658" w:type="dxa"/>
                  <w:vMerge w:val="continue"/>
                  <w:vAlign w:val="center"/>
                </w:tcPr>
                <w:p w14:paraId="08C8B318">
                  <w:pPr>
                    <w:pStyle w:val="13"/>
                    <w:jc w:val="center"/>
                  </w:pPr>
                </w:p>
              </w:tc>
              <w:tc>
                <w:tcPr>
                  <w:tcW w:w="1451" w:type="dxa"/>
                  <w:vAlign w:val="center"/>
                </w:tcPr>
                <w:p w14:paraId="168B421D">
                  <w:pPr>
                    <w:pStyle w:val="13"/>
                    <w:jc w:val="center"/>
                  </w:pPr>
                  <w:r>
                    <w:rPr>
                      <w:rFonts w:hint="eastAsia"/>
                    </w:rPr>
                    <w:t>第三次</w:t>
                  </w:r>
                </w:p>
              </w:tc>
              <w:tc>
                <w:tcPr>
                  <w:tcW w:w="1931" w:type="dxa"/>
                  <w:vAlign w:val="center"/>
                </w:tcPr>
                <w:p w14:paraId="77741452">
                  <w:pPr>
                    <w:pStyle w:val="13"/>
                    <w:jc w:val="center"/>
                  </w:pPr>
                  <w:r>
                    <w:rPr>
                      <w:rFonts w:hint="eastAsia"/>
                    </w:rPr>
                    <w:t>0.86</w:t>
                  </w:r>
                </w:p>
              </w:tc>
              <w:tc>
                <w:tcPr>
                  <w:tcW w:w="1693" w:type="dxa"/>
                  <w:vMerge w:val="continue"/>
                  <w:vAlign w:val="center"/>
                </w:tcPr>
                <w:p w14:paraId="3B3C7A10">
                  <w:pPr>
                    <w:pStyle w:val="13"/>
                    <w:jc w:val="center"/>
                  </w:pPr>
                </w:p>
              </w:tc>
            </w:tr>
            <w:tr w14:paraId="0F8447DB">
              <w:trPr>
                <w:trHeight w:val="340" w:hRule="atLeast"/>
                <w:jc w:val="center"/>
              </w:trPr>
              <w:tc>
                <w:tcPr>
                  <w:tcW w:w="1152" w:type="dxa"/>
                  <w:vMerge w:val="continue"/>
                  <w:vAlign w:val="center"/>
                </w:tcPr>
                <w:p w14:paraId="5E8F6842">
                  <w:pPr>
                    <w:pStyle w:val="13"/>
                    <w:jc w:val="center"/>
                  </w:pPr>
                </w:p>
              </w:tc>
              <w:tc>
                <w:tcPr>
                  <w:tcW w:w="1658" w:type="dxa"/>
                  <w:vMerge w:val="continue"/>
                  <w:vAlign w:val="center"/>
                </w:tcPr>
                <w:p w14:paraId="3E9F8584">
                  <w:pPr>
                    <w:pStyle w:val="13"/>
                    <w:jc w:val="center"/>
                  </w:pPr>
                </w:p>
              </w:tc>
              <w:tc>
                <w:tcPr>
                  <w:tcW w:w="1451" w:type="dxa"/>
                  <w:vAlign w:val="center"/>
                </w:tcPr>
                <w:p w14:paraId="08D1F51E">
                  <w:pPr>
                    <w:pStyle w:val="13"/>
                    <w:jc w:val="center"/>
                  </w:pPr>
                  <w:r>
                    <w:rPr>
                      <w:rFonts w:hint="eastAsia"/>
                    </w:rPr>
                    <w:t>平均值</w:t>
                  </w:r>
                </w:p>
              </w:tc>
              <w:tc>
                <w:tcPr>
                  <w:tcW w:w="1931" w:type="dxa"/>
                  <w:vAlign w:val="center"/>
                </w:tcPr>
                <w:p w14:paraId="79B54368">
                  <w:pPr>
                    <w:pStyle w:val="13"/>
                    <w:jc w:val="center"/>
                  </w:pPr>
                  <w:r>
                    <w:rPr>
                      <w:rFonts w:hint="eastAsia"/>
                    </w:rPr>
                    <w:t>0.87</w:t>
                  </w:r>
                </w:p>
              </w:tc>
              <w:tc>
                <w:tcPr>
                  <w:tcW w:w="1693" w:type="dxa"/>
                  <w:vMerge w:val="continue"/>
                  <w:vAlign w:val="center"/>
                </w:tcPr>
                <w:p w14:paraId="39E7DFDF">
                  <w:pPr>
                    <w:pStyle w:val="13"/>
                    <w:jc w:val="center"/>
                  </w:pPr>
                </w:p>
              </w:tc>
            </w:tr>
            <w:tr w14:paraId="36640C68">
              <w:trPr>
                <w:trHeight w:val="340" w:hRule="atLeast"/>
                <w:jc w:val="center"/>
              </w:trPr>
              <w:tc>
                <w:tcPr>
                  <w:tcW w:w="1152" w:type="dxa"/>
                  <w:vMerge w:val="continue"/>
                  <w:vAlign w:val="center"/>
                </w:tcPr>
                <w:p w14:paraId="60C547DE">
                  <w:pPr>
                    <w:pStyle w:val="13"/>
                    <w:jc w:val="center"/>
                  </w:pPr>
                </w:p>
              </w:tc>
              <w:tc>
                <w:tcPr>
                  <w:tcW w:w="1658" w:type="dxa"/>
                  <w:vMerge w:val="restart"/>
                  <w:vAlign w:val="center"/>
                </w:tcPr>
                <w:p w14:paraId="0B62E90B">
                  <w:pPr>
                    <w:pStyle w:val="13"/>
                    <w:jc w:val="center"/>
                  </w:pPr>
                  <w:r>
                    <w:rPr>
                      <w:rFonts w:hint="eastAsia"/>
                    </w:rPr>
                    <w:t>下风向6#</w:t>
                  </w:r>
                </w:p>
              </w:tc>
              <w:tc>
                <w:tcPr>
                  <w:tcW w:w="1451" w:type="dxa"/>
                  <w:vAlign w:val="center"/>
                </w:tcPr>
                <w:p w14:paraId="6C92F2DB">
                  <w:pPr>
                    <w:pStyle w:val="13"/>
                    <w:jc w:val="center"/>
                  </w:pPr>
                  <w:r>
                    <w:rPr>
                      <w:rFonts w:hint="eastAsia"/>
                    </w:rPr>
                    <w:t>第一次</w:t>
                  </w:r>
                </w:p>
              </w:tc>
              <w:tc>
                <w:tcPr>
                  <w:tcW w:w="1931" w:type="dxa"/>
                  <w:vAlign w:val="center"/>
                </w:tcPr>
                <w:p w14:paraId="5C7BADAC">
                  <w:pPr>
                    <w:pStyle w:val="13"/>
                    <w:jc w:val="center"/>
                  </w:pPr>
                  <w:r>
                    <w:rPr>
                      <w:rFonts w:hint="eastAsia"/>
                    </w:rPr>
                    <w:t>0.84</w:t>
                  </w:r>
                </w:p>
              </w:tc>
              <w:tc>
                <w:tcPr>
                  <w:tcW w:w="1693" w:type="dxa"/>
                  <w:vMerge w:val="continue"/>
                  <w:vAlign w:val="center"/>
                </w:tcPr>
                <w:p w14:paraId="0FC291E7">
                  <w:pPr>
                    <w:pStyle w:val="13"/>
                    <w:jc w:val="center"/>
                  </w:pPr>
                </w:p>
              </w:tc>
            </w:tr>
            <w:tr w14:paraId="48EA4CFE">
              <w:trPr>
                <w:trHeight w:val="340" w:hRule="atLeast"/>
                <w:jc w:val="center"/>
              </w:trPr>
              <w:tc>
                <w:tcPr>
                  <w:tcW w:w="1152" w:type="dxa"/>
                  <w:vMerge w:val="continue"/>
                  <w:vAlign w:val="center"/>
                </w:tcPr>
                <w:p w14:paraId="373CC22E">
                  <w:pPr>
                    <w:pStyle w:val="13"/>
                    <w:jc w:val="center"/>
                  </w:pPr>
                </w:p>
              </w:tc>
              <w:tc>
                <w:tcPr>
                  <w:tcW w:w="1658" w:type="dxa"/>
                  <w:vMerge w:val="continue"/>
                  <w:vAlign w:val="center"/>
                </w:tcPr>
                <w:p w14:paraId="30F234BB">
                  <w:pPr>
                    <w:pStyle w:val="13"/>
                    <w:jc w:val="center"/>
                  </w:pPr>
                </w:p>
              </w:tc>
              <w:tc>
                <w:tcPr>
                  <w:tcW w:w="1451" w:type="dxa"/>
                  <w:vAlign w:val="center"/>
                </w:tcPr>
                <w:p w14:paraId="56DDB17D">
                  <w:pPr>
                    <w:pStyle w:val="13"/>
                    <w:jc w:val="center"/>
                  </w:pPr>
                  <w:r>
                    <w:rPr>
                      <w:rFonts w:hint="eastAsia"/>
                    </w:rPr>
                    <w:t>第二次</w:t>
                  </w:r>
                </w:p>
              </w:tc>
              <w:tc>
                <w:tcPr>
                  <w:tcW w:w="1931" w:type="dxa"/>
                  <w:vAlign w:val="center"/>
                </w:tcPr>
                <w:p w14:paraId="11EEF429">
                  <w:pPr>
                    <w:pStyle w:val="13"/>
                    <w:jc w:val="center"/>
                  </w:pPr>
                  <w:r>
                    <w:rPr>
                      <w:rFonts w:hint="eastAsia"/>
                    </w:rPr>
                    <w:t>0.80</w:t>
                  </w:r>
                </w:p>
              </w:tc>
              <w:tc>
                <w:tcPr>
                  <w:tcW w:w="1693" w:type="dxa"/>
                  <w:vMerge w:val="continue"/>
                  <w:vAlign w:val="center"/>
                </w:tcPr>
                <w:p w14:paraId="17198404">
                  <w:pPr>
                    <w:pStyle w:val="13"/>
                    <w:jc w:val="center"/>
                  </w:pPr>
                </w:p>
              </w:tc>
            </w:tr>
            <w:tr w14:paraId="596E023F">
              <w:trPr>
                <w:trHeight w:val="340" w:hRule="atLeast"/>
                <w:jc w:val="center"/>
              </w:trPr>
              <w:tc>
                <w:tcPr>
                  <w:tcW w:w="1152" w:type="dxa"/>
                  <w:vMerge w:val="continue"/>
                  <w:vAlign w:val="center"/>
                </w:tcPr>
                <w:p w14:paraId="5F98874F">
                  <w:pPr>
                    <w:pStyle w:val="13"/>
                    <w:jc w:val="center"/>
                  </w:pPr>
                </w:p>
              </w:tc>
              <w:tc>
                <w:tcPr>
                  <w:tcW w:w="1658" w:type="dxa"/>
                  <w:vMerge w:val="continue"/>
                  <w:vAlign w:val="center"/>
                </w:tcPr>
                <w:p w14:paraId="798BD622">
                  <w:pPr>
                    <w:pStyle w:val="13"/>
                    <w:jc w:val="center"/>
                  </w:pPr>
                </w:p>
              </w:tc>
              <w:tc>
                <w:tcPr>
                  <w:tcW w:w="1451" w:type="dxa"/>
                  <w:vAlign w:val="center"/>
                </w:tcPr>
                <w:p w14:paraId="04A2E0E6">
                  <w:pPr>
                    <w:pStyle w:val="13"/>
                    <w:jc w:val="center"/>
                  </w:pPr>
                  <w:r>
                    <w:rPr>
                      <w:rFonts w:hint="eastAsia"/>
                    </w:rPr>
                    <w:t>第三次</w:t>
                  </w:r>
                </w:p>
              </w:tc>
              <w:tc>
                <w:tcPr>
                  <w:tcW w:w="1931" w:type="dxa"/>
                  <w:vAlign w:val="center"/>
                </w:tcPr>
                <w:p w14:paraId="779A857C">
                  <w:pPr>
                    <w:pStyle w:val="13"/>
                    <w:jc w:val="center"/>
                  </w:pPr>
                  <w:r>
                    <w:rPr>
                      <w:rFonts w:hint="eastAsia"/>
                    </w:rPr>
                    <w:t>0.85</w:t>
                  </w:r>
                </w:p>
              </w:tc>
              <w:tc>
                <w:tcPr>
                  <w:tcW w:w="1693" w:type="dxa"/>
                  <w:vMerge w:val="continue"/>
                  <w:vAlign w:val="center"/>
                </w:tcPr>
                <w:p w14:paraId="7DFFCD25">
                  <w:pPr>
                    <w:pStyle w:val="13"/>
                    <w:jc w:val="center"/>
                  </w:pPr>
                </w:p>
              </w:tc>
            </w:tr>
            <w:tr w14:paraId="1D776ACE">
              <w:trPr>
                <w:trHeight w:val="340" w:hRule="atLeast"/>
                <w:jc w:val="center"/>
              </w:trPr>
              <w:tc>
                <w:tcPr>
                  <w:tcW w:w="1152" w:type="dxa"/>
                  <w:vMerge w:val="continue"/>
                  <w:vAlign w:val="center"/>
                </w:tcPr>
                <w:p w14:paraId="6C5903D3">
                  <w:pPr>
                    <w:pStyle w:val="13"/>
                    <w:jc w:val="center"/>
                  </w:pPr>
                </w:p>
              </w:tc>
              <w:tc>
                <w:tcPr>
                  <w:tcW w:w="1658" w:type="dxa"/>
                  <w:vMerge w:val="continue"/>
                  <w:vAlign w:val="center"/>
                </w:tcPr>
                <w:p w14:paraId="2DF4A6CC">
                  <w:pPr>
                    <w:pStyle w:val="13"/>
                    <w:jc w:val="center"/>
                  </w:pPr>
                </w:p>
              </w:tc>
              <w:tc>
                <w:tcPr>
                  <w:tcW w:w="1451" w:type="dxa"/>
                  <w:vAlign w:val="center"/>
                </w:tcPr>
                <w:p w14:paraId="1DAF9E61">
                  <w:pPr>
                    <w:pStyle w:val="13"/>
                    <w:jc w:val="center"/>
                  </w:pPr>
                  <w:r>
                    <w:rPr>
                      <w:rFonts w:hint="eastAsia"/>
                    </w:rPr>
                    <w:t>平均值</w:t>
                  </w:r>
                </w:p>
              </w:tc>
              <w:tc>
                <w:tcPr>
                  <w:tcW w:w="1931" w:type="dxa"/>
                  <w:vAlign w:val="center"/>
                </w:tcPr>
                <w:p w14:paraId="755BA08A">
                  <w:pPr>
                    <w:pStyle w:val="13"/>
                    <w:jc w:val="center"/>
                  </w:pPr>
                  <w:r>
                    <w:rPr>
                      <w:rFonts w:hint="eastAsia"/>
                    </w:rPr>
                    <w:t>0.83</w:t>
                  </w:r>
                </w:p>
              </w:tc>
              <w:tc>
                <w:tcPr>
                  <w:tcW w:w="1693" w:type="dxa"/>
                  <w:vMerge w:val="continue"/>
                  <w:vAlign w:val="center"/>
                </w:tcPr>
                <w:p w14:paraId="572ABBE7">
                  <w:pPr>
                    <w:pStyle w:val="13"/>
                    <w:jc w:val="center"/>
                  </w:pPr>
                </w:p>
              </w:tc>
            </w:tr>
            <w:tr w14:paraId="01243989">
              <w:trPr>
                <w:trHeight w:val="340" w:hRule="atLeast"/>
                <w:jc w:val="center"/>
              </w:trPr>
              <w:tc>
                <w:tcPr>
                  <w:tcW w:w="1152" w:type="dxa"/>
                  <w:vMerge w:val="continue"/>
                  <w:vAlign w:val="center"/>
                </w:tcPr>
                <w:p w14:paraId="09492B2B">
                  <w:pPr>
                    <w:pStyle w:val="13"/>
                    <w:jc w:val="center"/>
                  </w:pPr>
                </w:p>
              </w:tc>
              <w:tc>
                <w:tcPr>
                  <w:tcW w:w="1658" w:type="dxa"/>
                  <w:vMerge w:val="restart"/>
                  <w:vAlign w:val="center"/>
                </w:tcPr>
                <w:p w14:paraId="5709CB4A">
                  <w:pPr>
                    <w:pStyle w:val="13"/>
                    <w:jc w:val="center"/>
                  </w:pPr>
                  <w:r>
                    <w:rPr>
                      <w:rFonts w:hint="eastAsia"/>
                    </w:rPr>
                    <w:t>下风向7#</w:t>
                  </w:r>
                </w:p>
              </w:tc>
              <w:tc>
                <w:tcPr>
                  <w:tcW w:w="1451" w:type="dxa"/>
                  <w:vAlign w:val="center"/>
                </w:tcPr>
                <w:p w14:paraId="2DC8B857">
                  <w:pPr>
                    <w:pStyle w:val="13"/>
                    <w:jc w:val="center"/>
                  </w:pPr>
                  <w:r>
                    <w:rPr>
                      <w:rFonts w:hint="eastAsia"/>
                    </w:rPr>
                    <w:t>第一次</w:t>
                  </w:r>
                </w:p>
              </w:tc>
              <w:tc>
                <w:tcPr>
                  <w:tcW w:w="1931" w:type="dxa"/>
                  <w:vAlign w:val="center"/>
                </w:tcPr>
                <w:p w14:paraId="0854AF03">
                  <w:pPr>
                    <w:pStyle w:val="13"/>
                    <w:jc w:val="center"/>
                  </w:pPr>
                  <w:r>
                    <w:rPr>
                      <w:rFonts w:hint="eastAsia"/>
                    </w:rPr>
                    <w:t>0.78</w:t>
                  </w:r>
                </w:p>
              </w:tc>
              <w:tc>
                <w:tcPr>
                  <w:tcW w:w="1693" w:type="dxa"/>
                  <w:vMerge w:val="continue"/>
                  <w:vAlign w:val="center"/>
                </w:tcPr>
                <w:p w14:paraId="33CAAB8E">
                  <w:pPr>
                    <w:pStyle w:val="13"/>
                    <w:jc w:val="center"/>
                  </w:pPr>
                </w:p>
              </w:tc>
            </w:tr>
            <w:tr w14:paraId="4E7DC3B4">
              <w:trPr>
                <w:trHeight w:val="340" w:hRule="atLeast"/>
                <w:jc w:val="center"/>
              </w:trPr>
              <w:tc>
                <w:tcPr>
                  <w:tcW w:w="1152" w:type="dxa"/>
                  <w:vMerge w:val="continue"/>
                  <w:vAlign w:val="center"/>
                </w:tcPr>
                <w:p w14:paraId="65BFF32A">
                  <w:pPr>
                    <w:pStyle w:val="13"/>
                    <w:jc w:val="center"/>
                  </w:pPr>
                </w:p>
              </w:tc>
              <w:tc>
                <w:tcPr>
                  <w:tcW w:w="1658" w:type="dxa"/>
                  <w:vMerge w:val="continue"/>
                  <w:vAlign w:val="center"/>
                </w:tcPr>
                <w:p w14:paraId="0FE08D85">
                  <w:pPr>
                    <w:pStyle w:val="13"/>
                    <w:jc w:val="center"/>
                  </w:pPr>
                </w:p>
              </w:tc>
              <w:tc>
                <w:tcPr>
                  <w:tcW w:w="1451" w:type="dxa"/>
                  <w:vAlign w:val="center"/>
                </w:tcPr>
                <w:p w14:paraId="34A1DE8A">
                  <w:pPr>
                    <w:pStyle w:val="13"/>
                    <w:jc w:val="center"/>
                  </w:pPr>
                  <w:r>
                    <w:rPr>
                      <w:rFonts w:hint="eastAsia"/>
                    </w:rPr>
                    <w:t>第二次</w:t>
                  </w:r>
                </w:p>
              </w:tc>
              <w:tc>
                <w:tcPr>
                  <w:tcW w:w="1931" w:type="dxa"/>
                  <w:vAlign w:val="center"/>
                </w:tcPr>
                <w:p w14:paraId="40E328F4">
                  <w:pPr>
                    <w:pStyle w:val="13"/>
                    <w:jc w:val="center"/>
                  </w:pPr>
                  <w:r>
                    <w:rPr>
                      <w:rFonts w:hint="eastAsia"/>
                    </w:rPr>
                    <w:t>0.87</w:t>
                  </w:r>
                </w:p>
              </w:tc>
              <w:tc>
                <w:tcPr>
                  <w:tcW w:w="1693" w:type="dxa"/>
                  <w:vMerge w:val="continue"/>
                  <w:vAlign w:val="center"/>
                </w:tcPr>
                <w:p w14:paraId="65A6E3CB">
                  <w:pPr>
                    <w:pStyle w:val="13"/>
                    <w:jc w:val="center"/>
                  </w:pPr>
                </w:p>
              </w:tc>
            </w:tr>
            <w:tr w14:paraId="2DF5A192">
              <w:trPr>
                <w:trHeight w:val="340" w:hRule="atLeast"/>
                <w:jc w:val="center"/>
              </w:trPr>
              <w:tc>
                <w:tcPr>
                  <w:tcW w:w="1152" w:type="dxa"/>
                  <w:vMerge w:val="continue"/>
                  <w:vAlign w:val="center"/>
                </w:tcPr>
                <w:p w14:paraId="49C9ABE1">
                  <w:pPr>
                    <w:pStyle w:val="13"/>
                    <w:jc w:val="center"/>
                  </w:pPr>
                </w:p>
              </w:tc>
              <w:tc>
                <w:tcPr>
                  <w:tcW w:w="1658" w:type="dxa"/>
                  <w:vMerge w:val="continue"/>
                  <w:vAlign w:val="center"/>
                </w:tcPr>
                <w:p w14:paraId="58D3A842">
                  <w:pPr>
                    <w:pStyle w:val="13"/>
                    <w:jc w:val="center"/>
                  </w:pPr>
                </w:p>
              </w:tc>
              <w:tc>
                <w:tcPr>
                  <w:tcW w:w="1451" w:type="dxa"/>
                  <w:vAlign w:val="center"/>
                </w:tcPr>
                <w:p w14:paraId="4AEADDCB">
                  <w:pPr>
                    <w:pStyle w:val="13"/>
                    <w:jc w:val="center"/>
                  </w:pPr>
                  <w:r>
                    <w:rPr>
                      <w:rFonts w:hint="eastAsia"/>
                    </w:rPr>
                    <w:t>第三次</w:t>
                  </w:r>
                </w:p>
              </w:tc>
              <w:tc>
                <w:tcPr>
                  <w:tcW w:w="1931" w:type="dxa"/>
                  <w:vAlign w:val="center"/>
                </w:tcPr>
                <w:p w14:paraId="2F4B8B37">
                  <w:pPr>
                    <w:pStyle w:val="13"/>
                    <w:jc w:val="center"/>
                  </w:pPr>
                  <w:r>
                    <w:rPr>
                      <w:rFonts w:hint="eastAsia"/>
                    </w:rPr>
                    <w:t>0.92</w:t>
                  </w:r>
                </w:p>
              </w:tc>
              <w:tc>
                <w:tcPr>
                  <w:tcW w:w="1693" w:type="dxa"/>
                  <w:vMerge w:val="continue"/>
                  <w:vAlign w:val="center"/>
                </w:tcPr>
                <w:p w14:paraId="002887FD">
                  <w:pPr>
                    <w:pStyle w:val="13"/>
                    <w:jc w:val="center"/>
                  </w:pPr>
                </w:p>
              </w:tc>
            </w:tr>
            <w:tr w14:paraId="595122B4">
              <w:trPr>
                <w:trHeight w:val="340" w:hRule="atLeast"/>
                <w:jc w:val="center"/>
              </w:trPr>
              <w:tc>
                <w:tcPr>
                  <w:tcW w:w="1152" w:type="dxa"/>
                  <w:vMerge w:val="continue"/>
                  <w:vAlign w:val="center"/>
                </w:tcPr>
                <w:p w14:paraId="43441B68">
                  <w:pPr>
                    <w:pStyle w:val="13"/>
                    <w:jc w:val="center"/>
                  </w:pPr>
                </w:p>
              </w:tc>
              <w:tc>
                <w:tcPr>
                  <w:tcW w:w="1658" w:type="dxa"/>
                  <w:vMerge w:val="continue"/>
                  <w:vAlign w:val="center"/>
                </w:tcPr>
                <w:p w14:paraId="26DC43F1">
                  <w:pPr>
                    <w:pStyle w:val="13"/>
                    <w:jc w:val="center"/>
                  </w:pPr>
                </w:p>
              </w:tc>
              <w:tc>
                <w:tcPr>
                  <w:tcW w:w="1451" w:type="dxa"/>
                  <w:vAlign w:val="center"/>
                </w:tcPr>
                <w:p w14:paraId="6B274240">
                  <w:pPr>
                    <w:pStyle w:val="13"/>
                    <w:jc w:val="center"/>
                  </w:pPr>
                  <w:r>
                    <w:rPr>
                      <w:rFonts w:hint="eastAsia"/>
                    </w:rPr>
                    <w:t>平均值</w:t>
                  </w:r>
                </w:p>
              </w:tc>
              <w:tc>
                <w:tcPr>
                  <w:tcW w:w="1931" w:type="dxa"/>
                  <w:vAlign w:val="center"/>
                </w:tcPr>
                <w:p w14:paraId="5C2578F3">
                  <w:pPr>
                    <w:pStyle w:val="13"/>
                    <w:jc w:val="center"/>
                  </w:pPr>
                  <w:r>
                    <w:rPr>
                      <w:rFonts w:hint="eastAsia"/>
                    </w:rPr>
                    <w:t>0.86</w:t>
                  </w:r>
                </w:p>
              </w:tc>
              <w:tc>
                <w:tcPr>
                  <w:tcW w:w="1693" w:type="dxa"/>
                  <w:vMerge w:val="continue"/>
                  <w:vAlign w:val="center"/>
                </w:tcPr>
                <w:p w14:paraId="249DEB1B">
                  <w:pPr>
                    <w:pStyle w:val="13"/>
                    <w:jc w:val="center"/>
                  </w:pPr>
                </w:p>
              </w:tc>
            </w:tr>
          </w:tbl>
          <w:p w14:paraId="18AD4090">
            <w:pPr>
              <w:ind w:firstLine="480"/>
              <w:jc w:val="both"/>
            </w:pPr>
            <w:r>
              <w:rPr>
                <w:rFonts w:cs="Times New Roman"/>
                <w:szCs w:val="24"/>
              </w:rPr>
              <w:t>根据监测结果，</w:t>
            </w:r>
            <w:r>
              <w:rPr>
                <w:rFonts w:hint="eastAsia" w:cs="Times New Roman"/>
                <w:szCs w:val="24"/>
              </w:rPr>
              <w:t>现有项目有组织排放废气中非甲烷总烃、颗粒物排放符合《合成树脂工业污染物排放标准》（GB 31572-2015，含2024年修改单）表5中二级排放限值要求；厂界无组织颗粒物、非甲烷总烃排放符合《合成树脂工业污染物排放标准》（GB 31572-2015，含2024年修改单））表9中无组织排放限值要求。</w:t>
            </w:r>
          </w:p>
          <w:p w14:paraId="4992A0BD">
            <w:pPr>
              <w:ind w:firstLine="480"/>
              <w:jc w:val="both"/>
            </w:pPr>
            <w:r>
              <w:rPr>
                <w:rFonts w:cs="Times New Roman"/>
              </w:rPr>
              <w:t>②</w:t>
            </w:r>
            <w:r>
              <w:rPr>
                <w:rFonts w:hint="eastAsia"/>
              </w:rPr>
              <w:t>废水</w:t>
            </w:r>
          </w:p>
          <w:p w14:paraId="192D56FE">
            <w:pPr>
              <w:ind w:firstLine="480"/>
              <w:jc w:val="both"/>
            </w:pPr>
            <w:r>
              <w:rPr>
                <w:rFonts w:hint="eastAsia"/>
              </w:rPr>
              <w:t>本项目现有工程生活废水根据自行监测数据，具体如下：</w:t>
            </w:r>
          </w:p>
          <w:p w14:paraId="7B6F0A10">
            <w:pPr>
              <w:pStyle w:val="14"/>
              <w:numPr>
                <w:ilvl w:val="0"/>
                <w:numId w:val="6"/>
              </w:numPr>
              <w:spacing w:before="156"/>
              <w:ind w:firstLine="0"/>
            </w:pPr>
            <w:r>
              <w:rPr>
                <w:rFonts w:hint="eastAsia"/>
              </w:rPr>
              <w:t xml:space="preserve"> </w:t>
            </w:r>
            <w:r>
              <w:t xml:space="preserve"> </w:t>
            </w:r>
            <w:r>
              <w:rPr>
                <w:rFonts w:hint="eastAsia"/>
              </w:rPr>
              <w:t>本项目现有工程生活废水检测结果一览表</w:t>
            </w:r>
          </w:p>
          <w:tbl>
            <w:tblPr>
              <w:tblStyle w:val="10"/>
              <w:tblW w:w="49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1170"/>
              <w:gridCol w:w="953"/>
              <w:gridCol w:w="834"/>
              <w:gridCol w:w="834"/>
              <w:gridCol w:w="834"/>
              <w:gridCol w:w="834"/>
              <w:gridCol w:w="835"/>
            </w:tblGrid>
            <w:tr w14:paraId="6ED35076">
              <w:trPr>
                <w:cantSplit/>
                <w:trHeight w:val="340" w:hRule="atLeast"/>
                <w:jc w:val="center"/>
              </w:trPr>
              <w:tc>
                <w:tcPr>
                  <w:tcW w:w="961" w:type="pct"/>
                  <w:vMerge w:val="restart"/>
                  <w:tcBorders>
                    <w:top w:val="single" w:color="auto" w:sz="4" w:space="0"/>
                    <w:left w:val="single" w:color="auto" w:sz="4" w:space="0"/>
                    <w:right w:val="single" w:color="auto" w:sz="4" w:space="0"/>
                  </w:tcBorders>
                  <w:vAlign w:val="center"/>
                </w:tcPr>
                <w:p w14:paraId="6DE20610">
                  <w:pPr>
                    <w:spacing w:line="240" w:lineRule="auto"/>
                    <w:ind w:firstLine="0" w:firstLineChars="0"/>
                    <w:jc w:val="center"/>
                    <w:rPr>
                      <w:rFonts w:cs="Times New Roman"/>
                      <w:bCs/>
                      <w:kern w:val="0"/>
                      <w:sz w:val="18"/>
                    </w:rPr>
                  </w:pPr>
                  <w:r>
                    <w:rPr>
                      <w:rFonts w:cs="Times New Roman"/>
                      <w:bCs/>
                      <w:kern w:val="0"/>
                      <w:sz w:val="18"/>
                      <w:lang w:bidi="ar"/>
                    </w:rPr>
                    <w:t>来源</w:t>
                  </w:r>
                </w:p>
              </w:tc>
              <w:tc>
                <w:tcPr>
                  <w:tcW w:w="750" w:type="pct"/>
                  <w:vMerge w:val="restart"/>
                  <w:tcBorders>
                    <w:top w:val="single" w:color="auto" w:sz="4" w:space="0"/>
                    <w:left w:val="single" w:color="auto" w:sz="4" w:space="0"/>
                    <w:right w:val="single" w:color="auto" w:sz="4" w:space="0"/>
                  </w:tcBorders>
                  <w:vAlign w:val="center"/>
                </w:tcPr>
                <w:p w14:paraId="130F9691">
                  <w:pPr>
                    <w:spacing w:line="240" w:lineRule="auto"/>
                    <w:ind w:firstLine="0" w:firstLineChars="0"/>
                    <w:jc w:val="center"/>
                    <w:rPr>
                      <w:rFonts w:cs="Times New Roman"/>
                      <w:bCs/>
                      <w:kern w:val="0"/>
                      <w:sz w:val="18"/>
                    </w:rPr>
                  </w:pPr>
                  <w:r>
                    <w:rPr>
                      <w:rFonts w:cs="Times New Roman"/>
                      <w:bCs/>
                      <w:kern w:val="0"/>
                      <w:sz w:val="18"/>
                      <w:lang w:bidi="ar"/>
                    </w:rPr>
                    <w:t>采样时间</w:t>
                  </w:r>
                </w:p>
              </w:tc>
              <w:tc>
                <w:tcPr>
                  <w:tcW w:w="611" w:type="pct"/>
                  <w:vMerge w:val="restart"/>
                  <w:tcBorders>
                    <w:top w:val="single" w:color="auto" w:sz="4" w:space="0"/>
                    <w:left w:val="single" w:color="auto" w:sz="4" w:space="0"/>
                    <w:right w:val="single" w:color="auto" w:sz="4" w:space="0"/>
                  </w:tcBorders>
                  <w:vAlign w:val="center"/>
                </w:tcPr>
                <w:p w14:paraId="580FEACD">
                  <w:pPr>
                    <w:spacing w:line="240" w:lineRule="auto"/>
                    <w:ind w:firstLine="0" w:firstLineChars="0"/>
                    <w:jc w:val="center"/>
                    <w:rPr>
                      <w:rFonts w:cs="Times New Roman"/>
                      <w:bCs/>
                      <w:kern w:val="0"/>
                      <w:sz w:val="18"/>
                    </w:rPr>
                  </w:pPr>
                  <w:r>
                    <w:rPr>
                      <w:rFonts w:cs="Times New Roman"/>
                      <w:bCs/>
                      <w:kern w:val="0"/>
                      <w:sz w:val="18"/>
                      <w:lang w:bidi="ar"/>
                    </w:rPr>
                    <w:t>样品性状</w:t>
                  </w:r>
                </w:p>
              </w:tc>
              <w:tc>
                <w:tcPr>
                  <w:tcW w:w="2676" w:type="pct"/>
                  <w:gridSpan w:val="5"/>
                  <w:tcBorders>
                    <w:top w:val="single" w:color="auto" w:sz="4" w:space="0"/>
                    <w:left w:val="single" w:color="auto" w:sz="4" w:space="0"/>
                    <w:bottom w:val="single" w:color="auto" w:sz="4" w:space="0"/>
                    <w:right w:val="single" w:color="auto" w:sz="4" w:space="0"/>
                  </w:tcBorders>
                  <w:vAlign w:val="center"/>
                </w:tcPr>
                <w:p w14:paraId="75AFA82A">
                  <w:pPr>
                    <w:spacing w:line="240" w:lineRule="auto"/>
                    <w:ind w:firstLine="0" w:firstLineChars="0"/>
                    <w:jc w:val="center"/>
                    <w:rPr>
                      <w:rFonts w:cs="Times New Roman"/>
                      <w:sz w:val="18"/>
                    </w:rPr>
                  </w:pPr>
                  <w:r>
                    <w:rPr>
                      <w:rFonts w:cs="Times New Roman"/>
                      <w:bCs/>
                      <w:kern w:val="0"/>
                      <w:sz w:val="18"/>
                    </w:rPr>
                    <w:t>检测结果</w:t>
                  </w:r>
                  <w:r>
                    <w:rPr>
                      <w:rFonts w:hint="eastAsia" w:cs="Times New Roman"/>
                      <w:bCs/>
                      <w:kern w:val="0"/>
                      <w:sz w:val="18"/>
                    </w:rPr>
                    <w:t>mg/L</w:t>
                  </w:r>
                </w:p>
              </w:tc>
            </w:tr>
            <w:tr w14:paraId="0282C500">
              <w:trPr>
                <w:cantSplit/>
                <w:trHeight w:val="340" w:hRule="atLeast"/>
                <w:jc w:val="center"/>
              </w:trPr>
              <w:tc>
                <w:tcPr>
                  <w:tcW w:w="961" w:type="pct"/>
                  <w:vMerge w:val="continue"/>
                  <w:tcBorders>
                    <w:left w:val="single" w:color="auto" w:sz="4" w:space="0"/>
                    <w:bottom w:val="single" w:color="auto" w:sz="4" w:space="0"/>
                    <w:right w:val="single" w:color="auto" w:sz="4" w:space="0"/>
                  </w:tcBorders>
                  <w:vAlign w:val="center"/>
                </w:tcPr>
                <w:p w14:paraId="3BC2ACCA">
                  <w:pPr>
                    <w:spacing w:line="240" w:lineRule="auto"/>
                    <w:ind w:firstLine="0" w:firstLineChars="0"/>
                    <w:jc w:val="center"/>
                    <w:rPr>
                      <w:rFonts w:cs="Times New Roman"/>
                      <w:bCs/>
                      <w:kern w:val="0"/>
                      <w:sz w:val="18"/>
                      <w:lang w:bidi="ar"/>
                    </w:rPr>
                  </w:pPr>
                </w:p>
              </w:tc>
              <w:tc>
                <w:tcPr>
                  <w:tcW w:w="750" w:type="pct"/>
                  <w:vMerge w:val="continue"/>
                  <w:tcBorders>
                    <w:left w:val="single" w:color="auto" w:sz="4" w:space="0"/>
                    <w:bottom w:val="single" w:color="auto" w:sz="4" w:space="0"/>
                    <w:right w:val="single" w:color="auto" w:sz="4" w:space="0"/>
                  </w:tcBorders>
                  <w:vAlign w:val="center"/>
                </w:tcPr>
                <w:p w14:paraId="366B86D8">
                  <w:pPr>
                    <w:spacing w:line="240" w:lineRule="auto"/>
                    <w:ind w:firstLine="0" w:firstLineChars="0"/>
                    <w:jc w:val="center"/>
                    <w:rPr>
                      <w:rFonts w:cs="Times New Roman"/>
                      <w:bCs/>
                      <w:kern w:val="0"/>
                      <w:sz w:val="18"/>
                      <w:lang w:bidi="ar"/>
                    </w:rPr>
                  </w:pPr>
                </w:p>
              </w:tc>
              <w:tc>
                <w:tcPr>
                  <w:tcW w:w="611" w:type="pct"/>
                  <w:vMerge w:val="continue"/>
                  <w:tcBorders>
                    <w:left w:val="single" w:color="auto" w:sz="4" w:space="0"/>
                    <w:bottom w:val="single" w:color="auto" w:sz="4" w:space="0"/>
                    <w:right w:val="single" w:color="auto" w:sz="4" w:space="0"/>
                  </w:tcBorders>
                  <w:vAlign w:val="center"/>
                </w:tcPr>
                <w:p w14:paraId="5620CE8E">
                  <w:pPr>
                    <w:spacing w:line="240" w:lineRule="auto"/>
                    <w:ind w:firstLine="0" w:firstLineChars="0"/>
                    <w:jc w:val="center"/>
                    <w:rPr>
                      <w:rFonts w:cs="Times New Roman"/>
                      <w:bCs/>
                      <w:kern w:val="0"/>
                      <w:sz w:val="18"/>
                      <w:lang w:bidi="ar"/>
                    </w:rPr>
                  </w:pPr>
                </w:p>
              </w:tc>
              <w:tc>
                <w:tcPr>
                  <w:tcW w:w="535" w:type="pct"/>
                  <w:tcBorders>
                    <w:top w:val="single" w:color="auto" w:sz="4" w:space="0"/>
                    <w:left w:val="single" w:color="auto" w:sz="4" w:space="0"/>
                    <w:bottom w:val="single" w:color="auto" w:sz="4" w:space="0"/>
                    <w:right w:val="single" w:color="auto" w:sz="4" w:space="0"/>
                  </w:tcBorders>
                  <w:vAlign w:val="center"/>
                </w:tcPr>
                <w:p w14:paraId="43A0FF5E">
                  <w:pPr>
                    <w:spacing w:line="240" w:lineRule="auto"/>
                    <w:ind w:firstLine="0" w:firstLineChars="0"/>
                    <w:jc w:val="center"/>
                    <w:rPr>
                      <w:rFonts w:cs="Times New Roman"/>
                      <w:bCs/>
                      <w:kern w:val="0"/>
                      <w:sz w:val="18"/>
                    </w:rPr>
                  </w:pPr>
                  <w:r>
                    <w:rPr>
                      <w:rFonts w:cs="Times New Roman"/>
                      <w:kern w:val="0"/>
                      <w:sz w:val="18"/>
                      <w:lang w:bidi="ar"/>
                    </w:rPr>
                    <w:t>pH值</w:t>
                  </w:r>
                </w:p>
              </w:tc>
              <w:tc>
                <w:tcPr>
                  <w:tcW w:w="535" w:type="pct"/>
                  <w:tcBorders>
                    <w:top w:val="single" w:color="auto" w:sz="4" w:space="0"/>
                    <w:left w:val="single" w:color="auto" w:sz="4" w:space="0"/>
                    <w:bottom w:val="single" w:color="auto" w:sz="4" w:space="0"/>
                    <w:right w:val="single" w:color="auto" w:sz="4" w:space="0"/>
                  </w:tcBorders>
                  <w:vAlign w:val="center"/>
                </w:tcPr>
                <w:p w14:paraId="12719490">
                  <w:pPr>
                    <w:spacing w:line="240" w:lineRule="auto"/>
                    <w:ind w:firstLine="0" w:firstLineChars="0"/>
                    <w:jc w:val="center"/>
                    <w:rPr>
                      <w:rFonts w:cs="Times New Roman"/>
                      <w:bCs/>
                      <w:kern w:val="0"/>
                      <w:sz w:val="18"/>
                    </w:rPr>
                  </w:pPr>
                  <w:r>
                    <w:rPr>
                      <w:rFonts w:hint="eastAsia" w:cs="Times New Roman"/>
                      <w:bCs/>
                      <w:kern w:val="0"/>
                      <w:sz w:val="18"/>
                    </w:rPr>
                    <w:t>氨氮</w:t>
                  </w:r>
                </w:p>
              </w:tc>
              <w:tc>
                <w:tcPr>
                  <w:tcW w:w="535" w:type="pct"/>
                  <w:tcBorders>
                    <w:top w:val="single" w:color="auto" w:sz="4" w:space="0"/>
                    <w:left w:val="single" w:color="auto" w:sz="4" w:space="0"/>
                    <w:bottom w:val="single" w:color="auto" w:sz="4" w:space="0"/>
                    <w:right w:val="single" w:color="auto" w:sz="4" w:space="0"/>
                  </w:tcBorders>
                  <w:vAlign w:val="center"/>
                </w:tcPr>
                <w:p w14:paraId="2A5D22DE">
                  <w:pPr>
                    <w:spacing w:line="240" w:lineRule="auto"/>
                    <w:ind w:firstLine="0" w:firstLineChars="0"/>
                    <w:jc w:val="center"/>
                    <w:rPr>
                      <w:rFonts w:cs="Times New Roman"/>
                      <w:bCs/>
                      <w:kern w:val="0"/>
                      <w:sz w:val="18"/>
                    </w:rPr>
                  </w:pPr>
                  <w:r>
                    <w:rPr>
                      <w:rFonts w:hint="eastAsia" w:cs="Times New Roman"/>
                      <w:bCs/>
                      <w:kern w:val="0"/>
                      <w:sz w:val="18"/>
                    </w:rPr>
                    <w:t>SS</w:t>
                  </w:r>
                </w:p>
              </w:tc>
              <w:tc>
                <w:tcPr>
                  <w:tcW w:w="535" w:type="pct"/>
                  <w:tcBorders>
                    <w:top w:val="single" w:color="auto" w:sz="4" w:space="0"/>
                    <w:left w:val="single" w:color="auto" w:sz="4" w:space="0"/>
                    <w:bottom w:val="single" w:color="auto" w:sz="4" w:space="0"/>
                    <w:right w:val="single" w:color="auto" w:sz="4" w:space="0"/>
                  </w:tcBorders>
                  <w:vAlign w:val="center"/>
                </w:tcPr>
                <w:p w14:paraId="520F6E39">
                  <w:pPr>
                    <w:spacing w:line="240" w:lineRule="auto"/>
                    <w:ind w:firstLine="0" w:firstLineChars="0"/>
                    <w:jc w:val="center"/>
                    <w:rPr>
                      <w:rFonts w:cs="Times New Roman"/>
                      <w:bCs/>
                      <w:kern w:val="0"/>
                      <w:sz w:val="18"/>
                    </w:rPr>
                  </w:pPr>
                  <w:r>
                    <w:rPr>
                      <w:rFonts w:hint="eastAsia" w:cs="Times New Roman"/>
                      <w:bCs/>
                      <w:kern w:val="0"/>
                      <w:sz w:val="18"/>
                      <w:lang w:bidi="ar"/>
                    </w:rPr>
                    <w:t>COD</w:t>
                  </w:r>
                </w:p>
              </w:tc>
              <w:tc>
                <w:tcPr>
                  <w:tcW w:w="535" w:type="pct"/>
                  <w:tcBorders>
                    <w:top w:val="single" w:color="auto" w:sz="4" w:space="0"/>
                    <w:left w:val="single" w:color="auto" w:sz="4" w:space="0"/>
                    <w:bottom w:val="single" w:color="auto" w:sz="4" w:space="0"/>
                    <w:right w:val="single" w:color="auto" w:sz="4" w:space="0"/>
                  </w:tcBorders>
                  <w:vAlign w:val="center"/>
                </w:tcPr>
                <w:p w14:paraId="350456CD">
                  <w:pPr>
                    <w:spacing w:line="240" w:lineRule="auto"/>
                    <w:ind w:firstLine="0" w:firstLineChars="0"/>
                    <w:jc w:val="center"/>
                    <w:rPr>
                      <w:rFonts w:cs="Times New Roman"/>
                      <w:bCs/>
                      <w:kern w:val="0"/>
                      <w:sz w:val="18"/>
                    </w:rPr>
                  </w:pPr>
                  <w:r>
                    <w:rPr>
                      <w:rFonts w:hint="eastAsia" w:cs="Times New Roman"/>
                      <w:bCs/>
                      <w:kern w:val="0"/>
                      <w:sz w:val="18"/>
                    </w:rPr>
                    <w:t>TP</w:t>
                  </w:r>
                </w:p>
              </w:tc>
            </w:tr>
            <w:tr w14:paraId="016F1F87">
              <w:trPr>
                <w:cantSplit/>
                <w:trHeight w:val="340" w:hRule="atLeast"/>
                <w:jc w:val="center"/>
              </w:trPr>
              <w:tc>
                <w:tcPr>
                  <w:tcW w:w="961" w:type="pct"/>
                  <w:tcBorders>
                    <w:top w:val="single" w:color="auto" w:sz="4" w:space="0"/>
                    <w:left w:val="single" w:color="auto" w:sz="4" w:space="0"/>
                    <w:bottom w:val="single" w:color="auto" w:sz="4" w:space="0"/>
                    <w:right w:val="single" w:color="auto" w:sz="4" w:space="0"/>
                  </w:tcBorders>
                  <w:vAlign w:val="center"/>
                </w:tcPr>
                <w:p w14:paraId="6DCC5243">
                  <w:pPr>
                    <w:spacing w:line="240" w:lineRule="auto"/>
                    <w:ind w:firstLine="0" w:firstLineChars="0"/>
                    <w:jc w:val="center"/>
                    <w:rPr>
                      <w:rFonts w:cs="Times New Roman"/>
                      <w:bCs/>
                      <w:kern w:val="0"/>
                      <w:sz w:val="18"/>
                    </w:rPr>
                  </w:pPr>
                  <w:r>
                    <w:rPr>
                      <w:rFonts w:cs="Times New Roman"/>
                      <w:sz w:val="18"/>
                      <w:lang w:bidi="ar"/>
                    </w:rPr>
                    <w:t>生</w:t>
                  </w:r>
                  <w:r>
                    <w:rPr>
                      <w:rFonts w:hint="eastAsia" w:cs="Times New Roman"/>
                      <w:sz w:val="18"/>
                      <w:lang w:bidi="ar"/>
                    </w:rPr>
                    <w:t>活</w:t>
                  </w:r>
                  <w:r>
                    <w:rPr>
                      <w:rFonts w:cs="Times New Roman"/>
                      <w:sz w:val="18"/>
                      <w:lang w:bidi="ar"/>
                    </w:rPr>
                    <w:t>废水排放口</w:t>
                  </w:r>
                </w:p>
              </w:tc>
              <w:tc>
                <w:tcPr>
                  <w:tcW w:w="750" w:type="pct"/>
                  <w:tcBorders>
                    <w:top w:val="single" w:color="auto" w:sz="4" w:space="0"/>
                    <w:left w:val="single" w:color="auto" w:sz="4" w:space="0"/>
                    <w:bottom w:val="single" w:color="auto" w:sz="4" w:space="0"/>
                    <w:right w:val="single" w:color="auto" w:sz="4" w:space="0"/>
                  </w:tcBorders>
                  <w:vAlign w:val="center"/>
                </w:tcPr>
                <w:p w14:paraId="527CB633">
                  <w:pPr>
                    <w:spacing w:line="240" w:lineRule="auto"/>
                    <w:ind w:firstLine="0" w:firstLineChars="0"/>
                    <w:jc w:val="center"/>
                    <w:rPr>
                      <w:rFonts w:cs="Times New Roman"/>
                      <w:bCs/>
                      <w:kern w:val="0"/>
                      <w:sz w:val="18"/>
                    </w:rPr>
                  </w:pPr>
                  <w:r>
                    <w:rPr>
                      <w:rFonts w:cs="Times New Roman"/>
                      <w:bCs/>
                      <w:kern w:val="0"/>
                      <w:sz w:val="18"/>
                      <w:lang w:bidi="ar"/>
                    </w:rPr>
                    <w:t>2023.11.06</w:t>
                  </w:r>
                </w:p>
              </w:tc>
              <w:tc>
                <w:tcPr>
                  <w:tcW w:w="611" w:type="pct"/>
                  <w:tcBorders>
                    <w:top w:val="single" w:color="auto" w:sz="4" w:space="0"/>
                    <w:left w:val="single" w:color="auto" w:sz="4" w:space="0"/>
                    <w:bottom w:val="single" w:color="auto" w:sz="4" w:space="0"/>
                    <w:right w:val="single" w:color="auto" w:sz="4" w:space="0"/>
                  </w:tcBorders>
                  <w:vAlign w:val="center"/>
                </w:tcPr>
                <w:p w14:paraId="156695A0">
                  <w:pPr>
                    <w:spacing w:line="240" w:lineRule="auto"/>
                    <w:ind w:firstLine="0" w:firstLineChars="0"/>
                    <w:jc w:val="center"/>
                    <w:rPr>
                      <w:rFonts w:cs="Times New Roman"/>
                      <w:bCs/>
                      <w:kern w:val="0"/>
                      <w:sz w:val="18"/>
                    </w:rPr>
                  </w:pPr>
                  <w:r>
                    <w:rPr>
                      <w:rFonts w:cs="Times New Roman"/>
                      <w:bCs/>
                      <w:kern w:val="0"/>
                      <w:sz w:val="18"/>
                      <w:lang w:bidi="ar"/>
                    </w:rPr>
                    <w:t>无色微浊</w:t>
                  </w:r>
                </w:p>
              </w:tc>
              <w:tc>
                <w:tcPr>
                  <w:tcW w:w="535" w:type="pct"/>
                  <w:tcBorders>
                    <w:top w:val="single" w:color="auto" w:sz="4" w:space="0"/>
                    <w:left w:val="single" w:color="auto" w:sz="4" w:space="0"/>
                    <w:bottom w:val="single" w:color="auto" w:sz="4" w:space="0"/>
                    <w:right w:val="single" w:color="auto" w:sz="4" w:space="0"/>
                  </w:tcBorders>
                  <w:vAlign w:val="center"/>
                </w:tcPr>
                <w:p w14:paraId="1B86DF76">
                  <w:pPr>
                    <w:spacing w:line="240" w:lineRule="auto"/>
                    <w:ind w:firstLine="0" w:firstLineChars="0"/>
                    <w:jc w:val="center"/>
                    <w:rPr>
                      <w:rFonts w:cs="Times New Roman"/>
                      <w:bCs/>
                      <w:kern w:val="0"/>
                      <w:sz w:val="18"/>
                    </w:rPr>
                  </w:pPr>
                  <w:r>
                    <w:rPr>
                      <w:rFonts w:hint="eastAsia" w:cs="Times New Roman"/>
                      <w:bCs/>
                      <w:kern w:val="0"/>
                      <w:sz w:val="18"/>
                    </w:rPr>
                    <w:t>8.3</w:t>
                  </w:r>
                </w:p>
              </w:tc>
              <w:tc>
                <w:tcPr>
                  <w:tcW w:w="535" w:type="pct"/>
                  <w:tcBorders>
                    <w:top w:val="single" w:color="auto" w:sz="4" w:space="0"/>
                    <w:left w:val="single" w:color="auto" w:sz="4" w:space="0"/>
                    <w:bottom w:val="single" w:color="auto" w:sz="4" w:space="0"/>
                    <w:right w:val="single" w:color="auto" w:sz="4" w:space="0"/>
                  </w:tcBorders>
                  <w:vAlign w:val="center"/>
                </w:tcPr>
                <w:p w14:paraId="20377E85">
                  <w:pPr>
                    <w:spacing w:line="240" w:lineRule="auto"/>
                    <w:ind w:firstLine="0" w:firstLineChars="0"/>
                    <w:jc w:val="center"/>
                    <w:rPr>
                      <w:rFonts w:cs="Times New Roman"/>
                      <w:bCs/>
                      <w:kern w:val="0"/>
                      <w:sz w:val="18"/>
                    </w:rPr>
                  </w:pPr>
                  <w:r>
                    <w:rPr>
                      <w:rFonts w:hint="eastAsia" w:cs="Times New Roman"/>
                      <w:bCs/>
                      <w:kern w:val="0"/>
                      <w:sz w:val="18"/>
                    </w:rPr>
                    <w:t>7.53</w:t>
                  </w:r>
                </w:p>
              </w:tc>
              <w:tc>
                <w:tcPr>
                  <w:tcW w:w="535" w:type="pct"/>
                  <w:tcBorders>
                    <w:top w:val="single" w:color="auto" w:sz="4" w:space="0"/>
                    <w:left w:val="single" w:color="auto" w:sz="4" w:space="0"/>
                    <w:bottom w:val="single" w:color="auto" w:sz="4" w:space="0"/>
                    <w:right w:val="single" w:color="auto" w:sz="4" w:space="0"/>
                  </w:tcBorders>
                  <w:vAlign w:val="center"/>
                </w:tcPr>
                <w:p w14:paraId="0BFD8731">
                  <w:pPr>
                    <w:spacing w:line="240" w:lineRule="auto"/>
                    <w:ind w:firstLine="0" w:firstLineChars="0"/>
                    <w:jc w:val="center"/>
                    <w:rPr>
                      <w:rFonts w:cs="Times New Roman"/>
                      <w:bCs/>
                      <w:kern w:val="0"/>
                      <w:sz w:val="18"/>
                    </w:rPr>
                  </w:pPr>
                  <w:r>
                    <w:rPr>
                      <w:rFonts w:hint="eastAsia" w:cs="Times New Roman"/>
                      <w:bCs/>
                      <w:kern w:val="0"/>
                      <w:sz w:val="18"/>
                    </w:rPr>
                    <w:t>71</w:t>
                  </w:r>
                </w:p>
              </w:tc>
              <w:tc>
                <w:tcPr>
                  <w:tcW w:w="535" w:type="pct"/>
                  <w:tcBorders>
                    <w:top w:val="single" w:color="auto" w:sz="4" w:space="0"/>
                    <w:left w:val="single" w:color="auto" w:sz="4" w:space="0"/>
                    <w:bottom w:val="single" w:color="auto" w:sz="4" w:space="0"/>
                    <w:right w:val="single" w:color="auto" w:sz="4" w:space="0"/>
                  </w:tcBorders>
                  <w:vAlign w:val="center"/>
                </w:tcPr>
                <w:p w14:paraId="1838123C">
                  <w:pPr>
                    <w:spacing w:line="240" w:lineRule="auto"/>
                    <w:ind w:firstLine="0" w:firstLineChars="0"/>
                    <w:jc w:val="center"/>
                    <w:rPr>
                      <w:rFonts w:cs="Times New Roman"/>
                      <w:bCs/>
                      <w:kern w:val="0"/>
                      <w:sz w:val="18"/>
                    </w:rPr>
                  </w:pPr>
                  <w:r>
                    <w:rPr>
                      <w:rFonts w:hint="eastAsia" w:cs="Times New Roman"/>
                      <w:bCs/>
                      <w:kern w:val="0"/>
                      <w:sz w:val="18"/>
                    </w:rPr>
                    <w:t>90</w:t>
                  </w:r>
                </w:p>
              </w:tc>
              <w:tc>
                <w:tcPr>
                  <w:tcW w:w="535" w:type="pct"/>
                  <w:tcBorders>
                    <w:top w:val="single" w:color="auto" w:sz="4" w:space="0"/>
                    <w:left w:val="single" w:color="auto" w:sz="4" w:space="0"/>
                    <w:bottom w:val="single" w:color="auto" w:sz="4" w:space="0"/>
                    <w:right w:val="single" w:color="auto" w:sz="4" w:space="0"/>
                  </w:tcBorders>
                  <w:vAlign w:val="center"/>
                </w:tcPr>
                <w:p w14:paraId="3A203A73">
                  <w:pPr>
                    <w:spacing w:line="240" w:lineRule="auto"/>
                    <w:ind w:firstLine="0" w:firstLineChars="0"/>
                    <w:jc w:val="center"/>
                    <w:rPr>
                      <w:rFonts w:cs="Times New Roman"/>
                      <w:bCs/>
                      <w:kern w:val="0"/>
                      <w:sz w:val="18"/>
                    </w:rPr>
                  </w:pPr>
                  <w:r>
                    <w:rPr>
                      <w:rFonts w:hint="eastAsia" w:cs="Times New Roman"/>
                      <w:bCs/>
                      <w:kern w:val="0"/>
                      <w:sz w:val="18"/>
                    </w:rPr>
                    <w:t>0.88</w:t>
                  </w:r>
                </w:p>
              </w:tc>
            </w:tr>
            <w:tr w14:paraId="170246C4">
              <w:trPr>
                <w:cantSplit/>
                <w:trHeight w:val="340" w:hRule="atLeast"/>
                <w:jc w:val="center"/>
              </w:trPr>
              <w:tc>
                <w:tcPr>
                  <w:tcW w:w="961" w:type="pct"/>
                  <w:tcBorders>
                    <w:top w:val="single" w:color="auto" w:sz="4" w:space="0"/>
                    <w:left w:val="single" w:color="auto" w:sz="4" w:space="0"/>
                    <w:bottom w:val="single" w:color="auto" w:sz="4" w:space="0"/>
                    <w:right w:val="single" w:color="auto" w:sz="4" w:space="0"/>
                  </w:tcBorders>
                  <w:vAlign w:val="center"/>
                </w:tcPr>
                <w:p w14:paraId="1F19380A">
                  <w:pPr>
                    <w:spacing w:line="240" w:lineRule="auto"/>
                    <w:ind w:firstLine="0" w:firstLineChars="0"/>
                    <w:jc w:val="center"/>
                    <w:rPr>
                      <w:rFonts w:cs="Times New Roman"/>
                      <w:sz w:val="18"/>
                      <w:lang w:bidi="ar"/>
                    </w:rPr>
                  </w:pPr>
                  <w:r>
                    <w:rPr>
                      <w:rFonts w:hint="eastAsia" w:cs="Times New Roman"/>
                      <w:sz w:val="18"/>
                      <w:lang w:bidi="ar"/>
                    </w:rPr>
                    <w:t>排放标准</w:t>
                  </w:r>
                </w:p>
              </w:tc>
              <w:tc>
                <w:tcPr>
                  <w:tcW w:w="750" w:type="pct"/>
                  <w:tcBorders>
                    <w:top w:val="single" w:color="auto" w:sz="4" w:space="0"/>
                    <w:left w:val="single" w:color="auto" w:sz="4" w:space="0"/>
                    <w:bottom w:val="single" w:color="auto" w:sz="4" w:space="0"/>
                    <w:right w:val="single" w:color="auto" w:sz="4" w:space="0"/>
                  </w:tcBorders>
                  <w:vAlign w:val="center"/>
                </w:tcPr>
                <w:p w14:paraId="2587A1BD">
                  <w:pPr>
                    <w:spacing w:line="240" w:lineRule="auto"/>
                    <w:ind w:firstLine="0" w:firstLineChars="0"/>
                    <w:jc w:val="center"/>
                    <w:rPr>
                      <w:rFonts w:cs="Times New Roman"/>
                      <w:bCs/>
                      <w:kern w:val="0"/>
                      <w:sz w:val="18"/>
                      <w:lang w:bidi="ar"/>
                    </w:rPr>
                  </w:pPr>
                  <w:r>
                    <w:rPr>
                      <w:rFonts w:hint="eastAsia" w:cs="Times New Roman"/>
                      <w:bCs/>
                      <w:kern w:val="0"/>
                      <w:sz w:val="18"/>
                      <w:lang w:bidi="ar"/>
                    </w:rPr>
                    <w:t>/</w:t>
                  </w:r>
                </w:p>
              </w:tc>
              <w:tc>
                <w:tcPr>
                  <w:tcW w:w="611" w:type="pct"/>
                  <w:tcBorders>
                    <w:top w:val="single" w:color="auto" w:sz="4" w:space="0"/>
                    <w:left w:val="single" w:color="auto" w:sz="4" w:space="0"/>
                    <w:bottom w:val="single" w:color="auto" w:sz="4" w:space="0"/>
                    <w:right w:val="single" w:color="auto" w:sz="4" w:space="0"/>
                  </w:tcBorders>
                  <w:vAlign w:val="center"/>
                </w:tcPr>
                <w:p w14:paraId="5F54A74A">
                  <w:pPr>
                    <w:spacing w:line="240" w:lineRule="auto"/>
                    <w:ind w:firstLine="0" w:firstLineChars="0"/>
                    <w:jc w:val="center"/>
                    <w:rPr>
                      <w:rFonts w:cs="Times New Roman"/>
                      <w:bCs/>
                      <w:kern w:val="0"/>
                      <w:sz w:val="18"/>
                      <w:lang w:bidi="ar"/>
                    </w:rPr>
                  </w:pPr>
                  <w:r>
                    <w:rPr>
                      <w:rFonts w:hint="eastAsia" w:cs="Times New Roman"/>
                      <w:bCs/>
                      <w:kern w:val="0"/>
                      <w:sz w:val="18"/>
                      <w:lang w:bidi="ar"/>
                    </w:rPr>
                    <w:t>/</w:t>
                  </w:r>
                </w:p>
              </w:tc>
              <w:tc>
                <w:tcPr>
                  <w:tcW w:w="535" w:type="pct"/>
                  <w:tcBorders>
                    <w:top w:val="single" w:color="auto" w:sz="4" w:space="0"/>
                    <w:left w:val="single" w:color="auto" w:sz="4" w:space="0"/>
                    <w:bottom w:val="single" w:color="auto" w:sz="4" w:space="0"/>
                    <w:right w:val="single" w:color="auto" w:sz="4" w:space="0"/>
                  </w:tcBorders>
                  <w:vAlign w:val="center"/>
                </w:tcPr>
                <w:p w14:paraId="4DA298FD">
                  <w:pPr>
                    <w:spacing w:line="240" w:lineRule="auto"/>
                    <w:ind w:firstLine="0" w:firstLineChars="0"/>
                    <w:jc w:val="center"/>
                    <w:rPr>
                      <w:rFonts w:cs="Times New Roman"/>
                      <w:bCs/>
                      <w:kern w:val="0"/>
                      <w:sz w:val="18"/>
                    </w:rPr>
                  </w:pPr>
                  <w:r>
                    <w:rPr>
                      <w:rFonts w:hint="eastAsia" w:cs="Times New Roman"/>
                      <w:bCs/>
                      <w:kern w:val="0"/>
                      <w:sz w:val="18"/>
                    </w:rPr>
                    <w:t>6-9</w:t>
                  </w:r>
                </w:p>
              </w:tc>
              <w:tc>
                <w:tcPr>
                  <w:tcW w:w="535" w:type="pct"/>
                  <w:tcBorders>
                    <w:top w:val="single" w:color="auto" w:sz="4" w:space="0"/>
                    <w:left w:val="single" w:color="auto" w:sz="4" w:space="0"/>
                    <w:bottom w:val="single" w:color="auto" w:sz="4" w:space="0"/>
                    <w:right w:val="single" w:color="auto" w:sz="4" w:space="0"/>
                  </w:tcBorders>
                  <w:vAlign w:val="center"/>
                </w:tcPr>
                <w:p w14:paraId="71D3EEA2">
                  <w:pPr>
                    <w:spacing w:line="240" w:lineRule="auto"/>
                    <w:ind w:firstLine="0" w:firstLineChars="0"/>
                    <w:jc w:val="center"/>
                    <w:rPr>
                      <w:rFonts w:cs="Times New Roman"/>
                      <w:bCs/>
                      <w:kern w:val="0"/>
                      <w:sz w:val="18"/>
                    </w:rPr>
                  </w:pPr>
                  <w:r>
                    <w:rPr>
                      <w:rFonts w:hint="eastAsia" w:cs="Times New Roman"/>
                      <w:bCs/>
                      <w:kern w:val="0"/>
                      <w:sz w:val="18"/>
                    </w:rPr>
                    <w:t>35</w:t>
                  </w:r>
                </w:p>
              </w:tc>
              <w:tc>
                <w:tcPr>
                  <w:tcW w:w="535" w:type="pct"/>
                  <w:tcBorders>
                    <w:top w:val="single" w:color="auto" w:sz="4" w:space="0"/>
                    <w:left w:val="single" w:color="auto" w:sz="4" w:space="0"/>
                    <w:bottom w:val="single" w:color="auto" w:sz="4" w:space="0"/>
                    <w:right w:val="single" w:color="auto" w:sz="4" w:space="0"/>
                  </w:tcBorders>
                  <w:vAlign w:val="center"/>
                </w:tcPr>
                <w:p w14:paraId="6A76BD0D">
                  <w:pPr>
                    <w:spacing w:line="240" w:lineRule="auto"/>
                    <w:ind w:firstLine="0" w:firstLineChars="0"/>
                    <w:jc w:val="center"/>
                    <w:rPr>
                      <w:rFonts w:cs="Times New Roman"/>
                      <w:bCs/>
                      <w:kern w:val="0"/>
                      <w:sz w:val="18"/>
                    </w:rPr>
                  </w:pPr>
                  <w:r>
                    <w:rPr>
                      <w:rFonts w:hint="eastAsia" w:cs="Times New Roman"/>
                      <w:bCs/>
                      <w:kern w:val="0"/>
                      <w:sz w:val="18"/>
                    </w:rPr>
                    <w:t>400</w:t>
                  </w:r>
                </w:p>
              </w:tc>
              <w:tc>
                <w:tcPr>
                  <w:tcW w:w="535" w:type="pct"/>
                  <w:tcBorders>
                    <w:top w:val="single" w:color="auto" w:sz="4" w:space="0"/>
                    <w:left w:val="single" w:color="auto" w:sz="4" w:space="0"/>
                    <w:bottom w:val="single" w:color="auto" w:sz="4" w:space="0"/>
                    <w:right w:val="single" w:color="auto" w:sz="4" w:space="0"/>
                  </w:tcBorders>
                  <w:vAlign w:val="center"/>
                </w:tcPr>
                <w:p w14:paraId="683F93D5">
                  <w:pPr>
                    <w:spacing w:line="240" w:lineRule="auto"/>
                    <w:ind w:firstLine="0" w:firstLineChars="0"/>
                    <w:jc w:val="center"/>
                    <w:rPr>
                      <w:rFonts w:cs="Times New Roman"/>
                      <w:bCs/>
                      <w:kern w:val="0"/>
                      <w:sz w:val="18"/>
                    </w:rPr>
                  </w:pPr>
                  <w:r>
                    <w:rPr>
                      <w:rFonts w:hint="eastAsia" w:cs="Times New Roman"/>
                      <w:bCs/>
                      <w:kern w:val="0"/>
                      <w:sz w:val="18"/>
                    </w:rPr>
                    <w:t>500</w:t>
                  </w:r>
                </w:p>
              </w:tc>
              <w:tc>
                <w:tcPr>
                  <w:tcW w:w="535" w:type="pct"/>
                  <w:tcBorders>
                    <w:top w:val="single" w:color="auto" w:sz="4" w:space="0"/>
                    <w:left w:val="single" w:color="auto" w:sz="4" w:space="0"/>
                    <w:bottom w:val="single" w:color="auto" w:sz="4" w:space="0"/>
                    <w:right w:val="single" w:color="auto" w:sz="4" w:space="0"/>
                  </w:tcBorders>
                  <w:vAlign w:val="center"/>
                </w:tcPr>
                <w:p w14:paraId="6A1732BC">
                  <w:pPr>
                    <w:spacing w:line="240" w:lineRule="auto"/>
                    <w:ind w:firstLine="0" w:firstLineChars="0"/>
                    <w:jc w:val="center"/>
                    <w:rPr>
                      <w:rFonts w:cs="Times New Roman"/>
                      <w:bCs/>
                      <w:kern w:val="0"/>
                      <w:sz w:val="18"/>
                    </w:rPr>
                  </w:pPr>
                  <w:r>
                    <w:rPr>
                      <w:rFonts w:hint="eastAsia" w:cs="Times New Roman"/>
                      <w:bCs/>
                      <w:kern w:val="0"/>
                      <w:sz w:val="18"/>
                    </w:rPr>
                    <w:t>8</w:t>
                  </w:r>
                </w:p>
              </w:tc>
            </w:tr>
          </w:tbl>
          <w:p w14:paraId="4D619954">
            <w:pPr>
              <w:ind w:firstLine="480"/>
              <w:jc w:val="both"/>
            </w:pPr>
            <w:r>
              <w:t>根据监测结果，</w:t>
            </w:r>
            <w:r>
              <w:rPr>
                <w:rFonts w:hint="eastAsia"/>
              </w:rPr>
              <w:t>现有项目生活污水排放符合《污水综合排放标准》（GB8978-1996）中三级排放限值要求；其中氨氮、总磷排放符合《工业企业废水氮、磷污染物间接排放限值》（DB33/887-2013）中限值要求。</w:t>
            </w:r>
          </w:p>
          <w:p w14:paraId="34441A56">
            <w:pPr>
              <w:ind w:firstLine="480"/>
              <w:jc w:val="both"/>
              <w:rPr>
                <w:rFonts w:cs="Times New Roman"/>
              </w:rPr>
            </w:pPr>
            <w:r>
              <w:rPr>
                <w:rFonts w:cs="Times New Roman"/>
              </w:rPr>
              <w:t>③</w:t>
            </w:r>
            <w:r>
              <w:rPr>
                <w:rFonts w:hint="eastAsia" w:cs="Times New Roman"/>
              </w:rPr>
              <w:t>噪声</w:t>
            </w:r>
          </w:p>
          <w:p w14:paraId="33B32185">
            <w:pPr>
              <w:ind w:firstLine="480"/>
              <w:jc w:val="both"/>
            </w:pPr>
            <w:r>
              <w:rPr>
                <w:rFonts w:hint="eastAsia"/>
              </w:rPr>
              <w:t>本项目现有工程噪声根据自行监测数据，具体如下：</w:t>
            </w:r>
          </w:p>
          <w:p w14:paraId="7A19C1B5">
            <w:pPr>
              <w:pStyle w:val="14"/>
              <w:numPr>
                <w:ilvl w:val="0"/>
                <w:numId w:val="6"/>
              </w:numPr>
              <w:spacing w:before="156"/>
              <w:ind w:firstLine="0"/>
            </w:pPr>
            <w:r>
              <w:rPr>
                <w:rFonts w:hint="eastAsia"/>
              </w:rPr>
              <w:t xml:space="preserve"> </w:t>
            </w:r>
            <w:r>
              <w:t xml:space="preserve"> </w:t>
            </w:r>
            <w:r>
              <w:rPr>
                <w:rFonts w:hint="eastAsia"/>
              </w:rPr>
              <w:t>本项目现有工程噪声检测结果一览表</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87"/>
              <w:gridCol w:w="1562"/>
              <w:gridCol w:w="2114"/>
              <w:gridCol w:w="2054"/>
            </w:tblGrid>
            <w:tr w14:paraId="7AD0D556">
              <w:trPr>
                <w:trHeight w:val="340" w:hRule="atLeast"/>
                <w:jc w:val="center"/>
              </w:trPr>
              <w:tc>
                <w:tcPr>
                  <w:tcW w:w="576" w:type="pct"/>
                  <w:vMerge w:val="restart"/>
                  <w:tcBorders>
                    <w:top w:val="single" w:color="auto" w:sz="4" w:space="0"/>
                    <w:left w:val="single" w:color="auto" w:sz="4" w:space="0"/>
                    <w:bottom w:val="single" w:color="auto" w:sz="4" w:space="0"/>
                    <w:right w:val="single" w:color="auto" w:sz="4" w:space="0"/>
                  </w:tcBorders>
                  <w:vAlign w:val="center"/>
                </w:tcPr>
                <w:p w14:paraId="49292727">
                  <w:pPr>
                    <w:spacing w:line="240" w:lineRule="auto"/>
                    <w:ind w:firstLine="0" w:firstLineChars="0"/>
                    <w:jc w:val="center"/>
                    <w:rPr>
                      <w:rFonts w:cs="Times New Roman"/>
                      <w:sz w:val="18"/>
                    </w:rPr>
                  </w:pPr>
                  <w:r>
                    <w:rPr>
                      <w:rFonts w:hint="eastAsia" w:cs="Times New Roman"/>
                      <w:sz w:val="18"/>
                    </w:rPr>
                    <w:t>检测点位</w:t>
                  </w:r>
                </w:p>
              </w:tc>
              <w:tc>
                <w:tcPr>
                  <w:tcW w:w="759" w:type="pct"/>
                  <w:vMerge w:val="restart"/>
                  <w:tcBorders>
                    <w:top w:val="single" w:color="auto" w:sz="4" w:space="0"/>
                    <w:left w:val="single" w:color="auto" w:sz="4" w:space="0"/>
                    <w:bottom w:val="single" w:color="auto" w:sz="4" w:space="0"/>
                    <w:right w:val="single" w:color="auto" w:sz="4" w:space="0"/>
                  </w:tcBorders>
                  <w:vAlign w:val="center"/>
                </w:tcPr>
                <w:p w14:paraId="4ACFDA4F">
                  <w:pPr>
                    <w:spacing w:line="240" w:lineRule="auto"/>
                    <w:ind w:firstLine="0" w:firstLineChars="0"/>
                    <w:jc w:val="center"/>
                    <w:rPr>
                      <w:rFonts w:cs="Times New Roman"/>
                      <w:sz w:val="18"/>
                    </w:rPr>
                  </w:pPr>
                  <w:r>
                    <w:rPr>
                      <w:rFonts w:hint="eastAsia" w:cs="Times New Roman"/>
                      <w:sz w:val="18"/>
                    </w:rPr>
                    <w:t>对应位置</w:t>
                  </w:r>
                </w:p>
              </w:tc>
              <w:tc>
                <w:tcPr>
                  <w:tcW w:w="999" w:type="pct"/>
                  <w:vMerge w:val="restart"/>
                  <w:tcBorders>
                    <w:top w:val="single" w:color="auto" w:sz="4" w:space="0"/>
                    <w:left w:val="single" w:color="auto" w:sz="4" w:space="0"/>
                    <w:bottom w:val="single" w:color="auto" w:sz="4" w:space="0"/>
                    <w:right w:val="single" w:color="auto" w:sz="4" w:space="0"/>
                  </w:tcBorders>
                  <w:vAlign w:val="center"/>
                </w:tcPr>
                <w:p w14:paraId="22F6EC0E">
                  <w:pPr>
                    <w:spacing w:line="240" w:lineRule="auto"/>
                    <w:ind w:firstLine="0" w:firstLineChars="0"/>
                    <w:jc w:val="center"/>
                    <w:rPr>
                      <w:rFonts w:cs="Times New Roman"/>
                      <w:sz w:val="18"/>
                    </w:rPr>
                  </w:pPr>
                  <w:r>
                    <w:rPr>
                      <w:rFonts w:hint="eastAsia" w:cs="Times New Roman"/>
                      <w:sz w:val="18"/>
                    </w:rPr>
                    <w:t>主要声源</w:t>
                  </w:r>
                </w:p>
              </w:tc>
              <w:tc>
                <w:tcPr>
                  <w:tcW w:w="2664" w:type="pct"/>
                  <w:gridSpan w:val="2"/>
                  <w:tcBorders>
                    <w:top w:val="single" w:color="auto" w:sz="4" w:space="0"/>
                    <w:left w:val="single" w:color="auto" w:sz="4" w:space="0"/>
                    <w:bottom w:val="single" w:color="auto" w:sz="4" w:space="0"/>
                    <w:right w:val="single" w:color="auto" w:sz="4" w:space="0"/>
                  </w:tcBorders>
                  <w:vAlign w:val="center"/>
                </w:tcPr>
                <w:p w14:paraId="75CAA961">
                  <w:pPr>
                    <w:spacing w:line="240" w:lineRule="auto"/>
                    <w:ind w:firstLine="0" w:firstLineChars="0"/>
                    <w:jc w:val="center"/>
                    <w:rPr>
                      <w:rFonts w:cs="Times New Roman"/>
                      <w:sz w:val="18"/>
                    </w:rPr>
                  </w:pPr>
                  <w:r>
                    <w:rPr>
                      <w:rFonts w:hint="eastAsia" w:cs="Times New Roman"/>
                      <w:sz w:val="18"/>
                    </w:rPr>
                    <w:t>昼间Leq dB(A)</w:t>
                  </w:r>
                </w:p>
              </w:tc>
            </w:tr>
            <w:tr w14:paraId="4F2764C7">
              <w:trPr>
                <w:trHeight w:val="340" w:hRule="atLeast"/>
                <w:jc w:val="center"/>
              </w:trPr>
              <w:tc>
                <w:tcPr>
                  <w:tcW w:w="576" w:type="pct"/>
                  <w:vMerge w:val="continue"/>
                  <w:tcBorders>
                    <w:top w:val="single" w:color="auto" w:sz="4" w:space="0"/>
                    <w:left w:val="single" w:color="auto" w:sz="4" w:space="0"/>
                    <w:bottom w:val="single" w:color="auto" w:sz="4" w:space="0"/>
                    <w:right w:val="single" w:color="auto" w:sz="4" w:space="0"/>
                  </w:tcBorders>
                  <w:vAlign w:val="center"/>
                </w:tcPr>
                <w:p w14:paraId="3895420C">
                  <w:pPr>
                    <w:spacing w:line="240" w:lineRule="auto"/>
                    <w:ind w:firstLine="0" w:firstLineChars="0"/>
                    <w:jc w:val="center"/>
                    <w:rPr>
                      <w:rFonts w:cs="Times New Roman"/>
                      <w:sz w:val="18"/>
                    </w:rPr>
                  </w:pPr>
                </w:p>
              </w:tc>
              <w:tc>
                <w:tcPr>
                  <w:tcW w:w="759" w:type="pct"/>
                  <w:vMerge w:val="continue"/>
                  <w:tcBorders>
                    <w:top w:val="single" w:color="auto" w:sz="4" w:space="0"/>
                    <w:left w:val="single" w:color="auto" w:sz="4" w:space="0"/>
                    <w:bottom w:val="single" w:color="auto" w:sz="4" w:space="0"/>
                    <w:right w:val="single" w:color="auto" w:sz="4" w:space="0"/>
                  </w:tcBorders>
                  <w:vAlign w:val="center"/>
                </w:tcPr>
                <w:p w14:paraId="51139F4C">
                  <w:pPr>
                    <w:spacing w:line="240" w:lineRule="auto"/>
                    <w:ind w:firstLine="0" w:firstLineChars="0"/>
                    <w:jc w:val="center"/>
                    <w:rPr>
                      <w:rFonts w:cs="Times New Roman"/>
                      <w:sz w:val="18"/>
                    </w:rPr>
                  </w:pPr>
                </w:p>
              </w:tc>
              <w:tc>
                <w:tcPr>
                  <w:tcW w:w="999" w:type="pct"/>
                  <w:vMerge w:val="continue"/>
                  <w:tcBorders>
                    <w:top w:val="single" w:color="auto" w:sz="4" w:space="0"/>
                    <w:left w:val="single" w:color="auto" w:sz="4" w:space="0"/>
                    <w:bottom w:val="single" w:color="auto" w:sz="4" w:space="0"/>
                    <w:right w:val="single" w:color="auto" w:sz="4" w:space="0"/>
                  </w:tcBorders>
                  <w:vAlign w:val="center"/>
                </w:tcPr>
                <w:p w14:paraId="78D317BF">
                  <w:pPr>
                    <w:spacing w:line="240" w:lineRule="auto"/>
                    <w:ind w:firstLine="0" w:firstLineChars="0"/>
                    <w:jc w:val="center"/>
                    <w:rPr>
                      <w:rFonts w:cs="Times New Roman"/>
                      <w:sz w:val="18"/>
                    </w:rPr>
                  </w:pPr>
                </w:p>
              </w:tc>
              <w:tc>
                <w:tcPr>
                  <w:tcW w:w="1352" w:type="pct"/>
                  <w:tcBorders>
                    <w:top w:val="single" w:color="auto" w:sz="4" w:space="0"/>
                    <w:left w:val="single" w:color="auto" w:sz="4" w:space="0"/>
                    <w:bottom w:val="single" w:color="auto" w:sz="4" w:space="0"/>
                    <w:right w:val="single" w:color="auto" w:sz="4" w:space="0"/>
                  </w:tcBorders>
                  <w:vAlign w:val="center"/>
                </w:tcPr>
                <w:p w14:paraId="5543053A">
                  <w:pPr>
                    <w:spacing w:line="240" w:lineRule="auto"/>
                    <w:ind w:firstLine="0" w:firstLineChars="0"/>
                    <w:jc w:val="center"/>
                    <w:rPr>
                      <w:rFonts w:cs="Times New Roman"/>
                      <w:sz w:val="18"/>
                    </w:rPr>
                  </w:pPr>
                  <w:r>
                    <w:rPr>
                      <w:rFonts w:hint="eastAsia" w:cs="Times New Roman"/>
                      <w:sz w:val="18"/>
                    </w:rPr>
                    <w:t>测量时间</w:t>
                  </w:r>
                </w:p>
              </w:tc>
              <w:tc>
                <w:tcPr>
                  <w:tcW w:w="1311" w:type="pct"/>
                  <w:tcBorders>
                    <w:top w:val="single" w:color="auto" w:sz="4" w:space="0"/>
                    <w:left w:val="single" w:color="auto" w:sz="4" w:space="0"/>
                    <w:bottom w:val="single" w:color="auto" w:sz="4" w:space="0"/>
                    <w:right w:val="single" w:color="auto" w:sz="4" w:space="0"/>
                  </w:tcBorders>
                  <w:vAlign w:val="center"/>
                </w:tcPr>
                <w:p w14:paraId="072C723E">
                  <w:pPr>
                    <w:spacing w:line="240" w:lineRule="auto"/>
                    <w:ind w:firstLine="0" w:firstLineChars="0"/>
                    <w:jc w:val="center"/>
                    <w:rPr>
                      <w:rFonts w:cs="Times New Roman"/>
                      <w:sz w:val="18"/>
                    </w:rPr>
                  </w:pPr>
                  <w:r>
                    <w:rPr>
                      <w:rFonts w:hint="eastAsia" w:cs="Times New Roman"/>
                      <w:sz w:val="18"/>
                    </w:rPr>
                    <w:t>测量值</w:t>
                  </w:r>
                </w:p>
              </w:tc>
            </w:tr>
            <w:tr w14:paraId="46AFE9AE">
              <w:trPr>
                <w:trHeight w:val="340" w:hRule="atLeast"/>
                <w:jc w:val="center"/>
              </w:trPr>
              <w:tc>
                <w:tcPr>
                  <w:tcW w:w="576" w:type="pct"/>
                  <w:tcBorders>
                    <w:top w:val="single" w:color="auto" w:sz="4" w:space="0"/>
                    <w:left w:val="single" w:color="auto" w:sz="4" w:space="0"/>
                    <w:bottom w:val="single" w:color="auto" w:sz="4" w:space="0"/>
                    <w:right w:val="single" w:color="auto" w:sz="4" w:space="0"/>
                  </w:tcBorders>
                  <w:vAlign w:val="center"/>
                </w:tcPr>
                <w:p w14:paraId="3551FF3C">
                  <w:pPr>
                    <w:spacing w:line="240" w:lineRule="auto"/>
                    <w:ind w:firstLine="0" w:firstLineChars="0"/>
                    <w:jc w:val="center"/>
                    <w:rPr>
                      <w:rFonts w:cs="Times New Roman"/>
                      <w:sz w:val="18"/>
                    </w:rPr>
                  </w:pPr>
                  <w:r>
                    <w:rPr>
                      <w:rFonts w:hint="eastAsia" w:cs="Times New Roman"/>
                      <w:sz w:val="18"/>
                    </w:rPr>
                    <w:t>1#</w:t>
                  </w:r>
                </w:p>
              </w:tc>
              <w:tc>
                <w:tcPr>
                  <w:tcW w:w="759" w:type="pct"/>
                  <w:tcBorders>
                    <w:top w:val="single" w:color="auto" w:sz="4" w:space="0"/>
                    <w:left w:val="single" w:color="auto" w:sz="4" w:space="0"/>
                    <w:bottom w:val="single" w:color="auto" w:sz="4" w:space="0"/>
                    <w:right w:val="single" w:color="auto" w:sz="4" w:space="0"/>
                  </w:tcBorders>
                  <w:vAlign w:val="center"/>
                </w:tcPr>
                <w:p w14:paraId="25B96B94">
                  <w:pPr>
                    <w:spacing w:line="240" w:lineRule="auto"/>
                    <w:ind w:firstLine="0" w:firstLineChars="0"/>
                    <w:jc w:val="center"/>
                    <w:rPr>
                      <w:rFonts w:cs="Times New Roman"/>
                      <w:sz w:val="18"/>
                    </w:rPr>
                  </w:pPr>
                  <w:r>
                    <w:rPr>
                      <w:rFonts w:hint="eastAsia" w:cs="Times New Roman"/>
                      <w:sz w:val="18"/>
                    </w:rPr>
                    <w:t>厂界东</w:t>
                  </w:r>
                </w:p>
              </w:tc>
              <w:tc>
                <w:tcPr>
                  <w:tcW w:w="999" w:type="pct"/>
                  <w:tcBorders>
                    <w:top w:val="single" w:color="auto" w:sz="4" w:space="0"/>
                    <w:left w:val="single" w:color="auto" w:sz="4" w:space="0"/>
                    <w:bottom w:val="single" w:color="auto" w:sz="4" w:space="0"/>
                    <w:right w:val="single" w:color="auto" w:sz="4" w:space="0"/>
                  </w:tcBorders>
                  <w:vAlign w:val="center"/>
                </w:tcPr>
                <w:p w14:paraId="5560CAE1">
                  <w:pPr>
                    <w:spacing w:line="240" w:lineRule="auto"/>
                    <w:ind w:firstLine="0" w:firstLineChars="0"/>
                    <w:jc w:val="center"/>
                    <w:rPr>
                      <w:rFonts w:cs="Times New Roman"/>
                      <w:sz w:val="18"/>
                    </w:rPr>
                  </w:pPr>
                  <w:r>
                    <w:rPr>
                      <w:rFonts w:hint="eastAsia" w:cs="Times New Roman"/>
                      <w:sz w:val="18"/>
                    </w:rPr>
                    <w:t>设备运转</w:t>
                  </w:r>
                </w:p>
              </w:tc>
              <w:tc>
                <w:tcPr>
                  <w:tcW w:w="1352" w:type="pct"/>
                  <w:tcBorders>
                    <w:top w:val="single" w:color="auto" w:sz="4" w:space="0"/>
                    <w:left w:val="single" w:color="auto" w:sz="4" w:space="0"/>
                    <w:bottom w:val="single" w:color="auto" w:sz="4" w:space="0"/>
                    <w:right w:val="single" w:color="auto" w:sz="4" w:space="0"/>
                  </w:tcBorders>
                  <w:vAlign w:val="center"/>
                </w:tcPr>
                <w:p w14:paraId="7D5409D4">
                  <w:pPr>
                    <w:spacing w:line="240" w:lineRule="auto"/>
                    <w:ind w:firstLine="0" w:firstLineChars="0"/>
                    <w:jc w:val="center"/>
                    <w:rPr>
                      <w:rFonts w:cs="Times New Roman"/>
                      <w:sz w:val="18"/>
                    </w:rPr>
                  </w:pPr>
                  <w:r>
                    <w:rPr>
                      <w:rFonts w:hint="eastAsia" w:cs="Times New Roman"/>
                      <w:sz w:val="18"/>
                    </w:rPr>
                    <w:t>15:24</w:t>
                  </w:r>
                </w:p>
              </w:tc>
              <w:tc>
                <w:tcPr>
                  <w:tcW w:w="1311" w:type="pct"/>
                  <w:tcBorders>
                    <w:top w:val="single" w:color="auto" w:sz="4" w:space="0"/>
                    <w:left w:val="single" w:color="auto" w:sz="4" w:space="0"/>
                    <w:bottom w:val="single" w:color="auto" w:sz="4" w:space="0"/>
                    <w:right w:val="single" w:color="auto" w:sz="4" w:space="0"/>
                  </w:tcBorders>
                  <w:vAlign w:val="center"/>
                </w:tcPr>
                <w:p w14:paraId="1C0A0008">
                  <w:pPr>
                    <w:spacing w:line="240" w:lineRule="auto"/>
                    <w:ind w:firstLine="0" w:firstLineChars="0"/>
                    <w:jc w:val="center"/>
                    <w:rPr>
                      <w:rFonts w:cs="Times New Roman"/>
                      <w:sz w:val="18"/>
                    </w:rPr>
                  </w:pPr>
                  <w:r>
                    <w:rPr>
                      <w:rFonts w:hint="eastAsia" w:cs="Times New Roman"/>
                      <w:sz w:val="18"/>
                    </w:rPr>
                    <w:t>62</w:t>
                  </w:r>
                </w:p>
              </w:tc>
            </w:tr>
            <w:tr w14:paraId="6EAB2EC2">
              <w:trPr>
                <w:trHeight w:val="340" w:hRule="atLeast"/>
                <w:jc w:val="center"/>
              </w:trPr>
              <w:tc>
                <w:tcPr>
                  <w:tcW w:w="576" w:type="pct"/>
                  <w:tcBorders>
                    <w:top w:val="single" w:color="auto" w:sz="4" w:space="0"/>
                    <w:left w:val="single" w:color="auto" w:sz="4" w:space="0"/>
                    <w:bottom w:val="single" w:color="auto" w:sz="4" w:space="0"/>
                    <w:right w:val="single" w:color="auto" w:sz="4" w:space="0"/>
                  </w:tcBorders>
                  <w:vAlign w:val="center"/>
                </w:tcPr>
                <w:p w14:paraId="65A48995">
                  <w:pPr>
                    <w:spacing w:line="240" w:lineRule="auto"/>
                    <w:ind w:firstLine="0" w:firstLineChars="0"/>
                    <w:jc w:val="center"/>
                    <w:rPr>
                      <w:rFonts w:cs="Times New Roman"/>
                      <w:sz w:val="18"/>
                    </w:rPr>
                  </w:pPr>
                  <w:r>
                    <w:rPr>
                      <w:rFonts w:hint="eastAsia" w:cs="Times New Roman"/>
                      <w:sz w:val="18"/>
                    </w:rPr>
                    <w:t>2#</w:t>
                  </w:r>
                </w:p>
              </w:tc>
              <w:tc>
                <w:tcPr>
                  <w:tcW w:w="759" w:type="pct"/>
                  <w:tcBorders>
                    <w:top w:val="single" w:color="auto" w:sz="4" w:space="0"/>
                    <w:left w:val="single" w:color="auto" w:sz="4" w:space="0"/>
                    <w:bottom w:val="single" w:color="auto" w:sz="4" w:space="0"/>
                    <w:right w:val="single" w:color="auto" w:sz="4" w:space="0"/>
                  </w:tcBorders>
                  <w:vAlign w:val="center"/>
                </w:tcPr>
                <w:p w14:paraId="743EFD01">
                  <w:pPr>
                    <w:spacing w:line="240" w:lineRule="auto"/>
                    <w:ind w:firstLine="0" w:firstLineChars="0"/>
                    <w:jc w:val="center"/>
                    <w:rPr>
                      <w:rFonts w:cs="Times New Roman"/>
                      <w:sz w:val="18"/>
                    </w:rPr>
                  </w:pPr>
                  <w:r>
                    <w:rPr>
                      <w:rFonts w:hint="eastAsia" w:cs="Times New Roman"/>
                      <w:sz w:val="18"/>
                    </w:rPr>
                    <w:t>厂界南</w:t>
                  </w:r>
                </w:p>
              </w:tc>
              <w:tc>
                <w:tcPr>
                  <w:tcW w:w="999" w:type="pct"/>
                  <w:tcBorders>
                    <w:top w:val="single" w:color="auto" w:sz="4" w:space="0"/>
                    <w:left w:val="single" w:color="auto" w:sz="4" w:space="0"/>
                    <w:bottom w:val="single" w:color="auto" w:sz="4" w:space="0"/>
                    <w:right w:val="single" w:color="auto" w:sz="4" w:space="0"/>
                  </w:tcBorders>
                  <w:vAlign w:val="center"/>
                </w:tcPr>
                <w:p w14:paraId="2F7D1470">
                  <w:pPr>
                    <w:spacing w:line="240" w:lineRule="auto"/>
                    <w:ind w:firstLine="0" w:firstLineChars="0"/>
                    <w:jc w:val="center"/>
                    <w:rPr>
                      <w:rFonts w:cs="Times New Roman"/>
                      <w:sz w:val="18"/>
                    </w:rPr>
                  </w:pPr>
                  <w:r>
                    <w:rPr>
                      <w:rFonts w:hint="eastAsia" w:cs="Times New Roman"/>
                      <w:sz w:val="18"/>
                    </w:rPr>
                    <w:t>设备运转</w:t>
                  </w:r>
                </w:p>
              </w:tc>
              <w:tc>
                <w:tcPr>
                  <w:tcW w:w="1352" w:type="pct"/>
                  <w:tcBorders>
                    <w:top w:val="single" w:color="auto" w:sz="4" w:space="0"/>
                    <w:left w:val="single" w:color="auto" w:sz="4" w:space="0"/>
                    <w:bottom w:val="single" w:color="auto" w:sz="4" w:space="0"/>
                    <w:right w:val="single" w:color="auto" w:sz="4" w:space="0"/>
                  </w:tcBorders>
                  <w:vAlign w:val="center"/>
                </w:tcPr>
                <w:p w14:paraId="6C85D6F0">
                  <w:pPr>
                    <w:spacing w:line="240" w:lineRule="auto"/>
                    <w:ind w:firstLine="0" w:firstLineChars="0"/>
                    <w:jc w:val="center"/>
                    <w:rPr>
                      <w:rFonts w:cs="Times New Roman"/>
                      <w:sz w:val="18"/>
                    </w:rPr>
                  </w:pPr>
                  <w:r>
                    <w:rPr>
                      <w:rFonts w:hint="eastAsia" w:cs="Times New Roman"/>
                      <w:sz w:val="18"/>
                    </w:rPr>
                    <w:t>15:33</w:t>
                  </w:r>
                </w:p>
              </w:tc>
              <w:tc>
                <w:tcPr>
                  <w:tcW w:w="1311" w:type="pct"/>
                  <w:tcBorders>
                    <w:top w:val="single" w:color="auto" w:sz="4" w:space="0"/>
                    <w:left w:val="single" w:color="auto" w:sz="4" w:space="0"/>
                    <w:bottom w:val="single" w:color="auto" w:sz="4" w:space="0"/>
                    <w:right w:val="single" w:color="auto" w:sz="4" w:space="0"/>
                  </w:tcBorders>
                  <w:vAlign w:val="center"/>
                </w:tcPr>
                <w:p w14:paraId="6593B59D">
                  <w:pPr>
                    <w:spacing w:line="240" w:lineRule="auto"/>
                    <w:ind w:firstLine="0" w:firstLineChars="0"/>
                    <w:jc w:val="center"/>
                    <w:rPr>
                      <w:rFonts w:cs="Times New Roman"/>
                      <w:sz w:val="18"/>
                    </w:rPr>
                  </w:pPr>
                  <w:r>
                    <w:rPr>
                      <w:rFonts w:hint="eastAsia" w:cs="Times New Roman"/>
                      <w:sz w:val="18"/>
                    </w:rPr>
                    <w:t>53</w:t>
                  </w:r>
                </w:p>
              </w:tc>
            </w:tr>
            <w:tr w14:paraId="5EA2206C">
              <w:trPr>
                <w:trHeight w:val="340" w:hRule="atLeast"/>
                <w:jc w:val="center"/>
              </w:trPr>
              <w:tc>
                <w:tcPr>
                  <w:tcW w:w="576" w:type="pct"/>
                  <w:tcBorders>
                    <w:top w:val="single" w:color="auto" w:sz="4" w:space="0"/>
                    <w:left w:val="single" w:color="auto" w:sz="4" w:space="0"/>
                    <w:bottom w:val="single" w:color="auto" w:sz="4" w:space="0"/>
                    <w:right w:val="single" w:color="auto" w:sz="4" w:space="0"/>
                  </w:tcBorders>
                  <w:vAlign w:val="center"/>
                </w:tcPr>
                <w:p w14:paraId="382DC9CE">
                  <w:pPr>
                    <w:spacing w:line="240" w:lineRule="auto"/>
                    <w:ind w:firstLine="0" w:firstLineChars="0"/>
                    <w:jc w:val="center"/>
                    <w:rPr>
                      <w:rFonts w:cs="Times New Roman"/>
                      <w:sz w:val="18"/>
                    </w:rPr>
                  </w:pPr>
                  <w:r>
                    <w:rPr>
                      <w:rFonts w:hint="eastAsia" w:cs="Times New Roman"/>
                      <w:sz w:val="18"/>
                    </w:rPr>
                    <w:t>3#</w:t>
                  </w:r>
                </w:p>
              </w:tc>
              <w:tc>
                <w:tcPr>
                  <w:tcW w:w="759" w:type="pct"/>
                  <w:tcBorders>
                    <w:top w:val="single" w:color="auto" w:sz="4" w:space="0"/>
                    <w:left w:val="single" w:color="auto" w:sz="4" w:space="0"/>
                    <w:bottom w:val="single" w:color="auto" w:sz="4" w:space="0"/>
                    <w:right w:val="single" w:color="auto" w:sz="4" w:space="0"/>
                  </w:tcBorders>
                  <w:vAlign w:val="center"/>
                </w:tcPr>
                <w:p w14:paraId="4FA3AB18">
                  <w:pPr>
                    <w:spacing w:line="240" w:lineRule="auto"/>
                    <w:ind w:firstLine="0" w:firstLineChars="0"/>
                    <w:jc w:val="center"/>
                    <w:rPr>
                      <w:rFonts w:cs="Times New Roman"/>
                      <w:sz w:val="18"/>
                    </w:rPr>
                  </w:pPr>
                  <w:r>
                    <w:rPr>
                      <w:rFonts w:hint="eastAsia" w:cs="Times New Roman"/>
                      <w:sz w:val="18"/>
                    </w:rPr>
                    <w:t>厂界西</w:t>
                  </w:r>
                </w:p>
              </w:tc>
              <w:tc>
                <w:tcPr>
                  <w:tcW w:w="999" w:type="pct"/>
                  <w:tcBorders>
                    <w:top w:val="single" w:color="auto" w:sz="4" w:space="0"/>
                    <w:left w:val="single" w:color="auto" w:sz="4" w:space="0"/>
                    <w:bottom w:val="single" w:color="auto" w:sz="4" w:space="0"/>
                    <w:right w:val="single" w:color="auto" w:sz="4" w:space="0"/>
                  </w:tcBorders>
                  <w:vAlign w:val="center"/>
                </w:tcPr>
                <w:p w14:paraId="54E78797">
                  <w:pPr>
                    <w:spacing w:line="240" w:lineRule="auto"/>
                    <w:ind w:firstLine="0" w:firstLineChars="0"/>
                    <w:jc w:val="center"/>
                    <w:rPr>
                      <w:rFonts w:cs="Times New Roman"/>
                      <w:sz w:val="18"/>
                    </w:rPr>
                  </w:pPr>
                  <w:r>
                    <w:rPr>
                      <w:rFonts w:hint="eastAsia" w:cs="Times New Roman"/>
                      <w:sz w:val="18"/>
                    </w:rPr>
                    <w:t>设备运转</w:t>
                  </w:r>
                </w:p>
              </w:tc>
              <w:tc>
                <w:tcPr>
                  <w:tcW w:w="1352" w:type="pct"/>
                  <w:tcBorders>
                    <w:top w:val="single" w:color="auto" w:sz="4" w:space="0"/>
                    <w:left w:val="single" w:color="auto" w:sz="4" w:space="0"/>
                    <w:bottom w:val="single" w:color="auto" w:sz="4" w:space="0"/>
                    <w:right w:val="single" w:color="auto" w:sz="4" w:space="0"/>
                  </w:tcBorders>
                  <w:vAlign w:val="center"/>
                </w:tcPr>
                <w:p w14:paraId="51499DD2">
                  <w:pPr>
                    <w:spacing w:line="240" w:lineRule="auto"/>
                    <w:ind w:firstLine="0" w:firstLineChars="0"/>
                    <w:jc w:val="center"/>
                    <w:rPr>
                      <w:rFonts w:cs="Times New Roman"/>
                      <w:sz w:val="18"/>
                    </w:rPr>
                  </w:pPr>
                  <w:r>
                    <w:rPr>
                      <w:rFonts w:hint="eastAsia" w:cs="Times New Roman"/>
                      <w:sz w:val="18"/>
                    </w:rPr>
                    <w:t>15:42</w:t>
                  </w:r>
                </w:p>
              </w:tc>
              <w:tc>
                <w:tcPr>
                  <w:tcW w:w="1311" w:type="pct"/>
                  <w:tcBorders>
                    <w:top w:val="single" w:color="auto" w:sz="4" w:space="0"/>
                    <w:left w:val="single" w:color="auto" w:sz="4" w:space="0"/>
                    <w:bottom w:val="single" w:color="auto" w:sz="4" w:space="0"/>
                    <w:right w:val="single" w:color="auto" w:sz="4" w:space="0"/>
                  </w:tcBorders>
                  <w:vAlign w:val="center"/>
                </w:tcPr>
                <w:p w14:paraId="103865B2">
                  <w:pPr>
                    <w:spacing w:line="240" w:lineRule="auto"/>
                    <w:ind w:firstLine="0" w:firstLineChars="0"/>
                    <w:jc w:val="center"/>
                    <w:rPr>
                      <w:rFonts w:cs="Times New Roman"/>
                      <w:sz w:val="18"/>
                    </w:rPr>
                  </w:pPr>
                  <w:r>
                    <w:rPr>
                      <w:rFonts w:hint="eastAsia" w:cs="Times New Roman"/>
                      <w:sz w:val="18"/>
                    </w:rPr>
                    <w:t>54</w:t>
                  </w:r>
                </w:p>
              </w:tc>
            </w:tr>
            <w:tr w14:paraId="43D1146C">
              <w:trPr>
                <w:trHeight w:val="340" w:hRule="atLeast"/>
                <w:jc w:val="center"/>
              </w:trPr>
              <w:tc>
                <w:tcPr>
                  <w:tcW w:w="576" w:type="pct"/>
                  <w:tcBorders>
                    <w:top w:val="single" w:color="auto" w:sz="4" w:space="0"/>
                    <w:left w:val="single" w:color="auto" w:sz="4" w:space="0"/>
                    <w:bottom w:val="single" w:color="auto" w:sz="4" w:space="0"/>
                    <w:right w:val="single" w:color="auto" w:sz="4" w:space="0"/>
                  </w:tcBorders>
                  <w:vAlign w:val="center"/>
                </w:tcPr>
                <w:p w14:paraId="0CC2C95F">
                  <w:pPr>
                    <w:spacing w:line="240" w:lineRule="auto"/>
                    <w:ind w:firstLine="0" w:firstLineChars="0"/>
                    <w:jc w:val="center"/>
                    <w:rPr>
                      <w:rFonts w:cs="Times New Roman"/>
                      <w:sz w:val="18"/>
                    </w:rPr>
                  </w:pPr>
                  <w:r>
                    <w:rPr>
                      <w:rFonts w:hint="eastAsia" w:cs="Times New Roman"/>
                      <w:sz w:val="18"/>
                    </w:rPr>
                    <w:t>4#</w:t>
                  </w:r>
                </w:p>
              </w:tc>
              <w:tc>
                <w:tcPr>
                  <w:tcW w:w="759" w:type="pct"/>
                  <w:tcBorders>
                    <w:top w:val="single" w:color="auto" w:sz="4" w:space="0"/>
                    <w:left w:val="single" w:color="auto" w:sz="4" w:space="0"/>
                    <w:bottom w:val="single" w:color="auto" w:sz="4" w:space="0"/>
                    <w:right w:val="single" w:color="auto" w:sz="4" w:space="0"/>
                  </w:tcBorders>
                  <w:vAlign w:val="center"/>
                </w:tcPr>
                <w:p w14:paraId="27B3F7D6">
                  <w:pPr>
                    <w:spacing w:line="240" w:lineRule="auto"/>
                    <w:ind w:firstLine="0" w:firstLineChars="0"/>
                    <w:jc w:val="center"/>
                    <w:rPr>
                      <w:rFonts w:cs="Times New Roman"/>
                      <w:sz w:val="18"/>
                    </w:rPr>
                  </w:pPr>
                  <w:r>
                    <w:rPr>
                      <w:rFonts w:hint="eastAsia" w:cs="Times New Roman"/>
                      <w:sz w:val="18"/>
                    </w:rPr>
                    <w:t>厂界北</w:t>
                  </w:r>
                </w:p>
              </w:tc>
              <w:tc>
                <w:tcPr>
                  <w:tcW w:w="999" w:type="pct"/>
                  <w:tcBorders>
                    <w:top w:val="single" w:color="auto" w:sz="4" w:space="0"/>
                    <w:left w:val="single" w:color="auto" w:sz="4" w:space="0"/>
                    <w:bottom w:val="single" w:color="auto" w:sz="4" w:space="0"/>
                    <w:right w:val="single" w:color="auto" w:sz="4" w:space="0"/>
                  </w:tcBorders>
                  <w:vAlign w:val="center"/>
                </w:tcPr>
                <w:p w14:paraId="3E379AAB">
                  <w:pPr>
                    <w:spacing w:line="240" w:lineRule="auto"/>
                    <w:ind w:firstLine="0" w:firstLineChars="0"/>
                    <w:jc w:val="center"/>
                    <w:rPr>
                      <w:rFonts w:cs="Times New Roman"/>
                      <w:sz w:val="18"/>
                    </w:rPr>
                  </w:pPr>
                  <w:r>
                    <w:rPr>
                      <w:rFonts w:hint="eastAsia" w:cs="Times New Roman"/>
                      <w:sz w:val="18"/>
                    </w:rPr>
                    <w:t>设备运转</w:t>
                  </w:r>
                </w:p>
              </w:tc>
              <w:tc>
                <w:tcPr>
                  <w:tcW w:w="1352" w:type="pct"/>
                  <w:tcBorders>
                    <w:top w:val="single" w:color="auto" w:sz="4" w:space="0"/>
                    <w:left w:val="single" w:color="auto" w:sz="4" w:space="0"/>
                    <w:bottom w:val="single" w:color="auto" w:sz="4" w:space="0"/>
                    <w:right w:val="single" w:color="auto" w:sz="4" w:space="0"/>
                  </w:tcBorders>
                  <w:vAlign w:val="center"/>
                </w:tcPr>
                <w:p w14:paraId="7635685C">
                  <w:pPr>
                    <w:spacing w:line="240" w:lineRule="auto"/>
                    <w:ind w:firstLine="0" w:firstLineChars="0"/>
                    <w:jc w:val="center"/>
                    <w:rPr>
                      <w:rFonts w:cs="Times New Roman"/>
                      <w:sz w:val="18"/>
                    </w:rPr>
                  </w:pPr>
                  <w:r>
                    <w:rPr>
                      <w:rFonts w:hint="eastAsia" w:cs="Times New Roman"/>
                      <w:sz w:val="18"/>
                    </w:rPr>
                    <w:t>15:51</w:t>
                  </w:r>
                </w:p>
              </w:tc>
              <w:tc>
                <w:tcPr>
                  <w:tcW w:w="1311" w:type="pct"/>
                  <w:tcBorders>
                    <w:top w:val="single" w:color="auto" w:sz="4" w:space="0"/>
                    <w:left w:val="single" w:color="auto" w:sz="4" w:space="0"/>
                    <w:bottom w:val="single" w:color="auto" w:sz="4" w:space="0"/>
                    <w:right w:val="single" w:color="auto" w:sz="4" w:space="0"/>
                  </w:tcBorders>
                  <w:vAlign w:val="center"/>
                </w:tcPr>
                <w:p w14:paraId="79F1943E">
                  <w:pPr>
                    <w:spacing w:line="240" w:lineRule="auto"/>
                    <w:ind w:firstLine="0" w:firstLineChars="0"/>
                    <w:jc w:val="center"/>
                    <w:rPr>
                      <w:rFonts w:cs="Times New Roman"/>
                      <w:sz w:val="18"/>
                    </w:rPr>
                  </w:pPr>
                  <w:r>
                    <w:rPr>
                      <w:rFonts w:hint="eastAsia" w:cs="Times New Roman"/>
                      <w:sz w:val="18"/>
                    </w:rPr>
                    <w:t>56</w:t>
                  </w:r>
                </w:p>
              </w:tc>
            </w:tr>
            <w:tr w14:paraId="4888BE79">
              <w:trPr>
                <w:trHeight w:val="340" w:hRule="atLeast"/>
                <w:jc w:val="center"/>
              </w:trPr>
              <w:tc>
                <w:tcPr>
                  <w:tcW w:w="5000" w:type="pct"/>
                  <w:gridSpan w:val="5"/>
                  <w:tcBorders>
                    <w:top w:val="single" w:color="auto" w:sz="4" w:space="0"/>
                    <w:left w:val="single" w:color="auto" w:sz="4" w:space="0"/>
                    <w:bottom w:val="single" w:color="auto" w:sz="4" w:space="0"/>
                    <w:right w:val="single" w:color="auto" w:sz="4" w:space="0"/>
                  </w:tcBorders>
                  <w:vAlign w:val="center"/>
                </w:tcPr>
                <w:p w14:paraId="47093D7D">
                  <w:pPr>
                    <w:spacing w:line="240" w:lineRule="auto"/>
                    <w:ind w:firstLine="0" w:firstLineChars="0"/>
                    <w:jc w:val="both"/>
                    <w:rPr>
                      <w:rFonts w:cs="Times New Roman"/>
                      <w:sz w:val="18"/>
                    </w:rPr>
                  </w:pPr>
                  <w:r>
                    <w:rPr>
                      <w:rFonts w:hint="eastAsia" w:cs="Times New Roman"/>
                      <w:sz w:val="18"/>
                    </w:rPr>
                    <w:t>备注：监测时间为2024年10月31日，因建设单位实际夜间未生产，故未检测夜间噪声值。</w:t>
                  </w:r>
                </w:p>
              </w:tc>
            </w:tr>
          </w:tbl>
          <w:p w14:paraId="41000E89">
            <w:pPr>
              <w:ind w:firstLine="480"/>
              <w:jc w:val="both"/>
            </w:pPr>
            <w:r>
              <w:t>根据监测结果，</w:t>
            </w:r>
            <w:r>
              <w:rPr>
                <w:rFonts w:hint="eastAsia"/>
              </w:rPr>
              <w:t>现有项目东厂界噪声排放符合</w:t>
            </w:r>
            <w:r>
              <w:rPr>
                <w:rFonts w:hint="eastAsia" w:cs="Times New Roman"/>
              </w:rPr>
              <w:t>《工业企业厂界环境噪声排放标准》(GB12348-2008)中</w:t>
            </w:r>
            <w:r>
              <w:rPr>
                <w:rFonts w:hint="eastAsia"/>
              </w:rPr>
              <w:t>4类排放限值要求；其余厂界噪声排放符合</w:t>
            </w:r>
            <w:r>
              <w:rPr>
                <w:rFonts w:hint="eastAsia" w:cs="Times New Roman"/>
              </w:rPr>
              <w:t>《工业企业厂界环境噪声排放标准》(GB12348-2008)中</w:t>
            </w:r>
            <w:r>
              <w:rPr>
                <w:rFonts w:hint="eastAsia"/>
              </w:rPr>
              <w:t>3类排放限值要求。</w:t>
            </w:r>
          </w:p>
          <w:p w14:paraId="3A3A6ACC">
            <w:pPr>
              <w:ind w:firstLine="480"/>
              <w:jc w:val="both"/>
              <w:rPr>
                <w:rFonts w:cs="Times New Roman"/>
              </w:rPr>
            </w:pPr>
            <w:r>
              <w:rPr>
                <w:rFonts w:cs="Times New Roman"/>
              </w:rPr>
              <w:t>④</w:t>
            </w:r>
            <w:r>
              <w:rPr>
                <w:rFonts w:hint="eastAsia" w:cs="Times New Roman"/>
              </w:rPr>
              <w:t>固体废物</w:t>
            </w:r>
          </w:p>
          <w:p w14:paraId="6E1FE375">
            <w:pPr>
              <w:widowControl/>
              <w:adjustRightInd w:val="0"/>
              <w:snapToGrid w:val="0"/>
              <w:spacing w:line="460" w:lineRule="exact"/>
              <w:ind w:firstLine="480"/>
              <w:jc w:val="both"/>
              <w:rPr>
                <w:rFonts w:ascii="Arial" w:hAnsi="Arial" w:cs="Arial"/>
                <w:kern w:val="2"/>
                <w:szCs w:val="20"/>
                <w:lang w:bidi="ar"/>
              </w:rPr>
            </w:pPr>
            <w:r>
              <w:rPr>
                <w:rFonts w:hint="eastAsia" w:ascii="Arial" w:hAnsi="Arial" w:cs="Arial"/>
                <w:kern w:val="2"/>
                <w:szCs w:val="20"/>
                <w:lang w:bidi="ar"/>
              </w:rPr>
              <w:t>企业固体废物包括原辅材料的包装固废、边角料、滤筒捕集的粉尘、废活性炭和员工生活垃圾。</w:t>
            </w:r>
          </w:p>
          <w:p w14:paraId="5865E70E">
            <w:pPr>
              <w:widowControl/>
              <w:adjustRightInd w:val="0"/>
              <w:snapToGrid w:val="0"/>
              <w:spacing w:line="460" w:lineRule="exact"/>
              <w:ind w:firstLine="480"/>
              <w:jc w:val="both"/>
              <w:rPr>
                <w:rFonts w:ascii="Arial" w:hAnsi="Arial" w:cs="Arial"/>
                <w:kern w:val="2"/>
                <w:szCs w:val="20"/>
                <w:lang w:bidi="ar"/>
              </w:rPr>
            </w:pPr>
            <w:r>
              <w:rPr>
                <w:rFonts w:hint="eastAsia" w:ascii="Arial" w:hAnsi="Arial" w:cs="Arial"/>
                <w:kern w:val="2"/>
                <w:szCs w:val="20"/>
                <w:lang w:bidi="ar"/>
              </w:rPr>
              <w:t>包装固废主要为来料的包装（尼龙袋：钛白粉包装袋、碳酸钙包装袋、树脂包装袋、聚乙烯蜡包装袋），企业经收集后由废品回收单位回收利用；颜料粉包装袋外售处置。废边角料由企业经回收后放入破碎机破碎成小块，然后与同类产品原料混合回用于生产。</w:t>
            </w:r>
          </w:p>
          <w:p w14:paraId="585DDF1F">
            <w:pPr>
              <w:widowControl/>
              <w:adjustRightInd w:val="0"/>
              <w:snapToGrid w:val="0"/>
              <w:spacing w:line="460" w:lineRule="exact"/>
              <w:ind w:firstLine="480"/>
              <w:jc w:val="both"/>
              <w:rPr>
                <w:rFonts w:ascii="Arial" w:hAnsi="Arial" w:cs="Arial"/>
                <w:kern w:val="2"/>
                <w:szCs w:val="20"/>
                <w:lang w:bidi="ar"/>
              </w:rPr>
            </w:pPr>
            <w:r>
              <w:rPr>
                <w:rFonts w:hint="eastAsia" w:ascii="Arial" w:hAnsi="Arial" w:cs="Arial"/>
                <w:bCs/>
                <w:kern w:val="2"/>
                <w:szCs w:val="20"/>
                <w:lang w:bidi="ar"/>
              </w:rPr>
              <w:t>企业设置危废暂存间，并做好防渗、防漏等措施，废滤网、废机油、废油桶、废活性炭等危险废物委托杭州立佳环境服务有限公司处置。</w:t>
            </w:r>
            <w:r>
              <w:rPr>
                <w:rFonts w:hint="eastAsia" w:ascii="Arial" w:hAnsi="Arial" w:cs="Arial"/>
                <w:kern w:val="2"/>
                <w:szCs w:val="20"/>
                <w:lang w:bidi="ar"/>
              </w:rPr>
              <w:t>脉冲滤筒除尘器捕集的粉尘外售综合利用。</w:t>
            </w:r>
          </w:p>
          <w:p w14:paraId="24459CB4">
            <w:pPr>
              <w:widowControl/>
              <w:adjustRightInd w:val="0"/>
              <w:snapToGrid w:val="0"/>
              <w:spacing w:line="460" w:lineRule="exact"/>
              <w:ind w:firstLine="480"/>
              <w:jc w:val="both"/>
            </w:pPr>
            <w:r>
              <w:rPr>
                <w:rFonts w:hint="eastAsia" w:ascii="Arial" w:hAnsi="Arial" w:cs="Arial"/>
                <w:kern w:val="2"/>
                <w:szCs w:val="20"/>
                <w:lang w:bidi="ar"/>
              </w:rPr>
              <w:t>生活垃圾企业委托当地环卫部门及时上门清运。</w:t>
            </w:r>
          </w:p>
          <w:p w14:paraId="1D996335">
            <w:pPr>
              <w:ind w:firstLine="480"/>
              <w:jc w:val="both"/>
            </w:pPr>
            <w:r>
              <w:rPr>
                <w:rFonts w:hint="eastAsia"/>
              </w:rPr>
              <w:t>7、现有项目总量达标情况</w:t>
            </w:r>
          </w:p>
          <w:p w14:paraId="207FBC7A">
            <w:pPr>
              <w:ind w:firstLine="480"/>
              <w:jc w:val="both"/>
            </w:pPr>
            <w:r>
              <w:t>根据企业提供的</w:t>
            </w:r>
            <w:r>
              <w:rPr>
                <w:rFonts w:hint="eastAsia"/>
              </w:rPr>
              <w:t>2024年用水量统计</w:t>
            </w:r>
            <w:r>
              <w:t>，企业年用水量为</w:t>
            </w:r>
            <w:r>
              <w:rPr>
                <w:rFonts w:hint="eastAsia"/>
              </w:rPr>
              <w:t>2100</w:t>
            </w:r>
            <w:r>
              <w:t>吨。企业用水量=冷却水+废气处理用水+生活用水，冷却水和废气处理用水循环使用，定期添加新鲜水，不排放。生活用水量约占总用水量的90%，则生活用水量约18</w:t>
            </w:r>
            <w:r>
              <w:rPr>
                <w:rFonts w:hint="eastAsia"/>
              </w:rPr>
              <w:t>90</w:t>
            </w:r>
            <w:r>
              <w:t>t/a，排水量以8</w:t>
            </w:r>
            <w:r>
              <w:rPr>
                <w:rFonts w:hint="eastAsia"/>
              </w:rPr>
              <w:t>0</w:t>
            </w:r>
            <w:r>
              <w:t>%计，废水排放量约为15</w:t>
            </w:r>
            <w:r>
              <w:rPr>
                <w:rFonts w:hint="eastAsia"/>
              </w:rPr>
              <w:t>12</w:t>
            </w:r>
            <w:r>
              <w:t>t/a。</w:t>
            </w:r>
          </w:p>
          <w:p w14:paraId="5F6E4E17">
            <w:pPr>
              <w:pStyle w:val="14"/>
              <w:numPr>
                <w:ilvl w:val="0"/>
                <w:numId w:val="6"/>
              </w:numPr>
              <w:spacing w:before="156"/>
              <w:ind w:firstLine="0"/>
            </w:pPr>
            <w:r>
              <w:rPr>
                <w:rFonts w:hint="eastAsia"/>
              </w:rPr>
              <w:t xml:space="preserve"> </w:t>
            </w:r>
            <w:r>
              <w:t xml:space="preserve"> </w:t>
            </w:r>
            <w:r>
              <w:rPr>
                <w:rFonts w:hint="eastAsia"/>
              </w:rPr>
              <w:t>本项目现有工程总量核算一览表</w:t>
            </w:r>
          </w:p>
          <w:tbl>
            <w:tblPr>
              <w:tblStyle w:val="9"/>
              <w:tblW w:w="7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498"/>
              <w:gridCol w:w="1746"/>
              <w:gridCol w:w="1516"/>
              <w:gridCol w:w="2015"/>
            </w:tblGrid>
            <w:tr w14:paraId="57B8D824">
              <w:trPr>
                <w:trHeight w:val="238" w:hRule="atLeast"/>
                <w:jc w:val="center"/>
              </w:trPr>
              <w:tc>
                <w:tcPr>
                  <w:tcW w:w="1067" w:type="dxa"/>
                  <w:vAlign w:val="center"/>
                </w:tcPr>
                <w:p w14:paraId="25B6A3EB">
                  <w:pPr>
                    <w:pStyle w:val="13"/>
                    <w:jc w:val="center"/>
                  </w:pPr>
                  <w:r>
                    <w:rPr>
                      <w:rFonts w:hint="eastAsia"/>
                    </w:rPr>
                    <w:t>类别</w:t>
                  </w:r>
                </w:p>
              </w:tc>
              <w:tc>
                <w:tcPr>
                  <w:tcW w:w="1498" w:type="dxa"/>
                  <w:vAlign w:val="center"/>
                </w:tcPr>
                <w:p w14:paraId="6ABB46DC">
                  <w:pPr>
                    <w:pStyle w:val="13"/>
                    <w:jc w:val="center"/>
                  </w:pPr>
                  <w:r>
                    <w:rPr>
                      <w:rFonts w:hint="eastAsia"/>
                    </w:rPr>
                    <w:t>污染物种类</w:t>
                  </w:r>
                </w:p>
              </w:tc>
              <w:tc>
                <w:tcPr>
                  <w:tcW w:w="1746" w:type="dxa"/>
                  <w:vAlign w:val="center"/>
                </w:tcPr>
                <w:p w14:paraId="2D9A539E">
                  <w:pPr>
                    <w:pStyle w:val="13"/>
                    <w:jc w:val="center"/>
                  </w:pPr>
                  <w:r>
                    <w:rPr>
                      <w:rFonts w:hint="eastAsia"/>
                    </w:rPr>
                    <w:t>原审批排放量</w:t>
                  </w:r>
                  <w:r>
                    <w:t>t/a</w:t>
                  </w:r>
                </w:p>
              </w:tc>
              <w:tc>
                <w:tcPr>
                  <w:tcW w:w="1516" w:type="dxa"/>
                  <w:vAlign w:val="center"/>
                </w:tcPr>
                <w:p w14:paraId="1486AB3E">
                  <w:pPr>
                    <w:pStyle w:val="13"/>
                    <w:jc w:val="center"/>
                  </w:pPr>
                  <w:r>
                    <w:rPr>
                      <w:rFonts w:hint="eastAsia"/>
                    </w:rPr>
                    <w:t>实际排放量</w:t>
                  </w:r>
                  <w:r>
                    <w:t>t/a</w:t>
                  </w:r>
                </w:p>
              </w:tc>
              <w:tc>
                <w:tcPr>
                  <w:tcW w:w="2015" w:type="dxa"/>
                  <w:vAlign w:val="center"/>
                </w:tcPr>
                <w:p w14:paraId="0D643102">
                  <w:pPr>
                    <w:pStyle w:val="13"/>
                    <w:jc w:val="center"/>
                  </w:pPr>
                  <w:r>
                    <w:rPr>
                      <w:rFonts w:hint="eastAsia"/>
                    </w:rPr>
                    <w:t>是否超标</w:t>
                  </w:r>
                </w:p>
              </w:tc>
            </w:tr>
            <w:tr w14:paraId="2172E8E1">
              <w:trPr>
                <w:trHeight w:val="238" w:hRule="atLeast"/>
                <w:jc w:val="center"/>
              </w:trPr>
              <w:tc>
                <w:tcPr>
                  <w:tcW w:w="1067" w:type="dxa"/>
                  <w:vMerge w:val="restart"/>
                  <w:vAlign w:val="center"/>
                </w:tcPr>
                <w:p w14:paraId="6948C2AE">
                  <w:pPr>
                    <w:pStyle w:val="13"/>
                    <w:jc w:val="center"/>
                  </w:pPr>
                  <w:r>
                    <w:rPr>
                      <w:rFonts w:hint="eastAsia"/>
                    </w:rPr>
                    <w:t>生活废水</w:t>
                  </w:r>
                </w:p>
              </w:tc>
              <w:tc>
                <w:tcPr>
                  <w:tcW w:w="1498" w:type="dxa"/>
                  <w:vAlign w:val="center"/>
                </w:tcPr>
                <w:p w14:paraId="276172BE">
                  <w:pPr>
                    <w:pStyle w:val="13"/>
                    <w:jc w:val="center"/>
                  </w:pPr>
                  <w:r>
                    <w:rPr>
                      <w:rFonts w:hint="eastAsia"/>
                    </w:rPr>
                    <w:t>废水量</w:t>
                  </w:r>
                </w:p>
              </w:tc>
              <w:tc>
                <w:tcPr>
                  <w:tcW w:w="1746" w:type="dxa"/>
                  <w:vAlign w:val="center"/>
                </w:tcPr>
                <w:p w14:paraId="607B9B38">
                  <w:pPr>
                    <w:pStyle w:val="13"/>
                    <w:jc w:val="center"/>
                  </w:pPr>
                  <w:r>
                    <w:t>1531.5</w:t>
                  </w:r>
                </w:p>
              </w:tc>
              <w:tc>
                <w:tcPr>
                  <w:tcW w:w="1516" w:type="dxa"/>
                  <w:vAlign w:val="center"/>
                </w:tcPr>
                <w:p w14:paraId="00FE9607">
                  <w:pPr>
                    <w:pStyle w:val="13"/>
                    <w:jc w:val="center"/>
                  </w:pPr>
                  <w:r>
                    <w:t>1512</w:t>
                  </w:r>
                </w:p>
              </w:tc>
              <w:tc>
                <w:tcPr>
                  <w:tcW w:w="2015" w:type="dxa"/>
                  <w:vAlign w:val="center"/>
                </w:tcPr>
                <w:p w14:paraId="41CE467C">
                  <w:pPr>
                    <w:pStyle w:val="13"/>
                    <w:jc w:val="center"/>
                  </w:pPr>
                  <w:r>
                    <w:rPr>
                      <w:rFonts w:hint="eastAsia"/>
                    </w:rPr>
                    <w:t>未超过</w:t>
                  </w:r>
                </w:p>
              </w:tc>
            </w:tr>
            <w:tr w14:paraId="1B881FD1">
              <w:trPr>
                <w:trHeight w:val="238" w:hRule="atLeast"/>
                <w:jc w:val="center"/>
              </w:trPr>
              <w:tc>
                <w:tcPr>
                  <w:tcW w:w="1067" w:type="dxa"/>
                  <w:vMerge w:val="continue"/>
                  <w:vAlign w:val="center"/>
                </w:tcPr>
                <w:p w14:paraId="505CB8E8">
                  <w:pPr>
                    <w:pStyle w:val="13"/>
                    <w:jc w:val="center"/>
                  </w:pPr>
                </w:p>
              </w:tc>
              <w:tc>
                <w:tcPr>
                  <w:tcW w:w="1498" w:type="dxa"/>
                  <w:vAlign w:val="center"/>
                </w:tcPr>
                <w:p w14:paraId="102E8CD4">
                  <w:pPr>
                    <w:pStyle w:val="13"/>
                    <w:jc w:val="center"/>
                  </w:pPr>
                  <w:r>
                    <w:t>COD</w:t>
                  </w:r>
                </w:p>
              </w:tc>
              <w:tc>
                <w:tcPr>
                  <w:tcW w:w="1746" w:type="dxa"/>
                  <w:vAlign w:val="center"/>
                </w:tcPr>
                <w:p w14:paraId="64DD4DBF">
                  <w:pPr>
                    <w:pStyle w:val="13"/>
                    <w:jc w:val="center"/>
                  </w:pPr>
                  <w:r>
                    <w:t>0.061</w:t>
                  </w:r>
                </w:p>
              </w:tc>
              <w:tc>
                <w:tcPr>
                  <w:tcW w:w="1516" w:type="dxa"/>
                  <w:vAlign w:val="center"/>
                </w:tcPr>
                <w:p w14:paraId="18FC8316">
                  <w:pPr>
                    <w:pStyle w:val="13"/>
                    <w:jc w:val="center"/>
                  </w:pPr>
                  <w:r>
                    <w:t>0.060</w:t>
                  </w:r>
                </w:p>
              </w:tc>
              <w:tc>
                <w:tcPr>
                  <w:tcW w:w="2015" w:type="dxa"/>
                  <w:vAlign w:val="center"/>
                </w:tcPr>
                <w:p w14:paraId="2A3DAFA5">
                  <w:pPr>
                    <w:pStyle w:val="13"/>
                    <w:jc w:val="center"/>
                  </w:pPr>
                  <w:r>
                    <w:rPr>
                      <w:rFonts w:hint="eastAsia"/>
                    </w:rPr>
                    <w:t>未超过</w:t>
                  </w:r>
                </w:p>
              </w:tc>
            </w:tr>
            <w:tr w14:paraId="4AFF837D">
              <w:trPr>
                <w:trHeight w:val="238" w:hRule="atLeast"/>
                <w:jc w:val="center"/>
              </w:trPr>
              <w:tc>
                <w:tcPr>
                  <w:tcW w:w="1067" w:type="dxa"/>
                  <w:vMerge w:val="continue"/>
                  <w:vAlign w:val="center"/>
                </w:tcPr>
                <w:p w14:paraId="5039445B">
                  <w:pPr>
                    <w:pStyle w:val="13"/>
                    <w:jc w:val="center"/>
                  </w:pPr>
                </w:p>
              </w:tc>
              <w:tc>
                <w:tcPr>
                  <w:tcW w:w="1498" w:type="dxa"/>
                  <w:vAlign w:val="center"/>
                </w:tcPr>
                <w:p w14:paraId="40003013">
                  <w:pPr>
                    <w:pStyle w:val="13"/>
                    <w:jc w:val="center"/>
                  </w:pPr>
                  <w:r>
                    <w:t>NH</w:t>
                  </w:r>
                  <w:r>
                    <w:rPr>
                      <w:vertAlign w:val="subscript"/>
                    </w:rPr>
                    <w:t>3</w:t>
                  </w:r>
                  <w:r>
                    <w:t>-N</w:t>
                  </w:r>
                </w:p>
              </w:tc>
              <w:tc>
                <w:tcPr>
                  <w:tcW w:w="1746" w:type="dxa"/>
                  <w:vAlign w:val="center"/>
                </w:tcPr>
                <w:p w14:paraId="62411AA6">
                  <w:pPr>
                    <w:pStyle w:val="13"/>
                    <w:jc w:val="center"/>
                  </w:pPr>
                  <w:r>
                    <w:t>0.003</w:t>
                  </w:r>
                </w:p>
              </w:tc>
              <w:tc>
                <w:tcPr>
                  <w:tcW w:w="1516" w:type="dxa"/>
                  <w:vAlign w:val="center"/>
                </w:tcPr>
                <w:p w14:paraId="76A832A9">
                  <w:pPr>
                    <w:pStyle w:val="13"/>
                    <w:jc w:val="center"/>
                  </w:pPr>
                  <w:r>
                    <w:t>0.003</w:t>
                  </w:r>
                </w:p>
              </w:tc>
              <w:tc>
                <w:tcPr>
                  <w:tcW w:w="2015" w:type="dxa"/>
                  <w:vAlign w:val="center"/>
                </w:tcPr>
                <w:p w14:paraId="2DAC6DDD">
                  <w:pPr>
                    <w:pStyle w:val="13"/>
                    <w:jc w:val="center"/>
                  </w:pPr>
                  <w:r>
                    <w:rPr>
                      <w:rFonts w:hint="eastAsia"/>
                    </w:rPr>
                    <w:t>未超过</w:t>
                  </w:r>
                </w:p>
              </w:tc>
            </w:tr>
            <w:tr w14:paraId="09919843">
              <w:trPr>
                <w:trHeight w:val="238" w:hRule="atLeast"/>
                <w:jc w:val="center"/>
              </w:trPr>
              <w:tc>
                <w:tcPr>
                  <w:tcW w:w="1067" w:type="dxa"/>
                  <w:vAlign w:val="center"/>
                </w:tcPr>
                <w:p w14:paraId="476421D6">
                  <w:pPr>
                    <w:pStyle w:val="13"/>
                    <w:jc w:val="center"/>
                  </w:pPr>
                  <w:r>
                    <w:rPr>
                      <w:rFonts w:hint="eastAsia"/>
                    </w:rPr>
                    <w:t>废气</w:t>
                  </w:r>
                </w:p>
              </w:tc>
              <w:tc>
                <w:tcPr>
                  <w:tcW w:w="1498" w:type="dxa"/>
                  <w:vAlign w:val="center"/>
                </w:tcPr>
                <w:p w14:paraId="6772D6E5">
                  <w:pPr>
                    <w:pStyle w:val="13"/>
                    <w:jc w:val="center"/>
                  </w:pPr>
                  <w:r>
                    <w:t>VOCs</w:t>
                  </w:r>
                </w:p>
              </w:tc>
              <w:tc>
                <w:tcPr>
                  <w:tcW w:w="1746" w:type="dxa"/>
                  <w:vAlign w:val="center"/>
                </w:tcPr>
                <w:p w14:paraId="3BAB0C52">
                  <w:pPr>
                    <w:pStyle w:val="13"/>
                    <w:jc w:val="center"/>
                  </w:pPr>
                  <w:r>
                    <w:t>0.893</w:t>
                  </w:r>
                </w:p>
              </w:tc>
              <w:tc>
                <w:tcPr>
                  <w:tcW w:w="1516" w:type="dxa"/>
                  <w:vAlign w:val="center"/>
                </w:tcPr>
                <w:p w14:paraId="2C048CAB">
                  <w:pPr>
                    <w:pStyle w:val="13"/>
                    <w:jc w:val="center"/>
                  </w:pPr>
                  <w:r>
                    <w:rPr>
                      <w:rFonts w:hint="eastAsia"/>
                    </w:rPr>
                    <w:t>0.790</w:t>
                  </w:r>
                </w:p>
              </w:tc>
              <w:tc>
                <w:tcPr>
                  <w:tcW w:w="2015" w:type="dxa"/>
                  <w:vAlign w:val="center"/>
                </w:tcPr>
                <w:p w14:paraId="45953EA8">
                  <w:pPr>
                    <w:pStyle w:val="13"/>
                    <w:jc w:val="center"/>
                  </w:pPr>
                  <w:r>
                    <w:rPr>
                      <w:rFonts w:hint="eastAsia"/>
                    </w:rPr>
                    <w:t>未超过</w:t>
                  </w:r>
                </w:p>
              </w:tc>
            </w:tr>
            <w:tr w14:paraId="3D4CAA58">
              <w:trPr>
                <w:trHeight w:val="238" w:hRule="atLeast"/>
                <w:jc w:val="center"/>
              </w:trPr>
              <w:tc>
                <w:tcPr>
                  <w:tcW w:w="7842" w:type="dxa"/>
                  <w:gridSpan w:val="5"/>
                  <w:vAlign w:val="center"/>
                </w:tcPr>
                <w:p w14:paraId="318B0507">
                  <w:pPr>
                    <w:pStyle w:val="13"/>
                    <w:jc w:val="both"/>
                  </w:pPr>
                  <w:r>
                    <w:rPr>
                      <w:rFonts w:hint="eastAsia"/>
                    </w:rPr>
                    <w:t>备注：VOCs根据排气筒平均排放速率×年工作时间计算，检测工况按照90%计算，无组织排放量按照原环评核算量0.47t/a计算。</w:t>
                  </w:r>
                </w:p>
              </w:tc>
            </w:tr>
          </w:tbl>
          <w:p w14:paraId="412FD2C7">
            <w:pPr>
              <w:ind w:firstLine="480"/>
              <w:jc w:val="both"/>
            </w:pPr>
            <w:r>
              <w:t>根据梳理分析，本项目污染物均未超出原环评审批总量指标。</w:t>
            </w:r>
          </w:p>
        </w:tc>
      </w:tr>
    </w:tbl>
    <w:p w14:paraId="77D8DD3B">
      <w:pPr>
        <w:ind w:firstLine="0" w:firstLineChars="0"/>
        <w:jc w:val="both"/>
        <w:sectPr>
          <w:pgSz w:w="11906" w:h="16838"/>
          <w:pgMar w:top="1440" w:right="1800" w:bottom="1440" w:left="1800" w:header="851" w:footer="992" w:gutter="0"/>
          <w:cols w:space="425" w:num="1"/>
          <w:docGrid w:type="lines" w:linePitch="312" w:charSpace="0"/>
        </w:sectPr>
      </w:pPr>
    </w:p>
    <w:p w14:paraId="55AC1180">
      <w:pPr>
        <w:pStyle w:val="3"/>
        <w:numPr>
          <w:ilvl w:val="0"/>
          <w:numId w:val="2"/>
        </w:numPr>
      </w:pPr>
      <w:bookmarkStart w:id="5" w:name="_Toc19366"/>
      <w:r>
        <w:rPr>
          <w:rFonts w:hint="eastAsia"/>
        </w:rPr>
        <w:t>区域环境质量现状、环境保护目标及评价标准</w:t>
      </w:r>
      <w:bookmarkEnd w:id="5"/>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8010"/>
      </w:tblGrid>
      <w:tr w14:paraId="596B78AC">
        <w:tc>
          <w:tcPr>
            <w:tcW w:w="512" w:type="dxa"/>
            <w:vAlign w:val="center"/>
          </w:tcPr>
          <w:p w14:paraId="45283916">
            <w:pPr>
              <w:pStyle w:val="2"/>
              <w:spacing w:line="240" w:lineRule="auto"/>
              <w:jc w:val="center"/>
            </w:pPr>
            <w:r>
              <w:rPr>
                <w:rFonts w:hint="eastAsia"/>
                <w:sz w:val="24"/>
                <w:szCs w:val="24"/>
              </w:rPr>
              <w:t>区域环境质量现状</w:t>
            </w:r>
          </w:p>
        </w:tc>
        <w:tc>
          <w:tcPr>
            <w:tcW w:w="8010" w:type="dxa"/>
          </w:tcPr>
          <w:p w14:paraId="3322D5D0">
            <w:pPr>
              <w:ind w:firstLine="480"/>
              <w:jc w:val="both"/>
            </w:pPr>
            <w:r>
              <w:rPr>
                <w:rFonts w:hint="eastAsia"/>
              </w:rPr>
              <w:t>1、大气环境质量现状</w:t>
            </w:r>
          </w:p>
          <w:p w14:paraId="5A7157B7">
            <w:pPr>
              <w:ind w:firstLine="480"/>
              <w:jc w:val="both"/>
            </w:pPr>
            <w:r>
              <w:rPr>
                <w:rFonts w:hint="eastAsia"/>
              </w:rPr>
              <w:t>(1) 基本污染物环境质量现状</w:t>
            </w:r>
          </w:p>
          <w:p w14:paraId="493EE870">
            <w:pPr>
              <w:ind w:firstLine="480"/>
              <w:jc w:val="both"/>
            </w:pPr>
            <w:r>
              <w:t>①</w:t>
            </w:r>
            <w:r>
              <w:rPr>
                <w:rFonts w:hint="eastAsia"/>
              </w:rPr>
              <w:t>达标区判定</w:t>
            </w:r>
          </w:p>
          <w:p w14:paraId="0D67EC2E">
            <w:pPr>
              <w:ind w:firstLine="480"/>
              <w:jc w:val="both"/>
              <w:rPr>
                <w:rFonts w:cs="Times New Roman"/>
                <w:szCs w:val="21"/>
              </w:rPr>
            </w:pPr>
            <w:r>
              <w:rPr>
                <w:rFonts w:hint="eastAsia"/>
                <w:szCs w:val="21"/>
              </w:rPr>
              <w:t>根</w:t>
            </w:r>
            <w:r>
              <w:rPr>
                <w:rFonts w:cs="Times New Roman"/>
                <w:szCs w:val="21"/>
              </w:rPr>
              <w:t>据《2024年杭州市余杭区生态环境状况公报》，2024年，余杭区环境空气优良率83.7%，同比下降3.6个百分点；PM</w:t>
            </w:r>
            <w:r>
              <w:rPr>
                <w:rFonts w:cs="Times New Roman"/>
                <w:szCs w:val="21"/>
                <w:vertAlign w:val="subscript"/>
              </w:rPr>
              <w:t>2.5</w:t>
            </w:r>
            <w:r>
              <w:rPr>
                <w:rFonts w:cs="Times New Roman"/>
                <w:szCs w:val="21"/>
              </w:rPr>
              <w:t>平均浓度29.0uμg/m</w:t>
            </w:r>
            <w:r>
              <w:rPr>
                <w:rFonts w:cs="Times New Roman"/>
                <w:szCs w:val="21"/>
                <w:vertAlign w:val="superscript"/>
              </w:rPr>
              <w:t>3</w:t>
            </w:r>
            <w:r>
              <w:rPr>
                <w:rFonts w:cs="Times New Roman"/>
                <w:szCs w:val="21"/>
              </w:rPr>
              <w:t>，同比下降2.3μg/m</w:t>
            </w:r>
            <w:r>
              <w:rPr>
                <w:rFonts w:cs="Times New Roman"/>
                <w:szCs w:val="21"/>
                <w:vertAlign w:val="superscript"/>
              </w:rPr>
              <w:t>3</w:t>
            </w:r>
            <w:r>
              <w:rPr>
                <w:rFonts w:cs="Times New Roman"/>
                <w:szCs w:val="21"/>
              </w:rPr>
              <w:t>，降幅7.3%；PM</w:t>
            </w:r>
            <w:r>
              <w:rPr>
                <w:rFonts w:cs="Times New Roman"/>
                <w:szCs w:val="21"/>
                <w:vertAlign w:val="subscript"/>
              </w:rPr>
              <w:t>10</w:t>
            </w:r>
            <w:r>
              <w:rPr>
                <w:rFonts w:cs="Times New Roman"/>
                <w:szCs w:val="21"/>
              </w:rPr>
              <w:t>平均浓度43.7μg/m</w:t>
            </w:r>
            <w:r>
              <w:rPr>
                <w:rFonts w:cs="Times New Roman"/>
                <w:szCs w:val="21"/>
                <w:vertAlign w:val="superscript"/>
              </w:rPr>
              <w:t>3</w:t>
            </w:r>
            <w:r>
              <w:rPr>
                <w:rFonts w:cs="Times New Roman"/>
                <w:szCs w:val="21"/>
              </w:rPr>
              <w:t>，同比下降9.7μg/m</w:t>
            </w:r>
            <w:r>
              <w:rPr>
                <w:rFonts w:cs="Times New Roman"/>
                <w:szCs w:val="21"/>
                <w:vertAlign w:val="superscript"/>
              </w:rPr>
              <w:t>3</w:t>
            </w:r>
            <w:r>
              <w:rPr>
                <w:rFonts w:cs="Times New Roman"/>
                <w:szCs w:val="21"/>
              </w:rPr>
              <w:t>，降幅18.2%；O</w:t>
            </w:r>
            <w:r>
              <w:rPr>
                <w:rFonts w:cs="Times New Roman"/>
                <w:szCs w:val="21"/>
                <w:vertAlign w:val="subscript"/>
              </w:rPr>
              <w:t>3</w:t>
            </w:r>
            <w:r>
              <w:rPr>
                <w:rFonts w:cs="Times New Roman"/>
                <w:szCs w:val="21"/>
              </w:rPr>
              <w:t>-90per浓度为164μg/m</w:t>
            </w:r>
            <w:r>
              <w:rPr>
                <w:rFonts w:cs="Times New Roman"/>
                <w:szCs w:val="21"/>
                <w:vertAlign w:val="superscript"/>
              </w:rPr>
              <w:t>3</w:t>
            </w:r>
            <w:r>
              <w:rPr>
                <w:rFonts w:cs="Times New Roman"/>
                <w:szCs w:val="21"/>
              </w:rPr>
              <w:t>，同比上升6μg/m</w:t>
            </w:r>
            <w:r>
              <w:rPr>
                <w:rFonts w:cs="Times New Roman"/>
                <w:szCs w:val="21"/>
                <w:vertAlign w:val="superscript"/>
              </w:rPr>
              <w:t>3</w:t>
            </w:r>
            <w:r>
              <w:rPr>
                <w:rFonts w:cs="Times New Roman"/>
                <w:szCs w:val="21"/>
              </w:rPr>
              <w:t>，涨幅3.8%。SO</w:t>
            </w:r>
            <w:r>
              <w:rPr>
                <w:rFonts w:cs="Times New Roman"/>
                <w:szCs w:val="21"/>
                <w:vertAlign w:val="subscript"/>
              </w:rPr>
              <w:t>2</w:t>
            </w:r>
            <w:r>
              <w:rPr>
                <w:rFonts w:cs="Times New Roman"/>
                <w:szCs w:val="21"/>
              </w:rPr>
              <w:t>和NO</w:t>
            </w:r>
            <w:r>
              <w:rPr>
                <w:rFonts w:cs="Times New Roman"/>
                <w:szCs w:val="21"/>
                <w:vertAlign w:val="subscript"/>
              </w:rPr>
              <w:t>2</w:t>
            </w:r>
            <w:r>
              <w:rPr>
                <w:rFonts w:cs="Times New Roman"/>
                <w:szCs w:val="21"/>
              </w:rPr>
              <w:t>年平均浓度达到一级标准，PM</w:t>
            </w:r>
            <w:r>
              <w:rPr>
                <w:rFonts w:cs="Times New Roman"/>
                <w:szCs w:val="21"/>
                <w:vertAlign w:val="subscript"/>
              </w:rPr>
              <w:t>2.5</w:t>
            </w:r>
            <w:r>
              <w:rPr>
                <w:rFonts w:cs="Times New Roman"/>
                <w:szCs w:val="21"/>
              </w:rPr>
              <w:t>、PM</w:t>
            </w:r>
            <w:r>
              <w:rPr>
                <w:rFonts w:cs="Times New Roman"/>
                <w:szCs w:val="21"/>
                <w:vertAlign w:val="subscript"/>
              </w:rPr>
              <w:t>10</w:t>
            </w:r>
            <w:r>
              <w:rPr>
                <w:rFonts w:cs="Times New Roman"/>
                <w:szCs w:val="21"/>
              </w:rPr>
              <w:t>年平均浓度达到二级标准。综上所述，2024年余杭区环境空气质量为不达标区，超标污染物是臭氧。</w:t>
            </w:r>
          </w:p>
          <w:p w14:paraId="66DC4BDE">
            <w:pPr>
              <w:ind w:firstLine="480"/>
              <w:jc w:val="both"/>
            </w:pPr>
            <w:r>
              <w:t>根据《余杭区环境空气质量提质进位三年行动方案（2024-2026年）》，为提升区域大气环境质量，拟采取</w:t>
            </w:r>
            <w:r>
              <w:rPr>
                <w:rFonts w:hint="eastAsia"/>
              </w:rPr>
              <w:t>以下</w:t>
            </w:r>
            <w:r>
              <w:t>措施：</w:t>
            </w:r>
          </w:p>
          <w:p w14:paraId="2C577577">
            <w:pPr>
              <w:ind w:firstLine="480"/>
              <w:jc w:val="both"/>
            </w:pPr>
            <w:r>
              <w:t>（1）工业源减排：完成207个省市减排任务、142个区级项目，淘汰3台2蒸吨生物质锅炉，推进活性炭集中再生与氮氧化物深度治理。​</w:t>
            </w:r>
          </w:p>
          <w:p w14:paraId="32422CB3">
            <w:pPr>
              <w:ind w:firstLine="480"/>
              <w:jc w:val="both"/>
            </w:pPr>
            <w:r>
              <w:t>（2）扬尘源管控：技术赋能：部署公交车移动监测、无人机巡查、走航车监测等设备，建立工地扬尘预警处置机制；长效管理：实现颗粒物异常的快速闭环处置，良渚论坛保障期间创同期PM₂.₅最优水平。​</w:t>
            </w:r>
          </w:p>
          <w:p w14:paraId="2FB99A08">
            <w:pPr>
              <w:ind w:firstLine="480"/>
              <w:jc w:val="both"/>
            </w:pPr>
            <w:r>
              <w:t>（3）移动源治理：淘汰国四及以下柴油车327辆、老旧非道机械301台。</w:t>
            </w:r>
          </w:p>
          <w:p w14:paraId="7E56F7EC">
            <w:pPr>
              <w:ind w:firstLine="480"/>
              <w:jc w:val="both"/>
            </w:pPr>
            <w:r>
              <w:t>（4）生活源整治：安装餐饮油烟在线监测189套，119家汽修企业纳入活性炭“绿岛”再生体系；建成62个高位瞭望设施，落实“1530”秸秆焚烧闭环处置</w:t>
            </w:r>
            <w:r>
              <w:rPr>
                <w:rFonts w:hint="eastAsia"/>
              </w:rPr>
              <w:t>机制。</w:t>
            </w:r>
          </w:p>
          <w:p w14:paraId="697222D3">
            <w:pPr>
              <w:ind w:firstLine="480"/>
              <w:jc w:val="both"/>
            </w:pPr>
            <w:r>
              <w:rPr>
                <w:rFonts w:hint="eastAsia"/>
              </w:rPr>
              <w:t>(2) 其他污染物环境质量现状评价</w:t>
            </w:r>
          </w:p>
          <w:p w14:paraId="5AAEEFDD">
            <w:pPr>
              <w:ind w:firstLine="480"/>
              <w:jc w:val="both"/>
            </w:pPr>
            <w:r>
              <w:t>TSP引用《</w:t>
            </w:r>
            <w:r>
              <w:rPr>
                <w:rFonts w:hint="eastAsia"/>
              </w:rPr>
              <w:t>余杭区栅庄桥临时渣土码头扩建项目</w:t>
            </w:r>
            <w:r>
              <w:t>》大气环境</w:t>
            </w:r>
            <w:r>
              <w:rPr>
                <w:rFonts w:hint="eastAsia"/>
              </w:rPr>
              <w:t>监测数据</w:t>
            </w:r>
            <w:r>
              <w:t>进行分析评价</w:t>
            </w:r>
            <w:r>
              <w:rPr>
                <w:rFonts w:hint="eastAsia"/>
              </w:rPr>
              <w:t>，监测日期为2023年8月26日~9月2日(报告编号：HJ23480)</w:t>
            </w:r>
            <w:r>
              <w:t>。</w:t>
            </w:r>
          </w:p>
          <w:p w14:paraId="0434CAC1">
            <w:pPr>
              <w:ind w:firstLine="480"/>
              <w:jc w:val="both"/>
            </w:pPr>
            <w:r>
              <w:rPr>
                <w:rFonts w:hint="eastAsia"/>
              </w:rPr>
              <w:t>监测点位及监测因子详见表3-1。</w:t>
            </w:r>
          </w:p>
          <w:p w14:paraId="7852FCF1">
            <w:pPr>
              <w:pStyle w:val="14"/>
              <w:numPr>
                <w:ilvl w:val="0"/>
                <w:numId w:val="8"/>
              </w:numPr>
              <w:tabs>
                <w:tab w:val="clear" w:pos="0"/>
              </w:tabs>
              <w:spacing w:before="156"/>
            </w:pPr>
            <w:r>
              <w:rPr>
                <w:rFonts w:hint="eastAsia"/>
              </w:rPr>
              <w:t xml:space="preserve">  大气环境质量监测点位及监测因子一览表</w:t>
            </w:r>
          </w:p>
          <w:tbl>
            <w:tblPr>
              <w:tblStyle w:val="15"/>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648"/>
              <w:gridCol w:w="1440"/>
              <w:gridCol w:w="959"/>
              <w:gridCol w:w="1088"/>
              <w:gridCol w:w="1645"/>
            </w:tblGrid>
            <w:tr w14:paraId="35A5566B">
              <w:trPr>
                <w:trHeight w:val="340" w:hRule="atLeast"/>
                <w:jc w:val="center"/>
              </w:trPr>
              <w:tc>
                <w:tcPr>
                  <w:tcW w:w="1701" w:type="pct"/>
                  <w:vAlign w:val="center"/>
                </w:tcPr>
                <w:p w14:paraId="22BE978C">
                  <w:pPr>
                    <w:spacing w:line="240" w:lineRule="auto"/>
                    <w:ind w:firstLine="0" w:firstLineChars="0"/>
                    <w:jc w:val="center"/>
                    <w:outlineLvl w:val="1"/>
                    <w:rPr>
                      <w:rFonts w:cs="Times New Roman"/>
                      <w:sz w:val="18"/>
                    </w:rPr>
                  </w:pPr>
                  <w:r>
                    <w:rPr>
                      <w:rFonts w:cs="Times New Roman"/>
                      <w:spacing w:val="7"/>
                      <w:sz w:val="18"/>
                    </w:rPr>
                    <w:t>监测时间</w:t>
                  </w:r>
                </w:p>
              </w:tc>
              <w:tc>
                <w:tcPr>
                  <w:tcW w:w="925" w:type="pct"/>
                  <w:vAlign w:val="center"/>
                </w:tcPr>
                <w:p w14:paraId="04C8A237">
                  <w:pPr>
                    <w:spacing w:line="240" w:lineRule="auto"/>
                    <w:ind w:firstLine="0" w:firstLineChars="0"/>
                    <w:jc w:val="center"/>
                    <w:outlineLvl w:val="1"/>
                    <w:rPr>
                      <w:rFonts w:cs="Times New Roman"/>
                      <w:sz w:val="18"/>
                    </w:rPr>
                  </w:pPr>
                  <w:r>
                    <w:rPr>
                      <w:rFonts w:cs="Times New Roman"/>
                      <w:spacing w:val="7"/>
                      <w:sz w:val="18"/>
                    </w:rPr>
                    <w:t>监测点位</w:t>
                  </w:r>
                </w:p>
              </w:tc>
              <w:tc>
                <w:tcPr>
                  <w:tcW w:w="616" w:type="pct"/>
                  <w:vAlign w:val="center"/>
                </w:tcPr>
                <w:p w14:paraId="2003CEFB">
                  <w:pPr>
                    <w:spacing w:line="240" w:lineRule="auto"/>
                    <w:ind w:firstLine="0" w:firstLineChars="0"/>
                    <w:jc w:val="center"/>
                    <w:outlineLvl w:val="1"/>
                    <w:rPr>
                      <w:rFonts w:cs="Times New Roman"/>
                      <w:sz w:val="18"/>
                    </w:rPr>
                  </w:pPr>
                  <w:r>
                    <w:rPr>
                      <w:rFonts w:cs="Times New Roman"/>
                      <w:spacing w:val="4"/>
                      <w:sz w:val="18"/>
                    </w:rPr>
                    <w:t>方位</w:t>
                  </w:r>
                </w:p>
              </w:tc>
              <w:tc>
                <w:tcPr>
                  <w:tcW w:w="699" w:type="pct"/>
                  <w:vAlign w:val="center"/>
                </w:tcPr>
                <w:p w14:paraId="4D283319">
                  <w:pPr>
                    <w:spacing w:line="240" w:lineRule="auto"/>
                    <w:ind w:firstLine="0" w:firstLineChars="0"/>
                    <w:jc w:val="center"/>
                    <w:outlineLvl w:val="1"/>
                    <w:rPr>
                      <w:rFonts w:cs="Times New Roman"/>
                      <w:spacing w:val="4"/>
                      <w:sz w:val="18"/>
                    </w:rPr>
                  </w:pPr>
                  <w:r>
                    <w:rPr>
                      <w:rFonts w:hint="eastAsia" w:cs="Times New Roman"/>
                      <w:spacing w:val="4"/>
                      <w:sz w:val="18"/>
                    </w:rPr>
                    <w:t>距离m</w:t>
                  </w:r>
                </w:p>
              </w:tc>
              <w:tc>
                <w:tcPr>
                  <w:tcW w:w="1057" w:type="pct"/>
                  <w:vAlign w:val="center"/>
                </w:tcPr>
                <w:p w14:paraId="1A3D1D9A">
                  <w:pPr>
                    <w:spacing w:line="240" w:lineRule="auto"/>
                    <w:ind w:firstLine="0" w:firstLineChars="0"/>
                    <w:jc w:val="center"/>
                    <w:outlineLvl w:val="1"/>
                    <w:rPr>
                      <w:rFonts w:cs="Times New Roman"/>
                      <w:sz w:val="18"/>
                    </w:rPr>
                  </w:pPr>
                  <w:r>
                    <w:rPr>
                      <w:rFonts w:cs="Times New Roman"/>
                      <w:spacing w:val="7"/>
                      <w:sz w:val="18"/>
                    </w:rPr>
                    <w:t>监测因子</w:t>
                  </w:r>
                </w:p>
              </w:tc>
            </w:tr>
            <w:tr w14:paraId="08E7AF27">
              <w:trPr>
                <w:trHeight w:val="340" w:hRule="atLeast"/>
                <w:jc w:val="center"/>
              </w:trPr>
              <w:tc>
                <w:tcPr>
                  <w:tcW w:w="1701" w:type="pct"/>
                  <w:vAlign w:val="center"/>
                </w:tcPr>
                <w:p w14:paraId="22F10690">
                  <w:pPr>
                    <w:spacing w:line="240" w:lineRule="auto"/>
                    <w:ind w:firstLine="0" w:firstLineChars="0"/>
                    <w:jc w:val="center"/>
                    <w:rPr>
                      <w:rFonts w:cs="Times New Roman"/>
                      <w:sz w:val="18"/>
                    </w:rPr>
                  </w:pPr>
                  <w:r>
                    <w:rPr>
                      <w:rFonts w:cs="Times New Roman"/>
                      <w:sz w:val="18"/>
                    </w:rPr>
                    <w:t>2023年8月26日~9月2日</w:t>
                  </w:r>
                </w:p>
              </w:tc>
              <w:tc>
                <w:tcPr>
                  <w:tcW w:w="925" w:type="pct"/>
                  <w:vAlign w:val="center"/>
                </w:tcPr>
                <w:p w14:paraId="139584ED">
                  <w:pPr>
                    <w:spacing w:line="240" w:lineRule="auto"/>
                    <w:ind w:firstLine="0" w:firstLineChars="0"/>
                    <w:jc w:val="center"/>
                    <w:rPr>
                      <w:rFonts w:cs="Times New Roman"/>
                      <w:sz w:val="18"/>
                    </w:rPr>
                  </w:pPr>
                  <w:r>
                    <w:rPr>
                      <w:rFonts w:hint="eastAsia" w:cs="Times New Roman"/>
                      <w:sz w:val="18"/>
                    </w:rPr>
                    <w:t>郎家坝</w:t>
                  </w:r>
                </w:p>
              </w:tc>
              <w:tc>
                <w:tcPr>
                  <w:tcW w:w="616" w:type="pct"/>
                  <w:vAlign w:val="center"/>
                </w:tcPr>
                <w:p w14:paraId="6A193DEE">
                  <w:pPr>
                    <w:spacing w:line="240" w:lineRule="auto"/>
                    <w:ind w:firstLine="0" w:firstLineChars="0"/>
                    <w:jc w:val="center"/>
                    <w:outlineLvl w:val="1"/>
                    <w:rPr>
                      <w:rFonts w:cs="Times New Roman"/>
                      <w:sz w:val="18"/>
                    </w:rPr>
                  </w:pPr>
                  <w:r>
                    <w:rPr>
                      <w:rFonts w:hint="eastAsia" w:cs="Times New Roman"/>
                      <w:sz w:val="18"/>
                    </w:rPr>
                    <w:t>SW</w:t>
                  </w:r>
                </w:p>
              </w:tc>
              <w:tc>
                <w:tcPr>
                  <w:tcW w:w="699" w:type="pct"/>
                  <w:vAlign w:val="center"/>
                </w:tcPr>
                <w:p w14:paraId="6569B863">
                  <w:pPr>
                    <w:spacing w:line="240" w:lineRule="auto"/>
                    <w:ind w:firstLine="0" w:firstLineChars="0"/>
                    <w:jc w:val="center"/>
                    <w:outlineLvl w:val="1"/>
                    <w:rPr>
                      <w:rFonts w:cs="Times New Roman"/>
                      <w:sz w:val="18"/>
                    </w:rPr>
                  </w:pPr>
                  <w:r>
                    <w:rPr>
                      <w:rFonts w:hint="eastAsia" w:cs="Times New Roman"/>
                      <w:sz w:val="18"/>
                    </w:rPr>
                    <w:t>3560</w:t>
                  </w:r>
                </w:p>
              </w:tc>
              <w:tc>
                <w:tcPr>
                  <w:tcW w:w="1057" w:type="pct"/>
                  <w:vAlign w:val="center"/>
                </w:tcPr>
                <w:p w14:paraId="23D3A182">
                  <w:pPr>
                    <w:spacing w:line="240" w:lineRule="auto"/>
                    <w:ind w:firstLine="0" w:firstLineChars="0"/>
                    <w:jc w:val="center"/>
                    <w:outlineLvl w:val="1"/>
                    <w:rPr>
                      <w:rFonts w:cs="Times New Roman"/>
                      <w:sz w:val="18"/>
                    </w:rPr>
                  </w:pPr>
                  <w:r>
                    <w:rPr>
                      <w:rFonts w:hint="eastAsia" w:cs="Times New Roman"/>
                      <w:sz w:val="18"/>
                    </w:rPr>
                    <w:t>TSP</w:t>
                  </w:r>
                </w:p>
              </w:tc>
            </w:tr>
          </w:tbl>
          <w:p w14:paraId="3B37241D">
            <w:pPr>
              <w:pStyle w:val="14"/>
              <w:numPr>
                <w:ilvl w:val="3"/>
                <w:numId w:val="0"/>
              </w:numPr>
              <w:spacing w:before="156"/>
            </w:pPr>
            <w:r>
              <w:drawing>
                <wp:inline distT="0" distB="0" distL="114300" distR="114300">
                  <wp:extent cx="4417060" cy="3658870"/>
                  <wp:effectExtent l="0" t="0" r="2540" b="1397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
                          <a:stretch>
                            <a:fillRect/>
                          </a:stretch>
                        </pic:blipFill>
                        <pic:spPr>
                          <a:xfrm>
                            <a:off x="0" y="0"/>
                            <a:ext cx="4417060" cy="3658870"/>
                          </a:xfrm>
                          <a:prstGeom prst="rect">
                            <a:avLst/>
                          </a:prstGeom>
                          <a:noFill/>
                          <a:ln>
                            <a:noFill/>
                          </a:ln>
                        </pic:spPr>
                      </pic:pic>
                    </a:graphicData>
                  </a:graphic>
                </wp:inline>
              </w:drawing>
            </w:r>
          </w:p>
          <w:p w14:paraId="4D71482C">
            <w:pPr>
              <w:pStyle w:val="14"/>
              <w:numPr>
                <w:ilvl w:val="3"/>
                <w:numId w:val="0"/>
              </w:numPr>
              <w:spacing w:before="156"/>
              <w:ind w:left="397"/>
            </w:pPr>
            <w:r>
              <w:rPr>
                <w:rFonts w:hint="eastAsia"/>
              </w:rPr>
              <w:t>图3-1  监测点位示意图</w:t>
            </w:r>
          </w:p>
          <w:p w14:paraId="0DEA9F72">
            <w:pPr>
              <w:pStyle w:val="14"/>
              <w:numPr>
                <w:ilvl w:val="0"/>
                <w:numId w:val="8"/>
              </w:numPr>
              <w:tabs>
                <w:tab w:val="clear" w:pos="0"/>
              </w:tabs>
              <w:spacing w:before="156"/>
            </w:pPr>
            <w:r>
              <w:rPr>
                <w:rFonts w:hint="eastAsia"/>
              </w:rPr>
              <w:t xml:space="preserve">  TSP监测结果一览表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7"/>
              <w:gridCol w:w="1297"/>
              <w:gridCol w:w="1297"/>
              <w:gridCol w:w="1298"/>
              <w:gridCol w:w="1297"/>
              <w:gridCol w:w="1298"/>
            </w:tblGrid>
            <w:tr w14:paraId="6832BED7">
              <w:trPr>
                <w:trHeight w:val="340" w:hRule="atLeast"/>
              </w:trPr>
              <w:tc>
                <w:tcPr>
                  <w:tcW w:w="1297" w:type="dxa"/>
                  <w:vAlign w:val="center"/>
                </w:tcPr>
                <w:p w14:paraId="7CF39B9F">
                  <w:pPr>
                    <w:spacing w:line="240" w:lineRule="auto"/>
                    <w:ind w:firstLine="0" w:firstLineChars="0"/>
                    <w:jc w:val="center"/>
                    <w:rPr>
                      <w:rFonts w:cs="Times New Roman"/>
                      <w:sz w:val="18"/>
                    </w:rPr>
                  </w:pPr>
                  <w:r>
                    <w:rPr>
                      <w:rFonts w:hint="eastAsia" w:cs="Times New Roman"/>
                      <w:sz w:val="18"/>
                    </w:rPr>
                    <w:t>监测点位</w:t>
                  </w:r>
                </w:p>
              </w:tc>
              <w:tc>
                <w:tcPr>
                  <w:tcW w:w="1297" w:type="dxa"/>
                  <w:vAlign w:val="center"/>
                </w:tcPr>
                <w:p w14:paraId="28A62058">
                  <w:pPr>
                    <w:spacing w:line="240" w:lineRule="auto"/>
                    <w:ind w:firstLine="0" w:firstLineChars="0"/>
                    <w:jc w:val="center"/>
                    <w:rPr>
                      <w:rFonts w:cs="Times New Roman"/>
                      <w:sz w:val="18"/>
                    </w:rPr>
                  </w:pPr>
                  <w:r>
                    <w:rPr>
                      <w:rFonts w:hint="eastAsia" w:cs="Times New Roman"/>
                      <w:sz w:val="18"/>
                    </w:rPr>
                    <w:t>监测因子</w:t>
                  </w:r>
                </w:p>
              </w:tc>
              <w:tc>
                <w:tcPr>
                  <w:tcW w:w="1297" w:type="dxa"/>
                  <w:vAlign w:val="center"/>
                </w:tcPr>
                <w:p w14:paraId="083393EF">
                  <w:pPr>
                    <w:spacing w:line="240" w:lineRule="auto"/>
                    <w:ind w:firstLine="0" w:firstLineChars="0"/>
                    <w:jc w:val="center"/>
                    <w:rPr>
                      <w:rFonts w:cs="Times New Roman"/>
                      <w:sz w:val="18"/>
                    </w:rPr>
                  </w:pPr>
                  <w:r>
                    <w:rPr>
                      <w:rFonts w:hint="eastAsia" w:cs="Times New Roman"/>
                      <w:sz w:val="18"/>
                    </w:rPr>
                    <w:t>评价标准</w:t>
                  </w:r>
                </w:p>
                <w:p w14:paraId="3DBEE1A2">
                  <w:pPr>
                    <w:spacing w:line="240" w:lineRule="auto"/>
                    <w:ind w:firstLine="0" w:firstLineChars="0"/>
                    <w:jc w:val="center"/>
                    <w:rPr>
                      <w:rFonts w:cs="Times New Roman"/>
                      <w:sz w:val="18"/>
                    </w:rPr>
                  </w:pPr>
                  <w:r>
                    <w:rPr>
                      <w:rFonts w:cs="Times New Roman"/>
                      <w:sz w:val="18"/>
                    </w:rPr>
                    <w:t>μg/m</w:t>
                  </w:r>
                  <w:r>
                    <w:rPr>
                      <w:rFonts w:cs="Times New Roman"/>
                      <w:sz w:val="18"/>
                      <w:vertAlign w:val="superscript"/>
                    </w:rPr>
                    <w:t>3</w:t>
                  </w:r>
                </w:p>
              </w:tc>
              <w:tc>
                <w:tcPr>
                  <w:tcW w:w="1298" w:type="dxa"/>
                  <w:vAlign w:val="center"/>
                </w:tcPr>
                <w:p w14:paraId="5EE2EB53">
                  <w:pPr>
                    <w:spacing w:line="240" w:lineRule="auto"/>
                    <w:ind w:firstLine="0" w:firstLineChars="0"/>
                    <w:jc w:val="center"/>
                    <w:rPr>
                      <w:rFonts w:cs="Times New Roman"/>
                      <w:sz w:val="18"/>
                    </w:rPr>
                  </w:pPr>
                  <w:r>
                    <w:rPr>
                      <w:rFonts w:hint="eastAsia" w:cs="Times New Roman"/>
                      <w:sz w:val="18"/>
                    </w:rPr>
                    <w:t>监测浓度范围</w:t>
                  </w:r>
                </w:p>
                <w:p w14:paraId="426AC96F">
                  <w:pPr>
                    <w:spacing w:line="240" w:lineRule="auto"/>
                    <w:ind w:firstLine="0" w:firstLineChars="0"/>
                    <w:jc w:val="center"/>
                    <w:rPr>
                      <w:rFonts w:cs="Times New Roman"/>
                      <w:sz w:val="18"/>
                    </w:rPr>
                  </w:pPr>
                  <w:r>
                    <w:rPr>
                      <w:rFonts w:cs="Times New Roman"/>
                      <w:sz w:val="18"/>
                    </w:rPr>
                    <w:t>μg/m</w:t>
                  </w:r>
                  <w:r>
                    <w:rPr>
                      <w:rFonts w:cs="Times New Roman"/>
                      <w:sz w:val="18"/>
                      <w:vertAlign w:val="superscript"/>
                    </w:rPr>
                    <w:t>3</w:t>
                  </w:r>
                </w:p>
              </w:tc>
              <w:tc>
                <w:tcPr>
                  <w:tcW w:w="1297" w:type="dxa"/>
                  <w:vAlign w:val="center"/>
                </w:tcPr>
                <w:p w14:paraId="15BE91F3">
                  <w:pPr>
                    <w:spacing w:line="240" w:lineRule="auto"/>
                    <w:ind w:firstLine="0" w:firstLineChars="0"/>
                    <w:jc w:val="center"/>
                    <w:rPr>
                      <w:rFonts w:cs="Times New Roman"/>
                      <w:sz w:val="18"/>
                    </w:rPr>
                  </w:pPr>
                  <w:r>
                    <w:rPr>
                      <w:rFonts w:hint="eastAsia" w:cs="Times New Roman"/>
                      <w:sz w:val="18"/>
                    </w:rPr>
                    <w:t>最大占标率</w:t>
                  </w:r>
                </w:p>
                <w:p w14:paraId="4AF1DCF6">
                  <w:pPr>
                    <w:spacing w:line="240" w:lineRule="auto"/>
                    <w:ind w:firstLine="0" w:firstLineChars="0"/>
                    <w:jc w:val="center"/>
                    <w:rPr>
                      <w:rFonts w:cs="Times New Roman"/>
                      <w:sz w:val="18"/>
                    </w:rPr>
                  </w:pPr>
                  <w:r>
                    <w:rPr>
                      <w:rFonts w:hint="eastAsia" w:cs="Times New Roman"/>
                      <w:sz w:val="18"/>
                    </w:rPr>
                    <w:t>%</w:t>
                  </w:r>
                </w:p>
              </w:tc>
              <w:tc>
                <w:tcPr>
                  <w:tcW w:w="1298" w:type="dxa"/>
                  <w:vAlign w:val="center"/>
                </w:tcPr>
                <w:p w14:paraId="3BB6A05C">
                  <w:pPr>
                    <w:spacing w:line="240" w:lineRule="auto"/>
                    <w:ind w:firstLine="0" w:firstLineChars="0"/>
                    <w:jc w:val="center"/>
                    <w:rPr>
                      <w:rFonts w:cs="Times New Roman"/>
                      <w:sz w:val="18"/>
                    </w:rPr>
                  </w:pPr>
                  <w:r>
                    <w:rPr>
                      <w:rFonts w:hint="eastAsia" w:cs="Times New Roman"/>
                      <w:sz w:val="18"/>
                    </w:rPr>
                    <w:t>达标情况</w:t>
                  </w:r>
                </w:p>
              </w:tc>
            </w:tr>
            <w:tr w14:paraId="2D80B32E">
              <w:trPr>
                <w:trHeight w:val="340" w:hRule="atLeast"/>
              </w:trPr>
              <w:tc>
                <w:tcPr>
                  <w:tcW w:w="1297" w:type="dxa"/>
                  <w:vAlign w:val="center"/>
                </w:tcPr>
                <w:p w14:paraId="7DD01AA3">
                  <w:pPr>
                    <w:spacing w:line="240" w:lineRule="auto"/>
                    <w:ind w:firstLine="0" w:firstLineChars="0"/>
                    <w:jc w:val="center"/>
                    <w:rPr>
                      <w:rFonts w:cs="Times New Roman"/>
                      <w:sz w:val="18"/>
                    </w:rPr>
                  </w:pPr>
                  <w:r>
                    <w:rPr>
                      <w:rFonts w:hint="eastAsia" w:cs="Times New Roman"/>
                      <w:sz w:val="18"/>
                    </w:rPr>
                    <w:t>郎家坝</w:t>
                  </w:r>
                </w:p>
              </w:tc>
              <w:tc>
                <w:tcPr>
                  <w:tcW w:w="1297" w:type="dxa"/>
                  <w:vAlign w:val="center"/>
                </w:tcPr>
                <w:p w14:paraId="339AEBEE">
                  <w:pPr>
                    <w:spacing w:line="240" w:lineRule="auto"/>
                    <w:ind w:firstLine="0" w:firstLineChars="0"/>
                    <w:jc w:val="center"/>
                    <w:rPr>
                      <w:rFonts w:cs="Times New Roman"/>
                      <w:sz w:val="18"/>
                    </w:rPr>
                  </w:pPr>
                  <w:r>
                    <w:rPr>
                      <w:rFonts w:hint="eastAsia" w:cs="Times New Roman"/>
                      <w:sz w:val="18"/>
                    </w:rPr>
                    <w:t>TSP</w:t>
                  </w:r>
                </w:p>
              </w:tc>
              <w:tc>
                <w:tcPr>
                  <w:tcW w:w="1297" w:type="dxa"/>
                  <w:vAlign w:val="center"/>
                </w:tcPr>
                <w:p w14:paraId="5959E818">
                  <w:pPr>
                    <w:spacing w:line="240" w:lineRule="auto"/>
                    <w:ind w:firstLine="0" w:firstLineChars="0"/>
                    <w:jc w:val="center"/>
                    <w:rPr>
                      <w:rFonts w:cs="Times New Roman"/>
                      <w:sz w:val="18"/>
                    </w:rPr>
                  </w:pPr>
                  <w:r>
                    <w:rPr>
                      <w:rFonts w:hint="eastAsia" w:cs="Times New Roman"/>
                      <w:sz w:val="18"/>
                    </w:rPr>
                    <w:t>300</w:t>
                  </w:r>
                </w:p>
              </w:tc>
              <w:tc>
                <w:tcPr>
                  <w:tcW w:w="1298" w:type="dxa"/>
                  <w:vAlign w:val="center"/>
                </w:tcPr>
                <w:p w14:paraId="6929CA5E">
                  <w:pPr>
                    <w:spacing w:line="240" w:lineRule="auto"/>
                    <w:ind w:firstLine="0" w:firstLineChars="0"/>
                    <w:jc w:val="center"/>
                    <w:rPr>
                      <w:rFonts w:cs="Times New Roman"/>
                      <w:sz w:val="18"/>
                    </w:rPr>
                  </w:pPr>
                  <w:r>
                    <w:rPr>
                      <w:rFonts w:hint="eastAsia" w:cs="Times New Roman"/>
                      <w:sz w:val="18"/>
                    </w:rPr>
                    <w:t>23-69</w:t>
                  </w:r>
                </w:p>
              </w:tc>
              <w:tc>
                <w:tcPr>
                  <w:tcW w:w="1297" w:type="dxa"/>
                  <w:vAlign w:val="center"/>
                </w:tcPr>
                <w:p w14:paraId="03455656">
                  <w:pPr>
                    <w:spacing w:line="240" w:lineRule="auto"/>
                    <w:ind w:firstLine="0" w:firstLineChars="0"/>
                    <w:jc w:val="center"/>
                    <w:rPr>
                      <w:rFonts w:cs="Times New Roman"/>
                      <w:sz w:val="18"/>
                    </w:rPr>
                  </w:pPr>
                  <w:r>
                    <w:rPr>
                      <w:rFonts w:hint="eastAsia" w:cs="Times New Roman"/>
                      <w:sz w:val="18"/>
                    </w:rPr>
                    <w:t>23</w:t>
                  </w:r>
                </w:p>
              </w:tc>
              <w:tc>
                <w:tcPr>
                  <w:tcW w:w="1298" w:type="dxa"/>
                  <w:vAlign w:val="center"/>
                </w:tcPr>
                <w:p w14:paraId="160DE115">
                  <w:pPr>
                    <w:spacing w:line="240" w:lineRule="auto"/>
                    <w:ind w:firstLine="0" w:firstLineChars="0"/>
                    <w:jc w:val="center"/>
                    <w:rPr>
                      <w:rFonts w:cs="Times New Roman"/>
                      <w:sz w:val="18"/>
                    </w:rPr>
                  </w:pPr>
                  <w:r>
                    <w:rPr>
                      <w:rFonts w:hint="eastAsia" w:cs="Times New Roman"/>
                      <w:sz w:val="18"/>
                    </w:rPr>
                    <w:t>达标</w:t>
                  </w:r>
                </w:p>
              </w:tc>
            </w:tr>
          </w:tbl>
          <w:p w14:paraId="3D66C04E">
            <w:pPr>
              <w:ind w:firstLine="480"/>
              <w:jc w:val="both"/>
            </w:pPr>
            <w:r>
              <w:t>由上表评价结果可知，TSP现状值能够满足《环境空气质量标准》（GB3095-2012）及其修改单中的二级标准限值要求。</w:t>
            </w:r>
          </w:p>
          <w:p w14:paraId="29EC4CF3">
            <w:pPr>
              <w:ind w:firstLine="480"/>
              <w:jc w:val="both"/>
            </w:pPr>
            <w:r>
              <w:rPr>
                <w:rFonts w:hint="eastAsia"/>
              </w:rPr>
              <w:t>2、地表水环境</w:t>
            </w:r>
          </w:p>
          <w:p w14:paraId="6950CD3B">
            <w:pPr>
              <w:ind w:firstLine="480"/>
              <w:jc w:val="both"/>
            </w:pPr>
            <w:r>
              <w:t>为了解本项目拟建区域及纳污水体地表水环境质量，本环评引用202</w:t>
            </w:r>
            <w:r>
              <w:rPr>
                <w:rFonts w:hint="eastAsia"/>
              </w:rPr>
              <w:t>3</w:t>
            </w:r>
            <w:r>
              <w:t>年0</w:t>
            </w:r>
            <w:r>
              <w:rPr>
                <w:rFonts w:hint="eastAsia"/>
              </w:rPr>
              <w:t>3</w:t>
            </w:r>
            <w:r>
              <w:t>月</w:t>
            </w:r>
            <w:r>
              <w:rPr>
                <w:rFonts w:hint="eastAsia"/>
              </w:rPr>
              <w:t>项目西侧水体</w:t>
            </w:r>
            <w:r>
              <w:t>东塘港（仁和街道段）断面监测数据，具体如下。</w:t>
            </w:r>
          </w:p>
          <w:p w14:paraId="5BDE5129">
            <w:pPr>
              <w:pStyle w:val="14"/>
              <w:numPr>
                <w:ilvl w:val="0"/>
                <w:numId w:val="8"/>
              </w:numPr>
              <w:tabs>
                <w:tab w:val="clear" w:pos="0"/>
              </w:tabs>
              <w:spacing w:before="156"/>
            </w:pPr>
            <w:r>
              <w:rPr>
                <w:rFonts w:hint="eastAsia"/>
              </w:rPr>
              <w:t xml:space="preserve">  东塘港监测点水质监测结果 单位：mg/L（pH除外）</w:t>
            </w:r>
          </w:p>
          <w:tbl>
            <w:tblPr>
              <w:tblStyle w:val="15"/>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50"/>
              <w:gridCol w:w="1165"/>
              <w:gridCol w:w="1168"/>
              <w:gridCol w:w="1165"/>
              <w:gridCol w:w="1169"/>
              <w:gridCol w:w="1166"/>
            </w:tblGrid>
            <w:tr w14:paraId="7EBE7A9B">
              <w:trPr>
                <w:trHeight w:val="340" w:hRule="atLeast"/>
              </w:trPr>
              <w:tc>
                <w:tcPr>
                  <w:tcW w:w="1252" w:type="pct"/>
                  <w:vAlign w:val="center"/>
                </w:tcPr>
                <w:p w14:paraId="7ADC6DFA">
                  <w:pPr>
                    <w:spacing w:line="240" w:lineRule="auto"/>
                    <w:ind w:firstLine="0" w:firstLineChars="0"/>
                    <w:jc w:val="center"/>
                    <w:outlineLvl w:val="1"/>
                    <w:rPr>
                      <w:rFonts w:cs="Times New Roman"/>
                      <w:sz w:val="18"/>
                    </w:rPr>
                  </w:pPr>
                  <w:r>
                    <w:rPr>
                      <w:rFonts w:hint="eastAsia" w:cs="Times New Roman"/>
                      <w:sz w:val="18"/>
                    </w:rPr>
                    <w:t>项目</w:t>
                  </w:r>
                </w:p>
              </w:tc>
              <w:tc>
                <w:tcPr>
                  <w:tcW w:w="748" w:type="pct"/>
                  <w:vAlign w:val="center"/>
                </w:tcPr>
                <w:p w14:paraId="75741916">
                  <w:pPr>
                    <w:spacing w:line="240" w:lineRule="auto"/>
                    <w:ind w:firstLine="0" w:firstLineChars="0"/>
                    <w:jc w:val="center"/>
                    <w:outlineLvl w:val="1"/>
                    <w:rPr>
                      <w:rFonts w:cs="Times New Roman"/>
                      <w:sz w:val="18"/>
                    </w:rPr>
                  </w:pPr>
                  <w:r>
                    <w:rPr>
                      <w:rFonts w:cs="Times New Roman"/>
                      <w:spacing w:val="6"/>
                      <w:sz w:val="18"/>
                    </w:rPr>
                    <w:t>pH</w:t>
                  </w:r>
                </w:p>
              </w:tc>
              <w:tc>
                <w:tcPr>
                  <w:tcW w:w="750" w:type="pct"/>
                  <w:vAlign w:val="center"/>
                </w:tcPr>
                <w:p w14:paraId="01F35835">
                  <w:pPr>
                    <w:spacing w:line="240" w:lineRule="auto"/>
                    <w:ind w:firstLine="0" w:firstLineChars="0"/>
                    <w:jc w:val="center"/>
                    <w:rPr>
                      <w:rFonts w:cs="Times New Roman"/>
                      <w:sz w:val="18"/>
                    </w:rPr>
                  </w:pPr>
                  <w:r>
                    <w:rPr>
                      <w:rFonts w:cs="Times New Roman"/>
                      <w:spacing w:val="4"/>
                      <w:sz w:val="18"/>
                    </w:rPr>
                    <w:t>DO</w:t>
                  </w:r>
                </w:p>
              </w:tc>
              <w:tc>
                <w:tcPr>
                  <w:tcW w:w="748" w:type="pct"/>
                  <w:vAlign w:val="center"/>
                </w:tcPr>
                <w:p w14:paraId="6F8B9C6D">
                  <w:pPr>
                    <w:spacing w:line="240" w:lineRule="auto"/>
                    <w:ind w:firstLine="0" w:firstLineChars="0"/>
                    <w:jc w:val="center"/>
                    <w:rPr>
                      <w:rFonts w:cs="Times New Roman"/>
                      <w:sz w:val="18"/>
                    </w:rPr>
                  </w:pPr>
                  <w:r>
                    <w:rPr>
                      <w:rFonts w:cs="Times New Roman"/>
                      <w:sz w:val="18"/>
                    </w:rPr>
                    <w:t>NH</w:t>
                  </w:r>
                  <w:r>
                    <w:rPr>
                      <w:rFonts w:cs="Times New Roman"/>
                      <w:spacing w:val="10"/>
                      <w:sz w:val="18"/>
                      <w:vertAlign w:val="subscript"/>
                    </w:rPr>
                    <w:t>3</w:t>
                  </w:r>
                  <w:r>
                    <w:rPr>
                      <w:rFonts w:cs="Times New Roman"/>
                      <w:spacing w:val="10"/>
                      <w:sz w:val="18"/>
                    </w:rPr>
                    <w:t>-N</w:t>
                  </w:r>
                </w:p>
              </w:tc>
              <w:tc>
                <w:tcPr>
                  <w:tcW w:w="751" w:type="pct"/>
                  <w:vAlign w:val="center"/>
                </w:tcPr>
                <w:p w14:paraId="59FD0420">
                  <w:pPr>
                    <w:spacing w:line="240" w:lineRule="auto"/>
                    <w:ind w:firstLine="0" w:firstLineChars="0"/>
                    <w:jc w:val="center"/>
                    <w:rPr>
                      <w:rFonts w:cs="Times New Roman"/>
                      <w:sz w:val="18"/>
                    </w:rPr>
                  </w:pPr>
                  <w:r>
                    <w:rPr>
                      <w:rFonts w:cs="Times New Roman"/>
                      <w:spacing w:val="4"/>
                      <w:sz w:val="18"/>
                    </w:rPr>
                    <w:t>COD</w:t>
                  </w:r>
                  <w:r>
                    <w:rPr>
                      <w:rFonts w:cs="Times New Roman"/>
                      <w:spacing w:val="4"/>
                      <w:position w:val="-1"/>
                      <w:sz w:val="18"/>
                      <w:vertAlign w:val="subscript"/>
                    </w:rPr>
                    <w:t>Mn</w:t>
                  </w:r>
                </w:p>
              </w:tc>
              <w:tc>
                <w:tcPr>
                  <w:tcW w:w="749" w:type="pct"/>
                  <w:vAlign w:val="center"/>
                </w:tcPr>
                <w:p w14:paraId="5A941A36">
                  <w:pPr>
                    <w:spacing w:line="240" w:lineRule="auto"/>
                    <w:ind w:firstLine="0" w:firstLineChars="0"/>
                    <w:jc w:val="center"/>
                    <w:outlineLvl w:val="1"/>
                    <w:rPr>
                      <w:rFonts w:cs="Times New Roman"/>
                      <w:sz w:val="18"/>
                    </w:rPr>
                  </w:pPr>
                  <w:r>
                    <w:rPr>
                      <w:rFonts w:cs="Times New Roman"/>
                      <w:spacing w:val="3"/>
                      <w:sz w:val="18"/>
                    </w:rPr>
                    <w:t>总磷</w:t>
                  </w:r>
                </w:p>
              </w:tc>
            </w:tr>
            <w:tr w14:paraId="370DF7AE">
              <w:trPr>
                <w:trHeight w:val="340" w:hRule="atLeast"/>
              </w:trPr>
              <w:tc>
                <w:tcPr>
                  <w:tcW w:w="1252" w:type="pct"/>
                  <w:vAlign w:val="center"/>
                </w:tcPr>
                <w:p w14:paraId="6C728936">
                  <w:pPr>
                    <w:spacing w:line="240" w:lineRule="auto"/>
                    <w:ind w:firstLine="0" w:firstLineChars="0"/>
                    <w:jc w:val="center"/>
                    <w:outlineLvl w:val="1"/>
                    <w:rPr>
                      <w:rFonts w:cs="Times New Roman"/>
                      <w:sz w:val="18"/>
                    </w:rPr>
                  </w:pPr>
                  <w:r>
                    <w:rPr>
                      <w:rFonts w:cs="Times New Roman"/>
                      <w:spacing w:val="7"/>
                      <w:sz w:val="18"/>
                    </w:rPr>
                    <w:t>监测结果</w:t>
                  </w:r>
                </w:p>
              </w:tc>
              <w:tc>
                <w:tcPr>
                  <w:tcW w:w="748" w:type="pct"/>
                  <w:vAlign w:val="center"/>
                </w:tcPr>
                <w:p w14:paraId="0106D508">
                  <w:pPr>
                    <w:spacing w:line="240" w:lineRule="auto"/>
                    <w:ind w:firstLine="0" w:firstLineChars="0"/>
                    <w:jc w:val="center"/>
                    <w:rPr>
                      <w:rFonts w:cs="Times New Roman"/>
                      <w:sz w:val="18"/>
                    </w:rPr>
                  </w:pPr>
                  <w:r>
                    <w:rPr>
                      <w:rFonts w:hint="eastAsia" w:cs="Times New Roman"/>
                      <w:spacing w:val="1"/>
                      <w:sz w:val="18"/>
                    </w:rPr>
                    <w:t>7.1</w:t>
                  </w:r>
                </w:p>
              </w:tc>
              <w:tc>
                <w:tcPr>
                  <w:tcW w:w="750" w:type="pct"/>
                  <w:vAlign w:val="center"/>
                </w:tcPr>
                <w:p w14:paraId="7E27437B">
                  <w:pPr>
                    <w:spacing w:line="240" w:lineRule="auto"/>
                    <w:ind w:firstLine="0" w:firstLineChars="0"/>
                    <w:jc w:val="center"/>
                    <w:rPr>
                      <w:rFonts w:cs="Times New Roman"/>
                      <w:sz w:val="18"/>
                    </w:rPr>
                  </w:pPr>
                  <w:r>
                    <w:rPr>
                      <w:rFonts w:hint="eastAsia" w:cs="Times New Roman"/>
                      <w:spacing w:val="2"/>
                      <w:sz w:val="18"/>
                    </w:rPr>
                    <w:t>6</w:t>
                  </w:r>
                </w:p>
              </w:tc>
              <w:tc>
                <w:tcPr>
                  <w:tcW w:w="748" w:type="pct"/>
                  <w:vAlign w:val="center"/>
                </w:tcPr>
                <w:p w14:paraId="4354D300">
                  <w:pPr>
                    <w:spacing w:line="240" w:lineRule="auto"/>
                    <w:ind w:firstLine="0" w:firstLineChars="0"/>
                    <w:jc w:val="center"/>
                    <w:rPr>
                      <w:rFonts w:cs="Times New Roman"/>
                      <w:sz w:val="18"/>
                    </w:rPr>
                  </w:pPr>
                  <w:r>
                    <w:rPr>
                      <w:rFonts w:hint="eastAsia" w:cs="Times New Roman"/>
                      <w:spacing w:val="3"/>
                      <w:sz w:val="18"/>
                    </w:rPr>
                    <w:t>0.033</w:t>
                  </w:r>
                </w:p>
              </w:tc>
              <w:tc>
                <w:tcPr>
                  <w:tcW w:w="751" w:type="pct"/>
                  <w:vAlign w:val="center"/>
                </w:tcPr>
                <w:p w14:paraId="282F7C0C">
                  <w:pPr>
                    <w:spacing w:line="240" w:lineRule="auto"/>
                    <w:ind w:firstLine="0" w:firstLineChars="0"/>
                    <w:jc w:val="center"/>
                    <w:rPr>
                      <w:rFonts w:cs="Times New Roman"/>
                      <w:sz w:val="18"/>
                    </w:rPr>
                  </w:pPr>
                  <w:r>
                    <w:rPr>
                      <w:rFonts w:hint="eastAsia" w:cs="Times New Roman"/>
                      <w:spacing w:val="-1"/>
                      <w:sz w:val="18"/>
                    </w:rPr>
                    <w:t>2.3</w:t>
                  </w:r>
                </w:p>
              </w:tc>
              <w:tc>
                <w:tcPr>
                  <w:tcW w:w="749" w:type="pct"/>
                  <w:vAlign w:val="center"/>
                </w:tcPr>
                <w:p w14:paraId="40B6920E">
                  <w:pPr>
                    <w:spacing w:line="240" w:lineRule="auto"/>
                    <w:ind w:firstLine="0" w:firstLineChars="0"/>
                    <w:jc w:val="center"/>
                    <w:rPr>
                      <w:rFonts w:cs="Times New Roman"/>
                      <w:sz w:val="18"/>
                    </w:rPr>
                  </w:pPr>
                  <w:r>
                    <w:rPr>
                      <w:rFonts w:cs="Times New Roman"/>
                      <w:spacing w:val="2"/>
                      <w:sz w:val="18"/>
                    </w:rPr>
                    <w:t>0.</w:t>
                  </w:r>
                  <w:r>
                    <w:rPr>
                      <w:rFonts w:hint="eastAsia" w:cs="Times New Roman"/>
                      <w:spacing w:val="2"/>
                      <w:sz w:val="18"/>
                    </w:rPr>
                    <w:t>03</w:t>
                  </w:r>
                </w:p>
              </w:tc>
            </w:tr>
            <w:tr w14:paraId="1459C73C">
              <w:trPr>
                <w:trHeight w:val="340" w:hRule="atLeast"/>
              </w:trPr>
              <w:tc>
                <w:tcPr>
                  <w:tcW w:w="1252" w:type="pct"/>
                  <w:vAlign w:val="center"/>
                </w:tcPr>
                <w:p w14:paraId="2DE3AAD3">
                  <w:pPr>
                    <w:spacing w:line="240" w:lineRule="auto"/>
                    <w:ind w:firstLine="0" w:firstLineChars="0"/>
                    <w:jc w:val="center"/>
                    <w:outlineLvl w:val="1"/>
                    <w:rPr>
                      <w:rFonts w:cs="Times New Roman"/>
                      <w:sz w:val="18"/>
                    </w:rPr>
                  </w:pPr>
                  <w:r>
                    <w:rPr>
                      <w:rFonts w:cs="Times New Roman"/>
                      <w:spacing w:val="8"/>
                      <w:sz w:val="18"/>
                    </w:rPr>
                    <w:t>Ⅲ类标准</w:t>
                  </w:r>
                </w:p>
              </w:tc>
              <w:tc>
                <w:tcPr>
                  <w:tcW w:w="748" w:type="pct"/>
                  <w:vAlign w:val="center"/>
                </w:tcPr>
                <w:p w14:paraId="121D279D">
                  <w:pPr>
                    <w:spacing w:line="240" w:lineRule="auto"/>
                    <w:ind w:firstLine="0" w:firstLineChars="0"/>
                    <w:jc w:val="center"/>
                    <w:rPr>
                      <w:rFonts w:cs="Times New Roman"/>
                      <w:sz w:val="18"/>
                    </w:rPr>
                  </w:pPr>
                  <w:r>
                    <w:rPr>
                      <w:rFonts w:cs="Times New Roman"/>
                      <w:spacing w:val="1"/>
                      <w:sz w:val="18"/>
                    </w:rPr>
                    <w:t>6~9</w:t>
                  </w:r>
                </w:p>
              </w:tc>
              <w:tc>
                <w:tcPr>
                  <w:tcW w:w="750" w:type="pct"/>
                  <w:vAlign w:val="center"/>
                </w:tcPr>
                <w:p w14:paraId="0385660A">
                  <w:pPr>
                    <w:spacing w:line="240" w:lineRule="auto"/>
                    <w:ind w:firstLine="0" w:firstLineChars="0"/>
                    <w:jc w:val="center"/>
                    <w:rPr>
                      <w:rFonts w:cs="Times New Roman"/>
                      <w:sz w:val="18"/>
                    </w:rPr>
                  </w:pPr>
                  <w:r>
                    <w:rPr>
                      <w:rFonts w:cs="Times New Roman"/>
                      <w:spacing w:val="3"/>
                      <w:sz w:val="18"/>
                    </w:rPr>
                    <w:t>≥5</w:t>
                  </w:r>
                </w:p>
              </w:tc>
              <w:tc>
                <w:tcPr>
                  <w:tcW w:w="748" w:type="pct"/>
                  <w:vAlign w:val="center"/>
                </w:tcPr>
                <w:p w14:paraId="2FA8435C">
                  <w:pPr>
                    <w:spacing w:line="240" w:lineRule="auto"/>
                    <w:ind w:firstLine="0" w:firstLineChars="0"/>
                    <w:jc w:val="center"/>
                    <w:rPr>
                      <w:rFonts w:cs="Times New Roman"/>
                      <w:sz w:val="18"/>
                    </w:rPr>
                  </w:pPr>
                  <w:r>
                    <w:rPr>
                      <w:rFonts w:cs="Times New Roman"/>
                      <w:spacing w:val="3"/>
                      <w:sz w:val="18"/>
                    </w:rPr>
                    <w:t>≤1.0</w:t>
                  </w:r>
                </w:p>
              </w:tc>
              <w:tc>
                <w:tcPr>
                  <w:tcW w:w="751" w:type="pct"/>
                  <w:vAlign w:val="center"/>
                </w:tcPr>
                <w:p w14:paraId="652CDCF6">
                  <w:pPr>
                    <w:spacing w:line="240" w:lineRule="auto"/>
                    <w:ind w:firstLine="0" w:firstLineChars="0"/>
                    <w:jc w:val="center"/>
                    <w:rPr>
                      <w:rFonts w:cs="Times New Roman"/>
                      <w:sz w:val="18"/>
                    </w:rPr>
                  </w:pPr>
                  <w:r>
                    <w:rPr>
                      <w:rFonts w:cs="Times New Roman"/>
                      <w:spacing w:val="3"/>
                      <w:sz w:val="18"/>
                    </w:rPr>
                    <w:t>≤6</w:t>
                  </w:r>
                </w:p>
              </w:tc>
              <w:tc>
                <w:tcPr>
                  <w:tcW w:w="749" w:type="pct"/>
                  <w:vAlign w:val="center"/>
                </w:tcPr>
                <w:p w14:paraId="0525C095">
                  <w:pPr>
                    <w:spacing w:line="240" w:lineRule="auto"/>
                    <w:ind w:firstLine="0" w:firstLineChars="0"/>
                    <w:jc w:val="center"/>
                    <w:rPr>
                      <w:rFonts w:cs="Times New Roman"/>
                      <w:sz w:val="18"/>
                    </w:rPr>
                  </w:pPr>
                  <w:r>
                    <w:rPr>
                      <w:rFonts w:cs="Times New Roman"/>
                      <w:spacing w:val="3"/>
                      <w:sz w:val="18"/>
                    </w:rPr>
                    <w:t>≤0.2</w:t>
                  </w:r>
                </w:p>
              </w:tc>
            </w:tr>
            <w:tr w14:paraId="63180181">
              <w:trPr>
                <w:trHeight w:val="340" w:hRule="atLeast"/>
              </w:trPr>
              <w:tc>
                <w:tcPr>
                  <w:tcW w:w="1252" w:type="pct"/>
                  <w:vAlign w:val="center"/>
                </w:tcPr>
                <w:p w14:paraId="533CF7A0">
                  <w:pPr>
                    <w:spacing w:line="240" w:lineRule="auto"/>
                    <w:ind w:firstLine="0" w:firstLineChars="0"/>
                    <w:jc w:val="center"/>
                    <w:outlineLvl w:val="1"/>
                    <w:rPr>
                      <w:rFonts w:cs="Times New Roman"/>
                      <w:sz w:val="18"/>
                    </w:rPr>
                  </w:pPr>
                  <w:r>
                    <w:rPr>
                      <w:rFonts w:cs="Times New Roman"/>
                      <w:spacing w:val="7"/>
                      <w:sz w:val="18"/>
                    </w:rPr>
                    <w:t>达标情况</w:t>
                  </w:r>
                </w:p>
              </w:tc>
              <w:tc>
                <w:tcPr>
                  <w:tcW w:w="748" w:type="pct"/>
                  <w:vAlign w:val="center"/>
                </w:tcPr>
                <w:p w14:paraId="64F4A31E">
                  <w:pPr>
                    <w:spacing w:line="240" w:lineRule="auto"/>
                    <w:ind w:firstLine="0" w:firstLineChars="0"/>
                    <w:jc w:val="center"/>
                    <w:outlineLvl w:val="1"/>
                    <w:rPr>
                      <w:rFonts w:cs="Times New Roman"/>
                      <w:sz w:val="18"/>
                    </w:rPr>
                  </w:pPr>
                  <w:r>
                    <w:rPr>
                      <w:rFonts w:cs="Times New Roman"/>
                      <w:spacing w:val="5"/>
                      <w:sz w:val="18"/>
                    </w:rPr>
                    <w:t>达标</w:t>
                  </w:r>
                </w:p>
              </w:tc>
              <w:tc>
                <w:tcPr>
                  <w:tcW w:w="750" w:type="pct"/>
                  <w:vAlign w:val="center"/>
                </w:tcPr>
                <w:p w14:paraId="1822A89E">
                  <w:pPr>
                    <w:spacing w:line="240" w:lineRule="auto"/>
                    <w:ind w:firstLine="0" w:firstLineChars="0"/>
                    <w:jc w:val="center"/>
                    <w:outlineLvl w:val="1"/>
                    <w:rPr>
                      <w:rFonts w:cs="Times New Roman"/>
                      <w:sz w:val="18"/>
                    </w:rPr>
                  </w:pPr>
                  <w:r>
                    <w:rPr>
                      <w:rFonts w:cs="Times New Roman"/>
                      <w:spacing w:val="5"/>
                      <w:sz w:val="18"/>
                    </w:rPr>
                    <w:t>达标</w:t>
                  </w:r>
                </w:p>
              </w:tc>
              <w:tc>
                <w:tcPr>
                  <w:tcW w:w="748" w:type="pct"/>
                  <w:vAlign w:val="center"/>
                </w:tcPr>
                <w:p w14:paraId="04AB6C66">
                  <w:pPr>
                    <w:spacing w:line="240" w:lineRule="auto"/>
                    <w:ind w:firstLine="0" w:firstLineChars="0"/>
                    <w:jc w:val="center"/>
                    <w:outlineLvl w:val="1"/>
                    <w:rPr>
                      <w:rFonts w:cs="Times New Roman"/>
                      <w:sz w:val="18"/>
                    </w:rPr>
                  </w:pPr>
                  <w:r>
                    <w:rPr>
                      <w:rFonts w:cs="Times New Roman"/>
                      <w:spacing w:val="5"/>
                      <w:sz w:val="18"/>
                    </w:rPr>
                    <w:t>达标</w:t>
                  </w:r>
                </w:p>
              </w:tc>
              <w:tc>
                <w:tcPr>
                  <w:tcW w:w="751" w:type="pct"/>
                  <w:vAlign w:val="center"/>
                </w:tcPr>
                <w:p w14:paraId="3F6A44F8">
                  <w:pPr>
                    <w:spacing w:line="240" w:lineRule="auto"/>
                    <w:ind w:firstLine="0" w:firstLineChars="0"/>
                    <w:jc w:val="center"/>
                    <w:outlineLvl w:val="1"/>
                    <w:rPr>
                      <w:rFonts w:cs="Times New Roman"/>
                      <w:sz w:val="18"/>
                    </w:rPr>
                  </w:pPr>
                  <w:r>
                    <w:rPr>
                      <w:rFonts w:cs="Times New Roman"/>
                      <w:spacing w:val="5"/>
                      <w:sz w:val="18"/>
                    </w:rPr>
                    <w:t>达标</w:t>
                  </w:r>
                </w:p>
              </w:tc>
              <w:tc>
                <w:tcPr>
                  <w:tcW w:w="749" w:type="pct"/>
                  <w:vAlign w:val="center"/>
                </w:tcPr>
                <w:p w14:paraId="6AE4B59C">
                  <w:pPr>
                    <w:spacing w:line="240" w:lineRule="auto"/>
                    <w:ind w:firstLine="0" w:firstLineChars="0"/>
                    <w:jc w:val="center"/>
                    <w:outlineLvl w:val="1"/>
                    <w:rPr>
                      <w:rFonts w:cs="Times New Roman"/>
                      <w:sz w:val="18"/>
                    </w:rPr>
                  </w:pPr>
                  <w:r>
                    <w:rPr>
                      <w:rFonts w:cs="Times New Roman"/>
                      <w:spacing w:val="5"/>
                      <w:sz w:val="18"/>
                    </w:rPr>
                    <w:t>达标</w:t>
                  </w:r>
                </w:p>
              </w:tc>
            </w:tr>
          </w:tbl>
          <w:p w14:paraId="2AFE97FE">
            <w:pPr>
              <w:pStyle w:val="2"/>
              <w:spacing w:line="240" w:lineRule="auto"/>
              <w:jc w:val="both"/>
              <w:rPr>
                <w:rFonts w:eastAsia="黑体" w:cs="Times New Roman"/>
                <w:bCs/>
              </w:rPr>
            </w:pPr>
          </w:p>
          <w:p w14:paraId="0419B4DB">
            <w:pPr>
              <w:ind w:firstLine="480"/>
              <w:jc w:val="both"/>
            </w:pPr>
            <w:r>
              <w:t>从</w:t>
            </w:r>
            <w:r>
              <w:rPr>
                <w:rFonts w:hint="eastAsia"/>
              </w:rPr>
              <w:t>上表</w:t>
            </w:r>
            <w:r>
              <w:t>可知，东塘港（仁和街道段）监测</w:t>
            </w:r>
            <w:r>
              <w:rPr>
                <w:rFonts w:hint="eastAsia"/>
              </w:rPr>
              <w:t>断面</w:t>
            </w:r>
            <w:r>
              <w:t>水质符合《地表水环境质量标准》（GB3838-2002）中Ⅲ类标准，满足Ⅲ类水环境功能要求。</w:t>
            </w:r>
          </w:p>
          <w:p w14:paraId="693BF745">
            <w:pPr>
              <w:ind w:firstLine="480"/>
              <w:jc w:val="both"/>
            </w:pPr>
            <w:r>
              <w:rPr>
                <w:rFonts w:hint="eastAsia"/>
              </w:rPr>
              <w:t>3、声环境</w:t>
            </w:r>
          </w:p>
          <w:p w14:paraId="3C89F75F">
            <w:pPr>
              <w:ind w:firstLine="480"/>
              <w:jc w:val="both"/>
            </w:pPr>
            <w:r>
              <w:t>本项目厂界外50m范围无声环境保护目标，根据《建设项目环境影响报告表编制技术指南（污染影响类）》无需开展现状调查。</w:t>
            </w:r>
          </w:p>
          <w:p w14:paraId="13E3C12B">
            <w:pPr>
              <w:ind w:firstLine="480"/>
              <w:jc w:val="both"/>
            </w:pPr>
            <w:r>
              <w:rPr>
                <w:rFonts w:hint="eastAsia"/>
              </w:rPr>
              <w:t>4、生态环境</w:t>
            </w:r>
          </w:p>
          <w:p w14:paraId="2376574E">
            <w:pPr>
              <w:ind w:firstLine="480"/>
              <w:jc w:val="both"/>
            </w:pPr>
            <w:r>
              <w:t>本项目位于浙江省杭州市余杭区仁和街道三星路4号，占地范围内不含生态环境保护目标，故不进行生态现状调查。</w:t>
            </w:r>
          </w:p>
          <w:p w14:paraId="0E000628">
            <w:pPr>
              <w:ind w:firstLine="480"/>
              <w:jc w:val="both"/>
            </w:pPr>
            <w:r>
              <w:rPr>
                <w:rFonts w:hint="eastAsia"/>
              </w:rPr>
              <w:t>5、电磁辐射</w:t>
            </w:r>
          </w:p>
          <w:p w14:paraId="31F8F690">
            <w:pPr>
              <w:ind w:firstLine="480"/>
              <w:jc w:val="both"/>
            </w:pPr>
            <w:r>
              <w:t>本项目不涉及电磁辐射影响。</w:t>
            </w:r>
          </w:p>
          <w:p w14:paraId="3717B779">
            <w:pPr>
              <w:ind w:firstLine="480"/>
              <w:jc w:val="both"/>
            </w:pPr>
            <w:r>
              <w:rPr>
                <w:rFonts w:hint="eastAsia"/>
              </w:rPr>
              <w:t>6、地下水、土壤环境</w:t>
            </w:r>
          </w:p>
          <w:p w14:paraId="23E66989">
            <w:pPr>
              <w:ind w:firstLine="480"/>
              <w:jc w:val="both"/>
            </w:pPr>
            <w:r>
              <w:t>本项目产生的危险废物贮存于厂区危废间内。危废间做防腐防渗处理，无地下水、土壤环境污染途径，无需开展地下水、土壤环境质量现状调查。</w:t>
            </w:r>
          </w:p>
        </w:tc>
      </w:tr>
      <w:tr w14:paraId="40509294">
        <w:trPr>
          <w:trHeight w:val="90" w:hRule="atLeast"/>
        </w:trPr>
        <w:tc>
          <w:tcPr>
            <w:tcW w:w="512" w:type="dxa"/>
            <w:vAlign w:val="center"/>
          </w:tcPr>
          <w:p w14:paraId="0B013867">
            <w:pPr>
              <w:pStyle w:val="2"/>
              <w:spacing w:line="240" w:lineRule="auto"/>
              <w:jc w:val="center"/>
              <w:rPr>
                <w:sz w:val="24"/>
                <w:szCs w:val="24"/>
              </w:rPr>
            </w:pPr>
            <w:r>
              <w:rPr>
                <w:rFonts w:hint="eastAsia"/>
                <w:sz w:val="24"/>
                <w:szCs w:val="24"/>
              </w:rPr>
              <w:t>环境</w:t>
            </w:r>
          </w:p>
          <w:p w14:paraId="48DD79B2">
            <w:pPr>
              <w:pStyle w:val="2"/>
              <w:spacing w:line="240" w:lineRule="auto"/>
              <w:jc w:val="center"/>
              <w:rPr>
                <w:sz w:val="24"/>
                <w:szCs w:val="24"/>
              </w:rPr>
            </w:pPr>
            <w:r>
              <w:rPr>
                <w:rFonts w:hint="eastAsia"/>
                <w:sz w:val="24"/>
                <w:szCs w:val="24"/>
              </w:rPr>
              <w:t>保护</w:t>
            </w:r>
          </w:p>
          <w:p w14:paraId="739276EE">
            <w:pPr>
              <w:pStyle w:val="2"/>
              <w:spacing w:line="240" w:lineRule="auto"/>
              <w:jc w:val="center"/>
            </w:pPr>
            <w:r>
              <w:rPr>
                <w:rFonts w:hint="eastAsia"/>
                <w:sz w:val="24"/>
                <w:szCs w:val="24"/>
              </w:rPr>
              <w:t>目标</w:t>
            </w:r>
          </w:p>
        </w:tc>
        <w:tc>
          <w:tcPr>
            <w:tcW w:w="8010" w:type="dxa"/>
          </w:tcPr>
          <w:p w14:paraId="54E97D6C">
            <w:pPr>
              <w:ind w:firstLine="480"/>
              <w:jc w:val="both"/>
            </w:pPr>
            <w:r>
              <w:rPr>
                <w:rFonts w:hint="eastAsia"/>
              </w:rPr>
              <w:t>1、大气环境保护目标</w:t>
            </w:r>
          </w:p>
          <w:p w14:paraId="1C7D86E8">
            <w:pPr>
              <w:ind w:firstLine="480"/>
              <w:jc w:val="both"/>
            </w:pPr>
            <w:r>
              <w:t>根据现场勘查，项目厂界外500m范围</w:t>
            </w:r>
            <w:r>
              <w:rPr>
                <w:rFonts w:hint="eastAsia"/>
              </w:rPr>
              <w:t>有</w:t>
            </w:r>
            <w:r>
              <w:t>住宅用地。项目周边环境概况图见附图。</w:t>
            </w:r>
            <w:r>
              <w:rPr>
                <w:rFonts w:hint="eastAsia"/>
              </w:rPr>
              <w:t>大气环境保护目标见表3-5。</w:t>
            </w:r>
          </w:p>
          <w:p w14:paraId="16AD30A0">
            <w:pPr>
              <w:pStyle w:val="14"/>
              <w:numPr>
                <w:ilvl w:val="0"/>
                <w:numId w:val="8"/>
              </w:numPr>
              <w:tabs>
                <w:tab w:val="clear" w:pos="0"/>
              </w:tabs>
              <w:spacing w:before="156"/>
            </w:pPr>
            <w:r>
              <w:rPr>
                <w:rFonts w:hint="eastAsia"/>
              </w:rPr>
              <w:t xml:space="preserve">  大气环境保护目标一览表</w:t>
            </w:r>
          </w:p>
          <w:tbl>
            <w:tblPr>
              <w:tblStyle w:val="15"/>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97"/>
              <w:gridCol w:w="1223"/>
              <w:gridCol w:w="1190"/>
              <w:gridCol w:w="896"/>
              <w:gridCol w:w="954"/>
              <w:gridCol w:w="605"/>
              <w:gridCol w:w="591"/>
              <w:gridCol w:w="919"/>
            </w:tblGrid>
            <w:tr w14:paraId="33E11BEF">
              <w:trPr>
                <w:trHeight w:val="340" w:hRule="atLeast"/>
                <w:jc w:val="center"/>
              </w:trPr>
              <w:tc>
                <w:tcPr>
                  <w:tcW w:w="898" w:type="pct"/>
                  <w:vMerge w:val="restart"/>
                  <w:vAlign w:val="center"/>
                </w:tcPr>
                <w:p w14:paraId="0D2F2266">
                  <w:pPr>
                    <w:pStyle w:val="13"/>
                    <w:jc w:val="center"/>
                    <w:rPr>
                      <w:rFonts w:cs="Times New Roman"/>
                    </w:rPr>
                  </w:pPr>
                  <w:r>
                    <w:rPr>
                      <w:rFonts w:cs="Times New Roman"/>
                    </w:rPr>
                    <w:t>保护目标名称</w:t>
                  </w:r>
                </w:p>
              </w:tc>
              <w:tc>
                <w:tcPr>
                  <w:tcW w:w="1551" w:type="pct"/>
                  <w:gridSpan w:val="2"/>
                  <w:vAlign w:val="center"/>
                </w:tcPr>
                <w:p w14:paraId="64476657">
                  <w:pPr>
                    <w:pStyle w:val="13"/>
                    <w:jc w:val="center"/>
                    <w:rPr>
                      <w:rFonts w:cs="Times New Roman"/>
                    </w:rPr>
                  </w:pPr>
                  <w:r>
                    <w:rPr>
                      <w:rFonts w:cs="Times New Roman"/>
                    </w:rPr>
                    <w:t>坐标/m</w:t>
                  </w:r>
                </w:p>
              </w:tc>
              <w:tc>
                <w:tcPr>
                  <w:tcW w:w="576" w:type="pct"/>
                  <w:vMerge w:val="restart"/>
                  <w:vAlign w:val="center"/>
                </w:tcPr>
                <w:p w14:paraId="222DF5CB">
                  <w:pPr>
                    <w:pStyle w:val="13"/>
                    <w:jc w:val="center"/>
                    <w:rPr>
                      <w:rFonts w:cs="Times New Roman"/>
                    </w:rPr>
                  </w:pPr>
                  <w:r>
                    <w:rPr>
                      <w:rFonts w:cs="Times New Roman"/>
                    </w:rPr>
                    <w:t>保护对象</w:t>
                  </w:r>
                </w:p>
              </w:tc>
              <w:tc>
                <w:tcPr>
                  <w:tcW w:w="613" w:type="pct"/>
                  <w:vMerge w:val="restart"/>
                  <w:vAlign w:val="center"/>
                </w:tcPr>
                <w:p w14:paraId="583B2C95">
                  <w:pPr>
                    <w:pStyle w:val="13"/>
                    <w:jc w:val="center"/>
                    <w:rPr>
                      <w:rFonts w:cs="Times New Roman"/>
                    </w:rPr>
                  </w:pPr>
                  <w:r>
                    <w:rPr>
                      <w:rFonts w:cs="Times New Roman"/>
                    </w:rPr>
                    <w:t>保护内容</w:t>
                  </w:r>
                </w:p>
              </w:tc>
              <w:tc>
                <w:tcPr>
                  <w:tcW w:w="389" w:type="pct"/>
                  <w:vMerge w:val="restart"/>
                  <w:vAlign w:val="center"/>
                </w:tcPr>
                <w:p w14:paraId="712A470A">
                  <w:pPr>
                    <w:pStyle w:val="13"/>
                    <w:jc w:val="center"/>
                    <w:rPr>
                      <w:rFonts w:cs="Times New Roman"/>
                    </w:rPr>
                  </w:pPr>
                  <w:r>
                    <w:rPr>
                      <w:rFonts w:cs="Times New Roman"/>
                    </w:rPr>
                    <w:t>环境功能区</w:t>
                  </w:r>
                </w:p>
              </w:tc>
              <w:tc>
                <w:tcPr>
                  <w:tcW w:w="380" w:type="pct"/>
                  <w:vMerge w:val="restart"/>
                  <w:vAlign w:val="center"/>
                </w:tcPr>
                <w:p w14:paraId="7DF42E95">
                  <w:pPr>
                    <w:pStyle w:val="13"/>
                    <w:jc w:val="center"/>
                    <w:rPr>
                      <w:rFonts w:cs="Times New Roman"/>
                    </w:rPr>
                  </w:pPr>
                  <w:r>
                    <w:rPr>
                      <w:rFonts w:cs="Times New Roman"/>
                    </w:rPr>
                    <w:t>相对厂址方位</w:t>
                  </w:r>
                </w:p>
              </w:tc>
              <w:tc>
                <w:tcPr>
                  <w:tcW w:w="590" w:type="pct"/>
                  <w:vMerge w:val="restart"/>
                  <w:vAlign w:val="center"/>
                </w:tcPr>
                <w:p w14:paraId="1BAC1653">
                  <w:pPr>
                    <w:pStyle w:val="13"/>
                    <w:jc w:val="center"/>
                    <w:rPr>
                      <w:rFonts w:cs="Times New Roman"/>
                    </w:rPr>
                  </w:pPr>
                  <w:r>
                    <w:rPr>
                      <w:rFonts w:cs="Times New Roman"/>
                    </w:rPr>
                    <w:t>相对厂界距离/m</w:t>
                  </w:r>
                </w:p>
              </w:tc>
            </w:tr>
            <w:tr w14:paraId="7BB40E0C">
              <w:trPr>
                <w:trHeight w:val="340" w:hRule="atLeast"/>
                <w:jc w:val="center"/>
              </w:trPr>
              <w:tc>
                <w:tcPr>
                  <w:tcW w:w="898" w:type="pct"/>
                  <w:vMerge w:val="continue"/>
                  <w:vAlign w:val="center"/>
                </w:tcPr>
                <w:p w14:paraId="5DF978FD">
                  <w:pPr>
                    <w:pStyle w:val="13"/>
                    <w:jc w:val="center"/>
                    <w:rPr>
                      <w:rFonts w:cs="Times New Roman"/>
                    </w:rPr>
                  </w:pPr>
                </w:p>
              </w:tc>
              <w:tc>
                <w:tcPr>
                  <w:tcW w:w="786" w:type="pct"/>
                  <w:vAlign w:val="center"/>
                </w:tcPr>
                <w:p w14:paraId="46A36198">
                  <w:pPr>
                    <w:pStyle w:val="13"/>
                    <w:jc w:val="center"/>
                    <w:rPr>
                      <w:rFonts w:cs="Times New Roman"/>
                    </w:rPr>
                  </w:pPr>
                  <w:r>
                    <w:rPr>
                      <w:rFonts w:cs="Times New Roman"/>
                    </w:rPr>
                    <w:t>X</w:t>
                  </w:r>
                </w:p>
              </w:tc>
              <w:tc>
                <w:tcPr>
                  <w:tcW w:w="764" w:type="pct"/>
                  <w:vAlign w:val="center"/>
                </w:tcPr>
                <w:p w14:paraId="04E3DC57">
                  <w:pPr>
                    <w:pStyle w:val="13"/>
                    <w:jc w:val="center"/>
                    <w:rPr>
                      <w:rFonts w:cs="Times New Roman"/>
                    </w:rPr>
                  </w:pPr>
                  <w:r>
                    <w:rPr>
                      <w:rFonts w:cs="Times New Roman"/>
                    </w:rPr>
                    <w:t>Y</w:t>
                  </w:r>
                </w:p>
              </w:tc>
              <w:tc>
                <w:tcPr>
                  <w:tcW w:w="576" w:type="pct"/>
                  <w:vMerge w:val="continue"/>
                  <w:vAlign w:val="center"/>
                </w:tcPr>
                <w:p w14:paraId="34889A19">
                  <w:pPr>
                    <w:pStyle w:val="13"/>
                    <w:jc w:val="center"/>
                    <w:rPr>
                      <w:rFonts w:cs="Times New Roman"/>
                    </w:rPr>
                  </w:pPr>
                </w:p>
              </w:tc>
              <w:tc>
                <w:tcPr>
                  <w:tcW w:w="613" w:type="pct"/>
                  <w:vMerge w:val="continue"/>
                  <w:vAlign w:val="center"/>
                </w:tcPr>
                <w:p w14:paraId="778C762A">
                  <w:pPr>
                    <w:pStyle w:val="13"/>
                    <w:jc w:val="center"/>
                    <w:rPr>
                      <w:rFonts w:cs="Times New Roman"/>
                    </w:rPr>
                  </w:pPr>
                </w:p>
              </w:tc>
              <w:tc>
                <w:tcPr>
                  <w:tcW w:w="389" w:type="pct"/>
                  <w:vMerge w:val="continue"/>
                  <w:vAlign w:val="center"/>
                </w:tcPr>
                <w:p w14:paraId="629E153A">
                  <w:pPr>
                    <w:pStyle w:val="13"/>
                    <w:jc w:val="center"/>
                    <w:rPr>
                      <w:rFonts w:cs="Times New Roman"/>
                    </w:rPr>
                  </w:pPr>
                </w:p>
              </w:tc>
              <w:tc>
                <w:tcPr>
                  <w:tcW w:w="380" w:type="pct"/>
                  <w:vMerge w:val="continue"/>
                  <w:vAlign w:val="center"/>
                </w:tcPr>
                <w:p w14:paraId="65A14888">
                  <w:pPr>
                    <w:pStyle w:val="13"/>
                    <w:jc w:val="center"/>
                    <w:rPr>
                      <w:rFonts w:cs="Times New Roman"/>
                    </w:rPr>
                  </w:pPr>
                </w:p>
              </w:tc>
              <w:tc>
                <w:tcPr>
                  <w:tcW w:w="590" w:type="pct"/>
                  <w:vMerge w:val="continue"/>
                  <w:vAlign w:val="center"/>
                </w:tcPr>
                <w:p w14:paraId="776869E9">
                  <w:pPr>
                    <w:pStyle w:val="13"/>
                    <w:jc w:val="center"/>
                    <w:rPr>
                      <w:rFonts w:cs="Times New Roman"/>
                    </w:rPr>
                  </w:pPr>
                </w:p>
              </w:tc>
            </w:tr>
            <w:tr w14:paraId="675D10C2">
              <w:trPr>
                <w:trHeight w:val="340" w:hRule="atLeast"/>
                <w:jc w:val="center"/>
              </w:trPr>
              <w:tc>
                <w:tcPr>
                  <w:tcW w:w="898" w:type="pct"/>
                  <w:vAlign w:val="center"/>
                </w:tcPr>
                <w:p w14:paraId="458BCCAF">
                  <w:pPr>
                    <w:pStyle w:val="13"/>
                    <w:jc w:val="center"/>
                    <w:rPr>
                      <w:rFonts w:cs="Times New Roman"/>
                    </w:rPr>
                  </w:pPr>
                  <w:r>
                    <w:rPr>
                      <w:rFonts w:cs="Times New Roman"/>
                    </w:rPr>
                    <w:t>美地兰庭</w:t>
                  </w:r>
                </w:p>
              </w:tc>
              <w:tc>
                <w:tcPr>
                  <w:tcW w:w="786" w:type="pct"/>
                  <w:vAlign w:val="center"/>
                </w:tcPr>
                <w:p w14:paraId="1F3825D3">
                  <w:pPr>
                    <w:pStyle w:val="13"/>
                    <w:jc w:val="center"/>
                    <w:rPr>
                      <w:rFonts w:cs="Times New Roman"/>
                    </w:rPr>
                  </w:pPr>
                  <w:r>
                    <w:rPr>
                      <w:rFonts w:cs="Times New Roman"/>
                    </w:rPr>
                    <w:t>120°04′57.41″</w:t>
                  </w:r>
                </w:p>
              </w:tc>
              <w:tc>
                <w:tcPr>
                  <w:tcW w:w="764" w:type="pct"/>
                  <w:vAlign w:val="center"/>
                </w:tcPr>
                <w:p w14:paraId="480FD7BC">
                  <w:pPr>
                    <w:pStyle w:val="13"/>
                    <w:jc w:val="center"/>
                    <w:rPr>
                      <w:rFonts w:cs="Times New Roman"/>
                    </w:rPr>
                  </w:pPr>
                  <w:r>
                    <w:rPr>
                      <w:rFonts w:cs="Times New Roman"/>
                    </w:rPr>
                    <w:t>30°25′58.32″</w:t>
                  </w:r>
                </w:p>
              </w:tc>
              <w:tc>
                <w:tcPr>
                  <w:tcW w:w="576" w:type="pct"/>
                  <w:vAlign w:val="center"/>
                </w:tcPr>
                <w:p w14:paraId="22D41719">
                  <w:pPr>
                    <w:pStyle w:val="13"/>
                    <w:jc w:val="center"/>
                    <w:rPr>
                      <w:rFonts w:cs="Times New Roman"/>
                    </w:rPr>
                  </w:pPr>
                  <w:r>
                    <w:rPr>
                      <w:rFonts w:cs="Times New Roman"/>
                    </w:rPr>
                    <w:t>居民</w:t>
                  </w:r>
                </w:p>
              </w:tc>
              <w:tc>
                <w:tcPr>
                  <w:tcW w:w="613" w:type="pct"/>
                  <w:vAlign w:val="center"/>
                </w:tcPr>
                <w:p w14:paraId="3D86DEB8">
                  <w:pPr>
                    <w:pStyle w:val="13"/>
                    <w:jc w:val="center"/>
                    <w:rPr>
                      <w:rFonts w:cs="Times New Roman"/>
                    </w:rPr>
                  </w:pPr>
                  <w:r>
                    <w:rPr>
                      <w:rFonts w:cs="Times New Roman"/>
                    </w:rPr>
                    <w:t>约</w:t>
                  </w:r>
                  <w:r>
                    <w:rPr>
                      <w:rFonts w:hint="eastAsia" w:cs="Times New Roman"/>
                    </w:rPr>
                    <w:t>30</w:t>
                  </w:r>
                  <w:r>
                    <w:rPr>
                      <w:rFonts w:cs="Times New Roman"/>
                    </w:rPr>
                    <w:t>00人</w:t>
                  </w:r>
                </w:p>
              </w:tc>
              <w:tc>
                <w:tcPr>
                  <w:tcW w:w="389" w:type="pct"/>
                  <w:vMerge w:val="restart"/>
                  <w:vAlign w:val="center"/>
                </w:tcPr>
                <w:p w14:paraId="7A1AFB01">
                  <w:pPr>
                    <w:pStyle w:val="13"/>
                    <w:jc w:val="center"/>
                    <w:rPr>
                      <w:rFonts w:cs="Times New Roman"/>
                    </w:rPr>
                  </w:pPr>
                  <w:r>
                    <w:rPr>
                      <w:rFonts w:cs="Times New Roman"/>
                    </w:rPr>
                    <w:t>二类</w:t>
                  </w:r>
                </w:p>
              </w:tc>
              <w:tc>
                <w:tcPr>
                  <w:tcW w:w="380" w:type="pct"/>
                  <w:vAlign w:val="center"/>
                </w:tcPr>
                <w:p w14:paraId="781C3E1C">
                  <w:pPr>
                    <w:pStyle w:val="13"/>
                    <w:jc w:val="center"/>
                    <w:rPr>
                      <w:rFonts w:cs="Times New Roman"/>
                    </w:rPr>
                  </w:pPr>
                  <w:r>
                    <w:rPr>
                      <w:rFonts w:hint="eastAsia" w:cs="Times New Roman"/>
                    </w:rPr>
                    <w:t>NW</w:t>
                  </w:r>
                </w:p>
              </w:tc>
              <w:tc>
                <w:tcPr>
                  <w:tcW w:w="590" w:type="pct"/>
                  <w:vAlign w:val="center"/>
                </w:tcPr>
                <w:p w14:paraId="6E87B5F9">
                  <w:pPr>
                    <w:pStyle w:val="13"/>
                    <w:jc w:val="center"/>
                    <w:rPr>
                      <w:rFonts w:cs="Times New Roman"/>
                    </w:rPr>
                  </w:pPr>
                  <w:r>
                    <w:rPr>
                      <w:rFonts w:hint="eastAsia" w:cs="Times New Roman"/>
                    </w:rPr>
                    <w:t>300</w:t>
                  </w:r>
                </w:p>
              </w:tc>
            </w:tr>
            <w:tr w14:paraId="5E2A62E1">
              <w:trPr>
                <w:trHeight w:val="340" w:hRule="atLeast"/>
                <w:jc w:val="center"/>
              </w:trPr>
              <w:tc>
                <w:tcPr>
                  <w:tcW w:w="898" w:type="pct"/>
                  <w:vAlign w:val="center"/>
                </w:tcPr>
                <w:p w14:paraId="7858D3B1">
                  <w:pPr>
                    <w:pStyle w:val="13"/>
                    <w:jc w:val="center"/>
                    <w:rPr>
                      <w:rFonts w:cs="Times New Roman"/>
                    </w:rPr>
                  </w:pPr>
                  <w:r>
                    <w:rPr>
                      <w:rFonts w:hint="eastAsia" w:cs="Times New Roman"/>
                    </w:rPr>
                    <w:t>东风村</w:t>
                  </w:r>
                </w:p>
              </w:tc>
              <w:tc>
                <w:tcPr>
                  <w:tcW w:w="786" w:type="pct"/>
                  <w:vAlign w:val="center"/>
                </w:tcPr>
                <w:p w14:paraId="02BE18C1">
                  <w:pPr>
                    <w:pStyle w:val="13"/>
                    <w:jc w:val="center"/>
                    <w:rPr>
                      <w:rFonts w:cs="Times New Roman"/>
                    </w:rPr>
                  </w:pPr>
                  <w:r>
                    <w:rPr>
                      <w:rFonts w:cs="Times New Roman"/>
                    </w:rPr>
                    <w:t>120°04′45.86″</w:t>
                  </w:r>
                </w:p>
              </w:tc>
              <w:tc>
                <w:tcPr>
                  <w:tcW w:w="764" w:type="pct"/>
                  <w:vAlign w:val="center"/>
                </w:tcPr>
                <w:p w14:paraId="51C84382">
                  <w:pPr>
                    <w:pStyle w:val="13"/>
                    <w:jc w:val="center"/>
                    <w:rPr>
                      <w:rFonts w:cs="Times New Roman"/>
                    </w:rPr>
                  </w:pPr>
                  <w:r>
                    <w:rPr>
                      <w:rFonts w:cs="Times New Roman"/>
                    </w:rPr>
                    <w:t>30°26′2.34″</w:t>
                  </w:r>
                </w:p>
              </w:tc>
              <w:tc>
                <w:tcPr>
                  <w:tcW w:w="576" w:type="pct"/>
                  <w:vAlign w:val="center"/>
                </w:tcPr>
                <w:p w14:paraId="0AD2B031">
                  <w:pPr>
                    <w:pStyle w:val="13"/>
                    <w:jc w:val="center"/>
                    <w:rPr>
                      <w:rFonts w:cs="Times New Roman"/>
                    </w:rPr>
                  </w:pPr>
                  <w:r>
                    <w:rPr>
                      <w:rFonts w:cs="Times New Roman"/>
                    </w:rPr>
                    <w:t>居民</w:t>
                  </w:r>
                </w:p>
              </w:tc>
              <w:tc>
                <w:tcPr>
                  <w:tcW w:w="613" w:type="pct"/>
                  <w:vAlign w:val="center"/>
                </w:tcPr>
                <w:p w14:paraId="4FBE09BD">
                  <w:pPr>
                    <w:pStyle w:val="13"/>
                    <w:jc w:val="center"/>
                    <w:rPr>
                      <w:rFonts w:cs="Times New Roman"/>
                    </w:rPr>
                  </w:pPr>
                  <w:r>
                    <w:rPr>
                      <w:rFonts w:cs="Times New Roman"/>
                    </w:rPr>
                    <w:t>约240人</w:t>
                  </w:r>
                </w:p>
              </w:tc>
              <w:tc>
                <w:tcPr>
                  <w:tcW w:w="389" w:type="pct"/>
                  <w:vMerge w:val="continue"/>
                  <w:vAlign w:val="center"/>
                </w:tcPr>
                <w:p w14:paraId="48886B81">
                  <w:pPr>
                    <w:pStyle w:val="13"/>
                    <w:jc w:val="center"/>
                    <w:rPr>
                      <w:rFonts w:cs="Times New Roman"/>
                    </w:rPr>
                  </w:pPr>
                </w:p>
              </w:tc>
              <w:tc>
                <w:tcPr>
                  <w:tcW w:w="380" w:type="pct"/>
                  <w:vAlign w:val="center"/>
                </w:tcPr>
                <w:p w14:paraId="34911785">
                  <w:pPr>
                    <w:pStyle w:val="13"/>
                    <w:jc w:val="center"/>
                    <w:rPr>
                      <w:rFonts w:cs="Times New Roman"/>
                    </w:rPr>
                  </w:pPr>
                  <w:r>
                    <w:rPr>
                      <w:rFonts w:hint="eastAsia" w:cs="Times New Roman"/>
                    </w:rPr>
                    <w:t>N</w:t>
                  </w:r>
                </w:p>
              </w:tc>
              <w:tc>
                <w:tcPr>
                  <w:tcW w:w="590" w:type="pct"/>
                  <w:vAlign w:val="center"/>
                </w:tcPr>
                <w:p w14:paraId="3D40131F">
                  <w:pPr>
                    <w:pStyle w:val="13"/>
                    <w:jc w:val="center"/>
                    <w:rPr>
                      <w:rFonts w:cs="Times New Roman"/>
                    </w:rPr>
                  </w:pPr>
                  <w:r>
                    <w:rPr>
                      <w:rFonts w:hint="eastAsia" w:cs="Times New Roman"/>
                    </w:rPr>
                    <w:t>491</w:t>
                  </w:r>
                </w:p>
              </w:tc>
            </w:tr>
            <w:tr w14:paraId="102446EF">
              <w:trPr>
                <w:trHeight w:val="340" w:hRule="atLeast"/>
                <w:jc w:val="center"/>
              </w:trPr>
              <w:tc>
                <w:tcPr>
                  <w:tcW w:w="898" w:type="pct"/>
                  <w:vAlign w:val="center"/>
                </w:tcPr>
                <w:p w14:paraId="1B202AAE">
                  <w:pPr>
                    <w:pStyle w:val="13"/>
                    <w:jc w:val="center"/>
                    <w:rPr>
                      <w:rFonts w:cs="Times New Roman"/>
                    </w:rPr>
                  </w:pPr>
                  <w:r>
                    <w:rPr>
                      <w:rFonts w:hint="eastAsia" w:cs="Times New Roman"/>
                    </w:rPr>
                    <w:t>潘家角</w:t>
                  </w:r>
                </w:p>
              </w:tc>
              <w:tc>
                <w:tcPr>
                  <w:tcW w:w="786" w:type="pct"/>
                  <w:vAlign w:val="center"/>
                </w:tcPr>
                <w:p w14:paraId="3C121FFD">
                  <w:pPr>
                    <w:pStyle w:val="13"/>
                    <w:jc w:val="center"/>
                    <w:rPr>
                      <w:rFonts w:cs="Times New Roman"/>
                    </w:rPr>
                  </w:pPr>
                  <w:r>
                    <w:rPr>
                      <w:rFonts w:cs="Times New Roman"/>
                    </w:rPr>
                    <w:t>120°04′38.37″</w:t>
                  </w:r>
                </w:p>
              </w:tc>
              <w:tc>
                <w:tcPr>
                  <w:tcW w:w="764" w:type="pct"/>
                  <w:vAlign w:val="center"/>
                </w:tcPr>
                <w:p w14:paraId="1E621164">
                  <w:pPr>
                    <w:pStyle w:val="13"/>
                    <w:jc w:val="center"/>
                    <w:rPr>
                      <w:rFonts w:cs="Times New Roman"/>
                    </w:rPr>
                  </w:pPr>
                  <w:r>
                    <w:rPr>
                      <w:rFonts w:cs="Times New Roman"/>
                    </w:rPr>
                    <w:t>30°25′37.81″</w:t>
                  </w:r>
                </w:p>
              </w:tc>
              <w:tc>
                <w:tcPr>
                  <w:tcW w:w="576" w:type="pct"/>
                  <w:vAlign w:val="center"/>
                </w:tcPr>
                <w:p w14:paraId="3341F30F">
                  <w:pPr>
                    <w:pStyle w:val="13"/>
                    <w:jc w:val="center"/>
                    <w:rPr>
                      <w:rFonts w:cs="Times New Roman"/>
                    </w:rPr>
                  </w:pPr>
                  <w:r>
                    <w:rPr>
                      <w:rFonts w:cs="Times New Roman"/>
                    </w:rPr>
                    <w:t>居民</w:t>
                  </w:r>
                </w:p>
              </w:tc>
              <w:tc>
                <w:tcPr>
                  <w:tcW w:w="613" w:type="pct"/>
                  <w:vAlign w:val="center"/>
                </w:tcPr>
                <w:p w14:paraId="0416561A">
                  <w:pPr>
                    <w:pStyle w:val="13"/>
                    <w:jc w:val="center"/>
                    <w:rPr>
                      <w:rFonts w:cs="Times New Roman"/>
                    </w:rPr>
                  </w:pPr>
                  <w:r>
                    <w:rPr>
                      <w:rFonts w:cs="Times New Roman"/>
                    </w:rPr>
                    <w:t>约150人</w:t>
                  </w:r>
                </w:p>
              </w:tc>
              <w:tc>
                <w:tcPr>
                  <w:tcW w:w="389" w:type="pct"/>
                  <w:vMerge w:val="continue"/>
                  <w:vAlign w:val="center"/>
                </w:tcPr>
                <w:p w14:paraId="67F1DA24">
                  <w:pPr>
                    <w:pStyle w:val="13"/>
                    <w:jc w:val="center"/>
                    <w:rPr>
                      <w:rFonts w:cs="Times New Roman"/>
                    </w:rPr>
                  </w:pPr>
                </w:p>
              </w:tc>
              <w:tc>
                <w:tcPr>
                  <w:tcW w:w="380" w:type="pct"/>
                  <w:vAlign w:val="center"/>
                </w:tcPr>
                <w:p w14:paraId="444A87D8">
                  <w:pPr>
                    <w:pStyle w:val="13"/>
                    <w:jc w:val="center"/>
                    <w:rPr>
                      <w:rFonts w:cs="Times New Roman"/>
                    </w:rPr>
                  </w:pPr>
                  <w:r>
                    <w:rPr>
                      <w:rFonts w:hint="eastAsia" w:cs="Times New Roman"/>
                    </w:rPr>
                    <w:t>SW</w:t>
                  </w:r>
                </w:p>
              </w:tc>
              <w:tc>
                <w:tcPr>
                  <w:tcW w:w="590" w:type="pct"/>
                  <w:vAlign w:val="center"/>
                </w:tcPr>
                <w:p w14:paraId="7A4A5177">
                  <w:pPr>
                    <w:pStyle w:val="13"/>
                    <w:jc w:val="center"/>
                    <w:rPr>
                      <w:rFonts w:cs="Times New Roman"/>
                    </w:rPr>
                  </w:pPr>
                  <w:r>
                    <w:rPr>
                      <w:rFonts w:hint="eastAsia" w:cs="Times New Roman"/>
                    </w:rPr>
                    <w:t>218</w:t>
                  </w:r>
                </w:p>
              </w:tc>
            </w:tr>
            <w:tr w14:paraId="7C2A7F32">
              <w:trPr>
                <w:trHeight w:val="340" w:hRule="atLeast"/>
                <w:jc w:val="center"/>
              </w:trPr>
              <w:tc>
                <w:tcPr>
                  <w:tcW w:w="898" w:type="pct"/>
                  <w:vAlign w:val="center"/>
                </w:tcPr>
                <w:p w14:paraId="5AC1E64F">
                  <w:pPr>
                    <w:pStyle w:val="13"/>
                    <w:jc w:val="center"/>
                    <w:rPr>
                      <w:rFonts w:cs="Times New Roman"/>
                    </w:rPr>
                  </w:pPr>
                  <w:r>
                    <w:rPr>
                      <w:rFonts w:hint="eastAsia" w:cs="Times New Roman"/>
                    </w:rPr>
                    <w:t>管家塘</w:t>
                  </w:r>
                </w:p>
              </w:tc>
              <w:tc>
                <w:tcPr>
                  <w:tcW w:w="786" w:type="pct"/>
                  <w:vAlign w:val="center"/>
                </w:tcPr>
                <w:p w14:paraId="5BAD5A56">
                  <w:pPr>
                    <w:pStyle w:val="13"/>
                    <w:jc w:val="center"/>
                    <w:rPr>
                      <w:rFonts w:cs="Times New Roman"/>
                    </w:rPr>
                  </w:pPr>
                  <w:r>
                    <w:rPr>
                      <w:rFonts w:cs="Times New Roman"/>
                    </w:rPr>
                    <w:t>120°04′38.27″</w:t>
                  </w:r>
                </w:p>
              </w:tc>
              <w:tc>
                <w:tcPr>
                  <w:tcW w:w="764" w:type="pct"/>
                  <w:vAlign w:val="center"/>
                </w:tcPr>
                <w:p w14:paraId="246F75D4">
                  <w:pPr>
                    <w:pStyle w:val="13"/>
                    <w:jc w:val="center"/>
                    <w:rPr>
                      <w:rFonts w:cs="Times New Roman"/>
                    </w:rPr>
                  </w:pPr>
                  <w:r>
                    <w:rPr>
                      <w:rFonts w:cs="Times New Roman"/>
                    </w:rPr>
                    <w:t>30°25′44.11″</w:t>
                  </w:r>
                </w:p>
              </w:tc>
              <w:tc>
                <w:tcPr>
                  <w:tcW w:w="576" w:type="pct"/>
                  <w:vAlign w:val="center"/>
                </w:tcPr>
                <w:p w14:paraId="6307FEA9">
                  <w:pPr>
                    <w:pStyle w:val="13"/>
                    <w:jc w:val="center"/>
                    <w:rPr>
                      <w:rFonts w:cs="Times New Roman"/>
                    </w:rPr>
                  </w:pPr>
                  <w:r>
                    <w:rPr>
                      <w:rFonts w:cs="Times New Roman"/>
                    </w:rPr>
                    <w:t>居民</w:t>
                  </w:r>
                </w:p>
              </w:tc>
              <w:tc>
                <w:tcPr>
                  <w:tcW w:w="613" w:type="pct"/>
                  <w:vAlign w:val="center"/>
                </w:tcPr>
                <w:p w14:paraId="44C17F86">
                  <w:pPr>
                    <w:pStyle w:val="13"/>
                    <w:jc w:val="center"/>
                    <w:rPr>
                      <w:rFonts w:cs="Times New Roman"/>
                    </w:rPr>
                  </w:pPr>
                  <w:r>
                    <w:rPr>
                      <w:rFonts w:cs="Times New Roman"/>
                    </w:rPr>
                    <w:t>约180人</w:t>
                  </w:r>
                </w:p>
              </w:tc>
              <w:tc>
                <w:tcPr>
                  <w:tcW w:w="389" w:type="pct"/>
                  <w:vMerge w:val="continue"/>
                  <w:vAlign w:val="center"/>
                </w:tcPr>
                <w:p w14:paraId="4E460142">
                  <w:pPr>
                    <w:pStyle w:val="13"/>
                    <w:jc w:val="center"/>
                    <w:rPr>
                      <w:rFonts w:cs="Times New Roman"/>
                    </w:rPr>
                  </w:pPr>
                </w:p>
              </w:tc>
              <w:tc>
                <w:tcPr>
                  <w:tcW w:w="380" w:type="pct"/>
                  <w:vAlign w:val="center"/>
                </w:tcPr>
                <w:p w14:paraId="6EAB290D">
                  <w:pPr>
                    <w:pStyle w:val="13"/>
                    <w:jc w:val="center"/>
                    <w:rPr>
                      <w:rFonts w:cs="Times New Roman"/>
                    </w:rPr>
                  </w:pPr>
                  <w:r>
                    <w:rPr>
                      <w:rFonts w:hint="eastAsia" w:cs="Times New Roman"/>
                    </w:rPr>
                    <w:t>W</w:t>
                  </w:r>
                </w:p>
              </w:tc>
              <w:tc>
                <w:tcPr>
                  <w:tcW w:w="590" w:type="pct"/>
                  <w:vAlign w:val="center"/>
                </w:tcPr>
                <w:p w14:paraId="3752BD07">
                  <w:pPr>
                    <w:pStyle w:val="13"/>
                    <w:jc w:val="center"/>
                    <w:rPr>
                      <w:rFonts w:cs="Times New Roman"/>
                    </w:rPr>
                  </w:pPr>
                  <w:r>
                    <w:rPr>
                      <w:rFonts w:cs="Times New Roman"/>
                    </w:rPr>
                    <w:t>2</w:t>
                  </w:r>
                  <w:r>
                    <w:rPr>
                      <w:rFonts w:hint="eastAsia" w:cs="Times New Roman"/>
                    </w:rPr>
                    <w:t>3</w:t>
                  </w:r>
                  <w:r>
                    <w:rPr>
                      <w:rFonts w:cs="Times New Roman"/>
                    </w:rPr>
                    <w:t>8</w:t>
                  </w:r>
                </w:p>
              </w:tc>
            </w:tr>
            <w:tr w14:paraId="5ECEA6C1">
              <w:trPr>
                <w:trHeight w:val="340" w:hRule="atLeast"/>
                <w:jc w:val="center"/>
              </w:trPr>
              <w:tc>
                <w:tcPr>
                  <w:tcW w:w="898" w:type="pct"/>
                  <w:vAlign w:val="center"/>
                </w:tcPr>
                <w:p w14:paraId="055E9036">
                  <w:pPr>
                    <w:pStyle w:val="13"/>
                    <w:jc w:val="center"/>
                    <w:rPr>
                      <w:rFonts w:cs="Times New Roman"/>
                    </w:rPr>
                  </w:pPr>
                  <w:r>
                    <w:rPr>
                      <w:rFonts w:hint="eastAsia" w:cs="Times New Roman"/>
                    </w:rPr>
                    <w:t>西山</w:t>
                  </w:r>
                </w:p>
              </w:tc>
              <w:tc>
                <w:tcPr>
                  <w:tcW w:w="786" w:type="pct"/>
                  <w:vAlign w:val="center"/>
                </w:tcPr>
                <w:p w14:paraId="17CF2297">
                  <w:pPr>
                    <w:pStyle w:val="13"/>
                    <w:jc w:val="center"/>
                    <w:rPr>
                      <w:rFonts w:cs="Times New Roman"/>
                    </w:rPr>
                  </w:pPr>
                  <w:r>
                    <w:rPr>
                      <w:rFonts w:cs="Times New Roman"/>
                    </w:rPr>
                    <w:t>120°04′59.92″</w:t>
                  </w:r>
                </w:p>
              </w:tc>
              <w:tc>
                <w:tcPr>
                  <w:tcW w:w="764" w:type="pct"/>
                  <w:vAlign w:val="center"/>
                </w:tcPr>
                <w:p w14:paraId="006EAC76">
                  <w:pPr>
                    <w:pStyle w:val="13"/>
                    <w:jc w:val="center"/>
                    <w:rPr>
                      <w:rFonts w:cs="Times New Roman"/>
                    </w:rPr>
                  </w:pPr>
                  <w:r>
                    <w:rPr>
                      <w:rFonts w:cs="Times New Roman"/>
                    </w:rPr>
                    <w:t>30°25′29.59″</w:t>
                  </w:r>
                </w:p>
              </w:tc>
              <w:tc>
                <w:tcPr>
                  <w:tcW w:w="576" w:type="pct"/>
                  <w:vAlign w:val="center"/>
                </w:tcPr>
                <w:p w14:paraId="30DAE7C9">
                  <w:pPr>
                    <w:pStyle w:val="13"/>
                    <w:jc w:val="center"/>
                    <w:rPr>
                      <w:rFonts w:cs="Times New Roman"/>
                    </w:rPr>
                  </w:pPr>
                  <w:r>
                    <w:rPr>
                      <w:rFonts w:cs="Times New Roman"/>
                    </w:rPr>
                    <w:t>居民</w:t>
                  </w:r>
                </w:p>
              </w:tc>
              <w:tc>
                <w:tcPr>
                  <w:tcW w:w="613" w:type="pct"/>
                  <w:vAlign w:val="center"/>
                </w:tcPr>
                <w:p w14:paraId="58FAD758">
                  <w:pPr>
                    <w:pStyle w:val="13"/>
                    <w:jc w:val="center"/>
                    <w:rPr>
                      <w:rFonts w:cs="Times New Roman"/>
                    </w:rPr>
                  </w:pPr>
                  <w:r>
                    <w:rPr>
                      <w:rFonts w:cs="Times New Roman"/>
                    </w:rPr>
                    <w:t>约</w:t>
                  </w:r>
                  <w:r>
                    <w:rPr>
                      <w:rFonts w:hint="eastAsia" w:cs="Times New Roman"/>
                    </w:rPr>
                    <w:t>20</w:t>
                  </w:r>
                  <w:r>
                    <w:rPr>
                      <w:rFonts w:cs="Times New Roman"/>
                    </w:rPr>
                    <w:t>0人</w:t>
                  </w:r>
                </w:p>
              </w:tc>
              <w:tc>
                <w:tcPr>
                  <w:tcW w:w="389" w:type="pct"/>
                  <w:vMerge w:val="continue"/>
                  <w:vAlign w:val="center"/>
                </w:tcPr>
                <w:p w14:paraId="2A2441B2">
                  <w:pPr>
                    <w:pStyle w:val="13"/>
                    <w:jc w:val="center"/>
                    <w:rPr>
                      <w:rFonts w:cs="Times New Roman"/>
                    </w:rPr>
                  </w:pPr>
                </w:p>
              </w:tc>
              <w:tc>
                <w:tcPr>
                  <w:tcW w:w="380" w:type="pct"/>
                  <w:vAlign w:val="center"/>
                </w:tcPr>
                <w:p w14:paraId="4BF9090E">
                  <w:pPr>
                    <w:pStyle w:val="13"/>
                    <w:jc w:val="center"/>
                    <w:rPr>
                      <w:rFonts w:cs="Times New Roman"/>
                    </w:rPr>
                  </w:pPr>
                  <w:r>
                    <w:rPr>
                      <w:rFonts w:hint="eastAsia" w:cs="Times New Roman"/>
                    </w:rPr>
                    <w:t>SE</w:t>
                  </w:r>
                </w:p>
              </w:tc>
              <w:tc>
                <w:tcPr>
                  <w:tcW w:w="590" w:type="pct"/>
                  <w:vAlign w:val="center"/>
                </w:tcPr>
                <w:p w14:paraId="2BDD2B30">
                  <w:pPr>
                    <w:pStyle w:val="13"/>
                    <w:jc w:val="center"/>
                    <w:rPr>
                      <w:rFonts w:cs="Times New Roman"/>
                    </w:rPr>
                  </w:pPr>
                  <w:r>
                    <w:rPr>
                      <w:rFonts w:hint="eastAsia" w:cs="Times New Roman"/>
                    </w:rPr>
                    <w:t>500</w:t>
                  </w:r>
                </w:p>
              </w:tc>
            </w:tr>
          </w:tbl>
          <w:p w14:paraId="38E01D8B">
            <w:pPr>
              <w:pStyle w:val="2"/>
              <w:spacing w:line="240" w:lineRule="auto"/>
              <w:jc w:val="both"/>
              <w:rPr>
                <w:rFonts w:eastAsia="黑体" w:cs="Times New Roman"/>
                <w:bCs/>
              </w:rPr>
            </w:pPr>
          </w:p>
          <w:p w14:paraId="08DA38C3">
            <w:pPr>
              <w:ind w:firstLine="480"/>
              <w:jc w:val="both"/>
            </w:pPr>
            <w:r>
              <w:rPr>
                <w:rFonts w:hint="eastAsia"/>
              </w:rPr>
              <w:t>2、声环境</w:t>
            </w:r>
          </w:p>
          <w:p w14:paraId="36C04D75">
            <w:pPr>
              <w:ind w:firstLine="480"/>
              <w:jc w:val="both"/>
            </w:pPr>
            <w:r>
              <w:t>根据现场勘查，厂界外50米范围无声环境保护目标。</w:t>
            </w:r>
          </w:p>
          <w:p w14:paraId="0A685953">
            <w:pPr>
              <w:ind w:firstLine="480"/>
              <w:jc w:val="both"/>
            </w:pPr>
            <w:r>
              <w:rPr>
                <w:rFonts w:hint="eastAsia"/>
              </w:rPr>
              <w:t>3、地下水环境</w:t>
            </w:r>
          </w:p>
          <w:p w14:paraId="60377421">
            <w:pPr>
              <w:ind w:firstLine="480"/>
              <w:jc w:val="both"/>
            </w:pPr>
            <w:r>
              <w:t>根据现场勘查，厂界外500米范围内无地下水集中式饮用水源和热水、矿泉水、温泉等特殊地下水资源。</w:t>
            </w:r>
          </w:p>
          <w:p w14:paraId="4A6F11EB">
            <w:pPr>
              <w:ind w:firstLine="480"/>
              <w:jc w:val="both"/>
            </w:pPr>
            <w:r>
              <w:rPr>
                <w:rFonts w:hint="eastAsia"/>
              </w:rPr>
              <w:t>4、生态环境</w:t>
            </w:r>
          </w:p>
          <w:p w14:paraId="220F4ED9">
            <w:pPr>
              <w:ind w:firstLine="480"/>
              <w:jc w:val="both"/>
            </w:pPr>
            <w:r>
              <w:t>本项目</w:t>
            </w:r>
            <w:r>
              <w:rPr>
                <w:rFonts w:hint="eastAsia"/>
              </w:rPr>
              <w:t>用地范围内</w:t>
            </w:r>
            <w:r>
              <w:t>无生态环境保护目标。</w:t>
            </w:r>
          </w:p>
        </w:tc>
      </w:tr>
      <w:tr w14:paraId="72A0E9E6">
        <w:trPr>
          <w:trHeight w:val="90" w:hRule="atLeast"/>
        </w:trPr>
        <w:tc>
          <w:tcPr>
            <w:tcW w:w="512" w:type="dxa"/>
            <w:vAlign w:val="center"/>
          </w:tcPr>
          <w:p w14:paraId="6E1416FF">
            <w:pPr>
              <w:pStyle w:val="2"/>
              <w:spacing w:line="240" w:lineRule="auto"/>
              <w:jc w:val="center"/>
              <w:rPr>
                <w:sz w:val="24"/>
                <w:szCs w:val="24"/>
              </w:rPr>
            </w:pPr>
            <w:r>
              <w:rPr>
                <w:rFonts w:hint="eastAsia"/>
                <w:sz w:val="24"/>
                <w:szCs w:val="24"/>
              </w:rPr>
              <w:t>污染物排放控制标准</w:t>
            </w:r>
          </w:p>
        </w:tc>
        <w:tc>
          <w:tcPr>
            <w:tcW w:w="8010" w:type="dxa"/>
          </w:tcPr>
          <w:p w14:paraId="13C32FAC">
            <w:pPr>
              <w:ind w:firstLine="480"/>
              <w:jc w:val="both"/>
            </w:pPr>
            <w:r>
              <w:rPr>
                <w:rFonts w:hint="eastAsia"/>
              </w:rPr>
              <w:t>1、废水</w:t>
            </w:r>
          </w:p>
          <w:p w14:paraId="420896DA">
            <w:pPr>
              <w:ind w:firstLine="480"/>
              <w:jc w:val="both"/>
            </w:pPr>
            <w:r>
              <w:t>本项目员工的生活污水经化粪池处理后纳入市政污水管网，经良渚污水处理厂集中处理后外排至良渚港</w:t>
            </w:r>
            <w:r>
              <w:rPr>
                <w:rFonts w:hint="eastAsia"/>
              </w:rPr>
              <w:t>。</w:t>
            </w:r>
            <w:r>
              <w:t>纳管标准执行《污水综合排放标准》（GB8978-1996）中的三级标准，良渚污水处理厂尾水COD</w:t>
            </w:r>
            <w:r>
              <w:rPr>
                <w:vertAlign w:val="subscript"/>
              </w:rPr>
              <w:t>Cr</w:t>
            </w:r>
            <w:r>
              <w:t>、氨氮、总氮、总磷主要污染指标执行《城镇污水处理厂主要水污染物排放标准》（DB33/2169-2018）表1排放限值，其余指标执行《城镇污水处理厂污染物排放标准》（GB18918-2002）一级A标准。项目废水污染物排放标准具体见下表3-</w:t>
            </w:r>
            <w:r>
              <w:rPr>
                <w:rFonts w:hint="eastAsia"/>
              </w:rPr>
              <w:t>7</w:t>
            </w:r>
            <w:r>
              <w:t>。</w:t>
            </w:r>
          </w:p>
          <w:p w14:paraId="5E8FF9F7">
            <w:pPr>
              <w:pStyle w:val="14"/>
              <w:numPr>
                <w:ilvl w:val="0"/>
                <w:numId w:val="8"/>
              </w:numPr>
              <w:tabs>
                <w:tab w:val="clear" w:pos="0"/>
              </w:tabs>
              <w:spacing w:before="156"/>
            </w:pPr>
            <w:r>
              <w:rPr>
                <w:rFonts w:hint="eastAsia"/>
              </w:rPr>
              <w:t xml:space="preserve">  项目废水污染物排放标准  单位：mg/L，pH除外</w:t>
            </w:r>
          </w:p>
          <w:tbl>
            <w:tblPr>
              <w:tblStyle w:val="15"/>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89"/>
              <w:gridCol w:w="464"/>
              <w:gridCol w:w="984"/>
              <w:gridCol w:w="984"/>
              <w:gridCol w:w="984"/>
              <w:gridCol w:w="984"/>
              <w:gridCol w:w="988"/>
              <w:gridCol w:w="1010"/>
            </w:tblGrid>
            <w:tr w14:paraId="0EB56A3F">
              <w:trPr>
                <w:trHeight w:val="340" w:hRule="atLeast"/>
                <w:jc w:val="center"/>
              </w:trPr>
              <w:tc>
                <w:tcPr>
                  <w:tcW w:w="5000" w:type="pct"/>
                  <w:gridSpan w:val="8"/>
                  <w:vAlign w:val="center"/>
                </w:tcPr>
                <w:p w14:paraId="54757197">
                  <w:pPr>
                    <w:spacing w:line="240" w:lineRule="auto"/>
                    <w:ind w:left="24" w:leftChars="10" w:right="24" w:rightChars="10" w:firstLine="0" w:firstLineChars="0"/>
                    <w:rPr>
                      <w:rFonts w:cs="Times New Roman"/>
                      <w:spacing w:val="8"/>
                      <w:sz w:val="18"/>
                    </w:rPr>
                  </w:pPr>
                  <w:r>
                    <w:rPr>
                      <w:rFonts w:cs="Times New Roman"/>
                      <w:spacing w:val="8"/>
                      <w:sz w:val="18"/>
                    </w:rPr>
                    <w:t>纳管标准：《污水综合排放标准》（GB8978-1996）中的三级标准</w:t>
                  </w:r>
                </w:p>
                <w:p w14:paraId="3893872C">
                  <w:pPr>
                    <w:spacing w:line="240" w:lineRule="auto"/>
                    <w:ind w:left="24" w:leftChars="10" w:right="24" w:rightChars="10" w:firstLine="0" w:firstLineChars="0"/>
                    <w:rPr>
                      <w:rFonts w:cs="Times New Roman"/>
                      <w:spacing w:val="8"/>
                      <w:sz w:val="18"/>
                    </w:rPr>
                  </w:pPr>
                  <w:r>
                    <w:rPr>
                      <w:rFonts w:cs="Times New Roman"/>
                      <w:spacing w:val="8"/>
                      <w:sz w:val="18"/>
                    </w:rPr>
                    <w:t>纳管去向：良渚污水处理厂</w:t>
                  </w:r>
                </w:p>
              </w:tc>
            </w:tr>
            <w:tr w14:paraId="2B28FF77">
              <w:trPr>
                <w:trHeight w:val="340" w:hRule="atLeast"/>
                <w:jc w:val="center"/>
              </w:trPr>
              <w:tc>
                <w:tcPr>
                  <w:tcW w:w="1190" w:type="pct"/>
                  <w:gridSpan w:val="2"/>
                  <w:vAlign w:val="center"/>
                </w:tcPr>
                <w:p w14:paraId="60B99C65">
                  <w:pPr>
                    <w:spacing w:line="240" w:lineRule="auto"/>
                    <w:ind w:left="24" w:leftChars="10" w:right="24" w:rightChars="10" w:firstLine="0" w:firstLineChars="0"/>
                    <w:jc w:val="center"/>
                    <w:rPr>
                      <w:rFonts w:cs="Times New Roman"/>
                      <w:spacing w:val="8"/>
                      <w:sz w:val="18"/>
                    </w:rPr>
                  </w:pPr>
                  <w:r>
                    <w:rPr>
                      <w:rFonts w:cs="Times New Roman"/>
                      <w:spacing w:val="8"/>
                      <w:sz w:val="18"/>
                    </w:rPr>
                    <w:t>污染物</w:t>
                  </w:r>
                </w:p>
              </w:tc>
              <w:tc>
                <w:tcPr>
                  <w:tcW w:w="632" w:type="pct"/>
                  <w:vAlign w:val="center"/>
                </w:tcPr>
                <w:p w14:paraId="4BB1C0A8">
                  <w:pPr>
                    <w:spacing w:line="240" w:lineRule="auto"/>
                    <w:ind w:left="24" w:leftChars="10" w:right="24" w:rightChars="10" w:firstLine="0" w:firstLineChars="0"/>
                    <w:jc w:val="center"/>
                    <w:rPr>
                      <w:rFonts w:cs="Times New Roman"/>
                      <w:spacing w:val="8"/>
                      <w:sz w:val="18"/>
                    </w:rPr>
                  </w:pPr>
                  <w:r>
                    <w:rPr>
                      <w:rFonts w:cs="Times New Roman"/>
                      <w:spacing w:val="8"/>
                      <w:sz w:val="18"/>
                    </w:rPr>
                    <w:t>pH值</w:t>
                  </w:r>
                </w:p>
              </w:tc>
              <w:tc>
                <w:tcPr>
                  <w:tcW w:w="632" w:type="pct"/>
                  <w:vAlign w:val="center"/>
                </w:tcPr>
                <w:p w14:paraId="7D38D16F">
                  <w:pPr>
                    <w:spacing w:line="240" w:lineRule="auto"/>
                    <w:ind w:left="24" w:leftChars="10" w:right="24" w:rightChars="10" w:firstLine="0" w:firstLineChars="0"/>
                    <w:jc w:val="center"/>
                    <w:rPr>
                      <w:rFonts w:cs="Times New Roman"/>
                      <w:spacing w:val="8"/>
                      <w:sz w:val="18"/>
                    </w:rPr>
                  </w:pPr>
                  <w:r>
                    <w:rPr>
                      <w:rFonts w:cs="Times New Roman"/>
                      <w:spacing w:val="8"/>
                      <w:sz w:val="18"/>
                    </w:rPr>
                    <w:t>COD</w:t>
                  </w:r>
                </w:p>
              </w:tc>
              <w:tc>
                <w:tcPr>
                  <w:tcW w:w="632" w:type="pct"/>
                  <w:vAlign w:val="center"/>
                </w:tcPr>
                <w:p w14:paraId="07C77874">
                  <w:pPr>
                    <w:spacing w:line="240" w:lineRule="auto"/>
                    <w:ind w:left="24" w:leftChars="10" w:right="24" w:rightChars="10" w:firstLine="0" w:firstLineChars="0"/>
                    <w:jc w:val="center"/>
                    <w:rPr>
                      <w:rFonts w:cs="Times New Roman"/>
                      <w:spacing w:val="8"/>
                      <w:sz w:val="18"/>
                    </w:rPr>
                  </w:pPr>
                  <w:r>
                    <w:rPr>
                      <w:rFonts w:cs="Times New Roman"/>
                      <w:spacing w:val="8"/>
                      <w:sz w:val="18"/>
                    </w:rPr>
                    <w:t>NH</w:t>
                  </w:r>
                  <w:r>
                    <w:rPr>
                      <w:rFonts w:cs="Times New Roman"/>
                      <w:spacing w:val="8"/>
                      <w:sz w:val="18"/>
                      <w:vertAlign w:val="subscript"/>
                    </w:rPr>
                    <w:t>3</w:t>
                  </w:r>
                  <w:r>
                    <w:rPr>
                      <w:rFonts w:cs="Times New Roman"/>
                      <w:spacing w:val="8"/>
                      <w:sz w:val="18"/>
                    </w:rPr>
                    <w:t>-N</w:t>
                  </w:r>
                </w:p>
              </w:tc>
              <w:tc>
                <w:tcPr>
                  <w:tcW w:w="632" w:type="pct"/>
                  <w:vAlign w:val="center"/>
                </w:tcPr>
                <w:p w14:paraId="0A64A7A0">
                  <w:pPr>
                    <w:spacing w:line="240" w:lineRule="auto"/>
                    <w:ind w:left="24" w:leftChars="10" w:right="24" w:rightChars="10" w:firstLine="0" w:firstLineChars="0"/>
                    <w:jc w:val="center"/>
                    <w:rPr>
                      <w:rFonts w:cs="Times New Roman"/>
                      <w:spacing w:val="8"/>
                      <w:sz w:val="18"/>
                    </w:rPr>
                  </w:pPr>
                  <w:r>
                    <w:rPr>
                      <w:rFonts w:cs="Times New Roman"/>
                      <w:spacing w:val="8"/>
                      <w:sz w:val="18"/>
                    </w:rPr>
                    <w:t>SS</w:t>
                  </w:r>
                </w:p>
              </w:tc>
              <w:tc>
                <w:tcPr>
                  <w:tcW w:w="634" w:type="pct"/>
                  <w:vAlign w:val="center"/>
                </w:tcPr>
                <w:p w14:paraId="527F626A">
                  <w:pPr>
                    <w:spacing w:line="240" w:lineRule="auto"/>
                    <w:ind w:left="24" w:leftChars="10" w:right="24" w:rightChars="10" w:firstLine="0" w:firstLineChars="0"/>
                    <w:jc w:val="center"/>
                    <w:rPr>
                      <w:rFonts w:cs="Times New Roman"/>
                      <w:spacing w:val="8"/>
                      <w:sz w:val="18"/>
                    </w:rPr>
                  </w:pPr>
                  <w:r>
                    <w:rPr>
                      <w:rFonts w:cs="Times New Roman"/>
                      <w:spacing w:val="8"/>
                      <w:sz w:val="18"/>
                    </w:rPr>
                    <w:t>TP</w:t>
                  </w:r>
                </w:p>
              </w:tc>
              <w:tc>
                <w:tcPr>
                  <w:tcW w:w="643" w:type="pct"/>
                  <w:vAlign w:val="center"/>
                </w:tcPr>
                <w:p w14:paraId="7BEF6CAC">
                  <w:pPr>
                    <w:spacing w:line="240" w:lineRule="auto"/>
                    <w:ind w:left="24" w:leftChars="10" w:right="24" w:rightChars="10" w:firstLine="0" w:firstLineChars="0"/>
                    <w:jc w:val="center"/>
                    <w:rPr>
                      <w:rFonts w:cs="Times New Roman"/>
                      <w:spacing w:val="8"/>
                      <w:sz w:val="18"/>
                    </w:rPr>
                  </w:pPr>
                  <w:r>
                    <w:rPr>
                      <w:rFonts w:cs="Times New Roman"/>
                      <w:spacing w:val="8"/>
                      <w:sz w:val="18"/>
                    </w:rPr>
                    <w:t>动植物油</w:t>
                  </w:r>
                </w:p>
              </w:tc>
            </w:tr>
            <w:tr w14:paraId="2EC80F27">
              <w:trPr>
                <w:trHeight w:val="340" w:hRule="atLeast"/>
                <w:jc w:val="center"/>
              </w:trPr>
              <w:tc>
                <w:tcPr>
                  <w:tcW w:w="892" w:type="pct"/>
                  <w:vAlign w:val="center"/>
                </w:tcPr>
                <w:p w14:paraId="5EDD512B">
                  <w:pPr>
                    <w:spacing w:line="240" w:lineRule="auto"/>
                    <w:ind w:left="24" w:leftChars="10" w:right="24" w:rightChars="10" w:firstLine="0" w:firstLineChars="0"/>
                    <w:jc w:val="center"/>
                    <w:rPr>
                      <w:rFonts w:cs="Times New Roman"/>
                      <w:spacing w:val="8"/>
                      <w:sz w:val="18"/>
                    </w:rPr>
                  </w:pPr>
                  <w:r>
                    <w:rPr>
                      <w:rFonts w:cs="Times New Roman"/>
                      <w:spacing w:val="8"/>
                      <w:sz w:val="18"/>
                    </w:rPr>
                    <w:t>标准限值</w:t>
                  </w:r>
                </w:p>
              </w:tc>
              <w:tc>
                <w:tcPr>
                  <w:tcW w:w="297" w:type="pct"/>
                  <w:vAlign w:val="center"/>
                </w:tcPr>
                <w:p w14:paraId="6B7FCFC3">
                  <w:pPr>
                    <w:spacing w:line="240" w:lineRule="auto"/>
                    <w:ind w:left="24" w:leftChars="10" w:right="24" w:rightChars="10" w:firstLine="0" w:firstLineChars="0"/>
                    <w:jc w:val="center"/>
                    <w:rPr>
                      <w:rFonts w:cs="Times New Roman"/>
                      <w:spacing w:val="8"/>
                      <w:sz w:val="18"/>
                    </w:rPr>
                  </w:pPr>
                  <w:r>
                    <w:rPr>
                      <w:rFonts w:cs="Times New Roman"/>
                      <w:spacing w:val="8"/>
                      <w:sz w:val="18"/>
                    </w:rPr>
                    <w:t>≤</w:t>
                  </w:r>
                </w:p>
              </w:tc>
              <w:tc>
                <w:tcPr>
                  <w:tcW w:w="632" w:type="pct"/>
                  <w:vAlign w:val="center"/>
                </w:tcPr>
                <w:p w14:paraId="21525052">
                  <w:pPr>
                    <w:spacing w:line="240" w:lineRule="auto"/>
                    <w:ind w:left="24" w:leftChars="10" w:right="24" w:rightChars="10" w:firstLine="0" w:firstLineChars="0"/>
                    <w:jc w:val="center"/>
                    <w:rPr>
                      <w:rFonts w:cs="Times New Roman"/>
                      <w:spacing w:val="8"/>
                      <w:sz w:val="18"/>
                    </w:rPr>
                  </w:pPr>
                  <w:r>
                    <w:rPr>
                      <w:rFonts w:cs="Times New Roman"/>
                      <w:spacing w:val="8"/>
                      <w:sz w:val="18"/>
                    </w:rPr>
                    <w:t>6-9</w:t>
                  </w:r>
                </w:p>
              </w:tc>
              <w:tc>
                <w:tcPr>
                  <w:tcW w:w="632" w:type="pct"/>
                  <w:vAlign w:val="center"/>
                </w:tcPr>
                <w:p w14:paraId="6DE02397">
                  <w:pPr>
                    <w:spacing w:line="240" w:lineRule="auto"/>
                    <w:ind w:left="24" w:leftChars="10" w:right="24" w:rightChars="10" w:firstLine="0" w:firstLineChars="0"/>
                    <w:jc w:val="center"/>
                    <w:rPr>
                      <w:rFonts w:cs="Times New Roman"/>
                      <w:spacing w:val="8"/>
                      <w:sz w:val="18"/>
                    </w:rPr>
                  </w:pPr>
                  <w:r>
                    <w:rPr>
                      <w:rFonts w:cs="Times New Roman"/>
                      <w:spacing w:val="8"/>
                      <w:sz w:val="18"/>
                    </w:rPr>
                    <w:t>500</w:t>
                  </w:r>
                </w:p>
              </w:tc>
              <w:tc>
                <w:tcPr>
                  <w:tcW w:w="632" w:type="pct"/>
                  <w:vAlign w:val="center"/>
                </w:tcPr>
                <w:p w14:paraId="4AC254D6">
                  <w:pPr>
                    <w:spacing w:line="240" w:lineRule="auto"/>
                    <w:ind w:left="24" w:leftChars="10" w:right="24" w:rightChars="10" w:firstLine="0" w:firstLineChars="0"/>
                    <w:jc w:val="center"/>
                    <w:rPr>
                      <w:rFonts w:cs="Times New Roman"/>
                      <w:spacing w:val="8"/>
                      <w:sz w:val="18"/>
                    </w:rPr>
                  </w:pPr>
                  <w:r>
                    <w:rPr>
                      <w:rFonts w:cs="Times New Roman"/>
                      <w:spacing w:val="8"/>
                      <w:sz w:val="18"/>
                    </w:rPr>
                    <w:t>35</w:t>
                  </w:r>
                  <w:r>
                    <w:rPr>
                      <w:rFonts w:cs="Times New Roman"/>
                      <w:spacing w:val="8"/>
                      <w:sz w:val="18"/>
                      <w:vertAlign w:val="superscript"/>
                    </w:rPr>
                    <w:t>*1</w:t>
                  </w:r>
                </w:p>
              </w:tc>
              <w:tc>
                <w:tcPr>
                  <w:tcW w:w="632" w:type="pct"/>
                  <w:vAlign w:val="center"/>
                </w:tcPr>
                <w:p w14:paraId="1C3D6EAF">
                  <w:pPr>
                    <w:spacing w:line="240" w:lineRule="auto"/>
                    <w:ind w:left="24" w:leftChars="10" w:right="24" w:rightChars="10" w:firstLine="0" w:firstLineChars="0"/>
                    <w:jc w:val="center"/>
                    <w:rPr>
                      <w:rFonts w:cs="Times New Roman"/>
                      <w:spacing w:val="8"/>
                      <w:sz w:val="18"/>
                    </w:rPr>
                  </w:pPr>
                  <w:r>
                    <w:rPr>
                      <w:rFonts w:cs="Times New Roman"/>
                      <w:spacing w:val="8"/>
                      <w:sz w:val="18"/>
                    </w:rPr>
                    <w:t>400</w:t>
                  </w:r>
                </w:p>
              </w:tc>
              <w:tc>
                <w:tcPr>
                  <w:tcW w:w="634" w:type="pct"/>
                  <w:vAlign w:val="center"/>
                </w:tcPr>
                <w:p w14:paraId="7BCBFA59">
                  <w:pPr>
                    <w:spacing w:line="240" w:lineRule="auto"/>
                    <w:ind w:left="24" w:leftChars="10" w:right="24" w:rightChars="10" w:firstLine="0" w:firstLineChars="0"/>
                    <w:jc w:val="center"/>
                    <w:rPr>
                      <w:rFonts w:cs="Times New Roman"/>
                      <w:spacing w:val="8"/>
                      <w:sz w:val="18"/>
                    </w:rPr>
                  </w:pPr>
                  <w:r>
                    <w:rPr>
                      <w:rFonts w:cs="Times New Roman"/>
                      <w:spacing w:val="8"/>
                      <w:sz w:val="18"/>
                    </w:rPr>
                    <w:t>8</w:t>
                  </w:r>
                  <w:r>
                    <w:rPr>
                      <w:rFonts w:cs="Times New Roman"/>
                      <w:spacing w:val="8"/>
                      <w:sz w:val="18"/>
                      <w:vertAlign w:val="superscript"/>
                    </w:rPr>
                    <w:t>*1</w:t>
                  </w:r>
                </w:p>
              </w:tc>
              <w:tc>
                <w:tcPr>
                  <w:tcW w:w="643" w:type="pct"/>
                  <w:vAlign w:val="center"/>
                </w:tcPr>
                <w:p w14:paraId="5B50332C">
                  <w:pPr>
                    <w:spacing w:line="240" w:lineRule="auto"/>
                    <w:ind w:left="24" w:leftChars="10" w:right="24" w:rightChars="10" w:firstLine="0" w:firstLineChars="0"/>
                    <w:jc w:val="center"/>
                    <w:rPr>
                      <w:rFonts w:cs="Times New Roman"/>
                      <w:spacing w:val="8"/>
                      <w:sz w:val="18"/>
                    </w:rPr>
                  </w:pPr>
                  <w:r>
                    <w:rPr>
                      <w:rFonts w:cs="Times New Roman"/>
                      <w:spacing w:val="8"/>
                      <w:sz w:val="18"/>
                    </w:rPr>
                    <w:t>100</w:t>
                  </w:r>
                </w:p>
              </w:tc>
            </w:tr>
            <w:tr w14:paraId="55EEF4F5">
              <w:trPr>
                <w:trHeight w:val="340" w:hRule="atLeast"/>
                <w:jc w:val="center"/>
              </w:trPr>
              <w:tc>
                <w:tcPr>
                  <w:tcW w:w="5000" w:type="pct"/>
                  <w:gridSpan w:val="8"/>
                  <w:vAlign w:val="center"/>
                </w:tcPr>
                <w:p w14:paraId="4BFA21C9">
                  <w:pPr>
                    <w:spacing w:line="240" w:lineRule="auto"/>
                    <w:ind w:left="24" w:leftChars="10" w:right="24" w:rightChars="10" w:firstLine="0" w:firstLineChars="0"/>
                    <w:rPr>
                      <w:rFonts w:cs="Times New Roman"/>
                      <w:spacing w:val="8"/>
                      <w:sz w:val="18"/>
                    </w:rPr>
                  </w:pPr>
                  <w:r>
                    <w:rPr>
                      <w:rFonts w:cs="Times New Roman"/>
                      <w:spacing w:val="8"/>
                      <w:sz w:val="18"/>
                    </w:rPr>
                    <w:t>外排环境标准：COD</w:t>
                  </w:r>
                  <w:r>
                    <w:rPr>
                      <w:rFonts w:cs="Times New Roman"/>
                      <w:spacing w:val="8"/>
                      <w:sz w:val="18"/>
                      <w:vertAlign w:val="subscript"/>
                    </w:rPr>
                    <w:t>Cr</w:t>
                  </w:r>
                  <w:r>
                    <w:rPr>
                      <w:rFonts w:cs="Times New Roman"/>
                      <w:spacing w:val="8"/>
                      <w:sz w:val="18"/>
                    </w:rPr>
                    <w:t>、氨氮、总氮、总磷主要污染指标执行《城镇污水处理厂主要水污染物排放标准》（DB33/2169-2018）表1排放限值，其余指标执行《城镇污水处理厂污染物排放标准》（GB18918-2002）一级A标准</w:t>
                  </w:r>
                </w:p>
              </w:tc>
            </w:tr>
            <w:tr w14:paraId="7A01474B">
              <w:trPr>
                <w:trHeight w:val="340" w:hRule="atLeast"/>
                <w:jc w:val="center"/>
              </w:trPr>
              <w:tc>
                <w:tcPr>
                  <w:tcW w:w="1190" w:type="pct"/>
                  <w:gridSpan w:val="2"/>
                  <w:vAlign w:val="center"/>
                </w:tcPr>
                <w:p w14:paraId="4B384C25">
                  <w:pPr>
                    <w:spacing w:line="240" w:lineRule="auto"/>
                    <w:ind w:left="24" w:leftChars="10" w:right="24" w:rightChars="10" w:firstLine="0" w:firstLineChars="0"/>
                    <w:jc w:val="center"/>
                    <w:rPr>
                      <w:rFonts w:cs="Times New Roman"/>
                      <w:spacing w:val="8"/>
                      <w:sz w:val="18"/>
                    </w:rPr>
                  </w:pPr>
                  <w:r>
                    <w:rPr>
                      <w:rFonts w:cs="Times New Roman"/>
                      <w:spacing w:val="8"/>
                      <w:sz w:val="18"/>
                    </w:rPr>
                    <w:t>污染物</w:t>
                  </w:r>
                </w:p>
              </w:tc>
              <w:tc>
                <w:tcPr>
                  <w:tcW w:w="632" w:type="pct"/>
                  <w:vAlign w:val="center"/>
                </w:tcPr>
                <w:p w14:paraId="49CE0BEC">
                  <w:pPr>
                    <w:spacing w:line="240" w:lineRule="auto"/>
                    <w:ind w:left="24" w:leftChars="10" w:right="24" w:rightChars="10" w:firstLine="0" w:firstLineChars="0"/>
                    <w:jc w:val="center"/>
                    <w:rPr>
                      <w:rFonts w:cs="Times New Roman"/>
                      <w:spacing w:val="8"/>
                      <w:sz w:val="18"/>
                    </w:rPr>
                  </w:pPr>
                  <w:r>
                    <w:rPr>
                      <w:rFonts w:cs="Times New Roman"/>
                      <w:spacing w:val="8"/>
                      <w:sz w:val="18"/>
                    </w:rPr>
                    <w:t>pH值</w:t>
                  </w:r>
                </w:p>
              </w:tc>
              <w:tc>
                <w:tcPr>
                  <w:tcW w:w="632" w:type="pct"/>
                  <w:vAlign w:val="center"/>
                </w:tcPr>
                <w:p w14:paraId="00AC2678">
                  <w:pPr>
                    <w:spacing w:line="240" w:lineRule="auto"/>
                    <w:ind w:left="24" w:leftChars="10" w:right="24" w:rightChars="10" w:firstLine="0" w:firstLineChars="0"/>
                    <w:jc w:val="center"/>
                    <w:rPr>
                      <w:rFonts w:cs="Times New Roman"/>
                      <w:spacing w:val="8"/>
                      <w:sz w:val="18"/>
                    </w:rPr>
                  </w:pPr>
                  <w:r>
                    <w:rPr>
                      <w:rFonts w:cs="Times New Roman"/>
                      <w:spacing w:val="8"/>
                      <w:sz w:val="18"/>
                    </w:rPr>
                    <w:t>COD</w:t>
                  </w:r>
                </w:p>
              </w:tc>
              <w:tc>
                <w:tcPr>
                  <w:tcW w:w="632" w:type="pct"/>
                  <w:vAlign w:val="center"/>
                </w:tcPr>
                <w:p w14:paraId="674C72E1">
                  <w:pPr>
                    <w:spacing w:line="240" w:lineRule="auto"/>
                    <w:ind w:left="24" w:leftChars="10" w:right="24" w:rightChars="10" w:firstLine="0" w:firstLineChars="0"/>
                    <w:jc w:val="center"/>
                    <w:rPr>
                      <w:rFonts w:cs="Times New Roman"/>
                      <w:spacing w:val="8"/>
                      <w:sz w:val="18"/>
                    </w:rPr>
                  </w:pPr>
                  <w:r>
                    <w:rPr>
                      <w:rFonts w:cs="Times New Roman"/>
                      <w:spacing w:val="8"/>
                      <w:sz w:val="18"/>
                    </w:rPr>
                    <w:t>NH</w:t>
                  </w:r>
                  <w:r>
                    <w:rPr>
                      <w:rFonts w:cs="Times New Roman"/>
                      <w:spacing w:val="8"/>
                      <w:sz w:val="18"/>
                      <w:vertAlign w:val="subscript"/>
                    </w:rPr>
                    <w:t>3</w:t>
                  </w:r>
                  <w:r>
                    <w:rPr>
                      <w:rFonts w:cs="Times New Roman"/>
                      <w:spacing w:val="8"/>
                      <w:sz w:val="18"/>
                    </w:rPr>
                    <w:t>-N</w:t>
                  </w:r>
                </w:p>
              </w:tc>
              <w:tc>
                <w:tcPr>
                  <w:tcW w:w="632" w:type="pct"/>
                  <w:vAlign w:val="center"/>
                </w:tcPr>
                <w:p w14:paraId="7ADFFECC">
                  <w:pPr>
                    <w:spacing w:line="240" w:lineRule="auto"/>
                    <w:ind w:left="24" w:leftChars="10" w:right="24" w:rightChars="10" w:firstLine="0" w:firstLineChars="0"/>
                    <w:jc w:val="center"/>
                    <w:rPr>
                      <w:rFonts w:cs="Times New Roman"/>
                      <w:spacing w:val="8"/>
                      <w:sz w:val="18"/>
                    </w:rPr>
                  </w:pPr>
                  <w:r>
                    <w:rPr>
                      <w:rFonts w:cs="Times New Roman"/>
                      <w:spacing w:val="8"/>
                      <w:sz w:val="18"/>
                    </w:rPr>
                    <w:t>SS</w:t>
                  </w:r>
                </w:p>
              </w:tc>
              <w:tc>
                <w:tcPr>
                  <w:tcW w:w="634" w:type="pct"/>
                  <w:vAlign w:val="center"/>
                </w:tcPr>
                <w:p w14:paraId="7E3ED456">
                  <w:pPr>
                    <w:spacing w:line="240" w:lineRule="auto"/>
                    <w:ind w:left="24" w:leftChars="10" w:right="24" w:rightChars="10" w:firstLine="0" w:firstLineChars="0"/>
                    <w:jc w:val="center"/>
                    <w:rPr>
                      <w:rFonts w:cs="Times New Roman"/>
                      <w:spacing w:val="8"/>
                      <w:sz w:val="18"/>
                    </w:rPr>
                  </w:pPr>
                  <w:r>
                    <w:rPr>
                      <w:rFonts w:cs="Times New Roman"/>
                      <w:spacing w:val="8"/>
                      <w:sz w:val="18"/>
                    </w:rPr>
                    <w:t>TP</w:t>
                  </w:r>
                </w:p>
              </w:tc>
              <w:tc>
                <w:tcPr>
                  <w:tcW w:w="643" w:type="pct"/>
                  <w:vAlign w:val="center"/>
                </w:tcPr>
                <w:p w14:paraId="4B64EDBD">
                  <w:pPr>
                    <w:spacing w:line="240" w:lineRule="auto"/>
                    <w:ind w:left="24" w:leftChars="10" w:right="24" w:rightChars="10" w:firstLine="0" w:firstLineChars="0"/>
                    <w:jc w:val="center"/>
                    <w:rPr>
                      <w:rFonts w:cs="Times New Roman"/>
                      <w:spacing w:val="8"/>
                      <w:sz w:val="18"/>
                    </w:rPr>
                  </w:pPr>
                  <w:r>
                    <w:rPr>
                      <w:rFonts w:cs="Times New Roman"/>
                      <w:spacing w:val="8"/>
                      <w:sz w:val="18"/>
                    </w:rPr>
                    <w:t>动植物油</w:t>
                  </w:r>
                </w:p>
              </w:tc>
            </w:tr>
            <w:tr w14:paraId="113BC96F">
              <w:trPr>
                <w:trHeight w:val="340" w:hRule="atLeast"/>
                <w:jc w:val="center"/>
              </w:trPr>
              <w:tc>
                <w:tcPr>
                  <w:tcW w:w="892" w:type="pct"/>
                  <w:vAlign w:val="center"/>
                </w:tcPr>
                <w:p w14:paraId="1E190E12">
                  <w:pPr>
                    <w:spacing w:line="240" w:lineRule="auto"/>
                    <w:ind w:left="24" w:leftChars="10" w:right="24" w:rightChars="10" w:firstLine="0" w:firstLineChars="0"/>
                    <w:jc w:val="center"/>
                    <w:rPr>
                      <w:rFonts w:cs="Times New Roman"/>
                      <w:spacing w:val="8"/>
                      <w:sz w:val="18"/>
                    </w:rPr>
                  </w:pPr>
                  <w:r>
                    <w:rPr>
                      <w:rFonts w:cs="Times New Roman"/>
                      <w:spacing w:val="8"/>
                      <w:sz w:val="18"/>
                    </w:rPr>
                    <w:t>标准限值</w:t>
                  </w:r>
                </w:p>
              </w:tc>
              <w:tc>
                <w:tcPr>
                  <w:tcW w:w="297" w:type="pct"/>
                  <w:vAlign w:val="center"/>
                </w:tcPr>
                <w:p w14:paraId="423D8BE6">
                  <w:pPr>
                    <w:spacing w:line="240" w:lineRule="auto"/>
                    <w:ind w:left="24" w:leftChars="10" w:right="24" w:rightChars="10" w:firstLine="0" w:firstLineChars="0"/>
                    <w:jc w:val="center"/>
                    <w:rPr>
                      <w:rFonts w:cs="Times New Roman"/>
                      <w:spacing w:val="8"/>
                      <w:sz w:val="18"/>
                    </w:rPr>
                  </w:pPr>
                  <w:r>
                    <w:rPr>
                      <w:rFonts w:cs="Times New Roman"/>
                      <w:spacing w:val="8"/>
                      <w:sz w:val="18"/>
                    </w:rPr>
                    <w:t>≤</w:t>
                  </w:r>
                </w:p>
              </w:tc>
              <w:tc>
                <w:tcPr>
                  <w:tcW w:w="632" w:type="pct"/>
                  <w:vAlign w:val="center"/>
                </w:tcPr>
                <w:p w14:paraId="4E2CDBB5">
                  <w:pPr>
                    <w:spacing w:line="240" w:lineRule="auto"/>
                    <w:ind w:left="24" w:leftChars="10" w:right="24" w:rightChars="10" w:firstLine="0" w:firstLineChars="0"/>
                    <w:jc w:val="center"/>
                    <w:rPr>
                      <w:rFonts w:cs="Times New Roman"/>
                      <w:spacing w:val="8"/>
                      <w:sz w:val="18"/>
                    </w:rPr>
                  </w:pPr>
                  <w:r>
                    <w:rPr>
                      <w:rFonts w:cs="Times New Roman"/>
                      <w:spacing w:val="8"/>
                      <w:sz w:val="18"/>
                    </w:rPr>
                    <w:t>6-9</w:t>
                  </w:r>
                </w:p>
              </w:tc>
              <w:tc>
                <w:tcPr>
                  <w:tcW w:w="632" w:type="pct"/>
                  <w:vAlign w:val="center"/>
                </w:tcPr>
                <w:p w14:paraId="29F590D6">
                  <w:pPr>
                    <w:spacing w:line="240" w:lineRule="auto"/>
                    <w:ind w:left="24" w:leftChars="10" w:right="24" w:rightChars="10" w:firstLine="0" w:firstLineChars="0"/>
                    <w:jc w:val="center"/>
                    <w:rPr>
                      <w:rFonts w:cs="Times New Roman"/>
                      <w:spacing w:val="8"/>
                      <w:sz w:val="18"/>
                    </w:rPr>
                  </w:pPr>
                  <w:r>
                    <w:rPr>
                      <w:rFonts w:cs="Times New Roman"/>
                      <w:spacing w:val="8"/>
                      <w:sz w:val="18"/>
                    </w:rPr>
                    <w:t>40</w:t>
                  </w:r>
                </w:p>
              </w:tc>
              <w:tc>
                <w:tcPr>
                  <w:tcW w:w="632" w:type="pct"/>
                  <w:vAlign w:val="center"/>
                </w:tcPr>
                <w:p w14:paraId="4CC232AA">
                  <w:pPr>
                    <w:spacing w:line="240" w:lineRule="auto"/>
                    <w:ind w:left="24" w:leftChars="10" w:right="24" w:rightChars="10" w:firstLine="0" w:firstLineChars="0"/>
                    <w:jc w:val="center"/>
                    <w:rPr>
                      <w:rFonts w:cs="Times New Roman"/>
                      <w:spacing w:val="8"/>
                      <w:sz w:val="18"/>
                    </w:rPr>
                  </w:pPr>
                  <w:r>
                    <w:rPr>
                      <w:rFonts w:cs="Times New Roman"/>
                      <w:spacing w:val="8"/>
                      <w:sz w:val="18"/>
                    </w:rPr>
                    <w:t>2(4)</w:t>
                  </w:r>
                  <w:r>
                    <w:rPr>
                      <w:rFonts w:cs="Times New Roman"/>
                      <w:spacing w:val="8"/>
                      <w:sz w:val="18"/>
                      <w:vertAlign w:val="superscript"/>
                    </w:rPr>
                    <w:t>*2</w:t>
                  </w:r>
                </w:p>
              </w:tc>
              <w:tc>
                <w:tcPr>
                  <w:tcW w:w="632" w:type="pct"/>
                  <w:vAlign w:val="center"/>
                </w:tcPr>
                <w:p w14:paraId="511E8431">
                  <w:pPr>
                    <w:spacing w:line="240" w:lineRule="auto"/>
                    <w:ind w:left="24" w:leftChars="10" w:right="24" w:rightChars="10" w:firstLine="0" w:firstLineChars="0"/>
                    <w:jc w:val="center"/>
                    <w:rPr>
                      <w:rFonts w:cs="Times New Roman"/>
                      <w:spacing w:val="8"/>
                      <w:sz w:val="18"/>
                    </w:rPr>
                  </w:pPr>
                  <w:r>
                    <w:rPr>
                      <w:rFonts w:cs="Times New Roman"/>
                      <w:spacing w:val="8"/>
                      <w:sz w:val="18"/>
                    </w:rPr>
                    <w:t>10</w:t>
                  </w:r>
                </w:p>
              </w:tc>
              <w:tc>
                <w:tcPr>
                  <w:tcW w:w="634" w:type="pct"/>
                  <w:vAlign w:val="center"/>
                </w:tcPr>
                <w:p w14:paraId="1AC21CE0">
                  <w:pPr>
                    <w:spacing w:line="240" w:lineRule="auto"/>
                    <w:ind w:left="24" w:leftChars="10" w:right="24" w:rightChars="10" w:firstLine="0" w:firstLineChars="0"/>
                    <w:jc w:val="center"/>
                    <w:rPr>
                      <w:rFonts w:cs="Times New Roman"/>
                      <w:spacing w:val="8"/>
                      <w:sz w:val="18"/>
                    </w:rPr>
                  </w:pPr>
                  <w:r>
                    <w:rPr>
                      <w:rFonts w:cs="Times New Roman"/>
                      <w:spacing w:val="8"/>
                      <w:sz w:val="18"/>
                    </w:rPr>
                    <w:t>0.3</w:t>
                  </w:r>
                </w:p>
              </w:tc>
              <w:tc>
                <w:tcPr>
                  <w:tcW w:w="643" w:type="pct"/>
                  <w:vAlign w:val="center"/>
                </w:tcPr>
                <w:p w14:paraId="23DA8562">
                  <w:pPr>
                    <w:spacing w:line="240" w:lineRule="auto"/>
                    <w:ind w:left="24" w:leftChars="10" w:right="24" w:rightChars="10" w:firstLine="0" w:firstLineChars="0"/>
                    <w:jc w:val="center"/>
                    <w:rPr>
                      <w:rFonts w:cs="Times New Roman"/>
                      <w:spacing w:val="8"/>
                      <w:sz w:val="18"/>
                    </w:rPr>
                  </w:pPr>
                  <w:r>
                    <w:rPr>
                      <w:rFonts w:cs="Times New Roman"/>
                      <w:spacing w:val="8"/>
                      <w:sz w:val="18"/>
                    </w:rPr>
                    <w:t>1</w:t>
                  </w:r>
                </w:p>
              </w:tc>
            </w:tr>
            <w:tr w14:paraId="5978A9C7">
              <w:trPr>
                <w:trHeight w:val="340" w:hRule="atLeast"/>
                <w:jc w:val="center"/>
              </w:trPr>
              <w:tc>
                <w:tcPr>
                  <w:tcW w:w="5000" w:type="pct"/>
                  <w:gridSpan w:val="8"/>
                  <w:vAlign w:val="center"/>
                </w:tcPr>
                <w:p w14:paraId="3DAB7014">
                  <w:pPr>
                    <w:spacing w:line="240" w:lineRule="auto"/>
                    <w:ind w:left="24" w:leftChars="10" w:right="24" w:rightChars="10" w:firstLine="0" w:firstLineChars="0"/>
                    <w:jc w:val="both"/>
                    <w:rPr>
                      <w:rFonts w:cs="Times New Roman"/>
                      <w:spacing w:val="8"/>
                      <w:sz w:val="18"/>
                    </w:rPr>
                  </w:pPr>
                  <w:r>
                    <w:rPr>
                      <w:rFonts w:hint="eastAsia" w:cs="Times New Roman"/>
                      <w:spacing w:val="8"/>
                      <w:sz w:val="18"/>
                    </w:rPr>
                    <w:t>注1：氨氮、总量执行《工业企业废水氮、磷污染物间接排放限值》（DB33/887-2013）表1中其他企业的排放限值。</w:t>
                  </w:r>
                </w:p>
                <w:p w14:paraId="74F7976A">
                  <w:pPr>
                    <w:spacing w:line="240" w:lineRule="auto"/>
                    <w:ind w:left="24" w:leftChars="10" w:right="24" w:rightChars="10" w:firstLine="0" w:firstLineChars="0"/>
                    <w:jc w:val="both"/>
                    <w:rPr>
                      <w:rFonts w:cs="Times New Roman"/>
                      <w:spacing w:val="8"/>
                      <w:sz w:val="18"/>
                    </w:rPr>
                  </w:pPr>
                  <w:r>
                    <w:rPr>
                      <w:rFonts w:hint="eastAsia" w:cs="Times New Roman"/>
                      <w:spacing w:val="8"/>
                      <w:sz w:val="18"/>
                    </w:rPr>
                    <w:t>注2：括号内数值为每年11月1日至次年 3月31日执行。</w:t>
                  </w:r>
                </w:p>
              </w:tc>
            </w:tr>
          </w:tbl>
          <w:p w14:paraId="05162345">
            <w:pPr>
              <w:pStyle w:val="2"/>
              <w:spacing w:line="240" w:lineRule="auto"/>
              <w:jc w:val="both"/>
              <w:rPr>
                <w:rFonts w:eastAsia="黑体" w:cs="Times New Roman"/>
                <w:bCs/>
              </w:rPr>
            </w:pPr>
          </w:p>
          <w:p w14:paraId="3D53B7BA">
            <w:pPr>
              <w:ind w:firstLine="480"/>
              <w:jc w:val="both"/>
            </w:pPr>
            <w:r>
              <w:rPr>
                <w:rFonts w:hint="eastAsia"/>
              </w:rPr>
              <w:t>2、废气</w:t>
            </w:r>
          </w:p>
          <w:p w14:paraId="4FBC341C">
            <w:pPr>
              <w:ind w:firstLine="480"/>
              <w:jc w:val="both"/>
            </w:pPr>
            <w:r>
              <w:t>本项目</w:t>
            </w:r>
            <w:r>
              <w:rPr>
                <w:rFonts w:hint="eastAsia"/>
              </w:rPr>
              <w:t>生产</w:t>
            </w:r>
            <w:r>
              <w:t>工序中产生的</w:t>
            </w:r>
            <w:r>
              <w:rPr>
                <w:rFonts w:hint="eastAsia"/>
              </w:rPr>
              <w:t>挤出、注塑</w:t>
            </w:r>
            <w:r>
              <w:t>废气</w:t>
            </w:r>
            <w:r>
              <w:rPr>
                <w:rFonts w:hint="eastAsia"/>
              </w:rPr>
              <w:t>颗粒物、非甲烷总烃、其他特征污染物排放</w:t>
            </w:r>
            <w:r>
              <w:t>执行《合成树脂工业污染物排放标准》（GB 31572-2015，含2024年修改单）中表5规定的大气污染物特别排放限值要求，详见下表3-</w:t>
            </w:r>
            <w:r>
              <w:rPr>
                <w:rFonts w:hint="eastAsia"/>
              </w:rPr>
              <w:t>6</w:t>
            </w:r>
            <w:r>
              <w:t>；</w:t>
            </w:r>
          </w:p>
          <w:p w14:paraId="0227F256">
            <w:pPr>
              <w:ind w:firstLine="480"/>
              <w:jc w:val="both"/>
            </w:pPr>
            <w:r>
              <w:t>企业边界任何1小时大气污染物平均浓度执行《《合成树脂工业污染物排放标准》（GB 31572-2015，含2024年修改单）中表9规定的企业边界大气污染物浓度限值，详见下表3-</w:t>
            </w:r>
            <w:r>
              <w:rPr>
                <w:rFonts w:hint="eastAsia"/>
              </w:rPr>
              <w:t>7</w:t>
            </w:r>
            <w:r>
              <w:t>；</w:t>
            </w:r>
          </w:p>
          <w:p w14:paraId="518890C0">
            <w:pPr>
              <w:ind w:firstLine="480"/>
              <w:jc w:val="both"/>
            </w:pPr>
            <w:r>
              <w:rPr>
                <w:rFonts w:hint="eastAsia"/>
              </w:rPr>
              <w:t>本项目厂界无组织氨、硫化氢、苯乙烯、臭气浓度排放执行《恶臭污染物排放标准》(GB 14554-93)表1厂界标准值，详见表3-8；</w:t>
            </w:r>
          </w:p>
          <w:p w14:paraId="7F2608D7">
            <w:pPr>
              <w:ind w:firstLine="480"/>
              <w:jc w:val="both"/>
            </w:pPr>
            <w:r>
              <w:t>食堂油烟废气排放标准执行《饮食业油烟排放标准（试行）》(GB18483－2001)中的小型标准，具体排放标准见下表3-</w:t>
            </w:r>
            <w:r>
              <w:rPr>
                <w:rFonts w:hint="eastAsia"/>
              </w:rPr>
              <w:t>9</w:t>
            </w:r>
            <w:r>
              <w:t>。</w:t>
            </w:r>
          </w:p>
          <w:p w14:paraId="712E10F2">
            <w:pPr>
              <w:pStyle w:val="14"/>
              <w:numPr>
                <w:ilvl w:val="0"/>
                <w:numId w:val="8"/>
              </w:numPr>
              <w:tabs>
                <w:tab w:val="clear" w:pos="0"/>
              </w:tabs>
              <w:spacing w:before="156"/>
            </w:pPr>
            <w:r>
              <w:rPr>
                <w:rFonts w:hint="eastAsia"/>
              </w:rPr>
              <w:t xml:space="preserve">  《合成树脂工业污染物排放标准》（GB31572-2015，含2024年修改单）</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9"/>
              <w:gridCol w:w="2190"/>
              <w:gridCol w:w="2372"/>
            </w:tblGrid>
            <w:tr w14:paraId="556F0BD8">
              <w:trPr>
                <w:trHeight w:val="340" w:hRule="atLeast"/>
                <w:jc w:val="center"/>
              </w:trPr>
              <w:tc>
                <w:tcPr>
                  <w:tcW w:w="2069" w:type="pct"/>
                  <w:vAlign w:val="center"/>
                </w:tcPr>
                <w:p w14:paraId="0F4D0309">
                  <w:pPr>
                    <w:spacing w:line="240" w:lineRule="auto"/>
                    <w:ind w:firstLine="0" w:firstLineChars="0"/>
                    <w:jc w:val="center"/>
                    <w:rPr>
                      <w:rFonts w:cs="Times New Roman"/>
                      <w:spacing w:val="8"/>
                      <w:sz w:val="18"/>
                    </w:rPr>
                  </w:pPr>
                  <w:r>
                    <w:rPr>
                      <w:rFonts w:hint="eastAsia" w:cs="Times New Roman"/>
                      <w:spacing w:val="8"/>
                      <w:sz w:val="18"/>
                    </w:rPr>
                    <w:t>污染物</w:t>
                  </w:r>
                </w:p>
              </w:tc>
              <w:tc>
                <w:tcPr>
                  <w:tcW w:w="1407" w:type="pct"/>
                  <w:vAlign w:val="center"/>
                </w:tcPr>
                <w:p w14:paraId="187A3222">
                  <w:pPr>
                    <w:spacing w:line="240" w:lineRule="auto"/>
                    <w:ind w:firstLine="0" w:firstLineChars="0"/>
                    <w:jc w:val="center"/>
                    <w:rPr>
                      <w:rFonts w:cs="Times New Roman"/>
                      <w:spacing w:val="8"/>
                      <w:sz w:val="18"/>
                    </w:rPr>
                  </w:pPr>
                  <w:r>
                    <w:rPr>
                      <w:rFonts w:hint="eastAsia" w:cs="Times New Roman"/>
                      <w:spacing w:val="8"/>
                      <w:sz w:val="18"/>
                    </w:rPr>
                    <w:t>排放限值</w:t>
                  </w:r>
                  <w:r>
                    <w:rPr>
                      <w:rFonts w:cs="Times New Roman"/>
                      <w:spacing w:val="8"/>
                      <w:sz w:val="18"/>
                    </w:rPr>
                    <w:t>mg/m</w:t>
                  </w:r>
                  <w:r>
                    <w:rPr>
                      <w:rFonts w:hint="eastAsia" w:cs="Times New Roman"/>
                      <w:spacing w:val="8"/>
                      <w:sz w:val="18"/>
                      <w:vertAlign w:val="superscript"/>
                    </w:rPr>
                    <w:t>3</w:t>
                  </w:r>
                </w:p>
              </w:tc>
              <w:tc>
                <w:tcPr>
                  <w:tcW w:w="1522" w:type="pct"/>
                  <w:vAlign w:val="center"/>
                </w:tcPr>
                <w:p w14:paraId="22E20F3B">
                  <w:pPr>
                    <w:spacing w:line="240" w:lineRule="auto"/>
                    <w:ind w:firstLine="0" w:firstLineChars="0"/>
                    <w:jc w:val="center"/>
                    <w:rPr>
                      <w:rFonts w:cs="Times New Roman"/>
                      <w:spacing w:val="8"/>
                      <w:sz w:val="18"/>
                    </w:rPr>
                  </w:pPr>
                  <w:r>
                    <w:rPr>
                      <w:rFonts w:hint="eastAsia" w:cs="Times New Roman"/>
                      <w:spacing w:val="8"/>
                      <w:sz w:val="18"/>
                    </w:rPr>
                    <w:t>污染物排放监控位置</w:t>
                  </w:r>
                </w:p>
              </w:tc>
            </w:tr>
            <w:tr w14:paraId="6296D3B4">
              <w:trPr>
                <w:trHeight w:val="340" w:hRule="atLeast"/>
                <w:jc w:val="center"/>
              </w:trPr>
              <w:tc>
                <w:tcPr>
                  <w:tcW w:w="2069" w:type="pct"/>
                  <w:vAlign w:val="center"/>
                </w:tcPr>
                <w:p w14:paraId="20264D44">
                  <w:pPr>
                    <w:spacing w:line="240" w:lineRule="auto"/>
                    <w:ind w:firstLine="0" w:firstLineChars="0"/>
                    <w:jc w:val="center"/>
                    <w:rPr>
                      <w:rFonts w:cs="Times New Roman"/>
                      <w:spacing w:val="8"/>
                      <w:sz w:val="18"/>
                    </w:rPr>
                  </w:pPr>
                  <w:r>
                    <w:rPr>
                      <w:rFonts w:hint="eastAsia" w:cs="Times New Roman"/>
                      <w:spacing w:val="8"/>
                      <w:sz w:val="18"/>
                    </w:rPr>
                    <w:t>非甲烷总烃</w:t>
                  </w:r>
                </w:p>
              </w:tc>
              <w:tc>
                <w:tcPr>
                  <w:tcW w:w="1407" w:type="pct"/>
                  <w:vAlign w:val="center"/>
                </w:tcPr>
                <w:p w14:paraId="786EDD7A">
                  <w:pPr>
                    <w:spacing w:line="240" w:lineRule="auto"/>
                    <w:ind w:firstLine="0" w:firstLineChars="0"/>
                    <w:jc w:val="center"/>
                    <w:rPr>
                      <w:rFonts w:cs="Times New Roman"/>
                      <w:spacing w:val="8"/>
                      <w:sz w:val="18"/>
                    </w:rPr>
                  </w:pPr>
                  <w:r>
                    <w:rPr>
                      <w:rFonts w:cs="Times New Roman"/>
                      <w:spacing w:val="8"/>
                      <w:sz w:val="18"/>
                    </w:rPr>
                    <w:t>60</w:t>
                  </w:r>
                </w:p>
              </w:tc>
              <w:tc>
                <w:tcPr>
                  <w:tcW w:w="1522" w:type="pct"/>
                  <w:vMerge w:val="restart"/>
                  <w:vAlign w:val="center"/>
                </w:tcPr>
                <w:p w14:paraId="50337EDD">
                  <w:pPr>
                    <w:spacing w:line="240" w:lineRule="auto"/>
                    <w:ind w:firstLine="0" w:firstLineChars="0"/>
                    <w:jc w:val="center"/>
                    <w:rPr>
                      <w:rFonts w:cs="Times New Roman"/>
                      <w:spacing w:val="8"/>
                      <w:sz w:val="18"/>
                    </w:rPr>
                  </w:pPr>
                  <w:r>
                    <w:rPr>
                      <w:rFonts w:hint="eastAsia" w:cs="Times New Roman"/>
                      <w:spacing w:val="8"/>
                      <w:sz w:val="18"/>
                    </w:rPr>
                    <w:t>车间或生产设施排气筒</w:t>
                  </w:r>
                </w:p>
              </w:tc>
            </w:tr>
            <w:tr w14:paraId="0CD6B119">
              <w:trPr>
                <w:trHeight w:val="340" w:hRule="atLeast"/>
                <w:jc w:val="center"/>
              </w:trPr>
              <w:tc>
                <w:tcPr>
                  <w:tcW w:w="2069" w:type="pct"/>
                  <w:vAlign w:val="center"/>
                </w:tcPr>
                <w:p w14:paraId="4F447E0D">
                  <w:pPr>
                    <w:spacing w:line="240" w:lineRule="auto"/>
                    <w:ind w:firstLine="0" w:firstLineChars="0"/>
                    <w:jc w:val="center"/>
                    <w:rPr>
                      <w:rFonts w:cs="Times New Roman"/>
                      <w:spacing w:val="8"/>
                      <w:sz w:val="18"/>
                    </w:rPr>
                  </w:pPr>
                  <w:r>
                    <w:rPr>
                      <w:rFonts w:hint="eastAsia" w:cs="Times New Roman"/>
                      <w:spacing w:val="8"/>
                      <w:sz w:val="18"/>
                    </w:rPr>
                    <w:t>颗粒物</w:t>
                  </w:r>
                </w:p>
              </w:tc>
              <w:tc>
                <w:tcPr>
                  <w:tcW w:w="1407" w:type="pct"/>
                  <w:vAlign w:val="center"/>
                </w:tcPr>
                <w:p w14:paraId="11A49483">
                  <w:pPr>
                    <w:spacing w:line="240" w:lineRule="auto"/>
                    <w:ind w:firstLine="0" w:firstLineChars="0"/>
                    <w:jc w:val="center"/>
                    <w:rPr>
                      <w:rFonts w:cs="Times New Roman"/>
                      <w:spacing w:val="8"/>
                      <w:sz w:val="18"/>
                    </w:rPr>
                  </w:pPr>
                  <w:r>
                    <w:rPr>
                      <w:rFonts w:cs="Times New Roman"/>
                      <w:spacing w:val="8"/>
                      <w:sz w:val="18"/>
                    </w:rPr>
                    <w:t>20</w:t>
                  </w:r>
                </w:p>
              </w:tc>
              <w:tc>
                <w:tcPr>
                  <w:tcW w:w="1522" w:type="pct"/>
                  <w:vMerge w:val="continue"/>
                  <w:vAlign w:val="center"/>
                </w:tcPr>
                <w:p w14:paraId="71E22C9F">
                  <w:pPr>
                    <w:spacing w:line="240" w:lineRule="auto"/>
                    <w:ind w:firstLine="0" w:firstLineChars="0"/>
                    <w:jc w:val="center"/>
                    <w:rPr>
                      <w:rFonts w:cs="Times New Roman"/>
                      <w:spacing w:val="8"/>
                      <w:sz w:val="18"/>
                    </w:rPr>
                  </w:pPr>
                </w:p>
              </w:tc>
            </w:tr>
            <w:tr w14:paraId="04322C88">
              <w:trPr>
                <w:trHeight w:val="340" w:hRule="atLeast"/>
                <w:jc w:val="center"/>
              </w:trPr>
              <w:tc>
                <w:tcPr>
                  <w:tcW w:w="2069" w:type="pct"/>
                  <w:vAlign w:val="center"/>
                </w:tcPr>
                <w:p w14:paraId="2354BDC3">
                  <w:pPr>
                    <w:spacing w:line="240" w:lineRule="auto"/>
                    <w:ind w:firstLine="0" w:firstLineChars="0"/>
                    <w:jc w:val="center"/>
                    <w:rPr>
                      <w:rFonts w:cs="Times New Roman"/>
                      <w:spacing w:val="8"/>
                      <w:sz w:val="18"/>
                    </w:rPr>
                  </w:pPr>
                  <w:r>
                    <w:rPr>
                      <w:rFonts w:hint="eastAsia" w:cs="Times New Roman"/>
                      <w:spacing w:val="8"/>
                      <w:sz w:val="18"/>
                    </w:rPr>
                    <w:t>苯乙烯</w:t>
                  </w:r>
                </w:p>
              </w:tc>
              <w:tc>
                <w:tcPr>
                  <w:tcW w:w="1407" w:type="pct"/>
                  <w:vAlign w:val="center"/>
                </w:tcPr>
                <w:p w14:paraId="0500A5BB">
                  <w:pPr>
                    <w:spacing w:line="240" w:lineRule="auto"/>
                    <w:ind w:firstLine="0" w:firstLineChars="0"/>
                    <w:jc w:val="center"/>
                    <w:rPr>
                      <w:rFonts w:cs="Times New Roman"/>
                      <w:spacing w:val="8"/>
                      <w:sz w:val="18"/>
                    </w:rPr>
                  </w:pPr>
                  <w:r>
                    <w:rPr>
                      <w:rFonts w:hint="eastAsia" w:cs="Times New Roman"/>
                      <w:spacing w:val="8"/>
                      <w:sz w:val="18"/>
                    </w:rPr>
                    <w:t>20</w:t>
                  </w:r>
                </w:p>
              </w:tc>
              <w:tc>
                <w:tcPr>
                  <w:tcW w:w="1522" w:type="pct"/>
                  <w:vMerge w:val="continue"/>
                  <w:vAlign w:val="center"/>
                </w:tcPr>
                <w:p w14:paraId="04E299C7">
                  <w:pPr>
                    <w:spacing w:line="240" w:lineRule="auto"/>
                    <w:ind w:firstLine="0" w:firstLineChars="0"/>
                    <w:jc w:val="center"/>
                    <w:rPr>
                      <w:rFonts w:cs="Times New Roman"/>
                      <w:spacing w:val="8"/>
                      <w:sz w:val="18"/>
                    </w:rPr>
                  </w:pPr>
                </w:p>
              </w:tc>
            </w:tr>
            <w:tr w14:paraId="0C08CEFC">
              <w:trPr>
                <w:trHeight w:val="340" w:hRule="atLeast"/>
                <w:jc w:val="center"/>
              </w:trPr>
              <w:tc>
                <w:tcPr>
                  <w:tcW w:w="2069" w:type="pct"/>
                  <w:vAlign w:val="center"/>
                </w:tcPr>
                <w:p w14:paraId="13E30A97">
                  <w:pPr>
                    <w:spacing w:line="240" w:lineRule="auto"/>
                    <w:ind w:firstLine="0" w:firstLineChars="0"/>
                    <w:jc w:val="center"/>
                    <w:rPr>
                      <w:rFonts w:cs="Times New Roman"/>
                      <w:spacing w:val="8"/>
                      <w:sz w:val="18"/>
                    </w:rPr>
                  </w:pPr>
                  <w:r>
                    <w:rPr>
                      <w:rFonts w:hint="eastAsia" w:cs="Times New Roman"/>
                      <w:spacing w:val="8"/>
                      <w:sz w:val="18"/>
                    </w:rPr>
                    <w:t>丙烯腈</w:t>
                  </w:r>
                </w:p>
              </w:tc>
              <w:tc>
                <w:tcPr>
                  <w:tcW w:w="1407" w:type="pct"/>
                  <w:vAlign w:val="center"/>
                </w:tcPr>
                <w:p w14:paraId="081A0AA4">
                  <w:pPr>
                    <w:spacing w:line="240" w:lineRule="auto"/>
                    <w:ind w:firstLine="0" w:firstLineChars="0"/>
                    <w:jc w:val="center"/>
                    <w:rPr>
                      <w:rFonts w:cs="Times New Roman"/>
                      <w:spacing w:val="8"/>
                      <w:sz w:val="18"/>
                    </w:rPr>
                  </w:pPr>
                  <w:r>
                    <w:rPr>
                      <w:rFonts w:hint="eastAsia" w:cs="Times New Roman"/>
                      <w:spacing w:val="8"/>
                      <w:sz w:val="18"/>
                    </w:rPr>
                    <w:t>0.5</w:t>
                  </w:r>
                </w:p>
              </w:tc>
              <w:tc>
                <w:tcPr>
                  <w:tcW w:w="1522" w:type="pct"/>
                  <w:vMerge w:val="continue"/>
                  <w:vAlign w:val="center"/>
                </w:tcPr>
                <w:p w14:paraId="6A16E980">
                  <w:pPr>
                    <w:spacing w:line="240" w:lineRule="auto"/>
                    <w:ind w:firstLine="0" w:firstLineChars="0"/>
                    <w:jc w:val="center"/>
                    <w:rPr>
                      <w:rFonts w:cs="Times New Roman"/>
                      <w:spacing w:val="8"/>
                      <w:sz w:val="18"/>
                    </w:rPr>
                  </w:pPr>
                </w:p>
              </w:tc>
            </w:tr>
            <w:tr w14:paraId="0FA19068">
              <w:trPr>
                <w:trHeight w:val="340" w:hRule="atLeast"/>
                <w:jc w:val="center"/>
              </w:trPr>
              <w:tc>
                <w:tcPr>
                  <w:tcW w:w="2069" w:type="pct"/>
                  <w:vAlign w:val="center"/>
                </w:tcPr>
                <w:p w14:paraId="48F95A36">
                  <w:pPr>
                    <w:spacing w:line="240" w:lineRule="auto"/>
                    <w:ind w:firstLine="0" w:firstLineChars="0"/>
                    <w:jc w:val="center"/>
                    <w:rPr>
                      <w:rFonts w:cs="Times New Roman"/>
                      <w:spacing w:val="8"/>
                      <w:sz w:val="18"/>
                    </w:rPr>
                  </w:pPr>
                  <w:r>
                    <w:rPr>
                      <w:rFonts w:hint="eastAsia" w:cs="Times New Roman"/>
                      <w:spacing w:val="8"/>
                      <w:sz w:val="18"/>
                    </w:rPr>
                    <w:t>1.3-丁二烯</w:t>
                  </w:r>
                  <w:r>
                    <w:rPr>
                      <w:rFonts w:hint="eastAsia" w:cs="Times New Roman"/>
                      <w:spacing w:val="8"/>
                      <w:sz w:val="18"/>
                      <w:vertAlign w:val="superscript"/>
                    </w:rPr>
                    <w:t>a</w:t>
                  </w:r>
                </w:p>
              </w:tc>
              <w:tc>
                <w:tcPr>
                  <w:tcW w:w="1407" w:type="pct"/>
                  <w:vAlign w:val="center"/>
                </w:tcPr>
                <w:p w14:paraId="21069A18">
                  <w:pPr>
                    <w:spacing w:line="240" w:lineRule="auto"/>
                    <w:ind w:firstLine="0" w:firstLineChars="0"/>
                    <w:jc w:val="center"/>
                    <w:rPr>
                      <w:rFonts w:cs="Times New Roman"/>
                      <w:spacing w:val="8"/>
                      <w:sz w:val="18"/>
                    </w:rPr>
                  </w:pPr>
                  <w:r>
                    <w:rPr>
                      <w:rFonts w:hint="eastAsia" w:cs="Times New Roman"/>
                      <w:spacing w:val="8"/>
                      <w:sz w:val="18"/>
                    </w:rPr>
                    <w:t>1</w:t>
                  </w:r>
                </w:p>
              </w:tc>
              <w:tc>
                <w:tcPr>
                  <w:tcW w:w="1522" w:type="pct"/>
                  <w:vMerge w:val="continue"/>
                  <w:vAlign w:val="center"/>
                </w:tcPr>
                <w:p w14:paraId="15524158">
                  <w:pPr>
                    <w:spacing w:line="240" w:lineRule="auto"/>
                    <w:ind w:firstLine="0" w:firstLineChars="0"/>
                    <w:jc w:val="center"/>
                    <w:rPr>
                      <w:rFonts w:cs="Times New Roman"/>
                      <w:spacing w:val="8"/>
                      <w:sz w:val="18"/>
                    </w:rPr>
                  </w:pPr>
                </w:p>
              </w:tc>
            </w:tr>
            <w:tr w14:paraId="58EF3B5D">
              <w:trPr>
                <w:trHeight w:val="340" w:hRule="atLeast"/>
                <w:jc w:val="center"/>
              </w:trPr>
              <w:tc>
                <w:tcPr>
                  <w:tcW w:w="2069" w:type="pct"/>
                  <w:vAlign w:val="center"/>
                </w:tcPr>
                <w:p w14:paraId="442DAB8A">
                  <w:pPr>
                    <w:spacing w:line="240" w:lineRule="auto"/>
                    <w:ind w:firstLine="0" w:firstLineChars="0"/>
                    <w:jc w:val="center"/>
                    <w:rPr>
                      <w:rFonts w:cs="Times New Roman"/>
                      <w:spacing w:val="8"/>
                      <w:sz w:val="18"/>
                    </w:rPr>
                  </w:pPr>
                  <w:r>
                    <w:rPr>
                      <w:rFonts w:hint="eastAsia" w:cs="Times New Roman"/>
                      <w:spacing w:val="8"/>
                      <w:sz w:val="18"/>
                    </w:rPr>
                    <w:t>酚类</w:t>
                  </w:r>
                </w:p>
              </w:tc>
              <w:tc>
                <w:tcPr>
                  <w:tcW w:w="1407" w:type="pct"/>
                  <w:vAlign w:val="center"/>
                </w:tcPr>
                <w:p w14:paraId="271AAB18">
                  <w:pPr>
                    <w:spacing w:line="240" w:lineRule="auto"/>
                    <w:ind w:firstLine="0" w:firstLineChars="0"/>
                    <w:jc w:val="center"/>
                    <w:rPr>
                      <w:rFonts w:cs="Times New Roman"/>
                      <w:spacing w:val="8"/>
                      <w:sz w:val="18"/>
                    </w:rPr>
                  </w:pPr>
                  <w:r>
                    <w:rPr>
                      <w:rFonts w:hint="eastAsia" w:cs="Times New Roman"/>
                      <w:spacing w:val="8"/>
                      <w:sz w:val="18"/>
                    </w:rPr>
                    <w:t>15</w:t>
                  </w:r>
                </w:p>
              </w:tc>
              <w:tc>
                <w:tcPr>
                  <w:tcW w:w="1522" w:type="pct"/>
                  <w:vMerge w:val="continue"/>
                  <w:vAlign w:val="center"/>
                </w:tcPr>
                <w:p w14:paraId="45228904">
                  <w:pPr>
                    <w:spacing w:line="240" w:lineRule="auto"/>
                    <w:ind w:firstLine="0" w:firstLineChars="0"/>
                    <w:jc w:val="center"/>
                    <w:rPr>
                      <w:rFonts w:cs="Times New Roman"/>
                      <w:spacing w:val="8"/>
                      <w:sz w:val="18"/>
                    </w:rPr>
                  </w:pPr>
                </w:p>
              </w:tc>
            </w:tr>
            <w:tr w14:paraId="41EFAECC">
              <w:trPr>
                <w:trHeight w:val="340" w:hRule="atLeast"/>
                <w:jc w:val="center"/>
              </w:trPr>
              <w:tc>
                <w:tcPr>
                  <w:tcW w:w="2069" w:type="pct"/>
                  <w:vAlign w:val="center"/>
                </w:tcPr>
                <w:p w14:paraId="6CC5419D">
                  <w:pPr>
                    <w:spacing w:line="240" w:lineRule="auto"/>
                    <w:ind w:firstLine="0" w:firstLineChars="0"/>
                    <w:jc w:val="center"/>
                    <w:rPr>
                      <w:rFonts w:cs="Times New Roman"/>
                      <w:spacing w:val="8"/>
                      <w:sz w:val="18"/>
                    </w:rPr>
                  </w:pPr>
                  <w:r>
                    <w:rPr>
                      <w:rFonts w:hint="eastAsia" w:cs="Times New Roman"/>
                      <w:spacing w:val="8"/>
                      <w:sz w:val="18"/>
                    </w:rPr>
                    <w:t>甲苯二异氰酸酯TDI</w:t>
                  </w:r>
                  <w:r>
                    <w:rPr>
                      <w:rFonts w:hint="eastAsia" w:cs="Times New Roman"/>
                      <w:spacing w:val="8"/>
                      <w:sz w:val="18"/>
                      <w:vertAlign w:val="superscript"/>
                    </w:rPr>
                    <w:t>a</w:t>
                  </w:r>
                </w:p>
              </w:tc>
              <w:tc>
                <w:tcPr>
                  <w:tcW w:w="1407" w:type="pct"/>
                  <w:vAlign w:val="center"/>
                </w:tcPr>
                <w:p w14:paraId="66731447">
                  <w:pPr>
                    <w:spacing w:line="240" w:lineRule="auto"/>
                    <w:ind w:firstLine="0" w:firstLineChars="0"/>
                    <w:jc w:val="center"/>
                    <w:rPr>
                      <w:rFonts w:cs="Times New Roman"/>
                      <w:spacing w:val="8"/>
                      <w:sz w:val="18"/>
                    </w:rPr>
                  </w:pPr>
                  <w:r>
                    <w:rPr>
                      <w:rFonts w:hint="eastAsia" w:cs="Times New Roman"/>
                      <w:spacing w:val="8"/>
                      <w:sz w:val="18"/>
                    </w:rPr>
                    <w:t>1</w:t>
                  </w:r>
                </w:p>
              </w:tc>
              <w:tc>
                <w:tcPr>
                  <w:tcW w:w="1522" w:type="pct"/>
                  <w:vMerge w:val="continue"/>
                  <w:vAlign w:val="center"/>
                </w:tcPr>
                <w:p w14:paraId="67DDC587">
                  <w:pPr>
                    <w:spacing w:line="240" w:lineRule="auto"/>
                    <w:ind w:firstLine="0" w:firstLineChars="0"/>
                    <w:jc w:val="center"/>
                    <w:rPr>
                      <w:rFonts w:cs="Times New Roman"/>
                      <w:spacing w:val="8"/>
                      <w:sz w:val="18"/>
                    </w:rPr>
                  </w:pPr>
                </w:p>
              </w:tc>
            </w:tr>
            <w:tr w14:paraId="52BCC731">
              <w:trPr>
                <w:trHeight w:val="340" w:hRule="atLeast"/>
                <w:jc w:val="center"/>
              </w:trPr>
              <w:tc>
                <w:tcPr>
                  <w:tcW w:w="2069" w:type="pct"/>
                  <w:vAlign w:val="center"/>
                </w:tcPr>
                <w:p w14:paraId="2311B163">
                  <w:pPr>
                    <w:spacing w:line="240" w:lineRule="auto"/>
                    <w:ind w:firstLine="0" w:firstLineChars="0"/>
                    <w:jc w:val="center"/>
                    <w:rPr>
                      <w:rFonts w:cs="Times New Roman"/>
                      <w:spacing w:val="8"/>
                      <w:sz w:val="18"/>
                    </w:rPr>
                  </w:pPr>
                  <w:r>
                    <w:rPr>
                      <w:rFonts w:hint="eastAsia" w:cs="Times New Roman"/>
                      <w:spacing w:val="8"/>
                      <w:sz w:val="18"/>
                    </w:rPr>
                    <w:t>二苯基甲烷二异氰酸酯MDI</w:t>
                  </w:r>
                  <w:r>
                    <w:rPr>
                      <w:rFonts w:hint="eastAsia" w:cs="Times New Roman"/>
                      <w:spacing w:val="8"/>
                      <w:sz w:val="18"/>
                      <w:vertAlign w:val="superscript"/>
                    </w:rPr>
                    <w:t>a</w:t>
                  </w:r>
                </w:p>
              </w:tc>
              <w:tc>
                <w:tcPr>
                  <w:tcW w:w="1407" w:type="pct"/>
                  <w:vAlign w:val="center"/>
                </w:tcPr>
                <w:p w14:paraId="78CEDE4E">
                  <w:pPr>
                    <w:spacing w:line="240" w:lineRule="auto"/>
                    <w:ind w:firstLine="0" w:firstLineChars="0"/>
                    <w:jc w:val="center"/>
                    <w:rPr>
                      <w:rFonts w:cs="Times New Roman"/>
                      <w:spacing w:val="8"/>
                      <w:sz w:val="18"/>
                    </w:rPr>
                  </w:pPr>
                  <w:r>
                    <w:rPr>
                      <w:rFonts w:hint="eastAsia" w:cs="Times New Roman"/>
                      <w:spacing w:val="8"/>
                      <w:sz w:val="18"/>
                    </w:rPr>
                    <w:t>1</w:t>
                  </w:r>
                </w:p>
              </w:tc>
              <w:tc>
                <w:tcPr>
                  <w:tcW w:w="1522" w:type="pct"/>
                  <w:vMerge w:val="continue"/>
                  <w:vAlign w:val="center"/>
                </w:tcPr>
                <w:p w14:paraId="33335125">
                  <w:pPr>
                    <w:spacing w:line="240" w:lineRule="auto"/>
                    <w:ind w:firstLine="0" w:firstLineChars="0"/>
                    <w:jc w:val="center"/>
                    <w:rPr>
                      <w:rFonts w:cs="Times New Roman"/>
                      <w:spacing w:val="8"/>
                      <w:sz w:val="18"/>
                    </w:rPr>
                  </w:pPr>
                </w:p>
              </w:tc>
            </w:tr>
            <w:tr w14:paraId="7D1A70DD">
              <w:trPr>
                <w:trHeight w:val="340" w:hRule="atLeast"/>
                <w:jc w:val="center"/>
              </w:trPr>
              <w:tc>
                <w:tcPr>
                  <w:tcW w:w="2069" w:type="pct"/>
                  <w:vAlign w:val="center"/>
                </w:tcPr>
                <w:p w14:paraId="2F3278F8">
                  <w:pPr>
                    <w:spacing w:line="240" w:lineRule="auto"/>
                    <w:ind w:firstLine="0" w:firstLineChars="0"/>
                    <w:jc w:val="center"/>
                    <w:rPr>
                      <w:rFonts w:cs="Times New Roman"/>
                      <w:spacing w:val="8"/>
                      <w:sz w:val="18"/>
                    </w:rPr>
                  </w:pPr>
                  <w:r>
                    <w:rPr>
                      <w:rFonts w:hint="eastAsia" w:cs="Times New Roman"/>
                      <w:spacing w:val="8"/>
                      <w:sz w:val="18"/>
                    </w:rPr>
                    <w:t>异氟尔酮二异氰酸酯IPDI</w:t>
                  </w:r>
                  <w:r>
                    <w:rPr>
                      <w:rFonts w:hint="eastAsia" w:cs="Times New Roman"/>
                      <w:spacing w:val="8"/>
                      <w:sz w:val="18"/>
                      <w:vertAlign w:val="superscript"/>
                    </w:rPr>
                    <w:t>a</w:t>
                  </w:r>
                </w:p>
              </w:tc>
              <w:tc>
                <w:tcPr>
                  <w:tcW w:w="1407" w:type="pct"/>
                  <w:vAlign w:val="center"/>
                </w:tcPr>
                <w:p w14:paraId="3E579796">
                  <w:pPr>
                    <w:spacing w:line="240" w:lineRule="auto"/>
                    <w:ind w:firstLine="0" w:firstLineChars="0"/>
                    <w:jc w:val="center"/>
                    <w:rPr>
                      <w:rFonts w:cs="Times New Roman"/>
                      <w:spacing w:val="8"/>
                      <w:sz w:val="18"/>
                    </w:rPr>
                  </w:pPr>
                  <w:r>
                    <w:rPr>
                      <w:rFonts w:hint="eastAsia" w:cs="Times New Roman"/>
                      <w:spacing w:val="8"/>
                      <w:sz w:val="18"/>
                    </w:rPr>
                    <w:t>1</w:t>
                  </w:r>
                </w:p>
              </w:tc>
              <w:tc>
                <w:tcPr>
                  <w:tcW w:w="1522" w:type="pct"/>
                  <w:vMerge w:val="continue"/>
                  <w:vAlign w:val="center"/>
                </w:tcPr>
                <w:p w14:paraId="415F38FF">
                  <w:pPr>
                    <w:spacing w:line="240" w:lineRule="auto"/>
                    <w:ind w:firstLine="0" w:firstLineChars="0"/>
                    <w:jc w:val="center"/>
                    <w:rPr>
                      <w:rFonts w:cs="Times New Roman"/>
                      <w:spacing w:val="8"/>
                      <w:sz w:val="18"/>
                    </w:rPr>
                  </w:pPr>
                </w:p>
              </w:tc>
            </w:tr>
            <w:tr w14:paraId="621A9D47">
              <w:trPr>
                <w:trHeight w:val="340" w:hRule="atLeast"/>
                <w:jc w:val="center"/>
              </w:trPr>
              <w:tc>
                <w:tcPr>
                  <w:tcW w:w="2069" w:type="pct"/>
                  <w:vAlign w:val="center"/>
                </w:tcPr>
                <w:p w14:paraId="7A68D381">
                  <w:pPr>
                    <w:spacing w:line="240" w:lineRule="auto"/>
                    <w:ind w:firstLine="0" w:firstLineChars="0"/>
                    <w:jc w:val="center"/>
                    <w:rPr>
                      <w:rFonts w:cs="Times New Roman"/>
                      <w:spacing w:val="8"/>
                      <w:sz w:val="18"/>
                    </w:rPr>
                  </w:pPr>
                  <w:r>
                    <w:rPr>
                      <w:rFonts w:hint="eastAsia" w:cs="Times New Roman"/>
                      <w:spacing w:val="8"/>
                      <w:sz w:val="18"/>
                    </w:rPr>
                    <w:t>多亚甲基多苯基异氰酸酯PAPI</w:t>
                  </w:r>
                  <w:r>
                    <w:rPr>
                      <w:rFonts w:hint="eastAsia" w:cs="Times New Roman"/>
                      <w:spacing w:val="8"/>
                      <w:sz w:val="18"/>
                      <w:vertAlign w:val="superscript"/>
                    </w:rPr>
                    <w:t>a</w:t>
                  </w:r>
                </w:p>
              </w:tc>
              <w:tc>
                <w:tcPr>
                  <w:tcW w:w="1407" w:type="pct"/>
                  <w:vAlign w:val="center"/>
                </w:tcPr>
                <w:p w14:paraId="2286FA92">
                  <w:pPr>
                    <w:spacing w:line="240" w:lineRule="auto"/>
                    <w:ind w:firstLine="0" w:firstLineChars="0"/>
                    <w:jc w:val="center"/>
                    <w:rPr>
                      <w:rFonts w:cs="Times New Roman"/>
                      <w:spacing w:val="8"/>
                      <w:sz w:val="18"/>
                    </w:rPr>
                  </w:pPr>
                  <w:r>
                    <w:rPr>
                      <w:rFonts w:hint="eastAsia" w:cs="Times New Roman"/>
                      <w:spacing w:val="8"/>
                      <w:sz w:val="18"/>
                    </w:rPr>
                    <w:t>1</w:t>
                  </w:r>
                </w:p>
              </w:tc>
              <w:tc>
                <w:tcPr>
                  <w:tcW w:w="1522" w:type="pct"/>
                  <w:vMerge w:val="continue"/>
                  <w:vAlign w:val="center"/>
                </w:tcPr>
                <w:p w14:paraId="2F476C83">
                  <w:pPr>
                    <w:spacing w:line="240" w:lineRule="auto"/>
                    <w:ind w:firstLine="0" w:firstLineChars="0"/>
                    <w:jc w:val="center"/>
                    <w:rPr>
                      <w:rFonts w:cs="Times New Roman"/>
                      <w:spacing w:val="8"/>
                      <w:sz w:val="18"/>
                    </w:rPr>
                  </w:pPr>
                </w:p>
              </w:tc>
            </w:tr>
            <w:tr w14:paraId="636BB5B9">
              <w:trPr>
                <w:trHeight w:val="340" w:hRule="atLeast"/>
                <w:jc w:val="center"/>
              </w:trPr>
              <w:tc>
                <w:tcPr>
                  <w:tcW w:w="2069" w:type="pct"/>
                  <w:vAlign w:val="center"/>
                </w:tcPr>
                <w:p w14:paraId="321095C5">
                  <w:pPr>
                    <w:spacing w:line="240" w:lineRule="auto"/>
                    <w:ind w:firstLine="0" w:firstLineChars="0"/>
                    <w:jc w:val="center"/>
                    <w:rPr>
                      <w:rFonts w:cs="Times New Roman"/>
                      <w:spacing w:val="8"/>
                      <w:sz w:val="18"/>
                    </w:rPr>
                  </w:pPr>
                  <w:r>
                    <w:rPr>
                      <w:rFonts w:hint="eastAsia" w:cs="Times New Roman"/>
                      <w:spacing w:val="8"/>
                      <w:sz w:val="18"/>
                    </w:rPr>
                    <w:t>氨</w:t>
                  </w:r>
                </w:p>
              </w:tc>
              <w:tc>
                <w:tcPr>
                  <w:tcW w:w="1407" w:type="pct"/>
                  <w:vAlign w:val="center"/>
                </w:tcPr>
                <w:p w14:paraId="414E6C66">
                  <w:pPr>
                    <w:spacing w:line="240" w:lineRule="auto"/>
                    <w:ind w:firstLine="0" w:firstLineChars="0"/>
                    <w:jc w:val="center"/>
                    <w:rPr>
                      <w:rFonts w:cs="Times New Roman"/>
                      <w:spacing w:val="8"/>
                      <w:sz w:val="18"/>
                    </w:rPr>
                  </w:pPr>
                  <w:r>
                    <w:rPr>
                      <w:rFonts w:hint="eastAsia" w:cs="Times New Roman"/>
                      <w:spacing w:val="8"/>
                      <w:sz w:val="18"/>
                    </w:rPr>
                    <w:t>20</w:t>
                  </w:r>
                </w:p>
              </w:tc>
              <w:tc>
                <w:tcPr>
                  <w:tcW w:w="1522" w:type="pct"/>
                  <w:vMerge w:val="continue"/>
                  <w:vAlign w:val="center"/>
                </w:tcPr>
                <w:p w14:paraId="78A169FB">
                  <w:pPr>
                    <w:spacing w:line="240" w:lineRule="auto"/>
                    <w:ind w:firstLine="0" w:firstLineChars="0"/>
                    <w:jc w:val="center"/>
                    <w:rPr>
                      <w:rFonts w:cs="Times New Roman"/>
                      <w:spacing w:val="8"/>
                      <w:sz w:val="18"/>
                    </w:rPr>
                  </w:pPr>
                </w:p>
              </w:tc>
            </w:tr>
            <w:tr w14:paraId="12CE4992">
              <w:trPr>
                <w:trHeight w:val="340" w:hRule="atLeast"/>
                <w:jc w:val="center"/>
              </w:trPr>
              <w:tc>
                <w:tcPr>
                  <w:tcW w:w="2069" w:type="pct"/>
                  <w:vAlign w:val="center"/>
                </w:tcPr>
                <w:p w14:paraId="362757A5">
                  <w:pPr>
                    <w:spacing w:line="240" w:lineRule="auto"/>
                    <w:ind w:firstLine="0" w:firstLineChars="0"/>
                    <w:jc w:val="center"/>
                    <w:rPr>
                      <w:rFonts w:cs="Times New Roman"/>
                      <w:spacing w:val="8"/>
                      <w:sz w:val="18"/>
                    </w:rPr>
                  </w:pPr>
                  <w:r>
                    <w:rPr>
                      <w:rFonts w:hint="eastAsia" w:cs="Times New Roman"/>
                      <w:spacing w:val="8"/>
                      <w:sz w:val="18"/>
                    </w:rPr>
                    <w:t>二氧化硫</w:t>
                  </w:r>
                </w:p>
              </w:tc>
              <w:tc>
                <w:tcPr>
                  <w:tcW w:w="1407" w:type="pct"/>
                  <w:vAlign w:val="center"/>
                </w:tcPr>
                <w:p w14:paraId="1E5A1BD3">
                  <w:pPr>
                    <w:spacing w:line="240" w:lineRule="auto"/>
                    <w:ind w:firstLine="0" w:firstLineChars="0"/>
                    <w:jc w:val="center"/>
                    <w:rPr>
                      <w:rFonts w:cs="Times New Roman"/>
                      <w:spacing w:val="8"/>
                      <w:sz w:val="18"/>
                    </w:rPr>
                  </w:pPr>
                  <w:r>
                    <w:rPr>
                      <w:rFonts w:hint="eastAsia" w:cs="Times New Roman"/>
                      <w:spacing w:val="8"/>
                      <w:sz w:val="18"/>
                    </w:rPr>
                    <w:t>50</w:t>
                  </w:r>
                </w:p>
              </w:tc>
              <w:tc>
                <w:tcPr>
                  <w:tcW w:w="1522" w:type="pct"/>
                  <w:vMerge w:val="continue"/>
                  <w:vAlign w:val="center"/>
                </w:tcPr>
                <w:p w14:paraId="01EA410D">
                  <w:pPr>
                    <w:spacing w:line="240" w:lineRule="auto"/>
                    <w:ind w:firstLine="0" w:firstLineChars="0"/>
                    <w:jc w:val="center"/>
                    <w:rPr>
                      <w:rFonts w:cs="Times New Roman"/>
                      <w:spacing w:val="8"/>
                      <w:sz w:val="18"/>
                    </w:rPr>
                  </w:pPr>
                </w:p>
              </w:tc>
            </w:tr>
            <w:tr w14:paraId="317B2F22">
              <w:trPr>
                <w:trHeight w:val="340" w:hRule="atLeast"/>
                <w:jc w:val="center"/>
              </w:trPr>
              <w:tc>
                <w:tcPr>
                  <w:tcW w:w="2069" w:type="pct"/>
                  <w:vAlign w:val="center"/>
                </w:tcPr>
                <w:p w14:paraId="0EE92236">
                  <w:pPr>
                    <w:spacing w:line="240" w:lineRule="auto"/>
                    <w:ind w:firstLine="0" w:firstLineChars="0"/>
                    <w:jc w:val="center"/>
                    <w:rPr>
                      <w:rFonts w:cs="Times New Roman"/>
                      <w:spacing w:val="8"/>
                      <w:sz w:val="18"/>
                    </w:rPr>
                  </w:pPr>
                  <w:r>
                    <w:rPr>
                      <w:rFonts w:hint="eastAsia" w:cs="Times New Roman"/>
                      <w:spacing w:val="8"/>
                      <w:sz w:val="18"/>
                    </w:rPr>
                    <w:t>硫化氢</w:t>
                  </w:r>
                </w:p>
              </w:tc>
              <w:tc>
                <w:tcPr>
                  <w:tcW w:w="1407" w:type="pct"/>
                  <w:vAlign w:val="center"/>
                </w:tcPr>
                <w:p w14:paraId="20D236A1">
                  <w:pPr>
                    <w:spacing w:line="240" w:lineRule="auto"/>
                    <w:ind w:firstLine="0" w:firstLineChars="0"/>
                    <w:jc w:val="center"/>
                    <w:rPr>
                      <w:rFonts w:cs="Times New Roman"/>
                      <w:spacing w:val="8"/>
                      <w:sz w:val="18"/>
                    </w:rPr>
                  </w:pPr>
                  <w:r>
                    <w:rPr>
                      <w:rFonts w:hint="eastAsia" w:cs="Times New Roman"/>
                      <w:spacing w:val="8"/>
                      <w:sz w:val="18"/>
                    </w:rPr>
                    <w:t>5</w:t>
                  </w:r>
                </w:p>
              </w:tc>
              <w:tc>
                <w:tcPr>
                  <w:tcW w:w="1522" w:type="pct"/>
                  <w:vMerge w:val="continue"/>
                  <w:vAlign w:val="center"/>
                </w:tcPr>
                <w:p w14:paraId="3B867D21">
                  <w:pPr>
                    <w:spacing w:line="240" w:lineRule="auto"/>
                    <w:ind w:firstLine="0" w:firstLineChars="0"/>
                    <w:jc w:val="center"/>
                    <w:rPr>
                      <w:rFonts w:cs="Times New Roman"/>
                      <w:spacing w:val="8"/>
                      <w:sz w:val="18"/>
                    </w:rPr>
                  </w:pPr>
                </w:p>
              </w:tc>
            </w:tr>
            <w:tr w14:paraId="04EBCBBC">
              <w:trPr>
                <w:trHeight w:val="340" w:hRule="atLeast"/>
                <w:jc w:val="center"/>
              </w:trPr>
              <w:tc>
                <w:tcPr>
                  <w:tcW w:w="2069" w:type="pct"/>
                  <w:vAlign w:val="center"/>
                </w:tcPr>
                <w:p w14:paraId="5DCC0484">
                  <w:pPr>
                    <w:spacing w:line="240" w:lineRule="auto"/>
                    <w:ind w:firstLine="0" w:firstLineChars="0"/>
                    <w:jc w:val="center"/>
                    <w:rPr>
                      <w:rFonts w:cs="Times New Roman"/>
                      <w:spacing w:val="8"/>
                      <w:sz w:val="18"/>
                    </w:rPr>
                  </w:pPr>
                  <w:r>
                    <w:rPr>
                      <w:rFonts w:hint="eastAsia" w:cs="Times New Roman"/>
                      <w:spacing w:val="8"/>
                      <w:sz w:val="18"/>
                    </w:rPr>
                    <w:t>丙烯酸</w:t>
                  </w:r>
                  <w:r>
                    <w:rPr>
                      <w:rFonts w:hint="eastAsia" w:cs="Times New Roman"/>
                      <w:spacing w:val="8"/>
                      <w:sz w:val="18"/>
                      <w:vertAlign w:val="superscript"/>
                    </w:rPr>
                    <w:t>a</w:t>
                  </w:r>
                </w:p>
              </w:tc>
              <w:tc>
                <w:tcPr>
                  <w:tcW w:w="1407" w:type="pct"/>
                  <w:vAlign w:val="center"/>
                </w:tcPr>
                <w:p w14:paraId="76D61BA2">
                  <w:pPr>
                    <w:spacing w:line="240" w:lineRule="auto"/>
                    <w:ind w:firstLine="0" w:firstLineChars="0"/>
                    <w:jc w:val="center"/>
                    <w:rPr>
                      <w:rFonts w:cs="Times New Roman"/>
                      <w:spacing w:val="8"/>
                      <w:sz w:val="18"/>
                    </w:rPr>
                  </w:pPr>
                  <w:r>
                    <w:rPr>
                      <w:rFonts w:hint="eastAsia" w:cs="Times New Roman"/>
                      <w:spacing w:val="8"/>
                      <w:sz w:val="18"/>
                    </w:rPr>
                    <w:t>10</w:t>
                  </w:r>
                </w:p>
              </w:tc>
              <w:tc>
                <w:tcPr>
                  <w:tcW w:w="1522" w:type="pct"/>
                  <w:vMerge w:val="continue"/>
                  <w:vAlign w:val="center"/>
                </w:tcPr>
                <w:p w14:paraId="0EEF1455">
                  <w:pPr>
                    <w:spacing w:line="240" w:lineRule="auto"/>
                    <w:ind w:firstLine="0" w:firstLineChars="0"/>
                    <w:jc w:val="center"/>
                    <w:rPr>
                      <w:rFonts w:cs="Times New Roman"/>
                      <w:spacing w:val="8"/>
                      <w:sz w:val="18"/>
                    </w:rPr>
                  </w:pPr>
                </w:p>
              </w:tc>
            </w:tr>
            <w:tr w14:paraId="4F39A51E">
              <w:trPr>
                <w:trHeight w:val="340" w:hRule="atLeast"/>
                <w:jc w:val="center"/>
              </w:trPr>
              <w:tc>
                <w:tcPr>
                  <w:tcW w:w="2069" w:type="pct"/>
                  <w:vAlign w:val="center"/>
                </w:tcPr>
                <w:p w14:paraId="64F3B061">
                  <w:pPr>
                    <w:spacing w:line="240" w:lineRule="auto"/>
                    <w:ind w:firstLine="0" w:firstLineChars="0"/>
                    <w:jc w:val="center"/>
                    <w:rPr>
                      <w:rFonts w:cs="Times New Roman"/>
                      <w:spacing w:val="8"/>
                      <w:sz w:val="18"/>
                    </w:rPr>
                  </w:pPr>
                  <w:r>
                    <w:rPr>
                      <w:rFonts w:hint="eastAsia" w:cs="Times New Roman"/>
                      <w:spacing w:val="8"/>
                      <w:sz w:val="18"/>
                    </w:rPr>
                    <w:t>丙烯酸甲酯</w:t>
                  </w:r>
                  <w:r>
                    <w:rPr>
                      <w:rFonts w:hint="eastAsia" w:cs="Times New Roman"/>
                      <w:spacing w:val="8"/>
                      <w:sz w:val="18"/>
                      <w:vertAlign w:val="superscript"/>
                    </w:rPr>
                    <w:t>a</w:t>
                  </w:r>
                </w:p>
              </w:tc>
              <w:tc>
                <w:tcPr>
                  <w:tcW w:w="1407" w:type="pct"/>
                  <w:vAlign w:val="center"/>
                </w:tcPr>
                <w:p w14:paraId="73C26535">
                  <w:pPr>
                    <w:spacing w:line="240" w:lineRule="auto"/>
                    <w:ind w:firstLine="0" w:firstLineChars="0"/>
                    <w:jc w:val="center"/>
                    <w:rPr>
                      <w:rFonts w:cs="Times New Roman"/>
                      <w:spacing w:val="8"/>
                      <w:sz w:val="18"/>
                    </w:rPr>
                  </w:pPr>
                  <w:r>
                    <w:rPr>
                      <w:rFonts w:hint="eastAsia" w:cs="Times New Roman"/>
                      <w:spacing w:val="8"/>
                      <w:sz w:val="18"/>
                    </w:rPr>
                    <w:t>20</w:t>
                  </w:r>
                </w:p>
              </w:tc>
              <w:tc>
                <w:tcPr>
                  <w:tcW w:w="1522" w:type="pct"/>
                  <w:vMerge w:val="continue"/>
                  <w:vAlign w:val="center"/>
                </w:tcPr>
                <w:p w14:paraId="03B198A5">
                  <w:pPr>
                    <w:spacing w:line="240" w:lineRule="auto"/>
                    <w:ind w:firstLine="0" w:firstLineChars="0"/>
                    <w:jc w:val="center"/>
                    <w:rPr>
                      <w:rFonts w:cs="Times New Roman"/>
                      <w:spacing w:val="8"/>
                      <w:sz w:val="18"/>
                    </w:rPr>
                  </w:pPr>
                </w:p>
              </w:tc>
            </w:tr>
            <w:tr w14:paraId="5051EA73">
              <w:trPr>
                <w:trHeight w:val="340" w:hRule="atLeast"/>
                <w:jc w:val="center"/>
              </w:trPr>
              <w:tc>
                <w:tcPr>
                  <w:tcW w:w="2069" w:type="pct"/>
                  <w:vAlign w:val="center"/>
                </w:tcPr>
                <w:p w14:paraId="71804C0F">
                  <w:pPr>
                    <w:spacing w:line="240" w:lineRule="auto"/>
                    <w:ind w:firstLine="0" w:firstLineChars="0"/>
                    <w:jc w:val="center"/>
                    <w:rPr>
                      <w:rFonts w:cs="Times New Roman"/>
                      <w:spacing w:val="8"/>
                      <w:sz w:val="18"/>
                    </w:rPr>
                  </w:pPr>
                  <w:r>
                    <w:rPr>
                      <w:rFonts w:hint="eastAsia" w:cs="Times New Roman"/>
                      <w:spacing w:val="8"/>
                      <w:sz w:val="18"/>
                    </w:rPr>
                    <w:t>丙烯酸丁酯</w:t>
                  </w:r>
                  <w:r>
                    <w:rPr>
                      <w:rFonts w:hint="eastAsia" w:cs="Times New Roman"/>
                      <w:spacing w:val="8"/>
                      <w:sz w:val="18"/>
                      <w:vertAlign w:val="superscript"/>
                    </w:rPr>
                    <w:t>a</w:t>
                  </w:r>
                </w:p>
              </w:tc>
              <w:tc>
                <w:tcPr>
                  <w:tcW w:w="1407" w:type="pct"/>
                  <w:vAlign w:val="center"/>
                </w:tcPr>
                <w:p w14:paraId="61F2C552">
                  <w:pPr>
                    <w:spacing w:line="240" w:lineRule="auto"/>
                    <w:ind w:firstLine="0" w:firstLineChars="0"/>
                    <w:jc w:val="center"/>
                    <w:rPr>
                      <w:rFonts w:cs="Times New Roman"/>
                      <w:spacing w:val="8"/>
                      <w:sz w:val="18"/>
                    </w:rPr>
                  </w:pPr>
                  <w:r>
                    <w:rPr>
                      <w:rFonts w:hint="eastAsia" w:cs="Times New Roman"/>
                      <w:spacing w:val="8"/>
                      <w:sz w:val="18"/>
                    </w:rPr>
                    <w:t>20</w:t>
                  </w:r>
                </w:p>
              </w:tc>
              <w:tc>
                <w:tcPr>
                  <w:tcW w:w="1522" w:type="pct"/>
                  <w:vMerge w:val="continue"/>
                  <w:vAlign w:val="center"/>
                </w:tcPr>
                <w:p w14:paraId="3988CDF4">
                  <w:pPr>
                    <w:spacing w:line="240" w:lineRule="auto"/>
                    <w:ind w:firstLine="0" w:firstLineChars="0"/>
                    <w:jc w:val="center"/>
                    <w:rPr>
                      <w:rFonts w:cs="Times New Roman"/>
                      <w:spacing w:val="8"/>
                      <w:sz w:val="18"/>
                    </w:rPr>
                  </w:pPr>
                </w:p>
              </w:tc>
            </w:tr>
            <w:tr w14:paraId="4309802D">
              <w:trPr>
                <w:trHeight w:val="340" w:hRule="atLeast"/>
                <w:jc w:val="center"/>
              </w:trPr>
              <w:tc>
                <w:tcPr>
                  <w:tcW w:w="2069" w:type="pct"/>
                  <w:vAlign w:val="center"/>
                </w:tcPr>
                <w:p w14:paraId="719C0B53">
                  <w:pPr>
                    <w:spacing w:line="240" w:lineRule="auto"/>
                    <w:ind w:firstLine="0" w:firstLineChars="0"/>
                    <w:jc w:val="center"/>
                    <w:rPr>
                      <w:rFonts w:cs="Times New Roman"/>
                      <w:spacing w:val="8"/>
                      <w:sz w:val="18"/>
                    </w:rPr>
                  </w:pPr>
                  <w:r>
                    <w:rPr>
                      <w:rFonts w:hint="eastAsia" w:cs="Times New Roman"/>
                      <w:spacing w:val="8"/>
                      <w:sz w:val="18"/>
                    </w:rPr>
                    <w:t>甲基丙烯酸甲酯</w:t>
                  </w:r>
                  <w:r>
                    <w:rPr>
                      <w:rFonts w:hint="eastAsia" w:cs="Times New Roman"/>
                      <w:spacing w:val="8"/>
                      <w:sz w:val="18"/>
                      <w:vertAlign w:val="superscript"/>
                    </w:rPr>
                    <w:t>a</w:t>
                  </w:r>
                </w:p>
              </w:tc>
              <w:tc>
                <w:tcPr>
                  <w:tcW w:w="1407" w:type="pct"/>
                  <w:vAlign w:val="center"/>
                </w:tcPr>
                <w:p w14:paraId="0A6B6F49">
                  <w:pPr>
                    <w:spacing w:line="240" w:lineRule="auto"/>
                    <w:ind w:firstLine="0" w:firstLineChars="0"/>
                    <w:jc w:val="center"/>
                    <w:rPr>
                      <w:rFonts w:cs="Times New Roman"/>
                      <w:spacing w:val="8"/>
                      <w:sz w:val="18"/>
                    </w:rPr>
                  </w:pPr>
                  <w:r>
                    <w:rPr>
                      <w:rFonts w:hint="eastAsia" w:cs="Times New Roman"/>
                      <w:spacing w:val="8"/>
                      <w:sz w:val="18"/>
                    </w:rPr>
                    <w:t>50</w:t>
                  </w:r>
                </w:p>
              </w:tc>
              <w:tc>
                <w:tcPr>
                  <w:tcW w:w="1522" w:type="pct"/>
                  <w:vMerge w:val="continue"/>
                  <w:vAlign w:val="center"/>
                </w:tcPr>
                <w:p w14:paraId="5698E802">
                  <w:pPr>
                    <w:spacing w:line="240" w:lineRule="auto"/>
                    <w:ind w:firstLine="0" w:firstLineChars="0"/>
                    <w:jc w:val="center"/>
                    <w:rPr>
                      <w:rFonts w:cs="Times New Roman"/>
                      <w:spacing w:val="8"/>
                      <w:sz w:val="18"/>
                    </w:rPr>
                  </w:pPr>
                </w:p>
              </w:tc>
            </w:tr>
            <w:tr w14:paraId="6EC99DDD">
              <w:trPr>
                <w:trHeight w:val="340" w:hRule="atLeast"/>
                <w:jc w:val="center"/>
              </w:trPr>
              <w:tc>
                <w:tcPr>
                  <w:tcW w:w="2069" w:type="pct"/>
                  <w:vAlign w:val="center"/>
                </w:tcPr>
                <w:p w14:paraId="5E8703F4">
                  <w:pPr>
                    <w:spacing w:line="240" w:lineRule="auto"/>
                    <w:ind w:firstLine="0" w:firstLineChars="0"/>
                    <w:jc w:val="center"/>
                    <w:rPr>
                      <w:rFonts w:cs="Times New Roman"/>
                      <w:spacing w:val="8"/>
                      <w:sz w:val="18"/>
                    </w:rPr>
                  </w:pPr>
                  <w:r>
                    <w:rPr>
                      <w:rFonts w:hint="eastAsia" w:cs="Times New Roman"/>
                      <w:spacing w:val="8"/>
                      <w:sz w:val="18"/>
                    </w:rPr>
                    <w:t>乙苯</w:t>
                  </w:r>
                </w:p>
              </w:tc>
              <w:tc>
                <w:tcPr>
                  <w:tcW w:w="1407" w:type="pct"/>
                  <w:vAlign w:val="center"/>
                </w:tcPr>
                <w:p w14:paraId="7CAF9E06">
                  <w:pPr>
                    <w:spacing w:line="240" w:lineRule="auto"/>
                    <w:ind w:firstLine="0" w:firstLineChars="0"/>
                    <w:jc w:val="center"/>
                    <w:rPr>
                      <w:rFonts w:cs="Times New Roman"/>
                      <w:spacing w:val="8"/>
                      <w:sz w:val="18"/>
                    </w:rPr>
                  </w:pPr>
                  <w:r>
                    <w:rPr>
                      <w:rFonts w:hint="eastAsia" w:cs="Times New Roman"/>
                      <w:spacing w:val="8"/>
                      <w:sz w:val="18"/>
                    </w:rPr>
                    <w:t>50</w:t>
                  </w:r>
                </w:p>
              </w:tc>
              <w:tc>
                <w:tcPr>
                  <w:tcW w:w="1522" w:type="pct"/>
                  <w:vMerge w:val="continue"/>
                  <w:vAlign w:val="center"/>
                </w:tcPr>
                <w:p w14:paraId="784E4C14">
                  <w:pPr>
                    <w:spacing w:line="240" w:lineRule="auto"/>
                    <w:ind w:firstLine="0" w:firstLineChars="0"/>
                    <w:jc w:val="center"/>
                    <w:rPr>
                      <w:rFonts w:cs="Times New Roman"/>
                      <w:spacing w:val="8"/>
                      <w:sz w:val="18"/>
                    </w:rPr>
                  </w:pPr>
                </w:p>
              </w:tc>
            </w:tr>
            <w:tr w14:paraId="61272991">
              <w:trPr>
                <w:trHeight w:val="340" w:hRule="atLeast"/>
                <w:jc w:val="center"/>
              </w:trPr>
              <w:tc>
                <w:tcPr>
                  <w:tcW w:w="2069" w:type="pct"/>
                  <w:vAlign w:val="center"/>
                </w:tcPr>
                <w:p w14:paraId="47BA1834">
                  <w:pPr>
                    <w:spacing w:line="240" w:lineRule="auto"/>
                    <w:ind w:firstLine="0" w:firstLineChars="0"/>
                    <w:jc w:val="center"/>
                    <w:rPr>
                      <w:rFonts w:cs="Times New Roman"/>
                      <w:spacing w:val="8"/>
                      <w:sz w:val="18"/>
                    </w:rPr>
                  </w:pPr>
                  <w:r>
                    <w:rPr>
                      <w:rFonts w:hint="eastAsia" w:cs="Times New Roman"/>
                      <w:spacing w:val="8"/>
                      <w:sz w:val="18"/>
                    </w:rPr>
                    <w:t>氯苯类</w:t>
                  </w:r>
                </w:p>
              </w:tc>
              <w:tc>
                <w:tcPr>
                  <w:tcW w:w="1407" w:type="pct"/>
                  <w:vAlign w:val="center"/>
                </w:tcPr>
                <w:p w14:paraId="493F528A">
                  <w:pPr>
                    <w:spacing w:line="240" w:lineRule="auto"/>
                    <w:ind w:firstLine="0" w:firstLineChars="0"/>
                    <w:jc w:val="center"/>
                    <w:rPr>
                      <w:rFonts w:cs="Times New Roman"/>
                      <w:spacing w:val="8"/>
                      <w:sz w:val="18"/>
                    </w:rPr>
                  </w:pPr>
                  <w:r>
                    <w:rPr>
                      <w:rFonts w:hint="eastAsia" w:cs="Times New Roman"/>
                      <w:spacing w:val="8"/>
                      <w:sz w:val="18"/>
                    </w:rPr>
                    <w:t>20</w:t>
                  </w:r>
                </w:p>
              </w:tc>
              <w:tc>
                <w:tcPr>
                  <w:tcW w:w="1522" w:type="pct"/>
                  <w:vMerge w:val="continue"/>
                  <w:vAlign w:val="center"/>
                </w:tcPr>
                <w:p w14:paraId="1D4E5532">
                  <w:pPr>
                    <w:spacing w:line="240" w:lineRule="auto"/>
                    <w:ind w:firstLine="0" w:firstLineChars="0"/>
                    <w:jc w:val="center"/>
                    <w:rPr>
                      <w:rFonts w:cs="Times New Roman"/>
                      <w:spacing w:val="8"/>
                      <w:sz w:val="18"/>
                    </w:rPr>
                  </w:pPr>
                </w:p>
              </w:tc>
            </w:tr>
            <w:tr w14:paraId="1C7BF181">
              <w:trPr>
                <w:trHeight w:val="340" w:hRule="atLeast"/>
                <w:jc w:val="center"/>
              </w:trPr>
              <w:tc>
                <w:tcPr>
                  <w:tcW w:w="2069" w:type="pct"/>
                  <w:vAlign w:val="center"/>
                </w:tcPr>
                <w:p w14:paraId="367287AD">
                  <w:pPr>
                    <w:spacing w:line="240" w:lineRule="auto"/>
                    <w:ind w:firstLine="0" w:firstLineChars="0"/>
                    <w:jc w:val="center"/>
                    <w:rPr>
                      <w:rFonts w:cs="Times New Roman"/>
                      <w:spacing w:val="8"/>
                      <w:sz w:val="18"/>
                    </w:rPr>
                  </w:pPr>
                  <w:r>
                    <w:rPr>
                      <w:rFonts w:hint="eastAsia" w:cs="Times New Roman"/>
                      <w:spacing w:val="8"/>
                      <w:sz w:val="18"/>
                    </w:rPr>
                    <w:t>四氢呋喃</w:t>
                  </w:r>
                  <w:r>
                    <w:rPr>
                      <w:rFonts w:hint="eastAsia" w:cs="Times New Roman"/>
                      <w:spacing w:val="8"/>
                      <w:sz w:val="18"/>
                      <w:vertAlign w:val="superscript"/>
                    </w:rPr>
                    <w:t>a</w:t>
                  </w:r>
                </w:p>
              </w:tc>
              <w:tc>
                <w:tcPr>
                  <w:tcW w:w="1407" w:type="pct"/>
                  <w:vAlign w:val="center"/>
                </w:tcPr>
                <w:p w14:paraId="62CBD62E">
                  <w:pPr>
                    <w:spacing w:line="240" w:lineRule="auto"/>
                    <w:ind w:firstLine="0" w:firstLineChars="0"/>
                    <w:jc w:val="center"/>
                    <w:rPr>
                      <w:rFonts w:cs="Times New Roman"/>
                      <w:spacing w:val="8"/>
                      <w:sz w:val="18"/>
                    </w:rPr>
                  </w:pPr>
                  <w:r>
                    <w:rPr>
                      <w:rFonts w:hint="eastAsia" w:cs="Times New Roman"/>
                      <w:spacing w:val="8"/>
                      <w:sz w:val="18"/>
                    </w:rPr>
                    <w:t>50</w:t>
                  </w:r>
                </w:p>
              </w:tc>
              <w:tc>
                <w:tcPr>
                  <w:tcW w:w="1522" w:type="pct"/>
                  <w:vMerge w:val="continue"/>
                  <w:vAlign w:val="center"/>
                </w:tcPr>
                <w:p w14:paraId="40E496DA">
                  <w:pPr>
                    <w:spacing w:line="240" w:lineRule="auto"/>
                    <w:ind w:firstLine="0" w:firstLineChars="0"/>
                    <w:jc w:val="center"/>
                    <w:rPr>
                      <w:rFonts w:cs="Times New Roman"/>
                      <w:spacing w:val="8"/>
                      <w:sz w:val="18"/>
                    </w:rPr>
                  </w:pPr>
                </w:p>
              </w:tc>
            </w:tr>
            <w:tr w14:paraId="75668BB3">
              <w:trPr>
                <w:trHeight w:val="340" w:hRule="atLeast"/>
                <w:jc w:val="center"/>
              </w:trPr>
              <w:tc>
                <w:tcPr>
                  <w:tcW w:w="2069" w:type="pct"/>
                  <w:vAlign w:val="center"/>
                </w:tcPr>
                <w:p w14:paraId="59ECA034">
                  <w:pPr>
                    <w:spacing w:line="240" w:lineRule="auto"/>
                    <w:ind w:firstLine="0" w:firstLineChars="0"/>
                    <w:jc w:val="center"/>
                    <w:rPr>
                      <w:rFonts w:cs="Times New Roman"/>
                      <w:spacing w:val="8"/>
                      <w:sz w:val="18"/>
                    </w:rPr>
                  </w:pPr>
                  <w:r>
                    <w:rPr>
                      <w:rFonts w:hint="eastAsia" w:cs="Times New Roman"/>
                      <w:spacing w:val="8"/>
                      <w:sz w:val="18"/>
                    </w:rPr>
                    <w:t>邻苯二甲酸酐</w:t>
                  </w:r>
                  <w:r>
                    <w:rPr>
                      <w:rFonts w:hint="eastAsia" w:cs="Times New Roman"/>
                      <w:spacing w:val="8"/>
                      <w:sz w:val="18"/>
                      <w:vertAlign w:val="superscript"/>
                    </w:rPr>
                    <w:t>a</w:t>
                  </w:r>
                </w:p>
              </w:tc>
              <w:tc>
                <w:tcPr>
                  <w:tcW w:w="1407" w:type="pct"/>
                  <w:vAlign w:val="center"/>
                </w:tcPr>
                <w:p w14:paraId="65CAC986">
                  <w:pPr>
                    <w:spacing w:line="240" w:lineRule="auto"/>
                    <w:ind w:firstLine="0" w:firstLineChars="0"/>
                    <w:jc w:val="center"/>
                    <w:rPr>
                      <w:rFonts w:cs="Times New Roman"/>
                      <w:spacing w:val="8"/>
                      <w:sz w:val="18"/>
                    </w:rPr>
                  </w:pPr>
                  <w:r>
                    <w:rPr>
                      <w:rFonts w:hint="eastAsia" w:cs="Times New Roman"/>
                      <w:spacing w:val="8"/>
                      <w:sz w:val="18"/>
                    </w:rPr>
                    <w:t>5</w:t>
                  </w:r>
                </w:p>
              </w:tc>
              <w:tc>
                <w:tcPr>
                  <w:tcW w:w="1522" w:type="pct"/>
                  <w:vMerge w:val="continue"/>
                  <w:vAlign w:val="center"/>
                </w:tcPr>
                <w:p w14:paraId="2FA20354">
                  <w:pPr>
                    <w:spacing w:line="240" w:lineRule="auto"/>
                    <w:ind w:firstLine="0" w:firstLineChars="0"/>
                    <w:jc w:val="center"/>
                    <w:rPr>
                      <w:rFonts w:cs="Times New Roman"/>
                      <w:spacing w:val="8"/>
                      <w:sz w:val="18"/>
                    </w:rPr>
                  </w:pPr>
                </w:p>
              </w:tc>
            </w:tr>
            <w:tr w14:paraId="751BFFFB">
              <w:trPr>
                <w:trHeight w:val="340" w:hRule="atLeast"/>
                <w:jc w:val="center"/>
              </w:trPr>
              <w:tc>
                <w:tcPr>
                  <w:tcW w:w="5000" w:type="pct"/>
                  <w:gridSpan w:val="3"/>
                  <w:vAlign w:val="center"/>
                </w:tcPr>
                <w:p w14:paraId="7A0A383A">
                  <w:pPr>
                    <w:spacing w:line="240" w:lineRule="auto"/>
                    <w:ind w:firstLine="0" w:firstLineChars="0"/>
                    <w:jc w:val="both"/>
                    <w:rPr>
                      <w:rFonts w:cs="Times New Roman"/>
                      <w:spacing w:val="8"/>
                      <w:sz w:val="18"/>
                    </w:rPr>
                  </w:pPr>
                  <w:r>
                    <w:rPr>
                      <w:rFonts w:hint="eastAsia" w:cs="Times New Roman"/>
                      <w:spacing w:val="8"/>
                      <w:sz w:val="18"/>
                    </w:rPr>
                    <w:t>a.待国家污染物监测方法标准发布后实施。</w:t>
                  </w:r>
                </w:p>
              </w:tc>
            </w:tr>
          </w:tbl>
          <w:p w14:paraId="4E382436">
            <w:pPr>
              <w:pStyle w:val="14"/>
              <w:numPr>
                <w:ilvl w:val="0"/>
                <w:numId w:val="8"/>
              </w:numPr>
              <w:tabs>
                <w:tab w:val="clear" w:pos="0"/>
              </w:tabs>
              <w:spacing w:before="156"/>
            </w:pPr>
            <w:r>
              <w:rPr>
                <w:rFonts w:hint="eastAsia"/>
              </w:rPr>
              <w:t xml:space="preserve">  《合成树脂工业污染物排放标准》（GB31572-2015，含2024年修改单）</w:t>
            </w:r>
          </w:p>
          <w:tbl>
            <w:tblPr>
              <w:tblStyle w:val="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7"/>
              <w:gridCol w:w="3407"/>
              <w:gridCol w:w="2188"/>
            </w:tblGrid>
            <w:tr w14:paraId="6B18B1FB">
              <w:trPr>
                <w:trHeight w:val="340" w:hRule="atLeast"/>
                <w:jc w:val="center"/>
              </w:trPr>
              <w:tc>
                <w:tcPr>
                  <w:tcW w:w="1405" w:type="pct"/>
                  <w:vAlign w:val="center"/>
                </w:tcPr>
                <w:p w14:paraId="5AD21856">
                  <w:pPr>
                    <w:spacing w:line="240" w:lineRule="auto"/>
                    <w:ind w:firstLine="0" w:firstLineChars="0"/>
                    <w:jc w:val="center"/>
                    <w:rPr>
                      <w:rFonts w:cs="Times New Roman"/>
                      <w:spacing w:val="8"/>
                      <w:sz w:val="18"/>
                    </w:rPr>
                  </w:pPr>
                  <w:r>
                    <w:rPr>
                      <w:rFonts w:hint="eastAsia" w:cs="Times New Roman"/>
                      <w:spacing w:val="8"/>
                      <w:sz w:val="18"/>
                    </w:rPr>
                    <w:t>污染物</w:t>
                  </w:r>
                </w:p>
              </w:tc>
              <w:tc>
                <w:tcPr>
                  <w:tcW w:w="2188" w:type="pct"/>
                  <w:vAlign w:val="center"/>
                </w:tcPr>
                <w:p w14:paraId="48FC8A96">
                  <w:pPr>
                    <w:spacing w:line="240" w:lineRule="auto"/>
                    <w:ind w:firstLine="0" w:firstLineChars="0"/>
                    <w:jc w:val="center"/>
                    <w:rPr>
                      <w:rFonts w:cs="Times New Roman"/>
                      <w:spacing w:val="8"/>
                      <w:sz w:val="18"/>
                    </w:rPr>
                  </w:pPr>
                  <w:r>
                    <w:rPr>
                      <w:rFonts w:hint="eastAsia" w:cs="Times New Roman"/>
                      <w:spacing w:val="8"/>
                      <w:sz w:val="18"/>
                    </w:rPr>
                    <w:t>排放限值</w:t>
                  </w:r>
                </w:p>
              </w:tc>
              <w:tc>
                <w:tcPr>
                  <w:tcW w:w="1405" w:type="pct"/>
                  <w:vAlign w:val="center"/>
                </w:tcPr>
                <w:p w14:paraId="1B5D7330">
                  <w:pPr>
                    <w:spacing w:line="240" w:lineRule="auto"/>
                    <w:ind w:firstLine="0" w:firstLineChars="0"/>
                    <w:jc w:val="center"/>
                    <w:rPr>
                      <w:rFonts w:cs="Times New Roman"/>
                      <w:spacing w:val="8"/>
                      <w:sz w:val="18"/>
                    </w:rPr>
                  </w:pPr>
                  <w:r>
                    <w:rPr>
                      <w:rFonts w:hint="eastAsia" w:cs="Times New Roman"/>
                      <w:spacing w:val="8"/>
                      <w:sz w:val="18"/>
                    </w:rPr>
                    <w:t>无组织排放监控位置</w:t>
                  </w:r>
                </w:p>
              </w:tc>
            </w:tr>
            <w:tr w14:paraId="660E5D84">
              <w:trPr>
                <w:trHeight w:val="340" w:hRule="atLeast"/>
                <w:jc w:val="center"/>
              </w:trPr>
              <w:tc>
                <w:tcPr>
                  <w:tcW w:w="1405" w:type="pct"/>
                  <w:vAlign w:val="center"/>
                </w:tcPr>
                <w:p w14:paraId="2D70D735">
                  <w:pPr>
                    <w:spacing w:line="240" w:lineRule="auto"/>
                    <w:ind w:firstLine="0" w:firstLineChars="0"/>
                    <w:jc w:val="center"/>
                    <w:rPr>
                      <w:rFonts w:cs="Times New Roman"/>
                      <w:spacing w:val="8"/>
                      <w:sz w:val="18"/>
                    </w:rPr>
                  </w:pPr>
                  <w:r>
                    <w:rPr>
                      <w:rFonts w:hint="eastAsia" w:cs="Times New Roman"/>
                      <w:spacing w:val="8"/>
                      <w:sz w:val="18"/>
                    </w:rPr>
                    <w:t>非甲烷总烃</w:t>
                  </w:r>
                </w:p>
              </w:tc>
              <w:tc>
                <w:tcPr>
                  <w:tcW w:w="2188" w:type="pct"/>
                  <w:vAlign w:val="center"/>
                </w:tcPr>
                <w:p w14:paraId="5CFCCAD1">
                  <w:pPr>
                    <w:spacing w:line="240" w:lineRule="auto"/>
                    <w:ind w:firstLine="0" w:firstLineChars="0"/>
                    <w:jc w:val="center"/>
                    <w:rPr>
                      <w:rFonts w:cs="Times New Roman"/>
                      <w:spacing w:val="8"/>
                      <w:sz w:val="18"/>
                    </w:rPr>
                  </w:pPr>
                  <w:r>
                    <w:rPr>
                      <w:rFonts w:cs="Times New Roman"/>
                      <w:spacing w:val="8"/>
                      <w:sz w:val="18"/>
                    </w:rPr>
                    <w:t>4.0mg/m</w:t>
                  </w:r>
                  <w:r>
                    <w:rPr>
                      <w:rFonts w:hint="eastAsia" w:cs="Times New Roman"/>
                      <w:spacing w:val="8"/>
                      <w:sz w:val="18"/>
                      <w:vertAlign w:val="superscript"/>
                    </w:rPr>
                    <w:t>3</w:t>
                  </w:r>
                </w:p>
              </w:tc>
              <w:tc>
                <w:tcPr>
                  <w:tcW w:w="1405" w:type="pct"/>
                  <w:vMerge w:val="restart"/>
                  <w:vAlign w:val="center"/>
                </w:tcPr>
                <w:p w14:paraId="68FDA777">
                  <w:pPr>
                    <w:spacing w:line="240" w:lineRule="auto"/>
                    <w:ind w:firstLine="0" w:firstLineChars="0"/>
                    <w:jc w:val="center"/>
                    <w:rPr>
                      <w:rFonts w:cs="Times New Roman"/>
                      <w:spacing w:val="8"/>
                      <w:sz w:val="18"/>
                    </w:rPr>
                  </w:pPr>
                  <w:r>
                    <w:rPr>
                      <w:rFonts w:hint="eastAsia" w:cs="Times New Roman"/>
                      <w:spacing w:val="8"/>
                      <w:sz w:val="18"/>
                    </w:rPr>
                    <w:t>企业边界</w:t>
                  </w:r>
                </w:p>
              </w:tc>
            </w:tr>
            <w:tr w14:paraId="646FC884">
              <w:trPr>
                <w:trHeight w:val="340" w:hRule="atLeast"/>
                <w:jc w:val="center"/>
              </w:trPr>
              <w:tc>
                <w:tcPr>
                  <w:tcW w:w="1405" w:type="pct"/>
                  <w:vAlign w:val="center"/>
                </w:tcPr>
                <w:p w14:paraId="50267043">
                  <w:pPr>
                    <w:spacing w:line="240" w:lineRule="auto"/>
                    <w:ind w:firstLine="0" w:firstLineChars="0"/>
                    <w:jc w:val="center"/>
                    <w:rPr>
                      <w:rFonts w:cs="Times New Roman"/>
                      <w:spacing w:val="8"/>
                      <w:sz w:val="18"/>
                    </w:rPr>
                  </w:pPr>
                  <w:r>
                    <w:rPr>
                      <w:rFonts w:hint="eastAsia" w:cs="Times New Roman"/>
                      <w:spacing w:val="8"/>
                      <w:sz w:val="18"/>
                    </w:rPr>
                    <w:t>颗粒物</w:t>
                  </w:r>
                </w:p>
              </w:tc>
              <w:tc>
                <w:tcPr>
                  <w:tcW w:w="2188" w:type="pct"/>
                  <w:vAlign w:val="center"/>
                </w:tcPr>
                <w:p w14:paraId="6DAD95FA">
                  <w:pPr>
                    <w:spacing w:line="240" w:lineRule="auto"/>
                    <w:ind w:firstLine="0" w:firstLineChars="0"/>
                    <w:jc w:val="center"/>
                    <w:rPr>
                      <w:rFonts w:cs="Times New Roman"/>
                      <w:spacing w:val="8"/>
                      <w:sz w:val="18"/>
                    </w:rPr>
                  </w:pPr>
                  <w:r>
                    <w:rPr>
                      <w:rFonts w:cs="Times New Roman"/>
                      <w:spacing w:val="8"/>
                      <w:sz w:val="18"/>
                    </w:rPr>
                    <w:t>1.0mg/m</w:t>
                  </w:r>
                  <w:r>
                    <w:rPr>
                      <w:rFonts w:hint="eastAsia" w:cs="Times New Roman"/>
                      <w:spacing w:val="8"/>
                      <w:sz w:val="18"/>
                      <w:vertAlign w:val="superscript"/>
                    </w:rPr>
                    <w:t>3</w:t>
                  </w:r>
                </w:p>
              </w:tc>
              <w:tc>
                <w:tcPr>
                  <w:tcW w:w="1405" w:type="pct"/>
                  <w:vMerge w:val="continue"/>
                  <w:vAlign w:val="center"/>
                </w:tcPr>
                <w:p w14:paraId="375F7748">
                  <w:pPr>
                    <w:spacing w:line="240" w:lineRule="auto"/>
                    <w:ind w:firstLine="0" w:firstLineChars="0"/>
                    <w:jc w:val="center"/>
                    <w:rPr>
                      <w:rFonts w:cs="Times New Roman"/>
                      <w:spacing w:val="8"/>
                      <w:sz w:val="18"/>
                    </w:rPr>
                  </w:pPr>
                </w:p>
              </w:tc>
            </w:tr>
          </w:tbl>
          <w:p w14:paraId="2F6C551C">
            <w:pPr>
              <w:pStyle w:val="14"/>
              <w:numPr>
                <w:ilvl w:val="0"/>
                <w:numId w:val="8"/>
              </w:numPr>
              <w:tabs>
                <w:tab w:val="clear" w:pos="0"/>
              </w:tabs>
              <w:spacing w:before="156"/>
            </w:pPr>
            <w:r>
              <w:rPr>
                <w:rFonts w:hint="eastAsia"/>
              </w:rPr>
              <w:t xml:space="preserve">  《恶臭污染物排放标准》(GB 14554-93)</w:t>
            </w:r>
          </w:p>
          <w:tbl>
            <w:tblPr>
              <w:tblStyle w:val="9"/>
              <w:tblW w:w="7791" w:type="dxa"/>
              <w:jc w:val="center"/>
              <w:tblLayout w:type="autofit"/>
              <w:tblCellMar>
                <w:top w:w="0" w:type="dxa"/>
                <w:left w:w="108" w:type="dxa"/>
                <w:bottom w:w="0" w:type="dxa"/>
                <w:right w:w="108" w:type="dxa"/>
              </w:tblCellMar>
            </w:tblPr>
            <w:tblGrid>
              <w:gridCol w:w="1323"/>
              <w:gridCol w:w="1332"/>
              <w:gridCol w:w="1625"/>
              <w:gridCol w:w="1754"/>
              <w:gridCol w:w="1757"/>
            </w:tblGrid>
            <w:tr w14:paraId="7D0F8477">
              <w:trPr>
                <w:trHeight w:val="340" w:hRule="atLeast"/>
                <w:jc w:val="center"/>
              </w:trPr>
              <w:tc>
                <w:tcPr>
                  <w:tcW w:w="849" w:type="pct"/>
                  <w:tcBorders>
                    <w:top w:val="single" w:color="auto" w:sz="4" w:space="0"/>
                    <w:left w:val="single" w:color="000000" w:sz="4" w:space="0"/>
                    <w:bottom w:val="single" w:color="auto" w:sz="4" w:space="0"/>
                    <w:right w:val="single" w:color="auto" w:sz="4" w:space="0"/>
                  </w:tcBorders>
                  <w:vAlign w:val="center"/>
                </w:tcPr>
                <w:p w14:paraId="6A09CEE3">
                  <w:pPr>
                    <w:snapToGrid w:val="0"/>
                    <w:spacing w:line="240" w:lineRule="auto"/>
                    <w:ind w:firstLine="0" w:firstLineChars="0"/>
                    <w:jc w:val="center"/>
                    <w:rPr>
                      <w:rFonts w:cs="Times New Roman"/>
                      <w:spacing w:val="8"/>
                      <w:sz w:val="18"/>
                    </w:rPr>
                  </w:pPr>
                  <w:r>
                    <w:rPr>
                      <w:rFonts w:hint="eastAsia" w:cs="Times New Roman"/>
                      <w:spacing w:val="8"/>
                      <w:sz w:val="18"/>
                      <w:lang w:bidi="ar"/>
                    </w:rPr>
                    <w:t>污染物</w:t>
                  </w:r>
                </w:p>
              </w:tc>
              <w:tc>
                <w:tcPr>
                  <w:tcW w:w="854" w:type="pct"/>
                  <w:tcBorders>
                    <w:top w:val="single" w:color="auto" w:sz="4" w:space="0"/>
                    <w:left w:val="single" w:color="auto" w:sz="4" w:space="0"/>
                    <w:bottom w:val="single" w:color="auto" w:sz="4" w:space="0"/>
                    <w:right w:val="single" w:color="auto" w:sz="4" w:space="0"/>
                  </w:tcBorders>
                  <w:vAlign w:val="center"/>
                </w:tcPr>
                <w:p w14:paraId="1552D1C1">
                  <w:pPr>
                    <w:snapToGrid w:val="0"/>
                    <w:spacing w:line="240" w:lineRule="auto"/>
                    <w:ind w:firstLine="0" w:firstLineChars="0"/>
                    <w:jc w:val="center"/>
                    <w:rPr>
                      <w:rFonts w:cs="Times New Roman"/>
                      <w:spacing w:val="8"/>
                      <w:sz w:val="18"/>
                    </w:rPr>
                  </w:pPr>
                  <w:r>
                    <w:rPr>
                      <w:rFonts w:hint="eastAsia" w:cs="Times New Roman"/>
                      <w:spacing w:val="8"/>
                      <w:sz w:val="18"/>
                      <w:lang w:bidi="ar"/>
                    </w:rPr>
                    <w:t>单位</w:t>
                  </w:r>
                </w:p>
              </w:tc>
              <w:tc>
                <w:tcPr>
                  <w:tcW w:w="1042" w:type="pct"/>
                  <w:tcBorders>
                    <w:top w:val="single" w:color="auto" w:sz="4" w:space="0"/>
                    <w:left w:val="single" w:color="auto" w:sz="4" w:space="0"/>
                    <w:bottom w:val="single" w:color="auto" w:sz="4" w:space="0"/>
                    <w:right w:val="single" w:color="auto" w:sz="4" w:space="0"/>
                  </w:tcBorders>
                  <w:vAlign w:val="center"/>
                </w:tcPr>
                <w:p w14:paraId="2545932F">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排气筒高度m</w:t>
                  </w:r>
                </w:p>
              </w:tc>
              <w:tc>
                <w:tcPr>
                  <w:tcW w:w="1125" w:type="pct"/>
                  <w:tcBorders>
                    <w:top w:val="single" w:color="auto" w:sz="4" w:space="0"/>
                    <w:left w:val="single" w:color="auto" w:sz="4" w:space="0"/>
                    <w:bottom w:val="single" w:color="auto" w:sz="4" w:space="0"/>
                    <w:right w:val="single" w:color="auto" w:sz="4" w:space="0"/>
                  </w:tcBorders>
                  <w:vAlign w:val="center"/>
                </w:tcPr>
                <w:p w14:paraId="792C4325">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有组织排放限值</w:t>
                  </w:r>
                </w:p>
              </w:tc>
              <w:tc>
                <w:tcPr>
                  <w:tcW w:w="1127" w:type="pct"/>
                  <w:tcBorders>
                    <w:top w:val="single" w:color="auto" w:sz="4" w:space="0"/>
                    <w:left w:val="single" w:color="auto" w:sz="4" w:space="0"/>
                    <w:bottom w:val="single" w:color="auto" w:sz="4" w:space="0"/>
                    <w:right w:val="single" w:color="auto" w:sz="4" w:space="0"/>
                  </w:tcBorders>
                  <w:vAlign w:val="center"/>
                </w:tcPr>
                <w:p w14:paraId="3218D0D0">
                  <w:pPr>
                    <w:snapToGrid w:val="0"/>
                    <w:spacing w:line="240" w:lineRule="auto"/>
                    <w:ind w:firstLine="0" w:firstLineChars="0"/>
                    <w:jc w:val="center"/>
                    <w:rPr>
                      <w:rFonts w:cs="Times New Roman"/>
                      <w:spacing w:val="8"/>
                      <w:sz w:val="18"/>
                    </w:rPr>
                  </w:pPr>
                  <w:r>
                    <w:rPr>
                      <w:rFonts w:hint="eastAsia" w:cs="Times New Roman"/>
                      <w:spacing w:val="8"/>
                      <w:sz w:val="18"/>
                      <w:lang w:bidi="ar"/>
                    </w:rPr>
                    <w:t>无组织排放限值</w:t>
                  </w:r>
                </w:p>
              </w:tc>
            </w:tr>
            <w:tr w14:paraId="15EDC367">
              <w:trPr>
                <w:trHeight w:val="340" w:hRule="atLeast"/>
                <w:jc w:val="center"/>
              </w:trPr>
              <w:tc>
                <w:tcPr>
                  <w:tcW w:w="849" w:type="pct"/>
                  <w:tcBorders>
                    <w:top w:val="single" w:color="auto" w:sz="4" w:space="0"/>
                    <w:left w:val="single" w:color="auto" w:sz="4" w:space="0"/>
                    <w:bottom w:val="single" w:color="auto" w:sz="4" w:space="0"/>
                    <w:right w:val="single" w:color="auto" w:sz="4" w:space="0"/>
                  </w:tcBorders>
                  <w:vAlign w:val="center"/>
                </w:tcPr>
                <w:p w14:paraId="5759BF51">
                  <w:pPr>
                    <w:snapToGrid w:val="0"/>
                    <w:spacing w:line="240" w:lineRule="auto"/>
                    <w:ind w:firstLine="0" w:firstLineChars="0"/>
                    <w:jc w:val="center"/>
                    <w:rPr>
                      <w:rFonts w:cs="Times New Roman"/>
                      <w:spacing w:val="8"/>
                      <w:sz w:val="18"/>
                    </w:rPr>
                  </w:pPr>
                  <w:r>
                    <w:rPr>
                      <w:rFonts w:hint="eastAsia" w:cs="Times New Roman"/>
                      <w:spacing w:val="8"/>
                      <w:sz w:val="18"/>
                      <w:lang w:bidi="ar"/>
                    </w:rPr>
                    <w:t>臭气浓度</w:t>
                  </w:r>
                </w:p>
              </w:tc>
              <w:tc>
                <w:tcPr>
                  <w:tcW w:w="854" w:type="pct"/>
                  <w:tcBorders>
                    <w:top w:val="single" w:color="auto" w:sz="4" w:space="0"/>
                    <w:left w:val="single" w:color="auto" w:sz="4" w:space="0"/>
                    <w:bottom w:val="single" w:color="auto" w:sz="4" w:space="0"/>
                    <w:right w:val="single" w:color="auto" w:sz="4" w:space="0"/>
                  </w:tcBorders>
                  <w:vAlign w:val="center"/>
                </w:tcPr>
                <w:p w14:paraId="290D6A75">
                  <w:pPr>
                    <w:snapToGrid w:val="0"/>
                    <w:spacing w:line="240" w:lineRule="auto"/>
                    <w:ind w:firstLine="0" w:firstLineChars="0"/>
                    <w:jc w:val="center"/>
                    <w:rPr>
                      <w:rFonts w:cs="Times New Roman"/>
                      <w:spacing w:val="8"/>
                      <w:sz w:val="18"/>
                    </w:rPr>
                  </w:pPr>
                  <w:r>
                    <w:rPr>
                      <w:rFonts w:hint="eastAsia" w:cs="Times New Roman"/>
                      <w:spacing w:val="8"/>
                      <w:sz w:val="18"/>
                      <w:lang w:bidi="ar"/>
                    </w:rPr>
                    <w:t>无量纲</w:t>
                  </w:r>
                </w:p>
              </w:tc>
              <w:tc>
                <w:tcPr>
                  <w:tcW w:w="1042" w:type="pct"/>
                  <w:tcBorders>
                    <w:top w:val="single" w:color="auto" w:sz="4" w:space="0"/>
                    <w:left w:val="single" w:color="auto" w:sz="4" w:space="0"/>
                    <w:bottom w:val="single" w:color="auto" w:sz="4" w:space="0"/>
                    <w:right w:val="single" w:color="auto" w:sz="4" w:space="0"/>
                  </w:tcBorders>
                  <w:vAlign w:val="center"/>
                </w:tcPr>
                <w:p w14:paraId="02B9D0CA">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15</w:t>
                  </w:r>
                </w:p>
              </w:tc>
              <w:tc>
                <w:tcPr>
                  <w:tcW w:w="1125" w:type="pct"/>
                  <w:tcBorders>
                    <w:top w:val="single" w:color="auto" w:sz="4" w:space="0"/>
                    <w:left w:val="single" w:color="auto" w:sz="4" w:space="0"/>
                    <w:bottom w:val="single" w:color="auto" w:sz="4" w:space="0"/>
                    <w:right w:val="single" w:color="auto" w:sz="4" w:space="0"/>
                  </w:tcBorders>
                  <w:vAlign w:val="center"/>
                </w:tcPr>
                <w:p w14:paraId="2D8B9765">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2000</w:t>
                  </w:r>
                </w:p>
              </w:tc>
              <w:tc>
                <w:tcPr>
                  <w:tcW w:w="1127" w:type="pct"/>
                  <w:tcBorders>
                    <w:top w:val="single" w:color="auto" w:sz="4" w:space="0"/>
                    <w:left w:val="single" w:color="auto" w:sz="4" w:space="0"/>
                    <w:bottom w:val="single" w:color="auto" w:sz="4" w:space="0"/>
                    <w:right w:val="single" w:color="auto" w:sz="4" w:space="0"/>
                  </w:tcBorders>
                  <w:vAlign w:val="center"/>
                </w:tcPr>
                <w:p w14:paraId="5F3BD881">
                  <w:pPr>
                    <w:snapToGrid w:val="0"/>
                    <w:spacing w:line="240" w:lineRule="auto"/>
                    <w:ind w:firstLine="0" w:firstLineChars="0"/>
                    <w:jc w:val="center"/>
                    <w:rPr>
                      <w:rFonts w:cs="Times New Roman"/>
                      <w:spacing w:val="8"/>
                      <w:sz w:val="18"/>
                    </w:rPr>
                  </w:pPr>
                  <w:r>
                    <w:rPr>
                      <w:rFonts w:cs="Times New Roman"/>
                      <w:spacing w:val="8"/>
                      <w:sz w:val="18"/>
                      <w:lang w:bidi="ar"/>
                    </w:rPr>
                    <w:t>20</w:t>
                  </w:r>
                </w:p>
              </w:tc>
            </w:tr>
            <w:tr w14:paraId="170A0AFC">
              <w:trPr>
                <w:trHeight w:val="340" w:hRule="atLeast"/>
                <w:jc w:val="center"/>
              </w:trPr>
              <w:tc>
                <w:tcPr>
                  <w:tcW w:w="849" w:type="pct"/>
                  <w:tcBorders>
                    <w:top w:val="single" w:color="auto" w:sz="4" w:space="0"/>
                    <w:left w:val="single" w:color="auto" w:sz="4" w:space="0"/>
                    <w:bottom w:val="single" w:color="auto" w:sz="4" w:space="0"/>
                    <w:right w:val="single" w:color="auto" w:sz="4" w:space="0"/>
                  </w:tcBorders>
                  <w:vAlign w:val="center"/>
                </w:tcPr>
                <w:p w14:paraId="5D6E0787">
                  <w:pPr>
                    <w:snapToGrid w:val="0"/>
                    <w:spacing w:line="240" w:lineRule="auto"/>
                    <w:ind w:firstLine="0" w:firstLineChars="0"/>
                    <w:jc w:val="center"/>
                    <w:rPr>
                      <w:rFonts w:cs="Times New Roman"/>
                      <w:spacing w:val="8"/>
                      <w:sz w:val="18"/>
                    </w:rPr>
                  </w:pPr>
                  <w:r>
                    <w:rPr>
                      <w:rFonts w:hint="eastAsia" w:cs="Times New Roman"/>
                      <w:spacing w:val="8"/>
                      <w:sz w:val="18"/>
                      <w:lang w:bidi="ar"/>
                    </w:rPr>
                    <w:t>氨</w:t>
                  </w:r>
                </w:p>
              </w:tc>
              <w:tc>
                <w:tcPr>
                  <w:tcW w:w="854" w:type="pct"/>
                  <w:tcBorders>
                    <w:top w:val="single" w:color="auto" w:sz="4" w:space="0"/>
                    <w:left w:val="single" w:color="auto" w:sz="4" w:space="0"/>
                    <w:bottom w:val="single" w:color="auto" w:sz="4" w:space="0"/>
                    <w:right w:val="single" w:color="auto" w:sz="4" w:space="0"/>
                  </w:tcBorders>
                  <w:vAlign w:val="center"/>
                </w:tcPr>
                <w:p w14:paraId="6123C053">
                  <w:pPr>
                    <w:snapToGrid w:val="0"/>
                    <w:spacing w:line="240" w:lineRule="auto"/>
                    <w:ind w:firstLine="0" w:firstLineChars="0"/>
                    <w:jc w:val="center"/>
                    <w:rPr>
                      <w:rFonts w:cs="Times New Roman"/>
                      <w:spacing w:val="8"/>
                      <w:sz w:val="18"/>
                    </w:rPr>
                  </w:pPr>
                  <w:r>
                    <w:rPr>
                      <w:rFonts w:cs="Times New Roman"/>
                      <w:spacing w:val="8"/>
                      <w:sz w:val="18"/>
                      <w:lang w:bidi="ar"/>
                    </w:rPr>
                    <w:t>mg/m</w:t>
                  </w:r>
                  <w:r>
                    <w:rPr>
                      <w:rFonts w:cs="Times New Roman"/>
                      <w:spacing w:val="8"/>
                      <w:sz w:val="18"/>
                      <w:vertAlign w:val="superscript"/>
                      <w:lang w:bidi="ar"/>
                    </w:rPr>
                    <w:t>3</w:t>
                  </w:r>
                </w:p>
              </w:tc>
              <w:tc>
                <w:tcPr>
                  <w:tcW w:w="1042" w:type="pct"/>
                  <w:tcBorders>
                    <w:top w:val="single" w:color="auto" w:sz="4" w:space="0"/>
                    <w:left w:val="single" w:color="auto" w:sz="4" w:space="0"/>
                    <w:bottom w:val="single" w:color="auto" w:sz="4" w:space="0"/>
                    <w:right w:val="single" w:color="auto" w:sz="4" w:space="0"/>
                  </w:tcBorders>
                  <w:vAlign w:val="center"/>
                </w:tcPr>
                <w:p w14:paraId="33961AC7">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w:t>
                  </w:r>
                </w:p>
              </w:tc>
              <w:tc>
                <w:tcPr>
                  <w:tcW w:w="1125" w:type="pct"/>
                  <w:tcBorders>
                    <w:top w:val="single" w:color="auto" w:sz="4" w:space="0"/>
                    <w:left w:val="single" w:color="auto" w:sz="4" w:space="0"/>
                    <w:bottom w:val="single" w:color="auto" w:sz="4" w:space="0"/>
                    <w:right w:val="single" w:color="auto" w:sz="4" w:space="0"/>
                  </w:tcBorders>
                  <w:vAlign w:val="center"/>
                </w:tcPr>
                <w:p w14:paraId="208E09FB">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w:t>
                  </w:r>
                </w:p>
              </w:tc>
              <w:tc>
                <w:tcPr>
                  <w:tcW w:w="1127" w:type="pct"/>
                  <w:tcBorders>
                    <w:top w:val="single" w:color="auto" w:sz="4" w:space="0"/>
                    <w:left w:val="single" w:color="auto" w:sz="4" w:space="0"/>
                    <w:bottom w:val="single" w:color="auto" w:sz="4" w:space="0"/>
                    <w:right w:val="single" w:color="auto" w:sz="4" w:space="0"/>
                  </w:tcBorders>
                  <w:vAlign w:val="center"/>
                </w:tcPr>
                <w:p w14:paraId="042192D1">
                  <w:pPr>
                    <w:snapToGrid w:val="0"/>
                    <w:spacing w:line="240" w:lineRule="auto"/>
                    <w:ind w:firstLine="0" w:firstLineChars="0"/>
                    <w:jc w:val="center"/>
                    <w:rPr>
                      <w:rFonts w:cs="Times New Roman"/>
                      <w:spacing w:val="8"/>
                      <w:sz w:val="18"/>
                    </w:rPr>
                  </w:pPr>
                  <w:r>
                    <w:rPr>
                      <w:rFonts w:cs="Times New Roman"/>
                      <w:spacing w:val="8"/>
                      <w:sz w:val="18"/>
                      <w:lang w:bidi="ar"/>
                    </w:rPr>
                    <w:t>1.5</w:t>
                  </w:r>
                </w:p>
              </w:tc>
            </w:tr>
            <w:tr w14:paraId="43EBFA7D">
              <w:trPr>
                <w:trHeight w:val="340" w:hRule="atLeast"/>
                <w:jc w:val="center"/>
              </w:trPr>
              <w:tc>
                <w:tcPr>
                  <w:tcW w:w="849" w:type="pct"/>
                  <w:tcBorders>
                    <w:top w:val="single" w:color="auto" w:sz="4" w:space="0"/>
                    <w:left w:val="single" w:color="auto" w:sz="4" w:space="0"/>
                    <w:bottom w:val="single" w:color="auto" w:sz="4" w:space="0"/>
                    <w:right w:val="single" w:color="auto" w:sz="4" w:space="0"/>
                  </w:tcBorders>
                  <w:vAlign w:val="center"/>
                </w:tcPr>
                <w:p w14:paraId="77541BB8">
                  <w:pPr>
                    <w:snapToGrid w:val="0"/>
                    <w:spacing w:line="240" w:lineRule="auto"/>
                    <w:ind w:firstLine="0" w:firstLineChars="0"/>
                    <w:jc w:val="center"/>
                    <w:rPr>
                      <w:rFonts w:cs="Times New Roman"/>
                      <w:spacing w:val="8"/>
                      <w:sz w:val="18"/>
                    </w:rPr>
                  </w:pPr>
                  <w:r>
                    <w:rPr>
                      <w:rFonts w:hint="eastAsia" w:cs="Times New Roman"/>
                      <w:spacing w:val="8"/>
                      <w:sz w:val="18"/>
                      <w:lang w:bidi="ar"/>
                    </w:rPr>
                    <w:t>硫化氢</w:t>
                  </w:r>
                </w:p>
              </w:tc>
              <w:tc>
                <w:tcPr>
                  <w:tcW w:w="854" w:type="pct"/>
                  <w:tcBorders>
                    <w:top w:val="single" w:color="auto" w:sz="4" w:space="0"/>
                    <w:left w:val="single" w:color="auto" w:sz="4" w:space="0"/>
                    <w:bottom w:val="single" w:color="auto" w:sz="4" w:space="0"/>
                    <w:right w:val="single" w:color="auto" w:sz="4" w:space="0"/>
                  </w:tcBorders>
                  <w:vAlign w:val="center"/>
                </w:tcPr>
                <w:p w14:paraId="70B84831">
                  <w:pPr>
                    <w:snapToGrid w:val="0"/>
                    <w:spacing w:line="240" w:lineRule="auto"/>
                    <w:ind w:firstLine="0" w:firstLineChars="0"/>
                    <w:jc w:val="center"/>
                    <w:rPr>
                      <w:rFonts w:cs="Times New Roman"/>
                      <w:spacing w:val="8"/>
                      <w:sz w:val="18"/>
                    </w:rPr>
                  </w:pPr>
                  <w:r>
                    <w:rPr>
                      <w:rFonts w:cs="Times New Roman"/>
                      <w:spacing w:val="8"/>
                      <w:sz w:val="18"/>
                      <w:lang w:bidi="ar"/>
                    </w:rPr>
                    <w:t>mg/m</w:t>
                  </w:r>
                  <w:r>
                    <w:rPr>
                      <w:rFonts w:cs="Times New Roman"/>
                      <w:spacing w:val="8"/>
                      <w:sz w:val="18"/>
                      <w:vertAlign w:val="superscript"/>
                      <w:lang w:bidi="ar"/>
                    </w:rPr>
                    <w:t>3</w:t>
                  </w:r>
                </w:p>
              </w:tc>
              <w:tc>
                <w:tcPr>
                  <w:tcW w:w="1042" w:type="pct"/>
                  <w:tcBorders>
                    <w:top w:val="single" w:color="auto" w:sz="4" w:space="0"/>
                    <w:left w:val="single" w:color="auto" w:sz="4" w:space="0"/>
                    <w:bottom w:val="single" w:color="auto" w:sz="4" w:space="0"/>
                    <w:right w:val="single" w:color="auto" w:sz="4" w:space="0"/>
                  </w:tcBorders>
                  <w:vAlign w:val="center"/>
                </w:tcPr>
                <w:p w14:paraId="68B684CC">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w:t>
                  </w:r>
                </w:p>
              </w:tc>
              <w:tc>
                <w:tcPr>
                  <w:tcW w:w="1125" w:type="pct"/>
                  <w:tcBorders>
                    <w:top w:val="single" w:color="auto" w:sz="4" w:space="0"/>
                    <w:left w:val="single" w:color="auto" w:sz="4" w:space="0"/>
                    <w:bottom w:val="single" w:color="auto" w:sz="4" w:space="0"/>
                    <w:right w:val="single" w:color="auto" w:sz="4" w:space="0"/>
                  </w:tcBorders>
                  <w:vAlign w:val="center"/>
                </w:tcPr>
                <w:p w14:paraId="3D116FD5">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w:t>
                  </w:r>
                </w:p>
              </w:tc>
              <w:tc>
                <w:tcPr>
                  <w:tcW w:w="1127" w:type="pct"/>
                  <w:tcBorders>
                    <w:top w:val="single" w:color="auto" w:sz="4" w:space="0"/>
                    <w:left w:val="single" w:color="auto" w:sz="4" w:space="0"/>
                    <w:bottom w:val="single" w:color="auto" w:sz="4" w:space="0"/>
                    <w:right w:val="single" w:color="auto" w:sz="4" w:space="0"/>
                  </w:tcBorders>
                  <w:vAlign w:val="center"/>
                </w:tcPr>
                <w:p w14:paraId="60FC2388">
                  <w:pPr>
                    <w:snapToGrid w:val="0"/>
                    <w:spacing w:line="240" w:lineRule="auto"/>
                    <w:ind w:firstLine="0" w:firstLineChars="0"/>
                    <w:jc w:val="center"/>
                    <w:rPr>
                      <w:rFonts w:cs="Times New Roman"/>
                      <w:spacing w:val="8"/>
                      <w:sz w:val="18"/>
                    </w:rPr>
                  </w:pPr>
                  <w:r>
                    <w:rPr>
                      <w:rFonts w:cs="Times New Roman"/>
                      <w:spacing w:val="8"/>
                      <w:sz w:val="18"/>
                      <w:lang w:bidi="ar"/>
                    </w:rPr>
                    <w:t>0.06</w:t>
                  </w:r>
                </w:p>
              </w:tc>
            </w:tr>
            <w:tr w14:paraId="74567163">
              <w:trPr>
                <w:trHeight w:val="340" w:hRule="atLeast"/>
                <w:jc w:val="center"/>
              </w:trPr>
              <w:tc>
                <w:tcPr>
                  <w:tcW w:w="849" w:type="pct"/>
                  <w:tcBorders>
                    <w:top w:val="single" w:color="auto" w:sz="4" w:space="0"/>
                    <w:left w:val="single" w:color="auto" w:sz="4" w:space="0"/>
                    <w:bottom w:val="single" w:color="auto" w:sz="4" w:space="0"/>
                    <w:right w:val="single" w:color="auto" w:sz="4" w:space="0"/>
                  </w:tcBorders>
                  <w:vAlign w:val="center"/>
                </w:tcPr>
                <w:p w14:paraId="4EF55E55">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苯乙烯</w:t>
                  </w:r>
                </w:p>
              </w:tc>
              <w:tc>
                <w:tcPr>
                  <w:tcW w:w="854" w:type="pct"/>
                  <w:tcBorders>
                    <w:top w:val="single" w:color="auto" w:sz="4" w:space="0"/>
                    <w:left w:val="single" w:color="auto" w:sz="4" w:space="0"/>
                    <w:bottom w:val="single" w:color="auto" w:sz="4" w:space="0"/>
                    <w:right w:val="single" w:color="auto" w:sz="4" w:space="0"/>
                  </w:tcBorders>
                  <w:vAlign w:val="center"/>
                </w:tcPr>
                <w:p w14:paraId="3630C350">
                  <w:pPr>
                    <w:snapToGrid w:val="0"/>
                    <w:spacing w:line="240" w:lineRule="auto"/>
                    <w:ind w:firstLine="0" w:firstLineChars="0"/>
                    <w:jc w:val="center"/>
                    <w:rPr>
                      <w:rFonts w:cs="Times New Roman"/>
                      <w:spacing w:val="8"/>
                      <w:sz w:val="18"/>
                      <w:lang w:bidi="ar"/>
                    </w:rPr>
                  </w:pPr>
                  <w:r>
                    <w:rPr>
                      <w:rFonts w:cs="Times New Roman"/>
                      <w:spacing w:val="8"/>
                      <w:sz w:val="18"/>
                      <w:lang w:bidi="ar"/>
                    </w:rPr>
                    <w:t>mg/m</w:t>
                  </w:r>
                  <w:r>
                    <w:rPr>
                      <w:rFonts w:cs="Times New Roman"/>
                      <w:spacing w:val="8"/>
                      <w:sz w:val="18"/>
                      <w:vertAlign w:val="superscript"/>
                      <w:lang w:bidi="ar"/>
                    </w:rPr>
                    <w:t>3</w:t>
                  </w:r>
                </w:p>
              </w:tc>
              <w:tc>
                <w:tcPr>
                  <w:tcW w:w="1042" w:type="pct"/>
                  <w:tcBorders>
                    <w:top w:val="single" w:color="auto" w:sz="4" w:space="0"/>
                    <w:left w:val="single" w:color="auto" w:sz="4" w:space="0"/>
                    <w:bottom w:val="single" w:color="auto" w:sz="4" w:space="0"/>
                    <w:right w:val="single" w:color="auto" w:sz="4" w:space="0"/>
                  </w:tcBorders>
                  <w:vAlign w:val="center"/>
                </w:tcPr>
                <w:p w14:paraId="07C1A523">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w:t>
                  </w:r>
                </w:p>
              </w:tc>
              <w:tc>
                <w:tcPr>
                  <w:tcW w:w="1125" w:type="pct"/>
                  <w:tcBorders>
                    <w:top w:val="single" w:color="auto" w:sz="4" w:space="0"/>
                    <w:left w:val="single" w:color="auto" w:sz="4" w:space="0"/>
                    <w:bottom w:val="single" w:color="auto" w:sz="4" w:space="0"/>
                    <w:right w:val="single" w:color="auto" w:sz="4" w:space="0"/>
                  </w:tcBorders>
                  <w:vAlign w:val="center"/>
                </w:tcPr>
                <w:p w14:paraId="2AE8F7B9">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w:t>
                  </w:r>
                </w:p>
              </w:tc>
              <w:tc>
                <w:tcPr>
                  <w:tcW w:w="1127" w:type="pct"/>
                  <w:tcBorders>
                    <w:top w:val="single" w:color="auto" w:sz="4" w:space="0"/>
                    <w:left w:val="single" w:color="auto" w:sz="4" w:space="0"/>
                    <w:bottom w:val="single" w:color="auto" w:sz="4" w:space="0"/>
                    <w:right w:val="single" w:color="auto" w:sz="4" w:space="0"/>
                  </w:tcBorders>
                  <w:vAlign w:val="center"/>
                </w:tcPr>
                <w:p w14:paraId="46743D0A">
                  <w:pPr>
                    <w:snapToGrid w:val="0"/>
                    <w:spacing w:line="240" w:lineRule="auto"/>
                    <w:ind w:firstLine="0" w:firstLineChars="0"/>
                    <w:jc w:val="center"/>
                    <w:rPr>
                      <w:rFonts w:cs="Times New Roman"/>
                      <w:spacing w:val="8"/>
                      <w:sz w:val="18"/>
                      <w:lang w:bidi="ar"/>
                    </w:rPr>
                  </w:pPr>
                  <w:r>
                    <w:rPr>
                      <w:rFonts w:hint="eastAsia" w:cs="Times New Roman"/>
                      <w:spacing w:val="8"/>
                      <w:sz w:val="18"/>
                      <w:lang w:bidi="ar"/>
                    </w:rPr>
                    <w:t>5.0</w:t>
                  </w:r>
                </w:p>
              </w:tc>
            </w:tr>
          </w:tbl>
          <w:p w14:paraId="3348CB1E">
            <w:pPr>
              <w:pStyle w:val="14"/>
              <w:numPr>
                <w:ilvl w:val="0"/>
                <w:numId w:val="8"/>
              </w:numPr>
              <w:tabs>
                <w:tab w:val="clear" w:pos="0"/>
              </w:tabs>
              <w:spacing w:before="156"/>
            </w:pPr>
            <w:r>
              <w:rPr>
                <w:rFonts w:hint="eastAsia"/>
              </w:rPr>
              <w:t xml:space="preserve">  《饮食业油烟排放标准（试行）》（GB18483—2001）</w:t>
            </w:r>
          </w:p>
          <w:tbl>
            <w:tblPr>
              <w:tblStyle w:val="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1"/>
              <w:gridCol w:w="3831"/>
            </w:tblGrid>
            <w:tr w14:paraId="42608622">
              <w:trPr>
                <w:trHeight w:val="340" w:hRule="atLeast"/>
                <w:jc w:val="center"/>
              </w:trPr>
              <w:tc>
                <w:tcPr>
                  <w:tcW w:w="2538" w:type="pct"/>
                  <w:vAlign w:val="center"/>
                </w:tcPr>
                <w:p w14:paraId="0AA503F6">
                  <w:pPr>
                    <w:spacing w:line="240" w:lineRule="auto"/>
                    <w:ind w:firstLine="0" w:firstLineChars="0"/>
                    <w:jc w:val="center"/>
                    <w:rPr>
                      <w:rFonts w:cs="Times New Roman"/>
                      <w:spacing w:val="8"/>
                      <w:sz w:val="18"/>
                    </w:rPr>
                  </w:pPr>
                  <w:r>
                    <w:rPr>
                      <w:rFonts w:hint="eastAsia" w:cs="Times New Roman"/>
                      <w:spacing w:val="8"/>
                      <w:sz w:val="18"/>
                    </w:rPr>
                    <w:t>饮食业单位规模</w:t>
                  </w:r>
                </w:p>
              </w:tc>
              <w:tc>
                <w:tcPr>
                  <w:tcW w:w="2461" w:type="pct"/>
                  <w:vAlign w:val="center"/>
                </w:tcPr>
                <w:p w14:paraId="7795A179">
                  <w:pPr>
                    <w:spacing w:line="240" w:lineRule="auto"/>
                    <w:ind w:firstLine="0" w:firstLineChars="0"/>
                    <w:jc w:val="center"/>
                    <w:rPr>
                      <w:rFonts w:cs="Times New Roman"/>
                      <w:spacing w:val="8"/>
                      <w:sz w:val="18"/>
                    </w:rPr>
                  </w:pPr>
                  <w:r>
                    <w:rPr>
                      <w:rFonts w:hint="eastAsia" w:cs="Times New Roman"/>
                      <w:spacing w:val="8"/>
                      <w:sz w:val="18"/>
                    </w:rPr>
                    <w:t>小型</w:t>
                  </w:r>
                </w:p>
              </w:tc>
            </w:tr>
            <w:tr w14:paraId="59E92591">
              <w:trPr>
                <w:trHeight w:val="340" w:hRule="atLeast"/>
                <w:jc w:val="center"/>
              </w:trPr>
              <w:tc>
                <w:tcPr>
                  <w:tcW w:w="2538" w:type="pct"/>
                  <w:vAlign w:val="center"/>
                </w:tcPr>
                <w:p w14:paraId="0C06A4D7">
                  <w:pPr>
                    <w:spacing w:line="240" w:lineRule="auto"/>
                    <w:ind w:firstLine="0" w:firstLineChars="0"/>
                    <w:jc w:val="center"/>
                    <w:rPr>
                      <w:rFonts w:cs="Times New Roman"/>
                      <w:spacing w:val="8"/>
                      <w:sz w:val="18"/>
                    </w:rPr>
                  </w:pPr>
                  <w:r>
                    <w:rPr>
                      <w:rFonts w:hint="eastAsia" w:cs="Times New Roman"/>
                      <w:spacing w:val="8"/>
                      <w:sz w:val="18"/>
                    </w:rPr>
                    <w:t>基准灶头数</w:t>
                  </w:r>
                </w:p>
              </w:tc>
              <w:tc>
                <w:tcPr>
                  <w:tcW w:w="2461" w:type="pct"/>
                  <w:vAlign w:val="center"/>
                </w:tcPr>
                <w:p w14:paraId="75EE8174">
                  <w:pPr>
                    <w:spacing w:line="240" w:lineRule="auto"/>
                    <w:ind w:firstLine="0" w:firstLineChars="0"/>
                    <w:jc w:val="center"/>
                    <w:rPr>
                      <w:rFonts w:cs="Times New Roman"/>
                      <w:spacing w:val="8"/>
                      <w:sz w:val="18"/>
                    </w:rPr>
                  </w:pPr>
                  <w:r>
                    <w:rPr>
                      <w:rFonts w:cs="Times New Roman"/>
                      <w:spacing w:val="8"/>
                      <w:sz w:val="18"/>
                    </w:rPr>
                    <w:t>≥1,&lt;3</w:t>
                  </w:r>
                </w:p>
              </w:tc>
            </w:tr>
            <w:tr w14:paraId="267ADC76">
              <w:trPr>
                <w:trHeight w:val="340" w:hRule="atLeast"/>
                <w:jc w:val="center"/>
              </w:trPr>
              <w:tc>
                <w:tcPr>
                  <w:tcW w:w="2538" w:type="pct"/>
                  <w:vAlign w:val="center"/>
                </w:tcPr>
                <w:p w14:paraId="60531134">
                  <w:pPr>
                    <w:spacing w:line="240" w:lineRule="auto"/>
                    <w:ind w:firstLine="0" w:firstLineChars="0"/>
                    <w:jc w:val="center"/>
                    <w:rPr>
                      <w:rFonts w:cs="Times New Roman"/>
                      <w:spacing w:val="8"/>
                      <w:sz w:val="18"/>
                    </w:rPr>
                  </w:pPr>
                  <w:r>
                    <w:rPr>
                      <w:rFonts w:hint="eastAsia" w:cs="Times New Roman"/>
                      <w:spacing w:val="8"/>
                      <w:sz w:val="18"/>
                    </w:rPr>
                    <w:t>对应灶头总功率（</w:t>
                  </w:r>
                  <w:r>
                    <w:rPr>
                      <w:rFonts w:cs="Times New Roman"/>
                      <w:spacing w:val="8"/>
                      <w:sz w:val="18"/>
                    </w:rPr>
                    <w:t>10</w:t>
                  </w:r>
                  <w:r>
                    <w:rPr>
                      <w:rFonts w:hint="eastAsia" w:cs="Times New Roman"/>
                      <w:spacing w:val="8"/>
                      <w:sz w:val="18"/>
                    </w:rPr>
                    <w:t>8</w:t>
                  </w:r>
                  <w:r>
                    <w:rPr>
                      <w:rFonts w:cs="Times New Roman"/>
                      <w:spacing w:val="8"/>
                      <w:sz w:val="18"/>
                    </w:rPr>
                    <w:t>J/h</w:t>
                  </w:r>
                  <w:r>
                    <w:rPr>
                      <w:rFonts w:hint="eastAsia" w:cs="Times New Roman"/>
                      <w:spacing w:val="8"/>
                      <w:sz w:val="18"/>
                    </w:rPr>
                    <w:t>）</w:t>
                  </w:r>
                </w:p>
              </w:tc>
              <w:tc>
                <w:tcPr>
                  <w:tcW w:w="2461" w:type="pct"/>
                  <w:vAlign w:val="center"/>
                </w:tcPr>
                <w:p w14:paraId="6DC7D673">
                  <w:pPr>
                    <w:spacing w:line="240" w:lineRule="auto"/>
                    <w:ind w:firstLine="0" w:firstLineChars="0"/>
                    <w:jc w:val="center"/>
                    <w:rPr>
                      <w:rFonts w:cs="Times New Roman"/>
                      <w:spacing w:val="8"/>
                      <w:sz w:val="18"/>
                    </w:rPr>
                  </w:pPr>
                  <w:r>
                    <w:rPr>
                      <w:rFonts w:cs="Times New Roman"/>
                      <w:spacing w:val="8"/>
                      <w:sz w:val="18"/>
                    </w:rPr>
                    <w:t>1.67,&lt;5.00</w:t>
                  </w:r>
                </w:p>
              </w:tc>
            </w:tr>
            <w:tr w14:paraId="52942F81">
              <w:trPr>
                <w:trHeight w:val="340" w:hRule="atLeast"/>
                <w:jc w:val="center"/>
              </w:trPr>
              <w:tc>
                <w:tcPr>
                  <w:tcW w:w="2538" w:type="pct"/>
                  <w:vAlign w:val="center"/>
                </w:tcPr>
                <w:p w14:paraId="526856E2">
                  <w:pPr>
                    <w:spacing w:line="240" w:lineRule="auto"/>
                    <w:ind w:firstLine="0" w:firstLineChars="0"/>
                    <w:jc w:val="center"/>
                    <w:rPr>
                      <w:rFonts w:cs="Times New Roman"/>
                      <w:spacing w:val="8"/>
                      <w:sz w:val="18"/>
                    </w:rPr>
                  </w:pPr>
                  <w:r>
                    <w:rPr>
                      <w:rFonts w:hint="eastAsia" w:cs="Times New Roman"/>
                      <w:spacing w:val="8"/>
                      <w:sz w:val="18"/>
                    </w:rPr>
                    <w:t>对应排气罩灶面总投影面积（</w:t>
                  </w:r>
                  <w:r>
                    <w:rPr>
                      <w:rFonts w:cs="Times New Roman"/>
                      <w:spacing w:val="8"/>
                      <w:sz w:val="18"/>
                    </w:rPr>
                    <w:t>m</w:t>
                  </w:r>
                  <w:r>
                    <w:rPr>
                      <w:rFonts w:hint="eastAsia" w:cs="Times New Roman"/>
                      <w:spacing w:val="8"/>
                      <w:sz w:val="18"/>
                      <w:vertAlign w:val="superscript"/>
                    </w:rPr>
                    <w:t>2</w:t>
                  </w:r>
                  <w:r>
                    <w:rPr>
                      <w:rFonts w:hint="eastAsia" w:cs="Times New Roman"/>
                      <w:spacing w:val="8"/>
                      <w:sz w:val="18"/>
                    </w:rPr>
                    <w:t>）</w:t>
                  </w:r>
                </w:p>
              </w:tc>
              <w:tc>
                <w:tcPr>
                  <w:tcW w:w="2461" w:type="pct"/>
                  <w:vAlign w:val="center"/>
                </w:tcPr>
                <w:p w14:paraId="07DA08E7">
                  <w:pPr>
                    <w:spacing w:line="240" w:lineRule="auto"/>
                    <w:ind w:firstLine="0" w:firstLineChars="0"/>
                    <w:jc w:val="center"/>
                    <w:rPr>
                      <w:rFonts w:cs="Times New Roman"/>
                      <w:spacing w:val="8"/>
                      <w:sz w:val="18"/>
                    </w:rPr>
                  </w:pPr>
                  <w:r>
                    <w:rPr>
                      <w:rFonts w:cs="Times New Roman"/>
                      <w:spacing w:val="8"/>
                      <w:sz w:val="18"/>
                    </w:rPr>
                    <w:t>≥1.1,&lt;3.3</w:t>
                  </w:r>
                </w:p>
              </w:tc>
            </w:tr>
            <w:tr w14:paraId="16CEE7CF">
              <w:trPr>
                <w:trHeight w:val="340" w:hRule="atLeast"/>
                <w:jc w:val="center"/>
              </w:trPr>
              <w:tc>
                <w:tcPr>
                  <w:tcW w:w="2538" w:type="pct"/>
                  <w:vAlign w:val="center"/>
                </w:tcPr>
                <w:p w14:paraId="19EF3A70">
                  <w:pPr>
                    <w:spacing w:line="240" w:lineRule="auto"/>
                    <w:ind w:firstLine="0" w:firstLineChars="0"/>
                    <w:jc w:val="center"/>
                    <w:rPr>
                      <w:rFonts w:cs="Times New Roman"/>
                      <w:spacing w:val="8"/>
                      <w:sz w:val="18"/>
                    </w:rPr>
                  </w:pPr>
                  <w:r>
                    <w:rPr>
                      <w:rFonts w:hint="eastAsia" w:cs="Times New Roman"/>
                      <w:spacing w:val="8"/>
                      <w:sz w:val="18"/>
                    </w:rPr>
                    <w:t>最高允许排放浓度（</w:t>
                  </w:r>
                  <w:r>
                    <w:rPr>
                      <w:rFonts w:cs="Times New Roman"/>
                      <w:spacing w:val="8"/>
                      <w:sz w:val="18"/>
                    </w:rPr>
                    <w:t>mg/m</w:t>
                  </w:r>
                  <w:r>
                    <w:rPr>
                      <w:rFonts w:hint="eastAsia" w:cs="Times New Roman"/>
                      <w:spacing w:val="8"/>
                      <w:sz w:val="18"/>
                      <w:vertAlign w:val="superscript"/>
                    </w:rPr>
                    <w:t>3</w:t>
                  </w:r>
                  <w:r>
                    <w:rPr>
                      <w:rFonts w:hint="eastAsia" w:cs="Times New Roman"/>
                      <w:spacing w:val="8"/>
                      <w:sz w:val="18"/>
                    </w:rPr>
                    <w:t>）</w:t>
                  </w:r>
                </w:p>
              </w:tc>
              <w:tc>
                <w:tcPr>
                  <w:tcW w:w="2461" w:type="pct"/>
                  <w:vAlign w:val="center"/>
                </w:tcPr>
                <w:p w14:paraId="09A1949C">
                  <w:pPr>
                    <w:spacing w:line="240" w:lineRule="auto"/>
                    <w:ind w:firstLine="0" w:firstLineChars="0"/>
                    <w:jc w:val="center"/>
                    <w:rPr>
                      <w:rFonts w:cs="Times New Roman"/>
                      <w:spacing w:val="8"/>
                      <w:sz w:val="18"/>
                    </w:rPr>
                  </w:pPr>
                  <w:r>
                    <w:rPr>
                      <w:rFonts w:cs="Times New Roman"/>
                      <w:spacing w:val="8"/>
                      <w:sz w:val="18"/>
                    </w:rPr>
                    <w:t>2</w:t>
                  </w:r>
                </w:p>
              </w:tc>
            </w:tr>
            <w:tr w14:paraId="01B49EBA">
              <w:trPr>
                <w:trHeight w:val="340" w:hRule="atLeast"/>
                <w:jc w:val="center"/>
              </w:trPr>
              <w:tc>
                <w:tcPr>
                  <w:tcW w:w="2538" w:type="pct"/>
                  <w:vAlign w:val="center"/>
                </w:tcPr>
                <w:p w14:paraId="1A9FC073">
                  <w:pPr>
                    <w:spacing w:line="240" w:lineRule="auto"/>
                    <w:ind w:firstLine="0" w:firstLineChars="0"/>
                    <w:jc w:val="center"/>
                    <w:rPr>
                      <w:rFonts w:cs="Times New Roman"/>
                      <w:spacing w:val="8"/>
                      <w:sz w:val="18"/>
                    </w:rPr>
                  </w:pPr>
                  <w:r>
                    <w:rPr>
                      <w:rFonts w:hint="eastAsia" w:cs="Times New Roman"/>
                      <w:spacing w:val="8"/>
                      <w:sz w:val="18"/>
                    </w:rPr>
                    <w:t>净化设施最低去除效率（</w:t>
                  </w:r>
                  <w:r>
                    <w:rPr>
                      <w:rFonts w:cs="Times New Roman"/>
                      <w:spacing w:val="8"/>
                      <w:sz w:val="18"/>
                    </w:rPr>
                    <w:t>%</w:t>
                  </w:r>
                  <w:r>
                    <w:rPr>
                      <w:rFonts w:hint="eastAsia" w:cs="Times New Roman"/>
                      <w:spacing w:val="8"/>
                      <w:sz w:val="18"/>
                    </w:rPr>
                    <w:t>）</w:t>
                  </w:r>
                </w:p>
              </w:tc>
              <w:tc>
                <w:tcPr>
                  <w:tcW w:w="2461" w:type="pct"/>
                  <w:vAlign w:val="center"/>
                </w:tcPr>
                <w:p w14:paraId="7DA6C3DB">
                  <w:pPr>
                    <w:spacing w:line="240" w:lineRule="auto"/>
                    <w:ind w:firstLine="0" w:firstLineChars="0"/>
                    <w:jc w:val="center"/>
                    <w:rPr>
                      <w:rFonts w:cs="Times New Roman"/>
                      <w:spacing w:val="8"/>
                      <w:sz w:val="18"/>
                    </w:rPr>
                  </w:pPr>
                  <w:r>
                    <w:rPr>
                      <w:rFonts w:cs="Times New Roman"/>
                      <w:spacing w:val="8"/>
                      <w:sz w:val="18"/>
                    </w:rPr>
                    <w:t>60</w:t>
                  </w:r>
                </w:p>
              </w:tc>
            </w:tr>
          </w:tbl>
          <w:p w14:paraId="0939E3EC">
            <w:pPr>
              <w:ind w:firstLine="480"/>
              <w:jc w:val="both"/>
            </w:pPr>
            <w:r>
              <w:rPr>
                <w:rFonts w:hint="eastAsia"/>
              </w:rPr>
              <w:t>3、噪声</w:t>
            </w:r>
          </w:p>
          <w:p w14:paraId="0CE97782">
            <w:pPr>
              <w:ind w:firstLine="480"/>
              <w:jc w:val="both"/>
            </w:pPr>
            <w:r>
              <w:t>根据《杭州市余杭区声环境功能区划方案》，企业处于噪声3类声环境功能区，因此项目四周厂界噪声排放执行《工业企业厂界环境噪声排放标准》（GB12348-2008）中的3类标准</w:t>
            </w:r>
            <w:r>
              <w:rPr>
                <w:rFonts w:hint="eastAsia"/>
              </w:rPr>
              <w:t>，其中东厂界紧邻G302，执行</w:t>
            </w:r>
            <w:r>
              <w:t>《工业企业厂界环境噪声排放标准》（GB12348-2008）中的</w:t>
            </w:r>
            <w:r>
              <w:rPr>
                <w:rFonts w:hint="eastAsia"/>
              </w:rPr>
              <w:t>4</w:t>
            </w:r>
            <w:r>
              <w:t>类标准。具体标准值见表3-1</w:t>
            </w:r>
            <w:r>
              <w:rPr>
                <w:rFonts w:hint="eastAsia"/>
              </w:rPr>
              <w:t>2</w:t>
            </w:r>
            <w:r>
              <w:t>。</w:t>
            </w:r>
          </w:p>
          <w:p w14:paraId="739A651F">
            <w:pPr>
              <w:pStyle w:val="14"/>
              <w:numPr>
                <w:ilvl w:val="0"/>
                <w:numId w:val="8"/>
              </w:numPr>
              <w:tabs>
                <w:tab w:val="clear" w:pos="0"/>
              </w:tabs>
              <w:spacing w:before="156"/>
            </w:pPr>
            <w:r>
              <w:rPr>
                <w:rFonts w:hint="eastAsia"/>
              </w:rPr>
              <w:t xml:space="preserve">  《工业企业厂界环境噪声排放标准》（GB12348-2008）</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8"/>
              <w:gridCol w:w="2418"/>
              <w:gridCol w:w="2418"/>
            </w:tblGrid>
            <w:tr w14:paraId="3089A1B5">
              <w:trPr>
                <w:trHeight w:val="340" w:hRule="atLeast"/>
                <w:jc w:val="center"/>
              </w:trPr>
              <w:tc>
                <w:tcPr>
                  <w:tcW w:w="3482" w:type="dxa"/>
                  <w:vMerge w:val="restart"/>
                  <w:tcBorders>
                    <w:top w:val="single" w:color="auto" w:sz="4" w:space="0"/>
                    <w:left w:val="single" w:color="auto" w:sz="4" w:space="0"/>
                    <w:right w:val="single" w:color="auto" w:sz="4" w:space="0"/>
                  </w:tcBorders>
                  <w:vAlign w:val="center"/>
                </w:tcPr>
                <w:p w14:paraId="05263BF9">
                  <w:pPr>
                    <w:adjustRightInd w:val="0"/>
                    <w:snapToGrid w:val="0"/>
                    <w:spacing w:line="240" w:lineRule="auto"/>
                    <w:ind w:firstLine="0" w:firstLineChars="0"/>
                    <w:jc w:val="center"/>
                    <w:rPr>
                      <w:rFonts w:cs="Times New Roman"/>
                      <w:bCs/>
                      <w:sz w:val="18"/>
                    </w:rPr>
                  </w:pPr>
                  <w:r>
                    <w:rPr>
                      <w:rFonts w:hint="eastAsia" w:cs="宋体"/>
                      <w:sz w:val="18"/>
                      <w:szCs w:val="21"/>
                      <w:lang w:bidi="ar"/>
                    </w:rPr>
                    <w:t>类别</w:t>
                  </w:r>
                </w:p>
              </w:tc>
              <w:tc>
                <w:tcPr>
                  <w:tcW w:w="5681" w:type="dxa"/>
                  <w:gridSpan w:val="2"/>
                  <w:tcBorders>
                    <w:top w:val="single" w:color="auto" w:sz="4" w:space="0"/>
                    <w:left w:val="single" w:color="auto" w:sz="4" w:space="0"/>
                    <w:bottom w:val="single" w:color="auto" w:sz="4" w:space="0"/>
                    <w:right w:val="single" w:color="auto" w:sz="4" w:space="0"/>
                  </w:tcBorders>
                  <w:vAlign w:val="center"/>
                </w:tcPr>
                <w:p w14:paraId="26D766A5">
                  <w:pPr>
                    <w:adjustRightInd w:val="0"/>
                    <w:snapToGrid w:val="0"/>
                    <w:spacing w:line="240" w:lineRule="auto"/>
                    <w:ind w:firstLine="0" w:firstLineChars="0"/>
                    <w:jc w:val="center"/>
                    <w:rPr>
                      <w:rFonts w:cs="Times New Roman"/>
                      <w:bCs/>
                      <w:sz w:val="18"/>
                    </w:rPr>
                  </w:pPr>
                  <w:r>
                    <w:rPr>
                      <w:rFonts w:hint="eastAsia" w:cs="宋体"/>
                      <w:sz w:val="18"/>
                      <w:szCs w:val="21"/>
                      <w:lang w:bidi="ar"/>
                    </w:rPr>
                    <w:t>等效声级</w:t>
                  </w:r>
                  <w:r>
                    <w:rPr>
                      <w:rFonts w:cs="Times New Roman"/>
                      <w:sz w:val="18"/>
                      <w:szCs w:val="21"/>
                      <w:lang w:bidi="ar"/>
                    </w:rPr>
                    <w:t>Leq</w:t>
                  </w:r>
                </w:p>
              </w:tc>
            </w:tr>
            <w:tr w14:paraId="7728039B">
              <w:trPr>
                <w:trHeight w:val="340" w:hRule="atLeast"/>
                <w:jc w:val="center"/>
              </w:trPr>
              <w:tc>
                <w:tcPr>
                  <w:tcW w:w="3482" w:type="dxa"/>
                  <w:vMerge w:val="continue"/>
                  <w:tcBorders>
                    <w:left w:val="single" w:color="auto" w:sz="4" w:space="0"/>
                    <w:bottom w:val="single" w:color="auto" w:sz="4" w:space="0"/>
                    <w:right w:val="single" w:color="auto" w:sz="4" w:space="0"/>
                  </w:tcBorders>
                  <w:vAlign w:val="center"/>
                </w:tcPr>
                <w:p w14:paraId="2B0D6776">
                  <w:pPr>
                    <w:spacing w:line="240" w:lineRule="auto"/>
                    <w:ind w:firstLine="0" w:firstLineChars="0"/>
                    <w:jc w:val="center"/>
                    <w:rPr>
                      <w:rFonts w:cs="Times New Roman"/>
                      <w:bCs/>
                      <w:sz w:val="18"/>
                    </w:rPr>
                  </w:pPr>
                </w:p>
              </w:tc>
              <w:tc>
                <w:tcPr>
                  <w:tcW w:w="2841" w:type="dxa"/>
                  <w:tcBorders>
                    <w:top w:val="single" w:color="auto" w:sz="4" w:space="0"/>
                    <w:left w:val="single" w:color="auto" w:sz="4" w:space="0"/>
                    <w:bottom w:val="single" w:color="auto" w:sz="4" w:space="0"/>
                    <w:right w:val="single" w:color="auto" w:sz="4" w:space="0"/>
                  </w:tcBorders>
                  <w:vAlign w:val="center"/>
                </w:tcPr>
                <w:p w14:paraId="3C46D104">
                  <w:pPr>
                    <w:pStyle w:val="5"/>
                    <w:widowControl/>
                    <w:adjustRightInd w:val="0"/>
                    <w:snapToGrid w:val="0"/>
                    <w:spacing w:line="240" w:lineRule="auto"/>
                    <w:ind w:firstLine="0" w:firstLineChars="0"/>
                    <w:jc w:val="center"/>
                    <w:rPr>
                      <w:rFonts w:ascii="Times New Roman" w:hAnsi="Times New Roman"/>
                      <w:bCs/>
                      <w:sz w:val="18"/>
                    </w:rPr>
                  </w:pPr>
                  <w:r>
                    <w:rPr>
                      <w:rFonts w:ascii="Times New Roman" w:hAnsi="Times New Roman"/>
                      <w:kern w:val="0"/>
                      <w:sz w:val="18"/>
                    </w:rPr>
                    <w:t>昼间</w:t>
                  </w:r>
                </w:p>
              </w:tc>
              <w:tc>
                <w:tcPr>
                  <w:tcW w:w="2840" w:type="dxa"/>
                  <w:tcBorders>
                    <w:top w:val="single" w:color="auto" w:sz="4" w:space="0"/>
                    <w:left w:val="single" w:color="auto" w:sz="4" w:space="0"/>
                    <w:bottom w:val="single" w:color="auto" w:sz="4" w:space="0"/>
                    <w:right w:val="single" w:color="auto" w:sz="4" w:space="0"/>
                  </w:tcBorders>
                  <w:vAlign w:val="center"/>
                </w:tcPr>
                <w:p w14:paraId="03CD544F">
                  <w:pPr>
                    <w:pStyle w:val="5"/>
                    <w:widowControl/>
                    <w:adjustRightInd w:val="0"/>
                    <w:snapToGrid w:val="0"/>
                    <w:spacing w:line="240" w:lineRule="auto"/>
                    <w:ind w:firstLine="0" w:firstLineChars="0"/>
                    <w:jc w:val="center"/>
                    <w:rPr>
                      <w:rFonts w:ascii="Times New Roman" w:hAnsi="Times New Roman"/>
                      <w:bCs/>
                      <w:sz w:val="18"/>
                    </w:rPr>
                  </w:pPr>
                  <w:r>
                    <w:rPr>
                      <w:rFonts w:ascii="Times New Roman" w:hAnsi="Times New Roman"/>
                      <w:kern w:val="0"/>
                      <w:sz w:val="18"/>
                    </w:rPr>
                    <w:t>夜间</w:t>
                  </w:r>
                </w:p>
              </w:tc>
            </w:tr>
            <w:tr w14:paraId="618BC74C">
              <w:trPr>
                <w:trHeight w:val="340" w:hRule="atLeast"/>
                <w:jc w:val="center"/>
              </w:trPr>
              <w:tc>
                <w:tcPr>
                  <w:tcW w:w="3482" w:type="dxa"/>
                  <w:tcBorders>
                    <w:top w:val="single" w:color="auto" w:sz="4" w:space="0"/>
                    <w:left w:val="single" w:color="auto" w:sz="4" w:space="0"/>
                    <w:bottom w:val="single" w:color="auto" w:sz="4" w:space="0"/>
                    <w:right w:val="single" w:color="auto" w:sz="4" w:space="0"/>
                  </w:tcBorders>
                  <w:vAlign w:val="center"/>
                </w:tcPr>
                <w:p w14:paraId="551F5841">
                  <w:pPr>
                    <w:adjustRightInd w:val="0"/>
                    <w:snapToGrid w:val="0"/>
                    <w:spacing w:line="240" w:lineRule="auto"/>
                    <w:ind w:firstLine="0" w:firstLineChars="0"/>
                    <w:jc w:val="center"/>
                    <w:rPr>
                      <w:rFonts w:cs="Times New Roman"/>
                      <w:bCs/>
                      <w:sz w:val="18"/>
                    </w:rPr>
                  </w:pPr>
                  <w:r>
                    <w:rPr>
                      <w:rFonts w:hint="eastAsia" w:cs="Times New Roman"/>
                      <w:sz w:val="18"/>
                      <w:szCs w:val="21"/>
                      <w:lang w:bidi="ar"/>
                    </w:rPr>
                    <w:t>3</w:t>
                  </w:r>
                  <w:r>
                    <w:rPr>
                      <w:rFonts w:hint="eastAsia" w:cs="宋体"/>
                      <w:sz w:val="18"/>
                      <w:szCs w:val="21"/>
                      <w:lang w:bidi="ar"/>
                    </w:rPr>
                    <w:t>类</w:t>
                  </w:r>
                </w:p>
              </w:tc>
              <w:tc>
                <w:tcPr>
                  <w:tcW w:w="2841" w:type="dxa"/>
                  <w:tcBorders>
                    <w:top w:val="single" w:color="auto" w:sz="4" w:space="0"/>
                    <w:left w:val="single" w:color="auto" w:sz="4" w:space="0"/>
                    <w:bottom w:val="single" w:color="auto" w:sz="4" w:space="0"/>
                    <w:right w:val="single" w:color="auto" w:sz="4" w:space="0"/>
                  </w:tcBorders>
                  <w:vAlign w:val="center"/>
                </w:tcPr>
                <w:p w14:paraId="2E8994B3">
                  <w:pPr>
                    <w:adjustRightInd w:val="0"/>
                    <w:snapToGrid w:val="0"/>
                    <w:spacing w:line="240" w:lineRule="auto"/>
                    <w:ind w:firstLine="0" w:firstLineChars="0"/>
                    <w:jc w:val="center"/>
                    <w:rPr>
                      <w:rFonts w:cs="Times New Roman"/>
                      <w:bCs/>
                      <w:sz w:val="18"/>
                    </w:rPr>
                  </w:pPr>
                  <w:r>
                    <w:rPr>
                      <w:rFonts w:hint="eastAsia" w:cs="Times New Roman"/>
                      <w:sz w:val="18"/>
                      <w:szCs w:val="21"/>
                      <w:lang w:bidi="ar"/>
                    </w:rPr>
                    <w:t>65</w:t>
                  </w:r>
                </w:p>
              </w:tc>
              <w:tc>
                <w:tcPr>
                  <w:tcW w:w="2840" w:type="dxa"/>
                  <w:tcBorders>
                    <w:top w:val="single" w:color="auto" w:sz="4" w:space="0"/>
                    <w:left w:val="single" w:color="auto" w:sz="4" w:space="0"/>
                    <w:bottom w:val="single" w:color="auto" w:sz="4" w:space="0"/>
                    <w:right w:val="single" w:color="auto" w:sz="4" w:space="0"/>
                  </w:tcBorders>
                  <w:vAlign w:val="center"/>
                </w:tcPr>
                <w:p w14:paraId="6F1A5DC2">
                  <w:pPr>
                    <w:adjustRightInd w:val="0"/>
                    <w:snapToGrid w:val="0"/>
                    <w:spacing w:line="240" w:lineRule="auto"/>
                    <w:ind w:firstLine="0" w:firstLineChars="0"/>
                    <w:jc w:val="center"/>
                    <w:rPr>
                      <w:rFonts w:cs="Times New Roman"/>
                      <w:bCs/>
                      <w:sz w:val="18"/>
                    </w:rPr>
                  </w:pPr>
                  <w:r>
                    <w:rPr>
                      <w:rFonts w:cs="Times New Roman"/>
                      <w:sz w:val="18"/>
                      <w:szCs w:val="21"/>
                      <w:lang w:bidi="ar"/>
                    </w:rPr>
                    <w:t>5</w:t>
                  </w:r>
                  <w:r>
                    <w:rPr>
                      <w:rFonts w:hint="eastAsia" w:cs="Times New Roman"/>
                      <w:sz w:val="18"/>
                      <w:szCs w:val="21"/>
                      <w:lang w:bidi="ar"/>
                    </w:rPr>
                    <w:t>5</w:t>
                  </w:r>
                </w:p>
              </w:tc>
            </w:tr>
            <w:tr w14:paraId="1E0D2597">
              <w:trPr>
                <w:trHeight w:val="340" w:hRule="atLeast"/>
                <w:jc w:val="center"/>
              </w:trPr>
              <w:tc>
                <w:tcPr>
                  <w:tcW w:w="3482" w:type="dxa"/>
                  <w:tcBorders>
                    <w:top w:val="single" w:color="auto" w:sz="4" w:space="0"/>
                    <w:left w:val="single" w:color="auto" w:sz="4" w:space="0"/>
                    <w:bottom w:val="single" w:color="auto" w:sz="4" w:space="0"/>
                    <w:right w:val="single" w:color="auto" w:sz="4" w:space="0"/>
                  </w:tcBorders>
                  <w:vAlign w:val="center"/>
                </w:tcPr>
                <w:p w14:paraId="4A699722">
                  <w:pPr>
                    <w:adjustRightInd w:val="0"/>
                    <w:snapToGrid w:val="0"/>
                    <w:spacing w:line="240" w:lineRule="auto"/>
                    <w:ind w:firstLine="0" w:firstLineChars="0"/>
                    <w:jc w:val="center"/>
                    <w:rPr>
                      <w:rFonts w:cs="Times New Roman"/>
                      <w:sz w:val="18"/>
                      <w:szCs w:val="21"/>
                      <w:lang w:bidi="ar"/>
                    </w:rPr>
                  </w:pPr>
                  <w:r>
                    <w:rPr>
                      <w:rFonts w:hint="eastAsia" w:cs="Times New Roman"/>
                      <w:sz w:val="18"/>
                      <w:szCs w:val="21"/>
                      <w:lang w:bidi="ar"/>
                    </w:rPr>
                    <w:t>4类</w:t>
                  </w:r>
                </w:p>
              </w:tc>
              <w:tc>
                <w:tcPr>
                  <w:tcW w:w="2841" w:type="dxa"/>
                  <w:tcBorders>
                    <w:top w:val="single" w:color="auto" w:sz="4" w:space="0"/>
                    <w:left w:val="single" w:color="auto" w:sz="4" w:space="0"/>
                    <w:bottom w:val="single" w:color="auto" w:sz="4" w:space="0"/>
                    <w:right w:val="single" w:color="auto" w:sz="4" w:space="0"/>
                  </w:tcBorders>
                  <w:vAlign w:val="center"/>
                </w:tcPr>
                <w:p w14:paraId="4FD7DC1A">
                  <w:pPr>
                    <w:adjustRightInd w:val="0"/>
                    <w:snapToGrid w:val="0"/>
                    <w:spacing w:line="240" w:lineRule="auto"/>
                    <w:ind w:firstLine="0" w:firstLineChars="0"/>
                    <w:jc w:val="center"/>
                    <w:rPr>
                      <w:rFonts w:cs="Times New Roman"/>
                      <w:sz w:val="18"/>
                      <w:szCs w:val="21"/>
                      <w:lang w:bidi="ar"/>
                    </w:rPr>
                  </w:pPr>
                  <w:r>
                    <w:rPr>
                      <w:rFonts w:hint="eastAsia" w:cs="Times New Roman"/>
                      <w:sz w:val="18"/>
                      <w:szCs w:val="21"/>
                      <w:lang w:bidi="ar"/>
                    </w:rPr>
                    <w:t>70</w:t>
                  </w:r>
                </w:p>
              </w:tc>
              <w:tc>
                <w:tcPr>
                  <w:tcW w:w="2840" w:type="dxa"/>
                  <w:tcBorders>
                    <w:top w:val="single" w:color="auto" w:sz="4" w:space="0"/>
                    <w:left w:val="single" w:color="auto" w:sz="4" w:space="0"/>
                    <w:bottom w:val="single" w:color="auto" w:sz="4" w:space="0"/>
                    <w:right w:val="single" w:color="auto" w:sz="4" w:space="0"/>
                  </w:tcBorders>
                  <w:vAlign w:val="center"/>
                </w:tcPr>
                <w:p w14:paraId="2723A8BD">
                  <w:pPr>
                    <w:adjustRightInd w:val="0"/>
                    <w:snapToGrid w:val="0"/>
                    <w:spacing w:line="240" w:lineRule="auto"/>
                    <w:ind w:firstLine="0" w:firstLineChars="0"/>
                    <w:jc w:val="center"/>
                    <w:rPr>
                      <w:rFonts w:cs="Times New Roman"/>
                      <w:sz w:val="18"/>
                      <w:szCs w:val="21"/>
                      <w:lang w:bidi="ar"/>
                    </w:rPr>
                  </w:pPr>
                  <w:r>
                    <w:rPr>
                      <w:rFonts w:hint="eastAsia" w:cs="Times New Roman"/>
                      <w:sz w:val="18"/>
                      <w:szCs w:val="21"/>
                      <w:lang w:bidi="ar"/>
                    </w:rPr>
                    <w:t>55</w:t>
                  </w:r>
                </w:p>
              </w:tc>
            </w:tr>
          </w:tbl>
          <w:p w14:paraId="7967DDE8">
            <w:pPr>
              <w:ind w:firstLine="480"/>
              <w:jc w:val="both"/>
            </w:pPr>
            <w:r>
              <w:rPr>
                <w:rFonts w:hint="eastAsia"/>
              </w:rPr>
              <w:t>4、固废</w:t>
            </w:r>
          </w:p>
          <w:p w14:paraId="20B8F522">
            <w:pPr>
              <w:ind w:firstLine="480"/>
              <w:jc w:val="both"/>
            </w:pPr>
            <w:r>
              <w:t>固体废物污染防治及其监督管理执行《中华人民共和国固体废物污染环境防治法》。根据《一般工业固体废物贮存和填埋污染控制标准》（GB18599-2020），采用库房、包装工具（罐、桶、包装袋等）贮存一般工业固体废物过程的污染控制，不适用该标准，但其贮存过程应满足相应防渗漏、防雨淋、防扬尘等环境保护要求；危险废物执行《危险废物贮存污染控制标准》（GB18597-2023）</w:t>
            </w:r>
            <w:r>
              <w:rPr>
                <w:rFonts w:hint="eastAsia"/>
              </w:rPr>
              <w:t>中相关要求。</w:t>
            </w:r>
          </w:p>
        </w:tc>
      </w:tr>
      <w:tr w14:paraId="2EC6DF59">
        <w:trPr>
          <w:trHeight w:val="90" w:hRule="atLeast"/>
        </w:trPr>
        <w:tc>
          <w:tcPr>
            <w:tcW w:w="512" w:type="dxa"/>
            <w:vAlign w:val="center"/>
          </w:tcPr>
          <w:p w14:paraId="223A0083">
            <w:pPr>
              <w:pStyle w:val="2"/>
              <w:spacing w:line="240" w:lineRule="auto"/>
              <w:jc w:val="center"/>
            </w:pPr>
            <w:r>
              <w:rPr>
                <w:rFonts w:hint="eastAsia"/>
                <w:sz w:val="24"/>
                <w:szCs w:val="24"/>
              </w:rPr>
              <w:t>总量控制指标</w:t>
            </w:r>
          </w:p>
        </w:tc>
        <w:tc>
          <w:tcPr>
            <w:tcW w:w="8010" w:type="dxa"/>
          </w:tcPr>
          <w:p w14:paraId="2632610E">
            <w:pPr>
              <w:ind w:firstLine="480"/>
              <w:jc w:val="both"/>
              <w:rPr>
                <w:rFonts w:cs="Times New Roman"/>
                <w:szCs w:val="24"/>
              </w:rPr>
            </w:pPr>
            <w:r>
              <w:rPr>
                <w:rFonts w:hint="eastAsia" w:cs="Times New Roman"/>
                <w:szCs w:val="24"/>
              </w:rPr>
              <w:t>1、总量控制指标</w:t>
            </w:r>
          </w:p>
          <w:p w14:paraId="75C22A27">
            <w:pPr>
              <w:ind w:firstLine="480"/>
              <w:jc w:val="both"/>
            </w:pPr>
            <w:r>
              <w:rPr>
                <w:rFonts w:hint="eastAsia"/>
              </w:rPr>
              <w:t>根据现行的环保管理要求，污染物排放总量控制仍是我国现阶段强有力的环保管理措施，主要总量控制指标为：二氧化硫（SO</w:t>
            </w:r>
            <w:r>
              <w:rPr>
                <w:rFonts w:hint="eastAsia"/>
                <w:vertAlign w:val="subscript"/>
              </w:rPr>
              <w:t>2</w:t>
            </w:r>
            <w:r>
              <w:rPr>
                <w:rFonts w:hint="eastAsia"/>
              </w:rPr>
              <w:t>）、化学需氧量（COD）、氨氮（NH</w:t>
            </w:r>
            <w:r>
              <w:rPr>
                <w:rFonts w:hint="eastAsia"/>
                <w:vertAlign w:val="subscript"/>
              </w:rPr>
              <w:t>3</w:t>
            </w:r>
            <w:r>
              <w:rPr>
                <w:rFonts w:hint="eastAsia"/>
              </w:rPr>
              <w:t>-N）和氮氧化物（NOx）及重金属、挥发性有机物（VOCs）。</w:t>
            </w:r>
          </w:p>
          <w:p w14:paraId="34D812BB">
            <w:pPr>
              <w:ind w:firstLine="480"/>
              <w:jc w:val="both"/>
            </w:pPr>
            <w:r>
              <w:rPr>
                <w:rFonts w:hint="eastAsia"/>
              </w:rPr>
              <w:t>结合本项目的实际情况分析，本项目被纳入总量控制指标的有COD、VOCs、工业烟粉尘、二氧化硫（SO</w:t>
            </w:r>
            <w:r>
              <w:rPr>
                <w:rFonts w:hint="eastAsia"/>
                <w:vertAlign w:val="subscript"/>
              </w:rPr>
              <w:t>2</w:t>
            </w:r>
            <w:r>
              <w:rPr>
                <w:rFonts w:hint="eastAsia"/>
              </w:rPr>
              <w:t>）、氮氧化物（NOx）。</w:t>
            </w:r>
          </w:p>
          <w:p w14:paraId="60534D73">
            <w:pPr>
              <w:pStyle w:val="2"/>
              <w:adjustRightInd w:val="0"/>
              <w:jc w:val="center"/>
              <w:rPr>
                <w:rFonts w:eastAsia="黑体" w:cs="Times New Roman"/>
              </w:rPr>
            </w:pPr>
            <w:r>
              <w:rPr>
                <w:rFonts w:eastAsia="黑体" w:cs="Times New Roman"/>
              </w:rPr>
              <w:t>表</w:t>
            </w:r>
            <w:r>
              <w:rPr>
                <w:rFonts w:hint="eastAsia" w:eastAsia="黑体" w:cs="Times New Roman"/>
              </w:rPr>
              <w:t>3-16</w:t>
            </w:r>
            <w:r>
              <w:rPr>
                <w:rFonts w:eastAsia="黑体" w:cs="Times New Roman"/>
              </w:rPr>
              <w:t xml:space="preserve">  本项目实施后总量</w:t>
            </w:r>
            <w:r>
              <w:rPr>
                <w:rFonts w:hint="eastAsia" w:eastAsia="黑体" w:cs="Times New Roman"/>
              </w:rPr>
              <w:t>指标一览表  单位t/a</w:t>
            </w:r>
          </w:p>
          <w:tbl>
            <w:tblPr>
              <w:tblStyle w:val="15"/>
              <w:tblW w:w="499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38"/>
              <w:gridCol w:w="1150"/>
              <w:gridCol w:w="1960"/>
              <w:gridCol w:w="1996"/>
              <w:gridCol w:w="1437"/>
            </w:tblGrid>
            <w:tr w14:paraId="5E2A7E7B">
              <w:trPr>
                <w:trHeight w:val="340" w:hRule="atLeast"/>
              </w:trPr>
              <w:tc>
                <w:tcPr>
                  <w:tcW w:w="795" w:type="pct"/>
                  <w:tcBorders>
                    <w:right w:val="single" w:color="auto" w:sz="4" w:space="0"/>
                  </w:tcBorders>
                  <w:vAlign w:val="center"/>
                </w:tcPr>
                <w:p w14:paraId="76CF137C">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类型</w:t>
                  </w:r>
                </w:p>
              </w:tc>
              <w:tc>
                <w:tcPr>
                  <w:tcW w:w="739" w:type="pct"/>
                  <w:tcBorders>
                    <w:left w:val="single" w:color="auto" w:sz="4" w:space="0"/>
                  </w:tcBorders>
                  <w:vAlign w:val="center"/>
                </w:tcPr>
                <w:p w14:paraId="012B6CAB">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污染物</w:t>
                  </w:r>
                </w:p>
              </w:tc>
              <w:tc>
                <w:tcPr>
                  <w:tcW w:w="1259" w:type="pct"/>
                  <w:tcBorders>
                    <w:right w:val="single" w:color="auto" w:sz="4" w:space="0"/>
                  </w:tcBorders>
                  <w:vAlign w:val="center"/>
                </w:tcPr>
                <w:p w14:paraId="79F48FE5">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原审批</w:t>
                  </w:r>
                </w:p>
              </w:tc>
              <w:tc>
                <w:tcPr>
                  <w:tcW w:w="1282" w:type="pct"/>
                  <w:tcBorders>
                    <w:left w:val="single" w:color="auto" w:sz="4" w:space="0"/>
                  </w:tcBorders>
                  <w:vAlign w:val="center"/>
                </w:tcPr>
                <w:p w14:paraId="364131BD">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本项目实施后全厂</w:t>
                  </w:r>
                </w:p>
              </w:tc>
              <w:tc>
                <w:tcPr>
                  <w:tcW w:w="923" w:type="pct"/>
                  <w:vAlign w:val="center"/>
                </w:tcPr>
                <w:p w14:paraId="7E1DF41A">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变化量</w:t>
                  </w:r>
                </w:p>
              </w:tc>
            </w:tr>
            <w:tr w14:paraId="150E7226">
              <w:trPr>
                <w:trHeight w:val="340" w:hRule="atLeast"/>
              </w:trPr>
              <w:tc>
                <w:tcPr>
                  <w:tcW w:w="795" w:type="pct"/>
                  <w:vMerge w:val="restart"/>
                  <w:tcBorders>
                    <w:right w:val="single" w:color="auto" w:sz="4" w:space="0"/>
                  </w:tcBorders>
                  <w:vAlign w:val="center"/>
                </w:tcPr>
                <w:p w14:paraId="1F432A66">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生活污水</w:t>
                  </w:r>
                </w:p>
              </w:tc>
              <w:tc>
                <w:tcPr>
                  <w:tcW w:w="739" w:type="pct"/>
                  <w:tcBorders>
                    <w:left w:val="single" w:color="auto" w:sz="4" w:space="0"/>
                  </w:tcBorders>
                  <w:vAlign w:val="center"/>
                </w:tcPr>
                <w:p w14:paraId="6EBE4C3D">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废水量</w:t>
                  </w:r>
                </w:p>
              </w:tc>
              <w:tc>
                <w:tcPr>
                  <w:tcW w:w="1259" w:type="pct"/>
                  <w:tcBorders>
                    <w:right w:val="single" w:color="auto" w:sz="4" w:space="0"/>
                  </w:tcBorders>
                  <w:vAlign w:val="center"/>
                </w:tcPr>
                <w:p w14:paraId="157FC16A">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1098</w:t>
                  </w:r>
                </w:p>
              </w:tc>
              <w:tc>
                <w:tcPr>
                  <w:tcW w:w="1282" w:type="pct"/>
                  <w:tcBorders>
                    <w:left w:val="single" w:color="auto" w:sz="4" w:space="0"/>
                  </w:tcBorders>
                  <w:vAlign w:val="center"/>
                </w:tcPr>
                <w:p w14:paraId="612BBFB8">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1098</w:t>
                  </w:r>
                </w:p>
              </w:tc>
              <w:tc>
                <w:tcPr>
                  <w:tcW w:w="923" w:type="pct"/>
                  <w:vAlign w:val="center"/>
                </w:tcPr>
                <w:p w14:paraId="6666E93B">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无变化</w:t>
                  </w:r>
                </w:p>
              </w:tc>
            </w:tr>
            <w:tr w14:paraId="54D78E8A">
              <w:trPr>
                <w:trHeight w:val="340" w:hRule="atLeast"/>
              </w:trPr>
              <w:tc>
                <w:tcPr>
                  <w:tcW w:w="795" w:type="pct"/>
                  <w:vMerge w:val="continue"/>
                  <w:tcBorders>
                    <w:right w:val="single" w:color="auto" w:sz="4" w:space="0"/>
                  </w:tcBorders>
                  <w:vAlign w:val="center"/>
                </w:tcPr>
                <w:p w14:paraId="663DDCFE">
                  <w:pPr>
                    <w:adjustRightInd w:val="0"/>
                    <w:snapToGrid w:val="0"/>
                    <w:spacing w:line="240" w:lineRule="auto"/>
                    <w:ind w:firstLine="0" w:firstLineChars="0"/>
                    <w:jc w:val="center"/>
                    <w:rPr>
                      <w:rFonts w:cs="宋体"/>
                      <w:sz w:val="18"/>
                      <w:szCs w:val="21"/>
                      <w:lang w:bidi="ar"/>
                    </w:rPr>
                  </w:pPr>
                </w:p>
              </w:tc>
              <w:tc>
                <w:tcPr>
                  <w:tcW w:w="739" w:type="pct"/>
                  <w:tcBorders>
                    <w:left w:val="single" w:color="auto" w:sz="4" w:space="0"/>
                  </w:tcBorders>
                  <w:vAlign w:val="center"/>
                </w:tcPr>
                <w:p w14:paraId="6E53D729">
                  <w:pPr>
                    <w:adjustRightInd w:val="0"/>
                    <w:snapToGrid w:val="0"/>
                    <w:spacing w:line="240" w:lineRule="auto"/>
                    <w:ind w:firstLine="0" w:firstLineChars="0"/>
                    <w:jc w:val="center"/>
                    <w:rPr>
                      <w:rFonts w:cs="宋体"/>
                      <w:sz w:val="18"/>
                      <w:szCs w:val="21"/>
                      <w:lang w:bidi="ar"/>
                    </w:rPr>
                  </w:pPr>
                  <w:r>
                    <w:rPr>
                      <w:rFonts w:cs="Times New Roman"/>
                      <w:color w:val="000000"/>
                      <w:kern w:val="0"/>
                      <w:sz w:val="18"/>
                      <w:lang w:bidi="ar"/>
                    </w:rPr>
                    <w:t>COD</w:t>
                  </w:r>
                  <w:r>
                    <w:rPr>
                      <w:rFonts w:cs="Times New Roman"/>
                      <w:color w:val="000000"/>
                      <w:kern w:val="0"/>
                      <w:sz w:val="18"/>
                      <w:vertAlign w:val="subscript"/>
                      <w:lang w:bidi="ar"/>
                    </w:rPr>
                    <w:t>Cr</w:t>
                  </w:r>
                </w:p>
              </w:tc>
              <w:tc>
                <w:tcPr>
                  <w:tcW w:w="1259" w:type="pct"/>
                  <w:tcBorders>
                    <w:right w:val="single" w:color="auto" w:sz="4" w:space="0"/>
                  </w:tcBorders>
                  <w:vAlign w:val="center"/>
                </w:tcPr>
                <w:p w14:paraId="21722666">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0.055</w:t>
                  </w:r>
                </w:p>
              </w:tc>
              <w:tc>
                <w:tcPr>
                  <w:tcW w:w="1282" w:type="pct"/>
                  <w:tcBorders>
                    <w:left w:val="single" w:color="auto" w:sz="4" w:space="0"/>
                  </w:tcBorders>
                  <w:vAlign w:val="center"/>
                </w:tcPr>
                <w:p w14:paraId="3337DD1D">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0.055</w:t>
                  </w:r>
                </w:p>
              </w:tc>
              <w:tc>
                <w:tcPr>
                  <w:tcW w:w="923" w:type="pct"/>
                  <w:vAlign w:val="center"/>
                </w:tcPr>
                <w:p w14:paraId="012A7502">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无变化</w:t>
                  </w:r>
                </w:p>
              </w:tc>
            </w:tr>
            <w:tr w14:paraId="286B3946">
              <w:trPr>
                <w:trHeight w:val="340" w:hRule="atLeast"/>
              </w:trPr>
              <w:tc>
                <w:tcPr>
                  <w:tcW w:w="795" w:type="pct"/>
                  <w:vMerge w:val="continue"/>
                  <w:tcBorders>
                    <w:right w:val="single" w:color="auto" w:sz="4" w:space="0"/>
                  </w:tcBorders>
                  <w:vAlign w:val="center"/>
                </w:tcPr>
                <w:p w14:paraId="6C84228B">
                  <w:pPr>
                    <w:adjustRightInd w:val="0"/>
                    <w:snapToGrid w:val="0"/>
                    <w:spacing w:line="240" w:lineRule="auto"/>
                    <w:ind w:firstLine="0" w:firstLineChars="0"/>
                    <w:jc w:val="center"/>
                    <w:rPr>
                      <w:rFonts w:cs="宋体"/>
                      <w:sz w:val="18"/>
                      <w:szCs w:val="21"/>
                      <w:lang w:bidi="ar"/>
                    </w:rPr>
                  </w:pPr>
                </w:p>
              </w:tc>
              <w:tc>
                <w:tcPr>
                  <w:tcW w:w="739" w:type="pct"/>
                  <w:tcBorders>
                    <w:left w:val="single" w:color="auto" w:sz="4" w:space="0"/>
                  </w:tcBorders>
                  <w:vAlign w:val="center"/>
                </w:tcPr>
                <w:p w14:paraId="242E0EB5">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NH</w:t>
                  </w:r>
                  <w:r>
                    <w:rPr>
                      <w:rFonts w:hint="eastAsia" w:cs="宋体"/>
                      <w:sz w:val="18"/>
                      <w:szCs w:val="21"/>
                      <w:vertAlign w:val="subscript"/>
                      <w:lang w:bidi="ar"/>
                    </w:rPr>
                    <w:t>3</w:t>
                  </w:r>
                  <w:r>
                    <w:rPr>
                      <w:rFonts w:hint="eastAsia" w:cs="宋体"/>
                      <w:sz w:val="18"/>
                      <w:szCs w:val="21"/>
                      <w:lang w:bidi="ar"/>
                    </w:rPr>
                    <w:t>-N</w:t>
                  </w:r>
                </w:p>
              </w:tc>
              <w:tc>
                <w:tcPr>
                  <w:tcW w:w="1259" w:type="pct"/>
                  <w:tcBorders>
                    <w:right w:val="single" w:color="auto" w:sz="4" w:space="0"/>
                  </w:tcBorders>
                  <w:vAlign w:val="center"/>
                </w:tcPr>
                <w:p w14:paraId="15F6F1ED">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0.005</w:t>
                  </w:r>
                </w:p>
              </w:tc>
              <w:tc>
                <w:tcPr>
                  <w:tcW w:w="1282" w:type="pct"/>
                  <w:tcBorders>
                    <w:left w:val="single" w:color="auto" w:sz="4" w:space="0"/>
                  </w:tcBorders>
                  <w:vAlign w:val="center"/>
                </w:tcPr>
                <w:p w14:paraId="3DABBF1B">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0.005</w:t>
                  </w:r>
                </w:p>
              </w:tc>
              <w:tc>
                <w:tcPr>
                  <w:tcW w:w="923" w:type="pct"/>
                  <w:vAlign w:val="center"/>
                </w:tcPr>
                <w:p w14:paraId="00CF3685">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无变化</w:t>
                  </w:r>
                </w:p>
              </w:tc>
            </w:tr>
            <w:tr w14:paraId="071F3DB9">
              <w:trPr>
                <w:trHeight w:val="340" w:hRule="atLeast"/>
              </w:trPr>
              <w:tc>
                <w:tcPr>
                  <w:tcW w:w="795" w:type="pct"/>
                  <w:vMerge w:val="restart"/>
                  <w:tcBorders>
                    <w:right w:val="single" w:color="auto" w:sz="4" w:space="0"/>
                  </w:tcBorders>
                  <w:vAlign w:val="center"/>
                </w:tcPr>
                <w:p w14:paraId="34810BAC">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废气</w:t>
                  </w:r>
                </w:p>
              </w:tc>
              <w:tc>
                <w:tcPr>
                  <w:tcW w:w="739" w:type="pct"/>
                  <w:tcBorders>
                    <w:left w:val="single" w:color="auto" w:sz="4" w:space="0"/>
                  </w:tcBorders>
                  <w:vAlign w:val="center"/>
                </w:tcPr>
                <w:p w14:paraId="55A99146">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VOCs</w:t>
                  </w:r>
                </w:p>
              </w:tc>
              <w:tc>
                <w:tcPr>
                  <w:tcW w:w="1259" w:type="pct"/>
                  <w:tcBorders>
                    <w:right w:val="single" w:color="auto" w:sz="4" w:space="0"/>
                  </w:tcBorders>
                  <w:vAlign w:val="center"/>
                </w:tcPr>
                <w:p w14:paraId="65370D12">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0.893</w:t>
                  </w:r>
                </w:p>
              </w:tc>
              <w:tc>
                <w:tcPr>
                  <w:tcW w:w="1282" w:type="pct"/>
                  <w:tcBorders>
                    <w:left w:val="single" w:color="auto" w:sz="4" w:space="0"/>
                  </w:tcBorders>
                  <w:vAlign w:val="center"/>
                </w:tcPr>
                <w:p w14:paraId="0BFD5D95">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0.758</w:t>
                  </w:r>
                </w:p>
              </w:tc>
              <w:tc>
                <w:tcPr>
                  <w:tcW w:w="1437" w:type="dxa"/>
                  <w:vAlign w:val="center"/>
                </w:tcPr>
                <w:p w14:paraId="11FBE224">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-0.135</w:t>
                  </w:r>
                </w:p>
              </w:tc>
            </w:tr>
            <w:tr w14:paraId="45CC2F20">
              <w:trPr>
                <w:trHeight w:val="340" w:hRule="atLeast"/>
              </w:trPr>
              <w:tc>
                <w:tcPr>
                  <w:tcW w:w="795" w:type="pct"/>
                  <w:vMerge w:val="continue"/>
                  <w:tcBorders>
                    <w:right w:val="single" w:color="auto" w:sz="4" w:space="0"/>
                  </w:tcBorders>
                  <w:vAlign w:val="center"/>
                </w:tcPr>
                <w:p w14:paraId="548F8FFD">
                  <w:pPr>
                    <w:adjustRightInd w:val="0"/>
                    <w:snapToGrid w:val="0"/>
                    <w:spacing w:line="240" w:lineRule="auto"/>
                    <w:ind w:firstLine="0" w:firstLineChars="0"/>
                    <w:jc w:val="center"/>
                    <w:rPr>
                      <w:rFonts w:cs="宋体"/>
                      <w:sz w:val="18"/>
                      <w:szCs w:val="21"/>
                      <w:lang w:bidi="ar"/>
                    </w:rPr>
                  </w:pPr>
                </w:p>
              </w:tc>
              <w:tc>
                <w:tcPr>
                  <w:tcW w:w="739" w:type="pct"/>
                  <w:tcBorders>
                    <w:left w:val="single" w:color="auto" w:sz="4" w:space="0"/>
                  </w:tcBorders>
                  <w:vAlign w:val="center"/>
                </w:tcPr>
                <w:p w14:paraId="2293B614">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烟粉尘</w:t>
                  </w:r>
                </w:p>
              </w:tc>
              <w:tc>
                <w:tcPr>
                  <w:tcW w:w="1259" w:type="pct"/>
                  <w:tcBorders>
                    <w:right w:val="single" w:color="auto" w:sz="4" w:space="0"/>
                  </w:tcBorders>
                  <w:vAlign w:val="center"/>
                </w:tcPr>
                <w:p w14:paraId="17BCD697">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1.52</w:t>
                  </w:r>
                </w:p>
              </w:tc>
              <w:tc>
                <w:tcPr>
                  <w:tcW w:w="1282" w:type="pct"/>
                  <w:tcBorders>
                    <w:left w:val="single" w:color="auto" w:sz="4" w:space="0"/>
                  </w:tcBorders>
                  <w:vAlign w:val="center"/>
                </w:tcPr>
                <w:p w14:paraId="4281109C">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0.193</w:t>
                  </w:r>
                </w:p>
              </w:tc>
              <w:tc>
                <w:tcPr>
                  <w:tcW w:w="1437" w:type="dxa"/>
                  <w:vAlign w:val="center"/>
                </w:tcPr>
                <w:p w14:paraId="6C66FB86">
                  <w:pPr>
                    <w:adjustRightInd w:val="0"/>
                    <w:snapToGrid w:val="0"/>
                    <w:spacing w:line="240" w:lineRule="auto"/>
                    <w:ind w:firstLine="0" w:firstLineChars="0"/>
                    <w:jc w:val="center"/>
                    <w:rPr>
                      <w:rFonts w:cs="宋体"/>
                      <w:sz w:val="18"/>
                      <w:szCs w:val="21"/>
                      <w:lang w:bidi="ar"/>
                    </w:rPr>
                  </w:pPr>
                  <w:r>
                    <w:rPr>
                      <w:rFonts w:hint="eastAsia" w:cs="宋体"/>
                      <w:sz w:val="18"/>
                      <w:szCs w:val="21"/>
                      <w:lang w:bidi="ar"/>
                    </w:rPr>
                    <w:t>-1.327</w:t>
                  </w:r>
                </w:p>
              </w:tc>
            </w:tr>
          </w:tbl>
          <w:p w14:paraId="4538CABF">
            <w:pPr>
              <w:ind w:firstLine="480"/>
              <w:jc w:val="both"/>
            </w:pPr>
            <w:r>
              <w:rPr>
                <w:rFonts w:hint="eastAsia"/>
              </w:rPr>
              <w:t>由上表可知，本项目实施后，全厂总量指标均未突破现有已审批总量，故无需进行总量平衡</w:t>
            </w:r>
            <w:r>
              <w:t>。</w:t>
            </w:r>
          </w:p>
        </w:tc>
      </w:tr>
    </w:tbl>
    <w:p w14:paraId="1E732AA2">
      <w:pPr>
        <w:pStyle w:val="2"/>
        <w:sectPr>
          <w:pgSz w:w="11906" w:h="16838"/>
          <w:pgMar w:top="1440" w:right="1800" w:bottom="1440" w:left="1800" w:header="851" w:footer="992" w:gutter="0"/>
          <w:cols w:space="425" w:num="1"/>
          <w:docGrid w:type="lines" w:linePitch="312" w:charSpace="0"/>
        </w:sectPr>
      </w:pPr>
    </w:p>
    <w:p w14:paraId="43373F66">
      <w:pPr>
        <w:pStyle w:val="3"/>
        <w:numPr>
          <w:ilvl w:val="0"/>
          <w:numId w:val="2"/>
        </w:numPr>
      </w:pPr>
      <w:bookmarkStart w:id="6" w:name="_Toc16404"/>
      <w:r>
        <w:rPr>
          <w:rFonts w:hint="eastAsia"/>
        </w:rPr>
        <w:t>主要环境影响和保护措施</w:t>
      </w:r>
      <w:bookmarkEnd w:id="6"/>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66"/>
      </w:tblGrid>
      <w:tr w14:paraId="7DD7E18D">
        <w:trPr>
          <w:trHeight w:val="4004" w:hRule="atLeast"/>
        </w:trPr>
        <w:tc>
          <w:tcPr>
            <w:tcW w:w="409" w:type="dxa"/>
            <w:vAlign w:val="center"/>
          </w:tcPr>
          <w:p w14:paraId="39880EE3">
            <w:pPr>
              <w:pStyle w:val="2"/>
              <w:jc w:val="center"/>
            </w:pPr>
            <w:r>
              <w:rPr>
                <w:rFonts w:hint="eastAsia"/>
                <w:sz w:val="24"/>
                <w:szCs w:val="24"/>
              </w:rPr>
              <w:t>施工期环境保护措施</w:t>
            </w:r>
          </w:p>
        </w:tc>
        <w:tc>
          <w:tcPr>
            <w:tcW w:w="8113" w:type="dxa"/>
            <w:vAlign w:val="center"/>
          </w:tcPr>
          <w:p w14:paraId="33AFE458">
            <w:pPr>
              <w:ind w:firstLine="480"/>
              <w:jc w:val="both"/>
            </w:pPr>
            <w:r>
              <w:rPr>
                <w:rFonts w:hint="eastAsia"/>
              </w:rPr>
              <w:t>本项目施工期仅进行设备安装及调试，不涉及土建、厂房改造等施工程序，故不对施工期环境影响进行分析评价。</w:t>
            </w:r>
          </w:p>
        </w:tc>
      </w:tr>
      <w:tr w14:paraId="2041D6D7">
        <w:trPr>
          <w:trHeight w:val="7500" w:hRule="atLeast"/>
        </w:trPr>
        <w:tc>
          <w:tcPr>
            <w:tcW w:w="409" w:type="dxa"/>
            <w:vAlign w:val="center"/>
          </w:tcPr>
          <w:p w14:paraId="5DF4D967">
            <w:pPr>
              <w:pStyle w:val="2"/>
              <w:jc w:val="center"/>
              <w:rPr>
                <w:sz w:val="24"/>
                <w:szCs w:val="24"/>
              </w:rPr>
            </w:pPr>
            <w:r>
              <w:rPr>
                <w:rFonts w:hint="eastAsia"/>
                <w:sz w:val="24"/>
                <w:szCs w:val="24"/>
              </w:rPr>
              <w:t>运营期环境保护措施</w:t>
            </w:r>
          </w:p>
        </w:tc>
        <w:tc>
          <w:tcPr>
            <w:tcW w:w="8113" w:type="dxa"/>
          </w:tcPr>
          <w:p w14:paraId="154535F0">
            <w:pPr>
              <w:ind w:firstLine="480"/>
              <w:jc w:val="both"/>
            </w:pPr>
            <w:r>
              <w:rPr>
                <w:rFonts w:hint="eastAsia"/>
              </w:rPr>
              <w:t>一、废气</w:t>
            </w:r>
          </w:p>
          <w:p w14:paraId="1B32F2C9">
            <w:pPr>
              <w:ind w:firstLine="480"/>
              <w:jc w:val="both"/>
            </w:pPr>
            <w:r>
              <w:rPr>
                <w:rFonts w:hint="eastAsia"/>
              </w:rPr>
              <w:t>本项目实施后，依托现有螺杆挤出机新增产品种类，涉及现有工程生产装置，故本次评价对项目实施后全厂污染物进行整体核算，</w:t>
            </w:r>
          </w:p>
          <w:p w14:paraId="0C98BE26">
            <w:pPr>
              <w:ind w:firstLine="480"/>
              <w:jc w:val="both"/>
            </w:pPr>
            <w:r>
              <w:rPr>
                <w:rFonts w:hint="eastAsia"/>
              </w:rPr>
              <w:t>(一)正常工况</w:t>
            </w:r>
          </w:p>
          <w:p w14:paraId="5AC362F6">
            <w:pPr>
              <w:ind w:firstLine="480"/>
              <w:jc w:val="both"/>
            </w:pPr>
            <w:r>
              <w:rPr>
                <w:rFonts w:hint="eastAsia"/>
              </w:rPr>
              <w:t>1、配料、投料、搅拌粉尘</w:t>
            </w:r>
          </w:p>
          <w:p w14:paraId="14B86930">
            <w:pPr>
              <w:ind w:firstLine="480"/>
              <w:jc w:val="both"/>
            </w:pPr>
            <w:r>
              <w:rPr>
                <w:rFonts w:hint="eastAsia"/>
              </w:rPr>
              <w:t>本项目粉料配置过程，投料口、出料口等均有粉尘产生，经类比同类型企业，本项目粉尘产生量按照粉状原料的0.1%计算，根据表2-5，本项目颜料、碳酸钙、钛白粉、聚乙烯蜡粉状原料使用量约690t/a，则粉尘产生量约为0.69t/a。本项目现有工程已设置密闭配料室及搅拌室，在投料口、打粉机、拌料机等位置设置集气罩，合计风量为15000m</w:t>
            </w:r>
            <w:r>
              <w:rPr>
                <w:rFonts w:hint="eastAsia"/>
                <w:vertAlign w:val="superscript"/>
              </w:rPr>
              <w:t>3</w:t>
            </w:r>
            <w:r>
              <w:rPr>
                <w:rFonts w:hint="eastAsia"/>
              </w:rPr>
              <w:t>/h，粉尘收集后经脉冲滤筒除尘器处理后通过15m高排气筒排放。本次评价收集效率按照80%计算，处理效率为90%，则本项目有组织粉尘排放量约为0.055t/a，无组织排放粉尘量约为0.138t/a。</w:t>
            </w:r>
          </w:p>
          <w:p w14:paraId="01A8068C">
            <w:pPr>
              <w:ind w:firstLine="480"/>
              <w:jc w:val="both"/>
            </w:pPr>
            <w:r>
              <w:rPr>
                <w:rFonts w:hint="eastAsia"/>
              </w:rPr>
              <w:t>2、挤出废气</w:t>
            </w:r>
          </w:p>
          <w:p w14:paraId="260FCD80">
            <w:pPr>
              <w:ind w:firstLine="480"/>
              <w:jc w:val="both"/>
              <w:rPr>
                <w:rFonts w:cs="Times New Roman"/>
                <w:szCs w:val="24"/>
              </w:rPr>
            </w:pPr>
            <w:r>
              <w:rPr>
                <w:rFonts w:hint="eastAsia"/>
              </w:rPr>
              <w:t>本项目原料树脂产生的其他特征污染物均以非甲烷总烃计算，因使用树脂原料量较少，故不再单独核算其源强。</w:t>
            </w:r>
            <w:r>
              <w:rPr>
                <w:rFonts w:cs="Times New Roman"/>
                <w:szCs w:val="24"/>
              </w:rPr>
              <w:t>本项目</w:t>
            </w:r>
            <w:r>
              <w:rPr>
                <w:rFonts w:hint="eastAsia" w:cs="Times New Roman"/>
                <w:szCs w:val="24"/>
              </w:rPr>
              <w:t>产品为塑料粒子，</w:t>
            </w:r>
            <w:r>
              <w:rPr>
                <w:rFonts w:cs="Times New Roman"/>
                <w:szCs w:val="24"/>
              </w:rPr>
              <w:t>塑料废气污染源强</w:t>
            </w:r>
            <w:r>
              <w:rPr>
                <w:rFonts w:hint="eastAsia" w:cs="Times New Roman"/>
                <w:szCs w:val="24"/>
              </w:rPr>
              <w:t>参考《浙江省重点行业VOCs污染排放源排放量计算方法(1.1版)》中塑料行业-塑料皮、板、管材制造行业产排污系数0.539kg/t原料计算，本项目树脂类原料使用量为7390t/a，挤出工序废边角料回料按照8t/a计算，则本项目挤出废气非甲烷总烃的产生量为3.988t/a。本项目有机废气处理措施为“水喷淋+水雾过滤器+活性炭吸附”，处理效率按照90%计算，集气罩收集效率按照90%计算，则本项目挤出工段废气有组织排放量为0.359t/a，无组织排放量为0.399t/a。</w:t>
            </w:r>
          </w:p>
          <w:p w14:paraId="474B7A86">
            <w:pPr>
              <w:ind w:firstLine="480"/>
              <w:jc w:val="both"/>
              <w:rPr>
                <w:rFonts w:cs="Times New Roman"/>
                <w:bCs/>
              </w:rPr>
            </w:pPr>
            <w:r>
              <w:rPr>
                <w:rFonts w:hint="eastAsia" w:cs="Times New Roman"/>
                <w:bCs/>
              </w:rPr>
              <w:t>经现场踏勘，本项目单条挤出线设置3个集气罩（12条线，共设置36个集气罩），规格尺寸为0.2×0.3m，罩口距离污染源距离约为0.2m，罩口处气体流速按照0.5m/s计算，根据集气罩风量计算经验公式可知，本项目挤出线集气罩收集所需风量约为18144m</w:t>
            </w:r>
            <w:r>
              <w:rPr>
                <w:rFonts w:hint="eastAsia" w:cs="Times New Roman"/>
                <w:bCs/>
                <w:vertAlign w:val="superscript"/>
              </w:rPr>
              <w:t>3</w:t>
            </w:r>
            <w:r>
              <w:rPr>
                <w:rFonts w:hint="eastAsia" w:cs="Times New Roman"/>
                <w:bCs/>
              </w:rPr>
              <w:t>/h。</w:t>
            </w:r>
          </w:p>
          <w:p w14:paraId="35A82F8C">
            <w:pPr>
              <w:ind w:firstLine="480"/>
              <w:jc w:val="both"/>
              <w:rPr>
                <w:rFonts w:cs="Times New Roman"/>
                <w:bCs/>
              </w:rPr>
            </w:pPr>
            <w:r>
              <w:rPr>
                <w:rFonts w:hint="eastAsia" w:cs="Times New Roman"/>
                <w:bCs/>
              </w:rPr>
              <w:t>3、注塑废气</w:t>
            </w:r>
          </w:p>
          <w:p w14:paraId="1034ED52">
            <w:pPr>
              <w:ind w:firstLine="480"/>
              <w:jc w:val="both"/>
              <w:rPr>
                <w:rFonts w:cs="Times New Roman"/>
                <w:bCs/>
              </w:rPr>
            </w:pPr>
            <w:r>
              <w:rPr>
                <w:rFonts w:hint="eastAsia" w:cs="Times New Roman"/>
                <w:bCs/>
              </w:rPr>
              <w:t>本项目设置打板房，主要用于每种产品对应的色板制造及留存使用。根据建设单位提供资料，本项目实施后，新增注塑机7台，色板产量约为50kg/a，不对外销售。故本项目注塑工序会产生极少量的有机废气，本次评价不与定量计算，仍需对注塑废气进行收集处理。</w:t>
            </w:r>
          </w:p>
          <w:p w14:paraId="59812600">
            <w:pPr>
              <w:ind w:firstLine="480"/>
              <w:jc w:val="both"/>
              <w:rPr>
                <w:rFonts w:cs="Times New Roman"/>
                <w:bCs/>
              </w:rPr>
            </w:pPr>
            <w:r>
              <w:rPr>
                <w:rFonts w:hint="eastAsia" w:cs="Times New Roman"/>
                <w:bCs/>
              </w:rPr>
              <w:t>本项目注塑过程设置全密闭装置，密闭体积约为1m</w:t>
            </w:r>
            <w:r>
              <w:rPr>
                <w:rFonts w:hint="eastAsia" w:cs="Times New Roman"/>
                <w:bCs/>
                <w:vertAlign w:val="superscript"/>
              </w:rPr>
              <w:t>3</w:t>
            </w:r>
            <w:r>
              <w:rPr>
                <w:rFonts w:hint="eastAsia" w:cs="Times New Roman"/>
                <w:bCs/>
              </w:rPr>
              <w:t>，每小时换气次数按照6次计算，则新增7台注塑机所需风量合计约为42m</w:t>
            </w:r>
            <w:r>
              <w:rPr>
                <w:rFonts w:hint="eastAsia" w:cs="Times New Roman"/>
                <w:bCs/>
                <w:vertAlign w:val="superscript"/>
              </w:rPr>
              <w:t>3</w:t>
            </w:r>
            <w:r>
              <w:rPr>
                <w:rFonts w:hint="eastAsia" w:cs="Times New Roman"/>
                <w:bCs/>
              </w:rPr>
              <w:t>/h。注塑废气经密闭装置上方排气口，接入DN50废气软管，进入有机废气处理装置进行处理。本项目挤出、注塑工段废气及管道损耗，本项目有机废气设置风量为24000m</w:t>
            </w:r>
            <w:r>
              <w:rPr>
                <w:rFonts w:hint="eastAsia" w:cs="Times New Roman"/>
                <w:bCs/>
                <w:vertAlign w:val="superscript"/>
              </w:rPr>
              <w:t>3</w:t>
            </w:r>
            <w:r>
              <w:rPr>
                <w:rFonts w:hint="eastAsia" w:cs="Times New Roman"/>
                <w:bCs/>
              </w:rPr>
              <w:t>/h，可以满足本项目实际生产需求。</w:t>
            </w:r>
          </w:p>
          <w:p w14:paraId="4A9BA537">
            <w:pPr>
              <w:ind w:firstLine="480"/>
              <w:jc w:val="both"/>
              <w:rPr>
                <w:rFonts w:cs="Times New Roman"/>
                <w:bCs/>
              </w:rPr>
            </w:pPr>
            <w:r>
              <w:rPr>
                <w:rFonts w:hint="eastAsia" w:cs="Times New Roman"/>
                <w:bCs/>
              </w:rPr>
              <w:t>4、破碎粉尘</w:t>
            </w:r>
          </w:p>
          <w:p w14:paraId="501E194E">
            <w:pPr>
              <w:ind w:firstLine="480"/>
              <w:jc w:val="both"/>
            </w:pPr>
            <w:r>
              <w:rPr>
                <w:rFonts w:hint="eastAsia"/>
              </w:rPr>
              <w:t>本项目开停机过程中，挤出工序会产生废边角料，主要为条状塑料，集中收集后，进入破碎工序破碎至颗粒状后，回用于挤出工序。根据工程分析，本项目废边角料产生量约为8t/a，因破碎至颗粒状，粒径较大，故本次破碎粉尘仅定性分析。</w:t>
            </w:r>
          </w:p>
          <w:p w14:paraId="2DBD9583">
            <w:pPr>
              <w:ind w:firstLine="480"/>
              <w:jc w:val="both"/>
            </w:pPr>
            <w:r>
              <w:rPr>
                <w:rFonts w:hint="eastAsia"/>
              </w:rPr>
              <w:t>(二)非正常工况</w:t>
            </w:r>
          </w:p>
          <w:p w14:paraId="5D1D83B3">
            <w:pPr>
              <w:ind w:firstLine="480"/>
              <w:jc w:val="both"/>
              <w:rPr>
                <w:rFonts w:cs="Times New Roman"/>
                <w:bCs/>
              </w:rPr>
            </w:pPr>
            <w:r>
              <w:rPr>
                <w:rFonts w:hint="eastAsia" w:cs="Times New Roman"/>
                <w:bCs/>
              </w:rPr>
              <w:t>从环境保护的角度，非正常工况主要是指环境污染物的非正常排放。本次项目的非正常工况主要有大气污染物，即废气处理效率下降50%的情况计，则非正常工况废气排放源强见表4-2。</w:t>
            </w:r>
          </w:p>
          <w:p w14:paraId="5052644F">
            <w:pPr>
              <w:ind w:firstLine="480"/>
              <w:jc w:val="both"/>
              <w:rPr>
                <w:rFonts w:cs="Times New Roman"/>
                <w:bCs/>
              </w:rPr>
            </w:pPr>
          </w:p>
          <w:p w14:paraId="03DF1554">
            <w:pPr>
              <w:pStyle w:val="2"/>
              <w:jc w:val="both"/>
            </w:pPr>
          </w:p>
        </w:tc>
      </w:tr>
    </w:tbl>
    <w:p w14:paraId="18DBA6BD">
      <w:pPr>
        <w:pStyle w:val="2"/>
        <w:sectPr>
          <w:pgSz w:w="11906" w:h="16838"/>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
        <w:gridCol w:w="13029"/>
      </w:tblGrid>
      <w:tr w14:paraId="194C7213">
        <w:tc>
          <w:tcPr>
            <w:tcW w:w="425" w:type="dxa"/>
          </w:tcPr>
          <w:p w14:paraId="3D984FB7">
            <w:pPr>
              <w:pStyle w:val="2"/>
              <w:jc w:val="both"/>
            </w:pPr>
          </w:p>
        </w:tc>
        <w:tc>
          <w:tcPr>
            <w:tcW w:w="13029" w:type="dxa"/>
          </w:tcPr>
          <w:p w14:paraId="1736FC05">
            <w:pPr>
              <w:pStyle w:val="14"/>
              <w:numPr>
                <w:ilvl w:val="0"/>
                <w:numId w:val="9"/>
              </w:numPr>
              <w:tabs>
                <w:tab w:val="clear" w:pos="0"/>
              </w:tabs>
              <w:spacing w:before="156"/>
            </w:pPr>
            <w:r>
              <w:rPr>
                <w:rFonts w:hint="eastAsia"/>
              </w:rPr>
              <w:t xml:space="preserve">  本项目废气产生及排放一览表</w:t>
            </w:r>
          </w:p>
          <w:tbl>
            <w:tblPr>
              <w:tblStyle w:val="9"/>
              <w:tblW w:w="4998" w:type="pct"/>
              <w:tblInd w:w="0" w:type="dxa"/>
              <w:tblLayout w:type="autofit"/>
              <w:tblCellMar>
                <w:top w:w="0" w:type="dxa"/>
                <w:left w:w="108" w:type="dxa"/>
                <w:bottom w:w="0" w:type="dxa"/>
                <w:right w:w="108" w:type="dxa"/>
              </w:tblCellMar>
            </w:tblPr>
            <w:tblGrid>
              <w:gridCol w:w="1038"/>
              <w:gridCol w:w="1117"/>
              <w:gridCol w:w="1035"/>
              <w:gridCol w:w="1120"/>
              <w:gridCol w:w="1048"/>
              <w:gridCol w:w="1220"/>
              <w:gridCol w:w="1033"/>
              <w:gridCol w:w="1040"/>
              <w:gridCol w:w="1038"/>
              <w:gridCol w:w="1038"/>
              <w:gridCol w:w="1033"/>
              <w:gridCol w:w="1048"/>
            </w:tblGrid>
            <w:tr w14:paraId="494906D0">
              <w:trPr>
                <w:trHeight w:val="276" w:hRule="atLeast"/>
              </w:trPr>
              <w:tc>
                <w:tcPr>
                  <w:tcW w:w="405" w:type="pct"/>
                  <w:vMerge w:val="restart"/>
                  <w:tcBorders>
                    <w:top w:val="single" w:color="auto" w:sz="4" w:space="0"/>
                    <w:left w:val="single" w:color="auto" w:sz="4" w:space="0"/>
                    <w:bottom w:val="single" w:color="auto" w:sz="4" w:space="0"/>
                    <w:right w:val="single" w:color="auto" w:sz="4" w:space="0"/>
                  </w:tcBorders>
                  <w:vAlign w:val="center"/>
                </w:tcPr>
                <w:p w14:paraId="336F0BCE">
                  <w:pPr>
                    <w:widowControl/>
                    <w:spacing w:line="240" w:lineRule="auto"/>
                    <w:ind w:firstLine="0" w:firstLineChars="0"/>
                    <w:jc w:val="center"/>
                    <w:textAlignment w:val="center"/>
                    <w:rPr>
                      <w:rFonts w:cs="Times New Roman"/>
                      <w:sz w:val="18"/>
                    </w:rPr>
                  </w:pPr>
                  <w:r>
                    <w:rPr>
                      <w:rFonts w:cs="Times New Roman"/>
                      <w:kern w:val="0"/>
                      <w:sz w:val="18"/>
                      <w:lang w:bidi="ar"/>
                    </w:rPr>
                    <w:t>污染源</w:t>
                  </w:r>
                </w:p>
              </w:tc>
              <w:tc>
                <w:tcPr>
                  <w:tcW w:w="436" w:type="pct"/>
                  <w:vMerge w:val="restart"/>
                  <w:tcBorders>
                    <w:top w:val="single" w:color="auto" w:sz="4" w:space="0"/>
                    <w:left w:val="single" w:color="auto" w:sz="4" w:space="0"/>
                    <w:bottom w:val="single" w:color="auto" w:sz="4" w:space="0"/>
                    <w:right w:val="single" w:color="auto" w:sz="4" w:space="0"/>
                  </w:tcBorders>
                  <w:vAlign w:val="center"/>
                </w:tcPr>
                <w:p w14:paraId="4624BC52">
                  <w:pPr>
                    <w:widowControl/>
                    <w:spacing w:line="240" w:lineRule="auto"/>
                    <w:ind w:firstLine="0" w:firstLineChars="0"/>
                    <w:jc w:val="center"/>
                    <w:textAlignment w:val="center"/>
                    <w:rPr>
                      <w:rFonts w:cs="Times New Roman"/>
                      <w:sz w:val="18"/>
                    </w:rPr>
                  </w:pPr>
                  <w:r>
                    <w:rPr>
                      <w:rFonts w:cs="Times New Roman"/>
                      <w:kern w:val="0"/>
                      <w:sz w:val="18"/>
                      <w:lang w:bidi="ar"/>
                    </w:rPr>
                    <w:t>污染物</w:t>
                  </w:r>
                </w:p>
              </w:tc>
              <w:tc>
                <w:tcPr>
                  <w:tcW w:w="1250" w:type="pct"/>
                  <w:gridSpan w:val="3"/>
                  <w:tcBorders>
                    <w:top w:val="single" w:color="auto" w:sz="4" w:space="0"/>
                    <w:left w:val="nil"/>
                    <w:bottom w:val="single" w:color="auto" w:sz="4" w:space="0"/>
                    <w:right w:val="single" w:color="000000" w:sz="4" w:space="0"/>
                  </w:tcBorders>
                  <w:vAlign w:val="center"/>
                </w:tcPr>
                <w:p w14:paraId="0A597181">
                  <w:pPr>
                    <w:widowControl/>
                    <w:spacing w:line="240" w:lineRule="auto"/>
                    <w:ind w:firstLine="0" w:firstLineChars="0"/>
                    <w:jc w:val="center"/>
                    <w:textAlignment w:val="center"/>
                    <w:rPr>
                      <w:rFonts w:cs="Times New Roman"/>
                      <w:sz w:val="18"/>
                    </w:rPr>
                  </w:pPr>
                  <w:r>
                    <w:rPr>
                      <w:rFonts w:cs="Times New Roman"/>
                      <w:kern w:val="0"/>
                      <w:sz w:val="18"/>
                      <w:lang w:bidi="ar"/>
                    </w:rPr>
                    <w:t>污染物产生</w:t>
                  </w:r>
                </w:p>
              </w:tc>
              <w:tc>
                <w:tcPr>
                  <w:tcW w:w="1285" w:type="pct"/>
                  <w:gridSpan w:val="3"/>
                  <w:tcBorders>
                    <w:top w:val="single" w:color="auto" w:sz="4" w:space="0"/>
                    <w:left w:val="nil"/>
                    <w:bottom w:val="single" w:color="auto" w:sz="4" w:space="0"/>
                    <w:right w:val="single" w:color="000000" w:sz="4" w:space="0"/>
                  </w:tcBorders>
                  <w:vAlign w:val="center"/>
                </w:tcPr>
                <w:p w14:paraId="246421EE">
                  <w:pPr>
                    <w:widowControl/>
                    <w:spacing w:line="240" w:lineRule="auto"/>
                    <w:ind w:firstLine="0" w:firstLineChars="0"/>
                    <w:jc w:val="center"/>
                    <w:textAlignment w:val="center"/>
                    <w:rPr>
                      <w:rFonts w:cs="Times New Roman"/>
                      <w:sz w:val="18"/>
                    </w:rPr>
                  </w:pPr>
                  <w:r>
                    <w:rPr>
                      <w:rFonts w:cs="Times New Roman"/>
                      <w:kern w:val="0"/>
                      <w:sz w:val="18"/>
                      <w:lang w:bidi="ar"/>
                    </w:rPr>
                    <w:t>治理措施</w:t>
                  </w:r>
                </w:p>
              </w:tc>
              <w:tc>
                <w:tcPr>
                  <w:tcW w:w="1622" w:type="pct"/>
                  <w:gridSpan w:val="4"/>
                  <w:tcBorders>
                    <w:top w:val="single" w:color="auto" w:sz="4" w:space="0"/>
                    <w:left w:val="nil"/>
                    <w:bottom w:val="single" w:color="auto" w:sz="4" w:space="0"/>
                    <w:right w:val="single" w:color="000000" w:sz="4" w:space="0"/>
                  </w:tcBorders>
                  <w:vAlign w:val="center"/>
                </w:tcPr>
                <w:p w14:paraId="3076668D">
                  <w:pPr>
                    <w:widowControl/>
                    <w:spacing w:line="240" w:lineRule="auto"/>
                    <w:ind w:firstLine="0" w:firstLineChars="0"/>
                    <w:jc w:val="center"/>
                    <w:textAlignment w:val="center"/>
                    <w:rPr>
                      <w:rFonts w:cs="Times New Roman"/>
                      <w:sz w:val="18"/>
                    </w:rPr>
                  </w:pPr>
                  <w:r>
                    <w:rPr>
                      <w:rFonts w:cs="Times New Roman"/>
                      <w:kern w:val="0"/>
                      <w:sz w:val="18"/>
                      <w:lang w:bidi="ar"/>
                    </w:rPr>
                    <w:t>污染物排放</w:t>
                  </w:r>
                </w:p>
              </w:tc>
            </w:tr>
            <w:tr w14:paraId="537264CF">
              <w:trPr>
                <w:trHeight w:val="276" w:hRule="atLeast"/>
              </w:trPr>
              <w:tc>
                <w:tcPr>
                  <w:tcW w:w="405" w:type="pct"/>
                  <w:vMerge w:val="continue"/>
                  <w:tcBorders>
                    <w:top w:val="single" w:color="auto" w:sz="4" w:space="0"/>
                    <w:left w:val="single" w:color="auto" w:sz="4" w:space="0"/>
                    <w:bottom w:val="single" w:color="auto" w:sz="4" w:space="0"/>
                    <w:right w:val="single" w:color="auto" w:sz="4" w:space="0"/>
                  </w:tcBorders>
                  <w:vAlign w:val="center"/>
                </w:tcPr>
                <w:p w14:paraId="1197405E">
                  <w:pPr>
                    <w:widowControl/>
                    <w:spacing w:line="240" w:lineRule="auto"/>
                    <w:ind w:firstLine="0" w:firstLineChars="0"/>
                    <w:jc w:val="center"/>
                    <w:rPr>
                      <w:rFonts w:cs="Times New Roman"/>
                      <w:sz w:val="18"/>
                    </w:rPr>
                  </w:pPr>
                </w:p>
              </w:tc>
              <w:tc>
                <w:tcPr>
                  <w:tcW w:w="436" w:type="pct"/>
                  <w:vMerge w:val="continue"/>
                  <w:tcBorders>
                    <w:top w:val="single" w:color="auto" w:sz="4" w:space="0"/>
                    <w:left w:val="single" w:color="auto" w:sz="4" w:space="0"/>
                    <w:bottom w:val="single" w:color="auto" w:sz="4" w:space="0"/>
                    <w:right w:val="single" w:color="auto" w:sz="4" w:space="0"/>
                  </w:tcBorders>
                  <w:vAlign w:val="center"/>
                </w:tcPr>
                <w:p w14:paraId="728D11B7">
                  <w:pPr>
                    <w:widowControl/>
                    <w:spacing w:line="240" w:lineRule="auto"/>
                    <w:ind w:firstLine="0" w:firstLineChars="0"/>
                    <w:jc w:val="center"/>
                    <w:rPr>
                      <w:rFonts w:cs="Times New Roman"/>
                      <w:sz w:val="18"/>
                    </w:rPr>
                  </w:pPr>
                </w:p>
              </w:tc>
              <w:tc>
                <w:tcPr>
                  <w:tcW w:w="404" w:type="pct"/>
                  <w:vMerge w:val="restart"/>
                  <w:tcBorders>
                    <w:top w:val="nil"/>
                    <w:left w:val="single" w:color="auto" w:sz="4" w:space="0"/>
                    <w:bottom w:val="single" w:color="auto" w:sz="4" w:space="0"/>
                    <w:right w:val="single" w:color="auto" w:sz="4" w:space="0"/>
                  </w:tcBorders>
                  <w:vAlign w:val="center"/>
                </w:tcPr>
                <w:p w14:paraId="28ED82D5">
                  <w:pPr>
                    <w:widowControl/>
                    <w:spacing w:line="240" w:lineRule="auto"/>
                    <w:ind w:firstLine="0" w:firstLineChars="0"/>
                    <w:jc w:val="center"/>
                    <w:textAlignment w:val="center"/>
                    <w:rPr>
                      <w:rFonts w:cs="Times New Roman"/>
                      <w:sz w:val="18"/>
                    </w:rPr>
                  </w:pPr>
                  <w:r>
                    <w:rPr>
                      <w:rFonts w:cs="Times New Roman"/>
                      <w:kern w:val="0"/>
                      <w:sz w:val="18"/>
                      <w:lang w:bidi="ar"/>
                    </w:rPr>
                    <w:t>浓度mg/m</w:t>
                  </w:r>
                  <w:r>
                    <w:rPr>
                      <w:rFonts w:cs="Times New Roman"/>
                      <w:vertAlign w:val="superscript"/>
                      <w:lang w:bidi="ar"/>
                    </w:rPr>
                    <w:t>3</w:t>
                  </w:r>
                </w:p>
              </w:tc>
              <w:tc>
                <w:tcPr>
                  <w:tcW w:w="846" w:type="pct"/>
                  <w:gridSpan w:val="2"/>
                  <w:tcBorders>
                    <w:top w:val="single" w:color="auto" w:sz="4" w:space="0"/>
                    <w:left w:val="nil"/>
                    <w:bottom w:val="single" w:color="auto" w:sz="4" w:space="0"/>
                    <w:right w:val="single" w:color="auto" w:sz="4" w:space="0"/>
                  </w:tcBorders>
                  <w:vAlign w:val="center"/>
                </w:tcPr>
                <w:p w14:paraId="3AC0E7D7">
                  <w:pPr>
                    <w:widowControl/>
                    <w:spacing w:line="240" w:lineRule="auto"/>
                    <w:ind w:firstLine="0" w:firstLineChars="0"/>
                    <w:jc w:val="center"/>
                    <w:textAlignment w:val="center"/>
                    <w:rPr>
                      <w:rFonts w:cs="Times New Roman"/>
                      <w:sz w:val="18"/>
                    </w:rPr>
                  </w:pPr>
                  <w:r>
                    <w:rPr>
                      <w:rFonts w:cs="Times New Roman"/>
                      <w:kern w:val="0"/>
                      <w:sz w:val="18"/>
                      <w:lang w:bidi="ar"/>
                    </w:rPr>
                    <w:t>产生量</w:t>
                  </w:r>
                </w:p>
              </w:tc>
              <w:tc>
                <w:tcPr>
                  <w:tcW w:w="476" w:type="pct"/>
                  <w:vMerge w:val="restart"/>
                  <w:tcBorders>
                    <w:top w:val="nil"/>
                    <w:left w:val="single" w:color="auto" w:sz="4" w:space="0"/>
                    <w:bottom w:val="single" w:color="auto" w:sz="4" w:space="0"/>
                    <w:right w:val="single" w:color="auto" w:sz="4" w:space="0"/>
                  </w:tcBorders>
                  <w:vAlign w:val="center"/>
                </w:tcPr>
                <w:p w14:paraId="158B015E">
                  <w:pPr>
                    <w:widowControl/>
                    <w:spacing w:line="240" w:lineRule="auto"/>
                    <w:ind w:firstLine="0" w:firstLineChars="0"/>
                    <w:jc w:val="center"/>
                    <w:textAlignment w:val="center"/>
                    <w:rPr>
                      <w:rFonts w:cs="Times New Roman"/>
                      <w:sz w:val="18"/>
                    </w:rPr>
                  </w:pPr>
                  <w:r>
                    <w:rPr>
                      <w:rFonts w:cs="Times New Roman"/>
                      <w:kern w:val="0"/>
                      <w:sz w:val="18"/>
                      <w:lang w:bidi="ar"/>
                    </w:rPr>
                    <w:t>末端治理</w:t>
                  </w:r>
                </w:p>
              </w:tc>
              <w:tc>
                <w:tcPr>
                  <w:tcW w:w="403" w:type="pct"/>
                  <w:vMerge w:val="restart"/>
                  <w:tcBorders>
                    <w:top w:val="nil"/>
                    <w:left w:val="single" w:color="auto" w:sz="4" w:space="0"/>
                    <w:bottom w:val="single" w:color="auto" w:sz="4" w:space="0"/>
                    <w:right w:val="single" w:color="auto" w:sz="4" w:space="0"/>
                  </w:tcBorders>
                  <w:vAlign w:val="center"/>
                </w:tcPr>
                <w:p w14:paraId="10C039F5">
                  <w:pPr>
                    <w:widowControl/>
                    <w:spacing w:line="240" w:lineRule="auto"/>
                    <w:ind w:firstLine="0" w:firstLineChars="0"/>
                    <w:jc w:val="center"/>
                    <w:textAlignment w:val="center"/>
                    <w:rPr>
                      <w:rFonts w:cs="Times New Roman"/>
                      <w:sz w:val="18"/>
                    </w:rPr>
                  </w:pPr>
                  <w:r>
                    <w:rPr>
                      <w:rFonts w:cs="Times New Roman"/>
                      <w:kern w:val="0"/>
                      <w:sz w:val="18"/>
                      <w:lang w:bidi="ar"/>
                    </w:rPr>
                    <w:t>收集率</w:t>
                  </w:r>
                </w:p>
              </w:tc>
              <w:tc>
                <w:tcPr>
                  <w:tcW w:w="405" w:type="pct"/>
                  <w:vMerge w:val="restart"/>
                  <w:tcBorders>
                    <w:top w:val="nil"/>
                    <w:left w:val="single" w:color="auto" w:sz="4" w:space="0"/>
                    <w:bottom w:val="single" w:color="auto" w:sz="4" w:space="0"/>
                    <w:right w:val="single" w:color="auto" w:sz="4" w:space="0"/>
                  </w:tcBorders>
                  <w:vAlign w:val="center"/>
                </w:tcPr>
                <w:p w14:paraId="397C386E">
                  <w:pPr>
                    <w:widowControl/>
                    <w:spacing w:line="240" w:lineRule="auto"/>
                    <w:ind w:firstLine="0" w:firstLineChars="0"/>
                    <w:jc w:val="center"/>
                    <w:textAlignment w:val="center"/>
                    <w:rPr>
                      <w:rFonts w:cs="Times New Roman"/>
                      <w:sz w:val="18"/>
                    </w:rPr>
                  </w:pPr>
                  <w:r>
                    <w:rPr>
                      <w:rFonts w:cs="Times New Roman"/>
                      <w:kern w:val="0"/>
                      <w:sz w:val="18"/>
                      <w:lang w:bidi="ar"/>
                    </w:rPr>
                    <w:t>去除率</w:t>
                  </w:r>
                </w:p>
              </w:tc>
              <w:tc>
                <w:tcPr>
                  <w:tcW w:w="405" w:type="pct"/>
                  <w:vMerge w:val="restart"/>
                  <w:tcBorders>
                    <w:top w:val="nil"/>
                    <w:left w:val="single" w:color="auto" w:sz="4" w:space="0"/>
                    <w:bottom w:val="single" w:color="auto" w:sz="4" w:space="0"/>
                    <w:right w:val="single" w:color="auto" w:sz="4" w:space="0"/>
                  </w:tcBorders>
                  <w:vAlign w:val="center"/>
                </w:tcPr>
                <w:p w14:paraId="6D8DB84A">
                  <w:pPr>
                    <w:widowControl/>
                    <w:spacing w:line="240" w:lineRule="auto"/>
                    <w:ind w:firstLine="0" w:firstLineChars="0"/>
                    <w:jc w:val="center"/>
                    <w:textAlignment w:val="center"/>
                    <w:rPr>
                      <w:rFonts w:cs="Times New Roman"/>
                      <w:sz w:val="18"/>
                    </w:rPr>
                  </w:pPr>
                  <w:r>
                    <w:rPr>
                      <w:rFonts w:cs="Times New Roman"/>
                      <w:kern w:val="0"/>
                      <w:sz w:val="18"/>
                      <w:lang w:bidi="ar"/>
                    </w:rPr>
                    <w:t>风量m</w:t>
                  </w:r>
                  <w:r>
                    <w:rPr>
                      <w:rFonts w:cs="Times New Roman"/>
                      <w:vertAlign w:val="superscript"/>
                      <w:lang w:bidi="ar"/>
                    </w:rPr>
                    <w:t>3</w:t>
                  </w:r>
                  <w:r>
                    <w:rPr>
                      <w:rFonts w:cs="Times New Roman"/>
                      <w:kern w:val="0"/>
                      <w:sz w:val="18"/>
                      <w:lang w:bidi="ar"/>
                    </w:rPr>
                    <w:t>/h</w:t>
                  </w:r>
                </w:p>
              </w:tc>
              <w:tc>
                <w:tcPr>
                  <w:tcW w:w="405" w:type="pct"/>
                  <w:vMerge w:val="restart"/>
                  <w:tcBorders>
                    <w:top w:val="nil"/>
                    <w:left w:val="single" w:color="auto" w:sz="4" w:space="0"/>
                    <w:bottom w:val="single" w:color="auto" w:sz="4" w:space="0"/>
                    <w:right w:val="single" w:color="auto" w:sz="4" w:space="0"/>
                  </w:tcBorders>
                  <w:vAlign w:val="center"/>
                </w:tcPr>
                <w:p w14:paraId="70E3D109">
                  <w:pPr>
                    <w:widowControl/>
                    <w:spacing w:line="240" w:lineRule="auto"/>
                    <w:ind w:firstLine="0" w:firstLineChars="0"/>
                    <w:jc w:val="center"/>
                    <w:textAlignment w:val="center"/>
                    <w:rPr>
                      <w:rFonts w:cs="Times New Roman"/>
                      <w:sz w:val="18"/>
                    </w:rPr>
                  </w:pPr>
                  <w:r>
                    <w:rPr>
                      <w:rFonts w:cs="Times New Roman"/>
                      <w:kern w:val="0"/>
                      <w:sz w:val="18"/>
                      <w:lang w:bidi="ar"/>
                    </w:rPr>
                    <w:t>浓度mg/m</w:t>
                  </w:r>
                  <w:r>
                    <w:rPr>
                      <w:rFonts w:cs="Times New Roman"/>
                      <w:vertAlign w:val="superscript"/>
                      <w:lang w:bidi="ar"/>
                    </w:rPr>
                    <w:t>3</w:t>
                  </w:r>
                </w:p>
              </w:tc>
              <w:tc>
                <w:tcPr>
                  <w:tcW w:w="812" w:type="pct"/>
                  <w:gridSpan w:val="2"/>
                  <w:tcBorders>
                    <w:top w:val="single" w:color="auto" w:sz="4" w:space="0"/>
                    <w:left w:val="nil"/>
                    <w:bottom w:val="single" w:color="auto" w:sz="4" w:space="0"/>
                    <w:right w:val="single" w:color="auto" w:sz="4" w:space="0"/>
                  </w:tcBorders>
                  <w:vAlign w:val="center"/>
                </w:tcPr>
                <w:p w14:paraId="6ED744AC">
                  <w:pPr>
                    <w:widowControl/>
                    <w:spacing w:line="240" w:lineRule="auto"/>
                    <w:ind w:firstLine="0" w:firstLineChars="0"/>
                    <w:jc w:val="center"/>
                    <w:textAlignment w:val="center"/>
                    <w:rPr>
                      <w:rFonts w:cs="Times New Roman"/>
                      <w:sz w:val="18"/>
                    </w:rPr>
                  </w:pPr>
                  <w:r>
                    <w:rPr>
                      <w:rFonts w:cs="Times New Roman"/>
                      <w:kern w:val="0"/>
                      <w:sz w:val="18"/>
                      <w:lang w:bidi="ar"/>
                    </w:rPr>
                    <w:t>排放量kg/h</w:t>
                  </w:r>
                </w:p>
              </w:tc>
            </w:tr>
            <w:tr w14:paraId="4FF7E249">
              <w:trPr>
                <w:trHeight w:val="288" w:hRule="atLeast"/>
              </w:trPr>
              <w:tc>
                <w:tcPr>
                  <w:tcW w:w="405" w:type="pct"/>
                  <w:vMerge w:val="continue"/>
                  <w:tcBorders>
                    <w:top w:val="single" w:color="auto" w:sz="4" w:space="0"/>
                    <w:left w:val="single" w:color="auto" w:sz="4" w:space="0"/>
                    <w:bottom w:val="single" w:color="auto" w:sz="4" w:space="0"/>
                    <w:right w:val="single" w:color="auto" w:sz="4" w:space="0"/>
                  </w:tcBorders>
                  <w:vAlign w:val="center"/>
                </w:tcPr>
                <w:p w14:paraId="66922972">
                  <w:pPr>
                    <w:widowControl/>
                    <w:spacing w:line="240" w:lineRule="auto"/>
                    <w:ind w:firstLine="0" w:firstLineChars="0"/>
                    <w:jc w:val="center"/>
                    <w:rPr>
                      <w:rFonts w:cs="Times New Roman"/>
                      <w:sz w:val="18"/>
                    </w:rPr>
                  </w:pPr>
                </w:p>
              </w:tc>
              <w:tc>
                <w:tcPr>
                  <w:tcW w:w="436" w:type="pct"/>
                  <w:vMerge w:val="continue"/>
                  <w:tcBorders>
                    <w:top w:val="single" w:color="auto" w:sz="4" w:space="0"/>
                    <w:left w:val="single" w:color="auto" w:sz="4" w:space="0"/>
                    <w:bottom w:val="single" w:color="auto" w:sz="4" w:space="0"/>
                    <w:right w:val="single" w:color="auto" w:sz="4" w:space="0"/>
                  </w:tcBorders>
                  <w:vAlign w:val="center"/>
                </w:tcPr>
                <w:p w14:paraId="104CE8DD">
                  <w:pPr>
                    <w:widowControl/>
                    <w:spacing w:line="240" w:lineRule="auto"/>
                    <w:ind w:firstLine="0" w:firstLineChars="0"/>
                    <w:jc w:val="center"/>
                    <w:rPr>
                      <w:rFonts w:cs="Times New Roman"/>
                      <w:sz w:val="18"/>
                    </w:rPr>
                  </w:pPr>
                </w:p>
              </w:tc>
              <w:tc>
                <w:tcPr>
                  <w:tcW w:w="404" w:type="pct"/>
                  <w:vMerge w:val="continue"/>
                  <w:tcBorders>
                    <w:top w:val="nil"/>
                    <w:left w:val="single" w:color="auto" w:sz="4" w:space="0"/>
                    <w:bottom w:val="single" w:color="auto" w:sz="4" w:space="0"/>
                    <w:right w:val="single" w:color="auto" w:sz="4" w:space="0"/>
                  </w:tcBorders>
                  <w:vAlign w:val="center"/>
                </w:tcPr>
                <w:p w14:paraId="718E0FB8">
                  <w:pPr>
                    <w:widowControl/>
                    <w:spacing w:line="240" w:lineRule="auto"/>
                    <w:ind w:firstLine="0" w:firstLineChars="0"/>
                    <w:jc w:val="center"/>
                    <w:rPr>
                      <w:rFonts w:cs="Times New Roman"/>
                      <w:sz w:val="18"/>
                    </w:rPr>
                  </w:pPr>
                </w:p>
              </w:tc>
              <w:tc>
                <w:tcPr>
                  <w:tcW w:w="437" w:type="pct"/>
                  <w:tcBorders>
                    <w:top w:val="nil"/>
                    <w:left w:val="nil"/>
                    <w:bottom w:val="single" w:color="auto" w:sz="4" w:space="0"/>
                    <w:right w:val="single" w:color="auto" w:sz="4" w:space="0"/>
                  </w:tcBorders>
                  <w:vAlign w:val="center"/>
                </w:tcPr>
                <w:p w14:paraId="71FDF0D7">
                  <w:pPr>
                    <w:widowControl/>
                    <w:spacing w:line="240" w:lineRule="auto"/>
                    <w:ind w:firstLine="0" w:firstLineChars="0"/>
                    <w:jc w:val="center"/>
                    <w:textAlignment w:val="center"/>
                    <w:rPr>
                      <w:rFonts w:cs="Times New Roman"/>
                      <w:sz w:val="18"/>
                    </w:rPr>
                  </w:pPr>
                  <w:r>
                    <w:rPr>
                      <w:rFonts w:cs="Times New Roman"/>
                      <w:kern w:val="0"/>
                      <w:sz w:val="18"/>
                      <w:lang w:bidi="ar"/>
                    </w:rPr>
                    <w:t>kg/h</w:t>
                  </w:r>
                </w:p>
              </w:tc>
              <w:tc>
                <w:tcPr>
                  <w:tcW w:w="409" w:type="pct"/>
                  <w:tcBorders>
                    <w:top w:val="nil"/>
                    <w:left w:val="nil"/>
                    <w:bottom w:val="single" w:color="auto" w:sz="4" w:space="0"/>
                    <w:right w:val="single" w:color="auto" w:sz="4" w:space="0"/>
                  </w:tcBorders>
                  <w:vAlign w:val="center"/>
                </w:tcPr>
                <w:p w14:paraId="360D50A2">
                  <w:pPr>
                    <w:widowControl/>
                    <w:spacing w:line="240" w:lineRule="auto"/>
                    <w:ind w:firstLine="0" w:firstLineChars="0"/>
                    <w:jc w:val="center"/>
                    <w:textAlignment w:val="center"/>
                    <w:rPr>
                      <w:rFonts w:cs="Times New Roman"/>
                      <w:sz w:val="18"/>
                    </w:rPr>
                  </w:pPr>
                  <w:r>
                    <w:rPr>
                      <w:rFonts w:cs="Times New Roman"/>
                      <w:kern w:val="0"/>
                      <w:sz w:val="18"/>
                      <w:lang w:bidi="ar"/>
                    </w:rPr>
                    <w:t>t/a</w:t>
                  </w:r>
                </w:p>
              </w:tc>
              <w:tc>
                <w:tcPr>
                  <w:tcW w:w="476" w:type="pct"/>
                  <w:vMerge w:val="continue"/>
                  <w:tcBorders>
                    <w:top w:val="nil"/>
                    <w:left w:val="single" w:color="auto" w:sz="4" w:space="0"/>
                    <w:bottom w:val="single" w:color="auto" w:sz="4" w:space="0"/>
                    <w:right w:val="single" w:color="auto" w:sz="4" w:space="0"/>
                  </w:tcBorders>
                  <w:vAlign w:val="center"/>
                </w:tcPr>
                <w:p w14:paraId="37DB1950">
                  <w:pPr>
                    <w:widowControl/>
                    <w:spacing w:line="240" w:lineRule="auto"/>
                    <w:ind w:firstLine="0" w:firstLineChars="0"/>
                    <w:jc w:val="center"/>
                    <w:rPr>
                      <w:rFonts w:cs="Times New Roman"/>
                      <w:sz w:val="18"/>
                    </w:rPr>
                  </w:pPr>
                </w:p>
              </w:tc>
              <w:tc>
                <w:tcPr>
                  <w:tcW w:w="403" w:type="pct"/>
                  <w:vMerge w:val="continue"/>
                  <w:tcBorders>
                    <w:top w:val="nil"/>
                    <w:left w:val="single" w:color="auto" w:sz="4" w:space="0"/>
                    <w:bottom w:val="single" w:color="auto" w:sz="4" w:space="0"/>
                    <w:right w:val="single" w:color="auto" w:sz="4" w:space="0"/>
                  </w:tcBorders>
                  <w:vAlign w:val="center"/>
                </w:tcPr>
                <w:p w14:paraId="6B66F052">
                  <w:pPr>
                    <w:widowControl/>
                    <w:spacing w:line="240" w:lineRule="auto"/>
                    <w:ind w:firstLine="0" w:firstLineChars="0"/>
                    <w:jc w:val="center"/>
                    <w:rPr>
                      <w:rFonts w:cs="Times New Roman"/>
                      <w:sz w:val="18"/>
                    </w:rPr>
                  </w:pPr>
                </w:p>
              </w:tc>
              <w:tc>
                <w:tcPr>
                  <w:tcW w:w="405" w:type="pct"/>
                  <w:vMerge w:val="continue"/>
                  <w:tcBorders>
                    <w:top w:val="nil"/>
                    <w:left w:val="single" w:color="auto" w:sz="4" w:space="0"/>
                    <w:bottom w:val="single" w:color="auto" w:sz="4" w:space="0"/>
                    <w:right w:val="single" w:color="auto" w:sz="4" w:space="0"/>
                  </w:tcBorders>
                  <w:vAlign w:val="center"/>
                </w:tcPr>
                <w:p w14:paraId="671E66F5">
                  <w:pPr>
                    <w:widowControl/>
                    <w:spacing w:line="240" w:lineRule="auto"/>
                    <w:ind w:firstLine="0" w:firstLineChars="0"/>
                    <w:jc w:val="center"/>
                    <w:rPr>
                      <w:rFonts w:cs="Times New Roman"/>
                      <w:sz w:val="18"/>
                    </w:rPr>
                  </w:pPr>
                </w:p>
              </w:tc>
              <w:tc>
                <w:tcPr>
                  <w:tcW w:w="405" w:type="pct"/>
                  <w:vMerge w:val="continue"/>
                  <w:tcBorders>
                    <w:top w:val="nil"/>
                    <w:left w:val="single" w:color="auto" w:sz="4" w:space="0"/>
                    <w:bottom w:val="single" w:color="auto" w:sz="4" w:space="0"/>
                    <w:right w:val="single" w:color="auto" w:sz="4" w:space="0"/>
                  </w:tcBorders>
                  <w:vAlign w:val="center"/>
                </w:tcPr>
                <w:p w14:paraId="1460B7DF">
                  <w:pPr>
                    <w:widowControl/>
                    <w:spacing w:line="240" w:lineRule="auto"/>
                    <w:ind w:firstLine="0" w:firstLineChars="0"/>
                    <w:jc w:val="center"/>
                    <w:rPr>
                      <w:rFonts w:cs="Times New Roman"/>
                      <w:sz w:val="18"/>
                    </w:rPr>
                  </w:pPr>
                </w:p>
              </w:tc>
              <w:tc>
                <w:tcPr>
                  <w:tcW w:w="405" w:type="pct"/>
                  <w:vMerge w:val="continue"/>
                  <w:tcBorders>
                    <w:top w:val="nil"/>
                    <w:left w:val="single" w:color="auto" w:sz="4" w:space="0"/>
                    <w:bottom w:val="single" w:color="auto" w:sz="4" w:space="0"/>
                    <w:right w:val="single" w:color="auto" w:sz="4" w:space="0"/>
                  </w:tcBorders>
                  <w:vAlign w:val="center"/>
                </w:tcPr>
                <w:p w14:paraId="5D7AAAF2">
                  <w:pPr>
                    <w:widowControl/>
                    <w:spacing w:line="240" w:lineRule="auto"/>
                    <w:ind w:firstLine="0" w:firstLineChars="0"/>
                    <w:jc w:val="center"/>
                    <w:rPr>
                      <w:rFonts w:cs="Times New Roman"/>
                      <w:sz w:val="18"/>
                    </w:rPr>
                  </w:pPr>
                </w:p>
              </w:tc>
              <w:tc>
                <w:tcPr>
                  <w:tcW w:w="403" w:type="pct"/>
                  <w:tcBorders>
                    <w:top w:val="nil"/>
                    <w:left w:val="nil"/>
                    <w:bottom w:val="single" w:color="auto" w:sz="4" w:space="0"/>
                    <w:right w:val="single" w:color="auto" w:sz="4" w:space="0"/>
                  </w:tcBorders>
                  <w:vAlign w:val="center"/>
                </w:tcPr>
                <w:p w14:paraId="45FCE3F3">
                  <w:pPr>
                    <w:widowControl/>
                    <w:spacing w:line="240" w:lineRule="auto"/>
                    <w:ind w:firstLine="0" w:firstLineChars="0"/>
                    <w:jc w:val="center"/>
                    <w:textAlignment w:val="center"/>
                    <w:rPr>
                      <w:rFonts w:cs="Times New Roman"/>
                      <w:sz w:val="18"/>
                    </w:rPr>
                  </w:pPr>
                  <w:r>
                    <w:rPr>
                      <w:rFonts w:cs="Times New Roman"/>
                      <w:kern w:val="0"/>
                      <w:sz w:val="18"/>
                      <w:lang w:bidi="ar"/>
                    </w:rPr>
                    <w:t>kg/h</w:t>
                  </w:r>
                </w:p>
              </w:tc>
              <w:tc>
                <w:tcPr>
                  <w:tcW w:w="409" w:type="pct"/>
                  <w:tcBorders>
                    <w:top w:val="nil"/>
                    <w:left w:val="nil"/>
                    <w:bottom w:val="single" w:color="auto" w:sz="4" w:space="0"/>
                    <w:right w:val="single" w:color="auto" w:sz="4" w:space="0"/>
                  </w:tcBorders>
                  <w:vAlign w:val="center"/>
                </w:tcPr>
                <w:p w14:paraId="11C1B98C">
                  <w:pPr>
                    <w:widowControl/>
                    <w:spacing w:line="240" w:lineRule="auto"/>
                    <w:ind w:firstLine="0" w:firstLineChars="0"/>
                    <w:jc w:val="center"/>
                    <w:textAlignment w:val="center"/>
                    <w:rPr>
                      <w:rFonts w:cs="Times New Roman"/>
                      <w:sz w:val="18"/>
                    </w:rPr>
                  </w:pPr>
                  <w:r>
                    <w:rPr>
                      <w:rFonts w:cs="Times New Roman"/>
                      <w:kern w:val="0"/>
                      <w:sz w:val="18"/>
                      <w:lang w:bidi="ar"/>
                    </w:rPr>
                    <w:t>t/a</w:t>
                  </w:r>
                </w:p>
              </w:tc>
            </w:tr>
            <w:tr w14:paraId="49D9E6F7">
              <w:trPr>
                <w:trHeight w:val="276" w:hRule="atLeast"/>
              </w:trPr>
              <w:tc>
                <w:tcPr>
                  <w:tcW w:w="405" w:type="pct"/>
                  <w:tcBorders>
                    <w:top w:val="nil"/>
                    <w:left w:val="single" w:color="auto" w:sz="4" w:space="0"/>
                    <w:bottom w:val="single" w:color="auto" w:sz="4" w:space="0"/>
                    <w:right w:val="single" w:color="auto" w:sz="4" w:space="0"/>
                  </w:tcBorders>
                  <w:noWrap/>
                  <w:vAlign w:val="center"/>
                </w:tcPr>
                <w:p w14:paraId="73B0EDB9">
                  <w:pPr>
                    <w:widowControl/>
                    <w:spacing w:line="240" w:lineRule="auto"/>
                    <w:ind w:firstLine="0" w:firstLineChars="0"/>
                    <w:jc w:val="center"/>
                    <w:textAlignment w:val="center"/>
                    <w:rPr>
                      <w:rFonts w:cs="Times New Roman"/>
                      <w:sz w:val="18"/>
                    </w:rPr>
                  </w:pPr>
                  <w:r>
                    <w:rPr>
                      <w:rFonts w:cs="Times New Roman"/>
                      <w:kern w:val="0"/>
                      <w:sz w:val="18"/>
                      <w:lang w:bidi="ar"/>
                    </w:rPr>
                    <w:t>DA00</w:t>
                  </w:r>
                  <w:r>
                    <w:rPr>
                      <w:rFonts w:hint="eastAsia" w:cs="Times New Roman"/>
                      <w:kern w:val="0"/>
                      <w:sz w:val="18"/>
                      <w:lang w:bidi="ar"/>
                    </w:rPr>
                    <w:t>2</w:t>
                  </w:r>
                </w:p>
              </w:tc>
              <w:tc>
                <w:tcPr>
                  <w:tcW w:w="436" w:type="pct"/>
                  <w:tcBorders>
                    <w:top w:val="nil"/>
                    <w:left w:val="nil"/>
                    <w:bottom w:val="single" w:color="auto" w:sz="4" w:space="0"/>
                    <w:right w:val="single" w:color="auto" w:sz="4" w:space="0"/>
                  </w:tcBorders>
                  <w:vAlign w:val="center"/>
                </w:tcPr>
                <w:p w14:paraId="659CBEED">
                  <w:pPr>
                    <w:widowControl/>
                    <w:spacing w:line="240" w:lineRule="auto"/>
                    <w:ind w:firstLine="0" w:firstLineChars="0"/>
                    <w:jc w:val="center"/>
                    <w:textAlignment w:val="center"/>
                    <w:rPr>
                      <w:rFonts w:cs="Times New Roman"/>
                      <w:sz w:val="18"/>
                    </w:rPr>
                  </w:pPr>
                  <w:r>
                    <w:rPr>
                      <w:rFonts w:cs="Times New Roman"/>
                      <w:kern w:val="0"/>
                      <w:sz w:val="18"/>
                      <w:lang w:bidi="ar"/>
                    </w:rPr>
                    <w:t>颗粒物</w:t>
                  </w:r>
                </w:p>
              </w:tc>
              <w:tc>
                <w:tcPr>
                  <w:tcW w:w="404" w:type="pct"/>
                  <w:tcBorders>
                    <w:top w:val="nil"/>
                    <w:left w:val="nil"/>
                    <w:bottom w:val="single" w:color="auto" w:sz="4" w:space="0"/>
                    <w:right w:val="single" w:color="auto" w:sz="4" w:space="0"/>
                  </w:tcBorders>
                  <w:noWrap/>
                  <w:vAlign w:val="center"/>
                </w:tcPr>
                <w:p w14:paraId="49557984">
                  <w:pPr>
                    <w:widowControl/>
                    <w:spacing w:line="240" w:lineRule="auto"/>
                    <w:ind w:firstLine="0" w:firstLineChars="0"/>
                    <w:jc w:val="center"/>
                    <w:textAlignment w:val="center"/>
                    <w:rPr>
                      <w:rFonts w:cs="Times New Roman"/>
                      <w:sz w:val="18"/>
                    </w:rPr>
                  </w:pPr>
                  <w:r>
                    <w:rPr>
                      <w:rFonts w:hint="eastAsia" w:cs="Times New Roman"/>
                      <w:sz w:val="18"/>
                    </w:rPr>
                    <w:t>6.389</w:t>
                  </w:r>
                </w:p>
              </w:tc>
              <w:tc>
                <w:tcPr>
                  <w:tcW w:w="437" w:type="pct"/>
                  <w:tcBorders>
                    <w:top w:val="nil"/>
                    <w:left w:val="nil"/>
                    <w:bottom w:val="single" w:color="auto" w:sz="4" w:space="0"/>
                    <w:right w:val="single" w:color="auto" w:sz="4" w:space="0"/>
                  </w:tcBorders>
                  <w:vAlign w:val="center"/>
                </w:tcPr>
                <w:p w14:paraId="6F239A9C">
                  <w:pPr>
                    <w:widowControl/>
                    <w:spacing w:line="240" w:lineRule="auto"/>
                    <w:ind w:firstLine="0" w:firstLineChars="0"/>
                    <w:jc w:val="center"/>
                    <w:textAlignment w:val="center"/>
                    <w:rPr>
                      <w:rFonts w:cs="Times New Roman"/>
                      <w:sz w:val="18"/>
                    </w:rPr>
                  </w:pPr>
                  <w:r>
                    <w:rPr>
                      <w:rFonts w:hint="eastAsia" w:cs="Times New Roman"/>
                      <w:sz w:val="18"/>
                    </w:rPr>
                    <w:t>0.096</w:t>
                  </w:r>
                </w:p>
              </w:tc>
              <w:tc>
                <w:tcPr>
                  <w:tcW w:w="409" w:type="pct"/>
                  <w:tcBorders>
                    <w:top w:val="nil"/>
                    <w:left w:val="nil"/>
                    <w:bottom w:val="single" w:color="auto" w:sz="4" w:space="0"/>
                    <w:right w:val="single" w:color="auto" w:sz="4" w:space="0"/>
                  </w:tcBorders>
                  <w:vAlign w:val="center"/>
                </w:tcPr>
                <w:p w14:paraId="43EF54D3">
                  <w:pPr>
                    <w:widowControl/>
                    <w:spacing w:line="240" w:lineRule="auto"/>
                    <w:ind w:firstLine="0" w:firstLineChars="0"/>
                    <w:jc w:val="center"/>
                    <w:textAlignment w:val="center"/>
                    <w:rPr>
                      <w:rFonts w:cs="Times New Roman"/>
                      <w:sz w:val="18"/>
                    </w:rPr>
                  </w:pPr>
                  <w:r>
                    <w:rPr>
                      <w:rFonts w:hint="eastAsia" w:cs="Times New Roman"/>
                      <w:sz w:val="18"/>
                    </w:rPr>
                    <w:t>0.690</w:t>
                  </w:r>
                </w:p>
              </w:tc>
              <w:tc>
                <w:tcPr>
                  <w:tcW w:w="476" w:type="pct"/>
                  <w:tcBorders>
                    <w:top w:val="nil"/>
                    <w:left w:val="nil"/>
                    <w:bottom w:val="single" w:color="auto" w:sz="4" w:space="0"/>
                    <w:right w:val="single" w:color="auto" w:sz="4" w:space="0"/>
                  </w:tcBorders>
                  <w:noWrap/>
                  <w:vAlign w:val="center"/>
                </w:tcPr>
                <w:p w14:paraId="4F95E9C2">
                  <w:pPr>
                    <w:widowControl/>
                    <w:spacing w:line="240" w:lineRule="auto"/>
                    <w:ind w:firstLine="0" w:firstLineChars="0"/>
                    <w:jc w:val="center"/>
                    <w:textAlignment w:val="center"/>
                    <w:rPr>
                      <w:rFonts w:cs="Times New Roman"/>
                      <w:sz w:val="18"/>
                    </w:rPr>
                  </w:pPr>
                  <w:r>
                    <w:rPr>
                      <w:rFonts w:cs="Times New Roman"/>
                      <w:kern w:val="0"/>
                      <w:sz w:val="18"/>
                      <w:lang w:bidi="ar"/>
                    </w:rPr>
                    <w:t>滤筒除尘器</w:t>
                  </w:r>
                </w:p>
              </w:tc>
              <w:tc>
                <w:tcPr>
                  <w:tcW w:w="403" w:type="pct"/>
                  <w:tcBorders>
                    <w:top w:val="nil"/>
                    <w:left w:val="nil"/>
                    <w:bottom w:val="single" w:color="auto" w:sz="4" w:space="0"/>
                    <w:right w:val="single" w:color="auto" w:sz="4" w:space="0"/>
                  </w:tcBorders>
                  <w:noWrap/>
                  <w:vAlign w:val="center"/>
                </w:tcPr>
                <w:p w14:paraId="45359FC7">
                  <w:pPr>
                    <w:widowControl/>
                    <w:spacing w:line="240" w:lineRule="auto"/>
                    <w:ind w:firstLine="0" w:firstLineChars="0"/>
                    <w:jc w:val="center"/>
                    <w:textAlignment w:val="center"/>
                    <w:rPr>
                      <w:rFonts w:cs="Times New Roman"/>
                      <w:sz w:val="18"/>
                    </w:rPr>
                  </w:pPr>
                  <w:r>
                    <w:rPr>
                      <w:rFonts w:hint="eastAsia" w:cs="Times New Roman"/>
                      <w:kern w:val="0"/>
                      <w:sz w:val="18"/>
                      <w:lang w:bidi="ar"/>
                    </w:rPr>
                    <w:t>8</w:t>
                  </w:r>
                  <w:r>
                    <w:rPr>
                      <w:rFonts w:cs="Times New Roman"/>
                      <w:kern w:val="0"/>
                      <w:sz w:val="18"/>
                      <w:lang w:bidi="ar"/>
                    </w:rPr>
                    <w:t>0%</w:t>
                  </w:r>
                </w:p>
              </w:tc>
              <w:tc>
                <w:tcPr>
                  <w:tcW w:w="405" w:type="pct"/>
                  <w:tcBorders>
                    <w:top w:val="nil"/>
                    <w:left w:val="nil"/>
                    <w:bottom w:val="single" w:color="auto" w:sz="4" w:space="0"/>
                    <w:right w:val="single" w:color="auto" w:sz="4" w:space="0"/>
                  </w:tcBorders>
                  <w:noWrap/>
                  <w:vAlign w:val="center"/>
                </w:tcPr>
                <w:p w14:paraId="353F6924">
                  <w:pPr>
                    <w:widowControl/>
                    <w:spacing w:line="240" w:lineRule="auto"/>
                    <w:ind w:firstLine="0" w:firstLineChars="0"/>
                    <w:jc w:val="center"/>
                    <w:textAlignment w:val="center"/>
                    <w:rPr>
                      <w:rFonts w:cs="Times New Roman"/>
                      <w:sz w:val="18"/>
                    </w:rPr>
                  </w:pPr>
                  <w:r>
                    <w:rPr>
                      <w:rFonts w:cs="Times New Roman"/>
                      <w:kern w:val="0"/>
                      <w:sz w:val="18"/>
                      <w:lang w:bidi="ar"/>
                    </w:rPr>
                    <w:t>90%</w:t>
                  </w:r>
                </w:p>
              </w:tc>
              <w:tc>
                <w:tcPr>
                  <w:tcW w:w="405" w:type="pct"/>
                  <w:tcBorders>
                    <w:top w:val="nil"/>
                    <w:left w:val="nil"/>
                    <w:bottom w:val="single" w:color="auto" w:sz="4" w:space="0"/>
                    <w:right w:val="single" w:color="auto" w:sz="4" w:space="0"/>
                  </w:tcBorders>
                  <w:noWrap/>
                  <w:vAlign w:val="center"/>
                </w:tcPr>
                <w:p w14:paraId="5CB1475E">
                  <w:pPr>
                    <w:widowControl/>
                    <w:spacing w:line="240" w:lineRule="auto"/>
                    <w:ind w:firstLine="0" w:firstLineChars="0"/>
                    <w:jc w:val="center"/>
                    <w:textAlignment w:val="center"/>
                    <w:rPr>
                      <w:rFonts w:cs="Times New Roman"/>
                      <w:sz w:val="18"/>
                    </w:rPr>
                  </w:pPr>
                  <w:r>
                    <w:rPr>
                      <w:rFonts w:hint="eastAsia" w:cs="Times New Roman"/>
                      <w:kern w:val="0"/>
                      <w:sz w:val="18"/>
                      <w:lang w:bidi="ar"/>
                    </w:rPr>
                    <w:t>15</w:t>
                  </w:r>
                  <w:r>
                    <w:rPr>
                      <w:rFonts w:cs="Times New Roman"/>
                      <w:kern w:val="0"/>
                      <w:sz w:val="18"/>
                      <w:lang w:bidi="ar"/>
                    </w:rPr>
                    <w:t>000</w:t>
                  </w:r>
                </w:p>
              </w:tc>
              <w:tc>
                <w:tcPr>
                  <w:tcW w:w="405" w:type="pct"/>
                  <w:tcBorders>
                    <w:top w:val="nil"/>
                    <w:left w:val="nil"/>
                    <w:bottom w:val="single" w:color="auto" w:sz="4" w:space="0"/>
                    <w:right w:val="single" w:color="auto" w:sz="4" w:space="0"/>
                  </w:tcBorders>
                  <w:noWrap/>
                  <w:vAlign w:val="center"/>
                </w:tcPr>
                <w:p w14:paraId="180BD152">
                  <w:pPr>
                    <w:widowControl/>
                    <w:spacing w:line="240" w:lineRule="auto"/>
                    <w:ind w:firstLine="0" w:firstLineChars="0"/>
                    <w:jc w:val="center"/>
                    <w:textAlignment w:val="center"/>
                    <w:rPr>
                      <w:rFonts w:cs="Times New Roman"/>
                      <w:sz w:val="18"/>
                    </w:rPr>
                  </w:pPr>
                  <w:r>
                    <w:rPr>
                      <w:rFonts w:hint="eastAsia" w:cs="Times New Roman"/>
                      <w:sz w:val="18"/>
                    </w:rPr>
                    <w:t>0.544</w:t>
                  </w:r>
                </w:p>
              </w:tc>
              <w:tc>
                <w:tcPr>
                  <w:tcW w:w="403" w:type="pct"/>
                  <w:tcBorders>
                    <w:top w:val="nil"/>
                    <w:left w:val="nil"/>
                    <w:bottom w:val="single" w:color="auto" w:sz="4" w:space="0"/>
                    <w:right w:val="single" w:color="auto" w:sz="4" w:space="0"/>
                  </w:tcBorders>
                  <w:noWrap/>
                  <w:vAlign w:val="center"/>
                </w:tcPr>
                <w:p w14:paraId="1869E70C">
                  <w:pPr>
                    <w:widowControl/>
                    <w:spacing w:line="240" w:lineRule="auto"/>
                    <w:ind w:firstLine="0" w:firstLineChars="0"/>
                    <w:jc w:val="center"/>
                    <w:textAlignment w:val="center"/>
                    <w:rPr>
                      <w:rFonts w:cs="Times New Roman"/>
                      <w:sz w:val="18"/>
                    </w:rPr>
                  </w:pPr>
                  <w:r>
                    <w:rPr>
                      <w:rFonts w:hint="eastAsia" w:cs="Times New Roman"/>
                      <w:sz w:val="18"/>
                    </w:rPr>
                    <w:t>0.008</w:t>
                  </w:r>
                </w:p>
              </w:tc>
              <w:tc>
                <w:tcPr>
                  <w:tcW w:w="409" w:type="pct"/>
                  <w:tcBorders>
                    <w:top w:val="nil"/>
                    <w:left w:val="nil"/>
                    <w:bottom w:val="single" w:color="auto" w:sz="4" w:space="0"/>
                    <w:right w:val="single" w:color="auto" w:sz="4" w:space="0"/>
                  </w:tcBorders>
                  <w:vAlign w:val="center"/>
                </w:tcPr>
                <w:p w14:paraId="31D169F0">
                  <w:pPr>
                    <w:widowControl/>
                    <w:spacing w:line="240" w:lineRule="auto"/>
                    <w:ind w:firstLine="0" w:firstLineChars="0"/>
                    <w:jc w:val="center"/>
                    <w:textAlignment w:val="center"/>
                    <w:rPr>
                      <w:rFonts w:cs="Times New Roman"/>
                      <w:sz w:val="18"/>
                    </w:rPr>
                  </w:pPr>
                  <w:r>
                    <w:rPr>
                      <w:rFonts w:hint="eastAsia" w:cs="Times New Roman"/>
                      <w:sz w:val="18"/>
                    </w:rPr>
                    <w:t>0.055</w:t>
                  </w:r>
                </w:p>
              </w:tc>
            </w:tr>
            <w:tr w14:paraId="6D19230C">
              <w:trPr>
                <w:trHeight w:val="276" w:hRule="atLeast"/>
              </w:trPr>
              <w:tc>
                <w:tcPr>
                  <w:tcW w:w="405" w:type="pct"/>
                  <w:tcBorders>
                    <w:top w:val="nil"/>
                    <w:left w:val="single" w:color="auto" w:sz="4" w:space="0"/>
                    <w:bottom w:val="single" w:color="auto" w:sz="4" w:space="0"/>
                    <w:right w:val="single" w:color="auto" w:sz="4" w:space="0"/>
                  </w:tcBorders>
                  <w:vAlign w:val="center"/>
                </w:tcPr>
                <w:p w14:paraId="477E7636">
                  <w:pPr>
                    <w:widowControl/>
                    <w:spacing w:line="240" w:lineRule="auto"/>
                    <w:ind w:firstLine="0" w:firstLineChars="0"/>
                    <w:jc w:val="center"/>
                    <w:textAlignment w:val="center"/>
                    <w:rPr>
                      <w:rFonts w:cs="Times New Roman"/>
                      <w:sz w:val="18"/>
                    </w:rPr>
                  </w:pPr>
                  <w:r>
                    <w:rPr>
                      <w:rFonts w:cs="Times New Roman"/>
                      <w:kern w:val="0"/>
                      <w:sz w:val="18"/>
                      <w:lang w:bidi="ar"/>
                    </w:rPr>
                    <w:t>无组织</w:t>
                  </w:r>
                </w:p>
              </w:tc>
              <w:tc>
                <w:tcPr>
                  <w:tcW w:w="436" w:type="pct"/>
                  <w:tcBorders>
                    <w:top w:val="nil"/>
                    <w:left w:val="nil"/>
                    <w:bottom w:val="single" w:color="auto" w:sz="4" w:space="0"/>
                    <w:right w:val="single" w:color="auto" w:sz="4" w:space="0"/>
                  </w:tcBorders>
                  <w:vAlign w:val="center"/>
                </w:tcPr>
                <w:p w14:paraId="5989BF58">
                  <w:pPr>
                    <w:widowControl/>
                    <w:spacing w:line="240" w:lineRule="auto"/>
                    <w:ind w:firstLine="0" w:firstLineChars="0"/>
                    <w:jc w:val="center"/>
                    <w:textAlignment w:val="center"/>
                    <w:rPr>
                      <w:rFonts w:cs="Times New Roman"/>
                      <w:sz w:val="18"/>
                    </w:rPr>
                  </w:pPr>
                  <w:r>
                    <w:rPr>
                      <w:rFonts w:cs="Times New Roman"/>
                      <w:kern w:val="0"/>
                      <w:sz w:val="18"/>
                      <w:lang w:bidi="ar"/>
                    </w:rPr>
                    <w:t>颗粒物</w:t>
                  </w:r>
                </w:p>
              </w:tc>
              <w:tc>
                <w:tcPr>
                  <w:tcW w:w="404" w:type="pct"/>
                  <w:tcBorders>
                    <w:top w:val="nil"/>
                    <w:left w:val="nil"/>
                    <w:bottom w:val="single" w:color="auto" w:sz="4" w:space="0"/>
                    <w:right w:val="single" w:color="auto" w:sz="4" w:space="0"/>
                  </w:tcBorders>
                  <w:noWrap/>
                  <w:vAlign w:val="center"/>
                </w:tcPr>
                <w:p w14:paraId="147E88FC">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37" w:type="pct"/>
                  <w:tcBorders>
                    <w:top w:val="nil"/>
                    <w:left w:val="nil"/>
                    <w:bottom w:val="single" w:color="auto" w:sz="4" w:space="0"/>
                    <w:right w:val="single" w:color="auto" w:sz="4" w:space="0"/>
                  </w:tcBorders>
                  <w:vAlign w:val="center"/>
                </w:tcPr>
                <w:p w14:paraId="5559E23E">
                  <w:pPr>
                    <w:widowControl/>
                    <w:spacing w:line="240" w:lineRule="auto"/>
                    <w:ind w:firstLine="0" w:firstLineChars="0"/>
                    <w:jc w:val="center"/>
                    <w:textAlignment w:val="center"/>
                    <w:rPr>
                      <w:rFonts w:cs="Times New Roman"/>
                      <w:sz w:val="18"/>
                    </w:rPr>
                  </w:pPr>
                  <w:r>
                    <w:rPr>
                      <w:rFonts w:hint="eastAsia" w:cs="Times New Roman"/>
                      <w:sz w:val="18"/>
                    </w:rPr>
                    <w:t>0.019</w:t>
                  </w:r>
                </w:p>
              </w:tc>
              <w:tc>
                <w:tcPr>
                  <w:tcW w:w="409" w:type="pct"/>
                  <w:tcBorders>
                    <w:top w:val="nil"/>
                    <w:left w:val="nil"/>
                    <w:bottom w:val="single" w:color="auto" w:sz="4" w:space="0"/>
                    <w:right w:val="single" w:color="auto" w:sz="4" w:space="0"/>
                  </w:tcBorders>
                  <w:vAlign w:val="center"/>
                </w:tcPr>
                <w:p w14:paraId="7449554A">
                  <w:pPr>
                    <w:widowControl/>
                    <w:spacing w:line="240" w:lineRule="auto"/>
                    <w:ind w:firstLine="0" w:firstLineChars="0"/>
                    <w:jc w:val="center"/>
                    <w:textAlignment w:val="center"/>
                    <w:rPr>
                      <w:rFonts w:cs="Times New Roman"/>
                      <w:sz w:val="18"/>
                    </w:rPr>
                  </w:pPr>
                  <w:r>
                    <w:rPr>
                      <w:rFonts w:hint="eastAsia" w:cs="Times New Roman"/>
                      <w:sz w:val="18"/>
                    </w:rPr>
                    <w:t>0.138</w:t>
                  </w:r>
                </w:p>
              </w:tc>
              <w:tc>
                <w:tcPr>
                  <w:tcW w:w="476" w:type="pct"/>
                  <w:tcBorders>
                    <w:top w:val="nil"/>
                    <w:left w:val="nil"/>
                    <w:bottom w:val="single" w:color="auto" w:sz="4" w:space="0"/>
                    <w:right w:val="single" w:color="auto" w:sz="4" w:space="0"/>
                  </w:tcBorders>
                  <w:noWrap/>
                  <w:vAlign w:val="center"/>
                </w:tcPr>
                <w:p w14:paraId="3C59DFE2">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03" w:type="pct"/>
                  <w:tcBorders>
                    <w:top w:val="nil"/>
                    <w:left w:val="nil"/>
                    <w:bottom w:val="single" w:color="auto" w:sz="4" w:space="0"/>
                    <w:right w:val="single" w:color="auto" w:sz="4" w:space="0"/>
                  </w:tcBorders>
                  <w:noWrap/>
                  <w:vAlign w:val="center"/>
                </w:tcPr>
                <w:p w14:paraId="5EEEBF6F">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05" w:type="pct"/>
                  <w:tcBorders>
                    <w:top w:val="nil"/>
                    <w:left w:val="nil"/>
                    <w:bottom w:val="single" w:color="auto" w:sz="4" w:space="0"/>
                    <w:right w:val="single" w:color="auto" w:sz="4" w:space="0"/>
                  </w:tcBorders>
                  <w:noWrap/>
                  <w:vAlign w:val="center"/>
                </w:tcPr>
                <w:p w14:paraId="0832F978">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05" w:type="pct"/>
                  <w:tcBorders>
                    <w:top w:val="nil"/>
                    <w:left w:val="nil"/>
                    <w:bottom w:val="single" w:color="auto" w:sz="4" w:space="0"/>
                    <w:right w:val="single" w:color="auto" w:sz="4" w:space="0"/>
                  </w:tcBorders>
                  <w:noWrap/>
                  <w:vAlign w:val="center"/>
                </w:tcPr>
                <w:p w14:paraId="2699128A">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05" w:type="pct"/>
                  <w:tcBorders>
                    <w:top w:val="nil"/>
                    <w:left w:val="nil"/>
                    <w:bottom w:val="single" w:color="auto" w:sz="4" w:space="0"/>
                    <w:right w:val="single" w:color="auto" w:sz="4" w:space="0"/>
                  </w:tcBorders>
                  <w:noWrap/>
                  <w:vAlign w:val="center"/>
                </w:tcPr>
                <w:p w14:paraId="5968F679">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1033" w:type="dxa"/>
                  <w:tcBorders>
                    <w:top w:val="nil"/>
                    <w:left w:val="nil"/>
                    <w:bottom w:val="single" w:color="auto" w:sz="4" w:space="0"/>
                    <w:right w:val="single" w:color="auto" w:sz="4" w:space="0"/>
                  </w:tcBorders>
                  <w:noWrap/>
                  <w:vAlign w:val="center"/>
                </w:tcPr>
                <w:p w14:paraId="2AC45E98">
                  <w:pPr>
                    <w:widowControl/>
                    <w:spacing w:line="240" w:lineRule="auto"/>
                    <w:ind w:firstLine="0" w:firstLineChars="0"/>
                    <w:jc w:val="center"/>
                    <w:textAlignment w:val="center"/>
                    <w:rPr>
                      <w:rFonts w:cs="Times New Roman"/>
                      <w:sz w:val="18"/>
                    </w:rPr>
                  </w:pPr>
                  <w:r>
                    <w:rPr>
                      <w:rFonts w:hint="eastAsia" w:cs="Times New Roman"/>
                      <w:sz w:val="18"/>
                    </w:rPr>
                    <w:t>0.019</w:t>
                  </w:r>
                </w:p>
              </w:tc>
              <w:tc>
                <w:tcPr>
                  <w:tcW w:w="1048" w:type="dxa"/>
                  <w:tcBorders>
                    <w:top w:val="nil"/>
                    <w:left w:val="nil"/>
                    <w:bottom w:val="single" w:color="auto" w:sz="4" w:space="0"/>
                    <w:right w:val="single" w:color="auto" w:sz="4" w:space="0"/>
                  </w:tcBorders>
                  <w:vAlign w:val="center"/>
                </w:tcPr>
                <w:p w14:paraId="4A6DB081">
                  <w:pPr>
                    <w:widowControl/>
                    <w:spacing w:line="240" w:lineRule="auto"/>
                    <w:ind w:firstLine="0" w:firstLineChars="0"/>
                    <w:jc w:val="center"/>
                    <w:textAlignment w:val="center"/>
                    <w:rPr>
                      <w:rFonts w:cs="Times New Roman"/>
                      <w:sz w:val="18"/>
                    </w:rPr>
                  </w:pPr>
                  <w:r>
                    <w:rPr>
                      <w:rFonts w:hint="eastAsia" w:cs="Times New Roman"/>
                      <w:sz w:val="18"/>
                    </w:rPr>
                    <w:t>0.138</w:t>
                  </w:r>
                </w:p>
              </w:tc>
            </w:tr>
            <w:tr w14:paraId="1F7C6622">
              <w:trPr>
                <w:trHeight w:val="648" w:hRule="atLeast"/>
              </w:trPr>
              <w:tc>
                <w:tcPr>
                  <w:tcW w:w="405" w:type="pct"/>
                  <w:tcBorders>
                    <w:top w:val="nil"/>
                    <w:left w:val="single" w:color="auto" w:sz="4" w:space="0"/>
                    <w:bottom w:val="single" w:color="auto" w:sz="4" w:space="0"/>
                    <w:right w:val="single" w:color="auto" w:sz="4" w:space="0"/>
                  </w:tcBorders>
                  <w:noWrap/>
                  <w:vAlign w:val="center"/>
                </w:tcPr>
                <w:p w14:paraId="7862698F">
                  <w:pPr>
                    <w:widowControl/>
                    <w:spacing w:line="240" w:lineRule="auto"/>
                    <w:ind w:firstLine="0" w:firstLineChars="0"/>
                    <w:jc w:val="center"/>
                    <w:textAlignment w:val="center"/>
                    <w:rPr>
                      <w:rFonts w:cs="Times New Roman"/>
                      <w:sz w:val="18"/>
                    </w:rPr>
                  </w:pPr>
                  <w:r>
                    <w:rPr>
                      <w:rFonts w:cs="Times New Roman"/>
                      <w:kern w:val="0"/>
                      <w:sz w:val="18"/>
                      <w:lang w:bidi="ar"/>
                    </w:rPr>
                    <w:t>DA00</w:t>
                  </w:r>
                  <w:r>
                    <w:rPr>
                      <w:rFonts w:hint="eastAsia" w:cs="Times New Roman"/>
                      <w:kern w:val="0"/>
                      <w:sz w:val="18"/>
                      <w:lang w:bidi="ar"/>
                    </w:rPr>
                    <w:t>1</w:t>
                  </w:r>
                </w:p>
              </w:tc>
              <w:tc>
                <w:tcPr>
                  <w:tcW w:w="436" w:type="pct"/>
                  <w:tcBorders>
                    <w:top w:val="nil"/>
                    <w:left w:val="nil"/>
                    <w:bottom w:val="single" w:color="auto" w:sz="4" w:space="0"/>
                    <w:right w:val="single" w:color="auto" w:sz="4" w:space="0"/>
                  </w:tcBorders>
                  <w:vAlign w:val="center"/>
                </w:tcPr>
                <w:p w14:paraId="727889DC">
                  <w:pPr>
                    <w:widowControl/>
                    <w:spacing w:line="240" w:lineRule="auto"/>
                    <w:ind w:firstLine="0" w:firstLineChars="0"/>
                    <w:jc w:val="center"/>
                    <w:textAlignment w:val="center"/>
                    <w:rPr>
                      <w:rFonts w:cs="Times New Roman"/>
                      <w:sz w:val="18"/>
                    </w:rPr>
                  </w:pPr>
                  <w:r>
                    <w:rPr>
                      <w:rFonts w:cs="Times New Roman"/>
                      <w:kern w:val="0"/>
                      <w:sz w:val="18"/>
                      <w:lang w:bidi="ar"/>
                    </w:rPr>
                    <w:t>非甲烷总烃</w:t>
                  </w:r>
                </w:p>
              </w:tc>
              <w:tc>
                <w:tcPr>
                  <w:tcW w:w="404" w:type="pct"/>
                  <w:tcBorders>
                    <w:top w:val="nil"/>
                    <w:left w:val="nil"/>
                    <w:bottom w:val="single" w:color="auto" w:sz="4" w:space="0"/>
                    <w:right w:val="single" w:color="auto" w:sz="4" w:space="0"/>
                  </w:tcBorders>
                  <w:vAlign w:val="center"/>
                </w:tcPr>
                <w:p w14:paraId="154DA0F4">
                  <w:pPr>
                    <w:widowControl/>
                    <w:spacing w:line="240" w:lineRule="auto"/>
                    <w:ind w:firstLine="0" w:firstLineChars="0"/>
                    <w:jc w:val="center"/>
                    <w:textAlignment w:val="center"/>
                    <w:rPr>
                      <w:rFonts w:cs="Times New Roman"/>
                      <w:sz w:val="18"/>
                    </w:rPr>
                  </w:pPr>
                  <w:r>
                    <w:rPr>
                      <w:rFonts w:hint="eastAsia" w:cs="Times New Roman"/>
                      <w:sz w:val="18"/>
                    </w:rPr>
                    <w:t>23.076</w:t>
                  </w:r>
                </w:p>
              </w:tc>
              <w:tc>
                <w:tcPr>
                  <w:tcW w:w="437" w:type="pct"/>
                  <w:tcBorders>
                    <w:top w:val="nil"/>
                    <w:left w:val="nil"/>
                    <w:bottom w:val="single" w:color="auto" w:sz="4" w:space="0"/>
                    <w:right w:val="single" w:color="auto" w:sz="4" w:space="0"/>
                  </w:tcBorders>
                  <w:vAlign w:val="center"/>
                </w:tcPr>
                <w:p w14:paraId="5E2476FF">
                  <w:pPr>
                    <w:widowControl/>
                    <w:spacing w:line="240" w:lineRule="auto"/>
                    <w:ind w:firstLine="0" w:firstLineChars="0"/>
                    <w:jc w:val="center"/>
                    <w:textAlignment w:val="center"/>
                    <w:rPr>
                      <w:rFonts w:cs="Times New Roman"/>
                      <w:sz w:val="18"/>
                    </w:rPr>
                  </w:pPr>
                  <w:r>
                    <w:rPr>
                      <w:rFonts w:hint="eastAsia" w:cs="Times New Roman"/>
                      <w:sz w:val="18"/>
                    </w:rPr>
                    <w:t>0.554</w:t>
                  </w:r>
                </w:p>
              </w:tc>
              <w:tc>
                <w:tcPr>
                  <w:tcW w:w="409" w:type="pct"/>
                  <w:tcBorders>
                    <w:top w:val="nil"/>
                    <w:left w:val="nil"/>
                    <w:bottom w:val="single" w:color="auto" w:sz="4" w:space="0"/>
                    <w:right w:val="single" w:color="auto" w:sz="4" w:space="0"/>
                  </w:tcBorders>
                  <w:vAlign w:val="center"/>
                </w:tcPr>
                <w:p w14:paraId="37F603FB">
                  <w:pPr>
                    <w:widowControl/>
                    <w:spacing w:line="240" w:lineRule="auto"/>
                    <w:ind w:firstLine="0" w:firstLineChars="0"/>
                    <w:jc w:val="center"/>
                    <w:textAlignment w:val="center"/>
                    <w:rPr>
                      <w:rFonts w:cs="Times New Roman"/>
                      <w:sz w:val="18"/>
                    </w:rPr>
                  </w:pPr>
                  <w:r>
                    <w:rPr>
                      <w:rFonts w:hint="eastAsia" w:cs="Times New Roman"/>
                      <w:sz w:val="18"/>
                    </w:rPr>
                    <w:t>3.988</w:t>
                  </w:r>
                </w:p>
              </w:tc>
              <w:tc>
                <w:tcPr>
                  <w:tcW w:w="476" w:type="pct"/>
                  <w:tcBorders>
                    <w:top w:val="nil"/>
                    <w:left w:val="single" w:color="auto" w:sz="4" w:space="0"/>
                    <w:bottom w:val="single" w:color="000000" w:sz="4" w:space="0"/>
                    <w:right w:val="single" w:color="auto" w:sz="4" w:space="0"/>
                  </w:tcBorders>
                  <w:vAlign w:val="center"/>
                </w:tcPr>
                <w:p w14:paraId="74038ADF">
                  <w:pPr>
                    <w:widowControl/>
                    <w:spacing w:line="240" w:lineRule="auto"/>
                    <w:ind w:firstLine="0" w:firstLineChars="0"/>
                    <w:jc w:val="center"/>
                    <w:textAlignment w:val="center"/>
                    <w:rPr>
                      <w:rFonts w:cs="Times New Roman"/>
                      <w:sz w:val="18"/>
                    </w:rPr>
                  </w:pPr>
                  <w:r>
                    <w:rPr>
                      <w:rFonts w:cs="Times New Roman"/>
                      <w:kern w:val="0"/>
                      <w:sz w:val="18"/>
                      <w:lang w:bidi="ar"/>
                    </w:rPr>
                    <w:t>水喷淋+</w:t>
                  </w:r>
                  <w:r>
                    <w:rPr>
                      <w:rFonts w:hint="eastAsia" w:cs="Times New Roman"/>
                      <w:kern w:val="0"/>
                      <w:sz w:val="18"/>
                      <w:lang w:bidi="ar"/>
                    </w:rPr>
                    <w:t>水雾过滤器</w:t>
                  </w:r>
                  <w:r>
                    <w:rPr>
                      <w:rFonts w:cs="Times New Roman"/>
                      <w:kern w:val="0"/>
                      <w:sz w:val="18"/>
                      <w:lang w:bidi="ar"/>
                    </w:rPr>
                    <w:t>+活性炭吸附</w:t>
                  </w:r>
                </w:p>
              </w:tc>
              <w:tc>
                <w:tcPr>
                  <w:tcW w:w="403" w:type="pct"/>
                  <w:tcBorders>
                    <w:top w:val="nil"/>
                    <w:left w:val="single" w:color="auto" w:sz="4" w:space="0"/>
                    <w:bottom w:val="single" w:color="000000" w:sz="4" w:space="0"/>
                    <w:right w:val="single" w:color="auto" w:sz="4" w:space="0"/>
                  </w:tcBorders>
                  <w:noWrap/>
                  <w:vAlign w:val="center"/>
                </w:tcPr>
                <w:p w14:paraId="46F39348">
                  <w:pPr>
                    <w:widowControl/>
                    <w:spacing w:line="240" w:lineRule="auto"/>
                    <w:ind w:firstLine="0" w:firstLineChars="0"/>
                    <w:jc w:val="center"/>
                    <w:textAlignment w:val="center"/>
                    <w:rPr>
                      <w:rFonts w:cs="Times New Roman"/>
                      <w:sz w:val="18"/>
                    </w:rPr>
                  </w:pPr>
                  <w:r>
                    <w:rPr>
                      <w:rFonts w:cs="Times New Roman"/>
                      <w:kern w:val="0"/>
                      <w:sz w:val="18"/>
                      <w:lang w:bidi="ar"/>
                    </w:rPr>
                    <w:t>90%</w:t>
                  </w:r>
                </w:p>
              </w:tc>
              <w:tc>
                <w:tcPr>
                  <w:tcW w:w="405" w:type="pct"/>
                  <w:tcBorders>
                    <w:top w:val="nil"/>
                    <w:left w:val="single" w:color="auto" w:sz="4" w:space="0"/>
                    <w:bottom w:val="single" w:color="000000" w:sz="4" w:space="0"/>
                    <w:right w:val="single" w:color="auto" w:sz="4" w:space="0"/>
                  </w:tcBorders>
                  <w:noWrap/>
                  <w:vAlign w:val="center"/>
                </w:tcPr>
                <w:p w14:paraId="09661E2E">
                  <w:pPr>
                    <w:widowControl/>
                    <w:spacing w:line="240" w:lineRule="auto"/>
                    <w:ind w:firstLine="0" w:firstLineChars="0"/>
                    <w:jc w:val="center"/>
                    <w:textAlignment w:val="center"/>
                    <w:rPr>
                      <w:rFonts w:cs="Times New Roman"/>
                      <w:sz w:val="18"/>
                    </w:rPr>
                  </w:pPr>
                  <w:r>
                    <w:rPr>
                      <w:rFonts w:cs="Times New Roman"/>
                      <w:kern w:val="0"/>
                      <w:sz w:val="18"/>
                      <w:lang w:bidi="ar"/>
                    </w:rPr>
                    <w:t>90%</w:t>
                  </w:r>
                </w:p>
              </w:tc>
              <w:tc>
                <w:tcPr>
                  <w:tcW w:w="405" w:type="pct"/>
                  <w:tcBorders>
                    <w:top w:val="nil"/>
                    <w:left w:val="single" w:color="auto" w:sz="4" w:space="0"/>
                    <w:bottom w:val="single" w:color="000000" w:sz="4" w:space="0"/>
                    <w:right w:val="single" w:color="auto" w:sz="4" w:space="0"/>
                  </w:tcBorders>
                  <w:noWrap/>
                  <w:vAlign w:val="center"/>
                </w:tcPr>
                <w:p w14:paraId="2DA08934">
                  <w:pPr>
                    <w:widowControl/>
                    <w:spacing w:line="240" w:lineRule="auto"/>
                    <w:ind w:firstLine="0" w:firstLineChars="0"/>
                    <w:jc w:val="center"/>
                    <w:textAlignment w:val="center"/>
                    <w:rPr>
                      <w:rFonts w:cs="Times New Roman"/>
                      <w:sz w:val="18"/>
                    </w:rPr>
                  </w:pPr>
                  <w:r>
                    <w:rPr>
                      <w:rFonts w:cs="Times New Roman"/>
                      <w:kern w:val="0"/>
                      <w:sz w:val="18"/>
                      <w:lang w:bidi="ar"/>
                    </w:rPr>
                    <w:t>2</w:t>
                  </w:r>
                  <w:r>
                    <w:rPr>
                      <w:rFonts w:hint="eastAsia" w:cs="Times New Roman"/>
                      <w:kern w:val="0"/>
                      <w:sz w:val="18"/>
                      <w:lang w:bidi="ar"/>
                    </w:rPr>
                    <w:t>4</w:t>
                  </w:r>
                  <w:r>
                    <w:rPr>
                      <w:rFonts w:cs="Times New Roman"/>
                      <w:kern w:val="0"/>
                      <w:sz w:val="18"/>
                      <w:lang w:bidi="ar"/>
                    </w:rPr>
                    <w:t>000</w:t>
                  </w:r>
                </w:p>
              </w:tc>
              <w:tc>
                <w:tcPr>
                  <w:tcW w:w="405" w:type="pct"/>
                  <w:tcBorders>
                    <w:top w:val="nil"/>
                    <w:left w:val="nil"/>
                    <w:bottom w:val="single" w:color="auto" w:sz="4" w:space="0"/>
                    <w:right w:val="single" w:color="auto" w:sz="4" w:space="0"/>
                  </w:tcBorders>
                  <w:vAlign w:val="center"/>
                </w:tcPr>
                <w:p w14:paraId="02BC561A">
                  <w:pPr>
                    <w:widowControl/>
                    <w:spacing w:line="240" w:lineRule="auto"/>
                    <w:ind w:firstLine="0" w:firstLineChars="0"/>
                    <w:jc w:val="center"/>
                    <w:textAlignment w:val="center"/>
                    <w:rPr>
                      <w:rFonts w:cs="Times New Roman"/>
                      <w:sz w:val="18"/>
                    </w:rPr>
                  </w:pPr>
                  <w:r>
                    <w:rPr>
                      <w:rFonts w:hint="eastAsia" w:cs="Times New Roman"/>
                      <w:sz w:val="18"/>
                    </w:rPr>
                    <w:t>2.077</w:t>
                  </w:r>
                </w:p>
              </w:tc>
              <w:tc>
                <w:tcPr>
                  <w:tcW w:w="403" w:type="pct"/>
                  <w:tcBorders>
                    <w:top w:val="nil"/>
                    <w:left w:val="nil"/>
                    <w:bottom w:val="single" w:color="auto" w:sz="4" w:space="0"/>
                    <w:right w:val="single" w:color="auto" w:sz="4" w:space="0"/>
                  </w:tcBorders>
                  <w:noWrap/>
                  <w:vAlign w:val="center"/>
                </w:tcPr>
                <w:p w14:paraId="0E3FDE7E">
                  <w:pPr>
                    <w:widowControl/>
                    <w:spacing w:line="240" w:lineRule="auto"/>
                    <w:ind w:firstLine="0" w:firstLineChars="0"/>
                    <w:jc w:val="center"/>
                    <w:textAlignment w:val="center"/>
                    <w:rPr>
                      <w:rFonts w:cs="Times New Roman"/>
                      <w:sz w:val="18"/>
                    </w:rPr>
                  </w:pPr>
                  <w:r>
                    <w:rPr>
                      <w:rFonts w:hint="eastAsia" w:cs="Times New Roman"/>
                      <w:sz w:val="18"/>
                    </w:rPr>
                    <w:t>0.050</w:t>
                  </w:r>
                </w:p>
              </w:tc>
              <w:tc>
                <w:tcPr>
                  <w:tcW w:w="409" w:type="pct"/>
                  <w:tcBorders>
                    <w:top w:val="nil"/>
                    <w:left w:val="nil"/>
                    <w:bottom w:val="single" w:color="auto" w:sz="4" w:space="0"/>
                    <w:right w:val="single" w:color="auto" w:sz="4" w:space="0"/>
                  </w:tcBorders>
                  <w:vAlign w:val="center"/>
                </w:tcPr>
                <w:p w14:paraId="43474059">
                  <w:pPr>
                    <w:widowControl/>
                    <w:spacing w:line="240" w:lineRule="auto"/>
                    <w:ind w:firstLine="0" w:firstLineChars="0"/>
                    <w:jc w:val="center"/>
                    <w:textAlignment w:val="center"/>
                    <w:rPr>
                      <w:rFonts w:cs="Times New Roman"/>
                      <w:sz w:val="18"/>
                    </w:rPr>
                  </w:pPr>
                  <w:r>
                    <w:rPr>
                      <w:rFonts w:hint="eastAsia" w:cs="Times New Roman"/>
                      <w:sz w:val="18"/>
                    </w:rPr>
                    <w:t>0.359</w:t>
                  </w:r>
                </w:p>
              </w:tc>
            </w:tr>
            <w:tr w14:paraId="2D404463">
              <w:trPr>
                <w:trHeight w:val="276" w:hRule="atLeast"/>
              </w:trPr>
              <w:tc>
                <w:tcPr>
                  <w:tcW w:w="405" w:type="pct"/>
                  <w:tcBorders>
                    <w:top w:val="nil"/>
                    <w:left w:val="single" w:color="auto" w:sz="4" w:space="0"/>
                    <w:bottom w:val="single" w:color="000000" w:sz="4" w:space="0"/>
                    <w:right w:val="single" w:color="auto" w:sz="4" w:space="0"/>
                  </w:tcBorders>
                  <w:vAlign w:val="center"/>
                </w:tcPr>
                <w:p w14:paraId="0266EAFD">
                  <w:pPr>
                    <w:widowControl/>
                    <w:spacing w:line="240" w:lineRule="auto"/>
                    <w:ind w:firstLine="0" w:firstLineChars="0"/>
                    <w:jc w:val="center"/>
                    <w:textAlignment w:val="center"/>
                    <w:rPr>
                      <w:rFonts w:cs="Times New Roman"/>
                      <w:sz w:val="18"/>
                    </w:rPr>
                  </w:pPr>
                  <w:r>
                    <w:rPr>
                      <w:rFonts w:cs="Times New Roman"/>
                      <w:kern w:val="0"/>
                      <w:sz w:val="18"/>
                      <w:lang w:bidi="ar"/>
                    </w:rPr>
                    <w:t>无组织</w:t>
                  </w:r>
                </w:p>
              </w:tc>
              <w:tc>
                <w:tcPr>
                  <w:tcW w:w="436" w:type="pct"/>
                  <w:tcBorders>
                    <w:top w:val="nil"/>
                    <w:left w:val="nil"/>
                    <w:bottom w:val="single" w:color="auto" w:sz="4" w:space="0"/>
                    <w:right w:val="single" w:color="auto" w:sz="4" w:space="0"/>
                  </w:tcBorders>
                  <w:vAlign w:val="center"/>
                </w:tcPr>
                <w:p w14:paraId="4151AE12">
                  <w:pPr>
                    <w:widowControl/>
                    <w:spacing w:line="240" w:lineRule="auto"/>
                    <w:ind w:firstLine="0" w:firstLineChars="0"/>
                    <w:jc w:val="center"/>
                    <w:textAlignment w:val="center"/>
                    <w:rPr>
                      <w:rFonts w:cs="Times New Roman"/>
                      <w:sz w:val="18"/>
                    </w:rPr>
                  </w:pPr>
                  <w:r>
                    <w:rPr>
                      <w:rFonts w:cs="Times New Roman"/>
                      <w:kern w:val="0"/>
                      <w:sz w:val="18"/>
                      <w:lang w:bidi="ar"/>
                    </w:rPr>
                    <w:t>非甲烷总烃</w:t>
                  </w:r>
                </w:p>
              </w:tc>
              <w:tc>
                <w:tcPr>
                  <w:tcW w:w="404" w:type="pct"/>
                  <w:tcBorders>
                    <w:top w:val="nil"/>
                    <w:left w:val="nil"/>
                    <w:bottom w:val="single" w:color="auto" w:sz="4" w:space="0"/>
                    <w:right w:val="single" w:color="auto" w:sz="4" w:space="0"/>
                  </w:tcBorders>
                  <w:noWrap/>
                  <w:vAlign w:val="center"/>
                </w:tcPr>
                <w:p w14:paraId="758FD14A">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37" w:type="pct"/>
                  <w:tcBorders>
                    <w:top w:val="nil"/>
                    <w:left w:val="nil"/>
                    <w:bottom w:val="single" w:color="auto" w:sz="4" w:space="0"/>
                    <w:right w:val="single" w:color="auto" w:sz="4" w:space="0"/>
                  </w:tcBorders>
                  <w:vAlign w:val="center"/>
                </w:tcPr>
                <w:p w14:paraId="295CF22E">
                  <w:pPr>
                    <w:widowControl/>
                    <w:spacing w:line="240" w:lineRule="auto"/>
                    <w:ind w:firstLine="0" w:firstLineChars="0"/>
                    <w:jc w:val="center"/>
                    <w:textAlignment w:val="center"/>
                    <w:rPr>
                      <w:rFonts w:cs="Times New Roman"/>
                      <w:sz w:val="18"/>
                    </w:rPr>
                  </w:pPr>
                  <w:r>
                    <w:rPr>
                      <w:rFonts w:hint="eastAsia" w:cs="Times New Roman"/>
                      <w:sz w:val="18"/>
                    </w:rPr>
                    <w:t>0.055</w:t>
                  </w:r>
                </w:p>
              </w:tc>
              <w:tc>
                <w:tcPr>
                  <w:tcW w:w="409" w:type="pct"/>
                  <w:tcBorders>
                    <w:top w:val="nil"/>
                    <w:left w:val="nil"/>
                    <w:bottom w:val="single" w:color="auto" w:sz="4" w:space="0"/>
                    <w:right w:val="single" w:color="auto" w:sz="4" w:space="0"/>
                  </w:tcBorders>
                  <w:vAlign w:val="center"/>
                </w:tcPr>
                <w:p w14:paraId="6DC39092">
                  <w:pPr>
                    <w:widowControl/>
                    <w:spacing w:line="240" w:lineRule="auto"/>
                    <w:ind w:firstLine="0" w:firstLineChars="0"/>
                    <w:jc w:val="center"/>
                    <w:textAlignment w:val="center"/>
                    <w:rPr>
                      <w:rFonts w:cs="Times New Roman"/>
                      <w:sz w:val="18"/>
                    </w:rPr>
                  </w:pPr>
                  <w:r>
                    <w:rPr>
                      <w:rFonts w:hint="eastAsia" w:cs="Times New Roman"/>
                      <w:sz w:val="18"/>
                    </w:rPr>
                    <w:t>0.399</w:t>
                  </w:r>
                </w:p>
              </w:tc>
              <w:tc>
                <w:tcPr>
                  <w:tcW w:w="476" w:type="pct"/>
                  <w:tcBorders>
                    <w:top w:val="nil"/>
                    <w:left w:val="nil"/>
                    <w:bottom w:val="single" w:color="auto" w:sz="4" w:space="0"/>
                    <w:right w:val="single" w:color="auto" w:sz="4" w:space="0"/>
                  </w:tcBorders>
                  <w:noWrap/>
                  <w:vAlign w:val="center"/>
                </w:tcPr>
                <w:p w14:paraId="028E2448">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03" w:type="pct"/>
                  <w:tcBorders>
                    <w:top w:val="nil"/>
                    <w:left w:val="nil"/>
                    <w:bottom w:val="single" w:color="auto" w:sz="4" w:space="0"/>
                    <w:right w:val="single" w:color="auto" w:sz="4" w:space="0"/>
                  </w:tcBorders>
                  <w:noWrap/>
                  <w:vAlign w:val="center"/>
                </w:tcPr>
                <w:p w14:paraId="22129FB8">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05" w:type="pct"/>
                  <w:tcBorders>
                    <w:top w:val="nil"/>
                    <w:left w:val="nil"/>
                    <w:bottom w:val="single" w:color="auto" w:sz="4" w:space="0"/>
                    <w:right w:val="single" w:color="auto" w:sz="4" w:space="0"/>
                  </w:tcBorders>
                  <w:noWrap/>
                  <w:vAlign w:val="center"/>
                </w:tcPr>
                <w:p w14:paraId="3F862D36">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05" w:type="pct"/>
                  <w:tcBorders>
                    <w:top w:val="nil"/>
                    <w:left w:val="nil"/>
                    <w:bottom w:val="single" w:color="auto" w:sz="4" w:space="0"/>
                    <w:right w:val="single" w:color="auto" w:sz="4" w:space="0"/>
                  </w:tcBorders>
                  <w:noWrap/>
                  <w:vAlign w:val="center"/>
                </w:tcPr>
                <w:p w14:paraId="19815985">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405" w:type="pct"/>
                  <w:tcBorders>
                    <w:top w:val="nil"/>
                    <w:left w:val="nil"/>
                    <w:bottom w:val="single" w:color="auto" w:sz="4" w:space="0"/>
                    <w:right w:val="single" w:color="auto" w:sz="4" w:space="0"/>
                  </w:tcBorders>
                  <w:vAlign w:val="center"/>
                </w:tcPr>
                <w:p w14:paraId="1254022F">
                  <w:pPr>
                    <w:widowControl/>
                    <w:spacing w:line="240" w:lineRule="auto"/>
                    <w:ind w:firstLine="0" w:firstLineChars="0"/>
                    <w:jc w:val="center"/>
                    <w:textAlignment w:val="center"/>
                    <w:rPr>
                      <w:rFonts w:cs="Times New Roman"/>
                      <w:sz w:val="18"/>
                    </w:rPr>
                  </w:pPr>
                  <w:r>
                    <w:rPr>
                      <w:rFonts w:cs="Times New Roman"/>
                      <w:kern w:val="0"/>
                      <w:sz w:val="18"/>
                      <w:lang w:bidi="ar"/>
                    </w:rPr>
                    <w:t>/</w:t>
                  </w:r>
                </w:p>
              </w:tc>
              <w:tc>
                <w:tcPr>
                  <w:tcW w:w="1033" w:type="dxa"/>
                  <w:tcBorders>
                    <w:top w:val="nil"/>
                    <w:left w:val="nil"/>
                    <w:bottom w:val="single" w:color="auto" w:sz="4" w:space="0"/>
                    <w:right w:val="single" w:color="auto" w:sz="4" w:space="0"/>
                  </w:tcBorders>
                  <w:vAlign w:val="center"/>
                </w:tcPr>
                <w:p w14:paraId="3BE487C3">
                  <w:pPr>
                    <w:widowControl/>
                    <w:spacing w:line="240" w:lineRule="auto"/>
                    <w:ind w:firstLine="0" w:firstLineChars="0"/>
                    <w:jc w:val="center"/>
                    <w:textAlignment w:val="center"/>
                    <w:rPr>
                      <w:rFonts w:cs="Times New Roman"/>
                      <w:sz w:val="18"/>
                    </w:rPr>
                  </w:pPr>
                  <w:r>
                    <w:rPr>
                      <w:rFonts w:hint="eastAsia" w:cs="Times New Roman"/>
                      <w:sz w:val="18"/>
                    </w:rPr>
                    <w:t>0.055</w:t>
                  </w:r>
                </w:p>
              </w:tc>
              <w:tc>
                <w:tcPr>
                  <w:tcW w:w="1048" w:type="dxa"/>
                  <w:tcBorders>
                    <w:top w:val="nil"/>
                    <w:left w:val="nil"/>
                    <w:bottom w:val="single" w:color="auto" w:sz="4" w:space="0"/>
                    <w:right w:val="single" w:color="auto" w:sz="4" w:space="0"/>
                  </w:tcBorders>
                  <w:vAlign w:val="center"/>
                </w:tcPr>
                <w:p w14:paraId="493910A4">
                  <w:pPr>
                    <w:widowControl/>
                    <w:spacing w:line="240" w:lineRule="auto"/>
                    <w:ind w:firstLine="0" w:firstLineChars="0"/>
                    <w:jc w:val="center"/>
                    <w:textAlignment w:val="center"/>
                    <w:rPr>
                      <w:rFonts w:cs="Times New Roman"/>
                      <w:sz w:val="18"/>
                    </w:rPr>
                  </w:pPr>
                  <w:r>
                    <w:rPr>
                      <w:rFonts w:hint="eastAsia" w:cs="Times New Roman"/>
                      <w:sz w:val="18"/>
                    </w:rPr>
                    <w:t>0.399</w:t>
                  </w:r>
                </w:p>
              </w:tc>
            </w:tr>
          </w:tbl>
          <w:p w14:paraId="158C5785">
            <w:pPr>
              <w:pStyle w:val="14"/>
              <w:numPr>
                <w:ilvl w:val="0"/>
                <w:numId w:val="9"/>
              </w:numPr>
              <w:tabs>
                <w:tab w:val="clear" w:pos="0"/>
              </w:tabs>
              <w:spacing w:before="156"/>
            </w:pPr>
            <w:r>
              <w:rPr>
                <w:rFonts w:hint="eastAsia"/>
              </w:rPr>
              <w:t xml:space="preserve">  非正常工况废气产生及排放一览表</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6"/>
              <w:gridCol w:w="1772"/>
              <w:gridCol w:w="2574"/>
              <w:gridCol w:w="1775"/>
              <w:gridCol w:w="1921"/>
              <w:gridCol w:w="1570"/>
              <w:gridCol w:w="1570"/>
            </w:tblGrid>
            <w:tr w14:paraId="78A62222">
              <w:trPr>
                <w:trHeight w:val="432" w:hRule="atLeast"/>
                <w:jc w:val="center"/>
              </w:trPr>
              <w:tc>
                <w:tcPr>
                  <w:tcW w:w="631" w:type="pct"/>
                  <w:vMerge w:val="restart"/>
                  <w:noWrap/>
                  <w:vAlign w:val="center"/>
                </w:tcPr>
                <w:p w14:paraId="44063CB8">
                  <w:pPr>
                    <w:widowControl/>
                    <w:spacing w:line="240" w:lineRule="auto"/>
                    <w:ind w:firstLine="0" w:firstLineChars="0"/>
                    <w:jc w:val="center"/>
                    <w:rPr>
                      <w:rFonts w:cs="Times New Roman"/>
                      <w:sz w:val="18"/>
                    </w:rPr>
                  </w:pPr>
                  <w:r>
                    <w:rPr>
                      <w:rFonts w:hint="eastAsia" w:cs="Times New Roman"/>
                      <w:sz w:val="18"/>
                    </w:rPr>
                    <w:t>编号</w:t>
                  </w:r>
                </w:p>
              </w:tc>
              <w:tc>
                <w:tcPr>
                  <w:tcW w:w="692" w:type="pct"/>
                  <w:vMerge w:val="restart"/>
                  <w:vAlign w:val="center"/>
                </w:tcPr>
                <w:p w14:paraId="3E54298C">
                  <w:pPr>
                    <w:widowControl/>
                    <w:spacing w:line="240" w:lineRule="auto"/>
                    <w:ind w:firstLine="0" w:firstLineChars="0"/>
                    <w:jc w:val="center"/>
                    <w:rPr>
                      <w:rFonts w:cs="Times New Roman"/>
                      <w:sz w:val="18"/>
                    </w:rPr>
                  </w:pPr>
                  <w:r>
                    <w:rPr>
                      <w:rFonts w:hint="eastAsia" w:cs="Times New Roman"/>
                      <w:sz w:val="18"/>
                    </w:rPr>
                    <w:t>非正常排放原因</w:t>
                  </w:r>
                </w:p>
              </w:tc>
              <w:tc>
                <w:tcPr>
                  <w:tcW w:w="1005" w:type="pct"/>
                  <w:vMerge w:val="restart"/>
                  <w:vAlign w:val="center"/>
                </w:tcPr>
                <w:p w14:paraId="3DCABD5F">
                  <w:pPr>
                    <w:widowControl/>
                    <w:spacing w:line="240" w:lineRule="auto"/>
                    <w:ind w:firstLine="0" w:firstLineChars="0"/>
                    <w:jc w:val="center"/>
                    <w:rPr>
                      <w:rFonts w:cs="Times New Roman"/>
                      <w:sz w:val="18"/>
                    </w:rPr>
                  </w:pPr>
                  <w:r>
                    <w:rPr>
                      <w:rFonts w:hint="eastAsia" w:cs="Times New Roman"/>
                      <w:sz w:val="18"/>
                    </w:rPr>
                    <w:t>污染物</w:t>
                  </w:r>
                </w:p>
              </w:tc>
              <w:tc>
                <w:tcPr>
                  <w:tcW w:w="693" w:type="pct"/>
                  <w:vAlign w:val="center"/>
                </w:tcPr>
                <w:p w14:paraId="25CFB35D">
                  <w:pPr>
                    <w:widowControl/>
                    <w:spacing w:line="240" w:lineRule="auto"/>
                    <w:ind w:firstLine="0" w:firstLineChars="0"/>
                    <w:jc w:val="center"/>
                    <w:rPr>
                      <w:rFonts w:cs="Times New Roman"/>
                      <w:sz w:val="18"/>
                    </w:rPr>
                  </w:pPr>
                  <w:r>
                    <w:rPr>
                      <w:rFonts w:hint="eastAsia" w:cs="Times New Roman"/>
                      <w:sz w:val="18"/>
                    </w:rPr>
                    <w:t>非正常排放速率</w:t>
                  </w:r>
                </w:p>
              </w:tc>
              <w:tc>
                <w:tcPr>
                  <w:tcW w:w="750" w:type="pct"/>
                  <w:vAlign w:val="center"/>
                </w:tcPr>
                <w:p w14:paraId="2C20C610">
                  <w:pPr>
                    <w:widowControl/>
                    <w:spacing w:line="240" w:lineRule="auto"/>
                    <w:ind w:firstLine="0" w:firstLineChars="0"/>
                    <w:jc w:val="center"/>
                    <w:rPr>
                      <w:rFonts w:cs="Times New Roman"/>
                      <w:sz w:val="18"/>
                    </w:rPr>
                  </w:pPr>
                  <w:r>
                    <w:rPr>
                      <w:rFonts w:hint="eastAsia" w:cs="Times New Roman"/>
                      <w:sz w:val="18"/>
                    </w:rPr>
                    <w:t>排放浓度</w:t>
                  </w:r>
                </w:p>
              </w:tc>
              <w:tc>
                <w:tcPr>
                  <w:tcW w:w="613" w:type="pct"/>
                  <w:vAlign w:val="center"/>
                </w:tcPr>
                <w:p w14:paraId="005B0E09">
                  <w:pPr>
                    <w:widowControl/>
                    <w:spacing w:line="240" w:lineRule="auto"/>
                    <w:ind w:firstLine="0" w:firstLineChars="0"/>
                    <w:jc w:val="center"/>
                    <w:rPr>
                      <w:rFonts w:cs="Times New Roman"/>
                      <w:sz w:val="18"/>
                    </w:rPr>
                  </w:pPr>
                  <w:r>
                    <w:rPr>
                      <w:rFonts w:hint="eastAsia" w:cs="Times New Roman"/>
                      <w:sz w:val="18"/>
                    </w:rPr>
                    <w:t>单次持续时间</w:t>
                  </w:r>
                </w:p>
              </w:tc>
              <w:tc>
                <w:tcPr>
                  <w:tcW w:w="613" w:type="pct"/>
                  <w:vAlign w:val="center"/>
                </w:tcPr>
                <w:p w14:paraId="403627EA">
                  <w:pPr>
                    <w:widowControl/>
                    <w:spacing w:line="240" w:lineRule="auto"/>
                    <w:ind w:firstLine="0" w:firstLineChars="0"/>
                    <w:jc w:val="center"/>
                    <w:rPr>
                      <w:rFonts w:cs="Times New Roman"/>
                      <w:sz w:val="18"/>
                    </w:rPr>
                  </w:pPr>
                  <w:r>
                    <w:rPr>
                      <w:rFonts w:hint="eastAsia" w:cs="Times New Roman"/>
                      <w:sz w:val="18"/>
                    </w:rPr>
                    <w:t>年发生频次</w:t>
                  </w:r>
                </w:p>
              </w:tc>
            </w:tr>
            <w:tr w14:paraId="3119527D">
              <w:trPr>
                <w:trHeight w:val="288" w:hRule="atLeast"/>
                <w:jc w:val="center"/>
              </w:trPr>
              <w:tc>
                <w:tcPr>
                  <w:tcW w:w="631" w:type="pct"/>
                  <w:vMerge w:val="continue"/>
                  <w:noWrap/>
                  <w:vAlign w:val="center"/>
                </w:tcPr>
                <w:p w14:paraId="187870AF">
                  <w:pPr>
                    <w:widowControl/>
                    <w:spacing w:line="240" w:lineRule="auto"/>
                    <w:ind w:firstLine="0" w:firstLineChars="0"/>
                    <w:jc w:val="center"/>
                    <w:rPr>
                      <w:rFonts w:cs="Times New Roman"/>
                      <w:sz w:val="18"/>
                    </w:rPr>
                  </w:pPr>
                </w:p>
              </w:tc>
              <w:tc>
                <w:tcPr>
                  <w:tcW w:w="692" w:type="pct"/>
                  <w:vMerge w:val="continue"/>
                  <w:vAlign w:val="center"/>
                </w:tcPr>
                <w:p w14:paraId="5F87A6A4">
                  <w:pPr>
                    <w:widowControl/>
                    <w:spacing w:line="240" w:lineRule="auto"/>
                    <w:ind w:firstLine="0" w:firstLineChars="0"/>
                    <w:jc w:val="center"/>
                    <w:rPr>
                      <w:rFonts w:cs="Times New Roman"/>
                      <w:sz w:val="18"/>
                    </w:rPr>
                  </w:pPr>
                </w:p>
              </w:tc>
              <w:tc>
                <w:tcPr>
                  <w:tcW w:w="1005" w:type="pct"/>
                  <w:vMerge w:val="continue"/>
                  <w:vAlign w:val="center"/>
                </w:tcPr>
                <w:p w14:paraId="7210BCD7">
                  <w:pPr>
                    <w:widowControl/>
                    <w:spacing w:line="240" w:lineRule="auto"/>
                    <w:ind w:firstLine="0" w:firstLineChars="0"/>
                    <w:jc w:val="center"/>
                    <w:rPr>
                      <w:rFonts w:cs="Times New Roman"/>
                      <w:sz w:val="18"/>
                    </w:rPr>
                  </w:pPr>
                </w:p>
              </w:tc>
              <w:tc>
                <w:tcPr>
                  <w:tcW w:w="693" w:type="pct"/>
                  <w:vAlign w:val="center"/>
                </w:tcPr>
                <w:p w14:paraId="07296717">
                  <w:pPr>
                    <w:widowControl/>
                    <w:spacing w:line="240" w:lineRule="auto"/>
                    <w:ind w:firstLine="0" w:firstLineChars="0"/>
                    <w:jc w:val="center"/>
                    <w:rPr>
                      <w:rFonts w:cs="Times New Roman"/>
                      <w:sz w:val="18"/>
                    </w:rPr>
                  </w:pPr>
                  <w:r>
                    <w:rPr>
                      <w:rFonts w:cs="Times New Roman"/>
                      <w:sz w:val="18"/>
                    </w:rPr>
                    <w:t>kg/h</w:t>
                  </w:r>
                </w:p>
              </w:tc>
              <w:tc>
                <w:tcPr>
                  <w:tcW w:w="750" w:type="pct"/>
                  <w:vAlign w:val="center"/>
                </w:tcPr>
                <w:p w14:paraId="5A648EE2">
                  <w:pPr>
                    <w:widowControl/>
                    <w:spacing w:line="240" w:lineRule="auto"/>
                    <w:ind w:firstLine="0" w:firstLineChars="0"/>
                    <w:jc w:val="center"/>
                    <w:rPr>
                      <w:rFonts w:cs="Times New Roman"/>
                      <w:sz w:val="18"/>
                    </w:rPr>
                  </w:pPr>
                  <w:r>
                    <w:rPr>
                      <w:rFonts w:cs="Times New Roman"/>
                      <w:sz w:val="18"/>
                    </w:rPr>
                    <w:t>mg/m</w:t>
                  </w:r>
                  <w:r>
                    <w:rPr>
                      <w:rFonts w:cs="Times New Roman"/>
                      <w:sz w:val="18"/>
                      <w:vertAlign w:val="superscript"/>
                    </w:rPr>
                    <w:t>3</w:t>
                  </w:r>
                </w:p>
              </w:tc>
              <w:tc>
                <w:tcPr>
                  <w:tcW w:w="613" w:type="pct"/>
                  <w:vAlign w:val="center"/>
                </w:tcPr>
                <w:p w14:paraId="5ECA5069">
                  <w:pPr>
                    <w:widowControl/>
                    <w:spacing w:line="240" w:lineRule="auto"/>
                    <w:ind w:firstLine="0" w:firstLineChars="0"/>
                    <w:jc w:val="center"/>
                    <w:rPr>
                      <w:rFonts w:cs="Times New Roman"/>
                      <w:sz w:val="18"/>
                    </w:rPr>
                  </w:pPr>
                  <w:r>
                    <w:rPr>
                      <w:rFonts w:cs="Times New Roman"/>
                      <w:sz w:val="18"/>
                    </w:rPr>
                    <w:t>h/</w:t>
                  </w:r>
                  <w:r>
                    <w:rPr>
                      <w:rFonts w:hint="eastAsia" w:cs="Times New Roman"/>
                      <w:sz w:val="18"/>
                    </w:rPr>
                    <w:t>次</w:t>
                  </w:r>
                </w:p>
              </w:tc>
              <w:tc>
                <w:tcPr>
                  <w:tcW w:w="613" w:type="pct"/>
                  <w:vAlign w:val="center"/>
                </w:tcPr>
                <w:p w14:paraId="127BC3F5">
                  <w:pPr>
                    <w:widowControl/>
                    <w:spacing w:line="240" w:lineRule="auto"/>
                    <w:ind w:firstLine="0" w:firstLineChars="0"/>
                    <w:jc w:val="center"/>
                    <w:rPr>
                      <w:rFonts w:cs="Times New Roman"/>
                      <w:sz w:val="18"/>
                    </w:rPr>
                  </w:pPr>
                  <w:r>
                    <w:rPr>
                      <w:rFonts w:hint="eastAsia" w:cs="Times New Roman"/>
                      <w:sz w:val="18"/>
                    </w:rPr>
                    <w:t>次</w:t>
                  </w:r>
                  <w:r>
                    <w:rPr>
                      <w:rFonts w:cs="Times New Roman"/>
                      <w:sz w:val="18"/>
                    </w:rPr>
                    <w:t>/a</w:t>
                  </w:r>
                </w:p>
              </w:tc>
            </w:tr>
            <w:tr w14:paraId="614F7EE3">
              <w:trPr>
                <w:trHeight w:val="276" w:hRule="atLeast"/>
                <w:jc w:val="center"/>
              </w:trPr>
              <w:tc>
                <w:tcPr>
                  <w:tcW w:w="631" w:type="pct"/>
                  <w:noWrap/>
                  <w:vAlign w:val="center"/>
                </w:tcPr>
                <w:p w14:paraId="337E6000">
                  <w:pPr>
                    <w:widowControl/>
                    <w:spacing w:line="240" w:lineRule="auto"/>
                    <w:ind w:firstLine="0" w:firstLineChars="0"/>
                    <w:jc w:val="center"/>
                    <w:rPr>
                      <w:rFonts w:cs="Times New Roman"/>
                      <w:sz w:val="18"/>
                    </w:rPr>
                  </w:pPr>
                  <w:r>
                    <w:rPr>
                      <w:rFonts w:cs="Times New Roman"/>
                      <w:sz w:val="18"/>
                    </w:rPr>
                    <w:t>DA00</w:t>
                  </w:r>
                  <w:r>
                    <w:rPr>
                      <w:rFonts w:hint="eastAsia" w:cs="Times New Roman"/>
                      <w:sz w:val="18"/>
                    </w:rPr>
                    <w:t>2</w:t>
                  </w:r>
                </w:p>
              </w:tc>
              <w:tc>
                <w:tcPr>
                  <w:tcW w:w="692" w:type="pct"/>
                  <w:vMerge w:val="restart"/>
                  <w:vAlign w:val="center"/>
                </w:tcPr>
                <w:p w14:paraId="1235AAA2">
                  <w:pPr>
                    <w:widowControl/>
                    <w:spacing w:line="240" w:lineRule="auto"/>
                    <w:ind w:firstLine="0" w:firstLineChars="0"/>
                    <w:jc w:val="center"/>
                    <w:rPr>
                      <w:rFonts w:cs="Times New Roman"/>
                      <w:sz w:val="18"/>
                    </w:rPr>
                  </w:pPr>
                  <w:r>
                    <w:rPr>
                      <w:rFonts w:hint="eastAsia" w:cs="Times New Roman"/>
                      <w:sz w:val="18"/>
                    </w:rPr>
                    <w:t>设备故障</w:t>
                  </w:r>
                </w:p>
              </w:tc>
              <w:tc>
                <w:tcPr>
                  <w:tcW w:w="1005" w:type="pct"/>
                  <w:vAlign w:val="bottom"/>
                </w:tcPr>
                <w:p w14:paraId="2FDFB908">
                  <w:pPr>
                    <w:widowControl/>
                    <w:spacing w:line="240" w:lineRule="auto"/>
                    <w:ind w:firstLine="0" w:firstLineChars="0"/>
                    <w:jc w:val="center"/>
                    <w:rPr>
                      <w:rFonts w:cs="Times New Roman"/>
                      <w:sz w:val="18"/>
                    </w:rPr>
                  </w:pPr>
                  <w:r>
                    <w:rPr>
                      <w:rFonts w:hint="eastAsia" w:cs="Times New Roman"/>
                      <w:sz w:val="18"/>
                    </w:rPr>
                    <w:t>颗粒物</w:t>
                  </w:r>
                </w:p>
              </w:tc>
              <w:tc>
                <w:tcPr>
                  <w:tcW w:w="693" w:type="pct"/>
                  <w:vAlign w:val="center"/>
                </w:tcPr>
                <w:p w14:paraId="34CA39E1">
                  <w:pPr>
                    <w:widowControl/>
                    <w:spacing w:line="240" w:lineRule="auto"/>
                    <w:ind w:firstLine="0" w:firstLineChars="0"/>
                    <w:jc w:val="center"/>
                    <w:rPr>
                      <w:rFonts w:cs="Times New Roman"/>
                      <w:sz w:val="18"/>
                    </w:rPr>
                  </w:pPr>
                  <w:r>
                    <w:rPr>
                      <w:rFonts w:hint="eastAsia" w:cs="Times New Roman"/>
                      <w:sz w:val="18"/>
                    </w:rPr>
                    <w:t>0.042</w:t>
                  </w:r>
                </w:p>
              </w:tc>
              <w:tc>
                <w:tcPr>
                  <w:tcW w:w="750" w:type="pct"/>
                  <w:vAlign w:val="center"/>
                </w:tcPr>
                <w:p w14:paraId="4D1B3BA3">
                  <w:pPr>
                    <w:widowControl/>
                    <w:spacing w:line="240" w:lineRule="auto"/>
                    <w:ind w:firstLine="0" w:firstLineChars="0"/>
                    <w:jc w:val="center"/>
                    <w:rPr>
                      <w:rFonts w:cs="Times New Roman"/>
                      <w:sz w:val="18"/>
                    </w:rPr>
                  </w:pPr>
                  <w:r>
                    <w:rPr>
                      <w:rFonts w:hint="eastAsia" w:cs="Times New Roman"/>
                      <w:sz w:val="18"/>
                    </w:rPr>
                    <w:t>2.811</w:t>
                  </w:r>
                </w:p>
              </w:tc>
              <w:tc>
                <w:tcPr>
                  <w:tcW w:w="613" w:type="pct"/>
                  <w:vAlign w:val="center"/>
                </w:tcPr>
                <w:p w14:paraId="28CBC052">
                  <w:pPr>
                    <w:widowControl/>
                    <w:spacing w:line="240" w:lineRule="auto"/>
                    <w:ind w:firstLine="0" w:firstLineChars="0"/>
                    <w:jc w:val="center"/>
                    <w:rPr>
                      <w:rFonts w:cs="Times New Roman"/>
                      <w:sz w:val="18"/>
                    </w:rPr>
                  </w:pPr>
                  <w:r>
                    <w:rPr>
                      <w:rFonts w:hint="eastAsia" w:cs="Times New Roman"/>
                      <w:sz w:val="18"/>
                    </w:rPr>
                    <w:t>1</w:t>
                  </w:r>
                </w:p>
              </w:tc>
              <w:tc>
                <w:tcPr>
                  <w:tcW w:w="613" w:type="pct"/>
                  <w:vAlign w:val="center"/>
                </w:tcPr>
                <w:p w14:paraId="2B9DD70B">
                  <w:pPr>
                    <w:widowControl/>
                    <w:spacing w:line="240" w:lineRule="auto"/>
                    <w:ind w:firstLine="0" w:firstLineChars="0"/>
                    <w:jc w:val="center"/>
                    <w:rPr>
                      <w:rFonts w:cs="Times New Roman"/>
                      <w:sz w:val="18"/>
                    </w:rPr>
                  </w:pPr>
                  <w:r>
                    <w:rPr>
                      <w:rFonts w:hint="eastAsia" w:cs="Times New Roman"/>
                      <w:sz w:val="18"/>
                    </w:rPr>
                    <w:t>1</w:t>
                  </w:r>
                </w:p>
              </w:tc>
            </w:tr>
            <w:tr w14:paraId="0ACAF0E3">
              <w:trPr>
                <w:trHeight w:val="276" w:hRule="atLeast"/>
                <w:jc w:val="center"/>
              </w:trPr>
              <w:tc>
                <w:tcPr>
                  <w:tcW w:w="631" w:type="pct"/>
                  <w:noWrap/>
                  <w:vAlign w:val="center"/>
                </w:tcPr>
                <w:p w14:paraId="41C3A5A7">
                  <w:pPr>
                    <w:widowControl/>
                    <w:spacing w:line="240" w:lineRule="auto"/>
                    <w:ind w:firstLine="0" w:firstLineChars="0"/>
                    <w:jc w:val="center"/>
                    <w:rPr>
                      <w:rFonts w:cs="Times New Roman"/>
                      <w:sz w:val="18"/>
                    </w:rPr>
                  </w:pPr>
                  <w:r>
                    <w:rPr>
                      <w:rFonts w:cs="Times New Roman"/>
                      <w:sz w:val="18"/>
                    </w:rPr>
                    <w:t>DA00</w:t>
                  </w:r>
                  <w:r>
                    <w:rPr>
                      <w:rFonts w:hint="eastAsia" w:cs="Times New Roman"/>
                      <w:sz w:val="18"/>
                    </w:rPr>
                    <w:t>1</w:t>
                  </w:r>
                </w:p>
              </w:tc>
              <w:tc>
                <w:tcPr>
                  <w:tcW w:w="692" w:type="pct"/>
                  <w:vMerge w:val="continue"/>
                  <w:vAlign w:val="center"/>
                </w:tcPr>
                <w:p w14:paraId="09B6D3AF">
                  <w:pPr>
                    <w:widowControl/>
                    <w:spacing w:line="240" w:lineRule="auto"/>
                    <w:ind w:firstLine="0" w:firstLineChars="0"/>
                    <w:jc w:val="center"/>
                    <w:rPr>
                      <w:rFonts w:cs="Times New Roman"/>
                      <w:sz w:val="18"/>
                    </w:rPr>
                  </w:pPr>
                </w:p>
              </w:tc>
              <w:tc>
                <w:tcPr>
                  <w:tcW w:w="1005" w:type="pct"/>
                  <w:vAlign w:val="bottom"/>
                </w:tcPr>
                <w:p w14:paraId="45E39626">
                  <w:pPr>
                    <w:widowControl/>
                    <w:spacing w:line="240" w:lineRule="auto"/>
                    <w:ind w:firstLine="0" w:firstLineChars="0"/>
                    <w:jc w:val="center"/>
                    <w:rPr>
                      <w:rFonts w:cs="Times New Roman"/>
                      <w:sz w:val="18"/>
                    </w:rPr>
                  </w:pPr>
                  <w:r>
                    <w:rPr>
                      <w:rFonts w:hint="eastAsia" w:cs="Times New Roman"/>
                      <w:sz w:val="18"/>
                    </w:rPr>
                    <w:t>非甲烷总烃</w:t>
                  </w:r>
                </w:p>
              </w:tc>
              <w:tc>
                <w:tcPr>
                  <w:tcW w:w="693" w:type="pct"/>
                  <w:vAlign w:val="center"/>
                </w:tcPr>
                <w:p w14:paraId="470404C6">
                  <w:pPr>
                    <w:widowControl/>
                    <w:spacing w:line="240" w:lineRule="auto"/>
                    <w:ind w:firstLine="0" w:firstLineChars="0"/>
                    <w:jc w:val="center"/>
                    <w:rPr>
                      <w:rFonts w:cs="Times New Roman"/>
                      <w:sz w:val="18"/>
                    </w:rPr>
                  </w:pPr>
                  <w:r>
                    <w:rPr>
                      <w:rFonts w:hint="eastAsia" w:cs="Times New Roman"/>
                      <w:sz w:val="18"/>
                    </w:rPr>
                    <w:t>0.274</w:t>
                  </w:r>
                </w:p>
              </w:tc>
              <w:tc>
                <w:tcPr>
                  <w:tcW w:w="750" w:type="pct"/>
                  <w:vAlign w:val="center"/>
                </w:tcPr>
                <w:p w14:paraId="0037F906">
                  <w:pPr>
                    <w:widowControl/>
                    <w:spacing w:line="240" w:lineRule="auto"/>
                    <w:ind w:firstLine="0" w:firstLineChars="0"/>
                    <w:jc w:val="center"/>
                    <w:rPr>
                      <w:rFonts w:cs="Times New Roman"/>
                      <w:sz w:val="18"/>
                    </w:rPr>
                  </w:pPr>
                  <w:r>
                    <w:rPr>
                      <w:rFonts w:hint="eastAsia" w:cs="Times New Roman"/>
                      <w:sz w:val="18"/>
                    </w:rPr>
                    <w:t>11.423</w:t>
                  </w:r>
                </w:p>
              </w:tc>
              <w:tc>
                <w:tcPr>
                  <w:tcW w:w="613" w:type="pct"/>
                  <w:vAlign w:val="center"/>
                </w:tcPr>
                <w:p w14:paraId="7E590D87">
                  <w:pPr>
                    <w:widowControl/>
                    <w:spacing w:line="240" w:lineRule="auto"/>
                    <w:ind w:firstLine="0" w:firstLineChars="0"/>
                    <w:jc w:val="center"/>
                    <w:rPr>
                      <w:rFonts w:cs="Times New Roman"/>
                      <w:sz w:val="18"/>
                    </w:rPr>
                  </w:pPr>
                  <w:r>
                    <w:rPr>
                      <w:rFonts w:hint="eastAsia" w:cs="Times New Roman"/>
                      <w:sz w:val="18"/>
                    </w:rPr>
                    <w:t>1</w:t>
                  </w:r>
                </w:p>
              </w:tc>
              <w:tc>
                <w:tcPr>
                  <w:tcW w:w="613" w:type="pct"/>
                  <w:vAlign w:val="center"/>
                </w:tcPr>
                <w:p w14:paraId="3968F6A5">
                  <w:pPr>
                    <w:widowControl/>
                    <w:spacing w:line="240" w:lineRule="auto"/>
                    <w:ind w:firstLine="0" w:firstLineChars="0"/>
                    <w:jc w:val="center"/>
                    <w:rPr>
                      <w:rFonts w:cs="Times New Roman"/>
                      <w:sz w:val="18"/>
                    </w:rPr>
                  </w:pPr>
                  <w:r>
                    <w:rPr>
                      <w:rFonts w:hint="eastAsia" w:cs="Times New Roman"/>
                      <w:sz w:val="18"/>
                    </w:rPr>
                    <w:t>1</w:t>
                  </w:r>
                </w:p>
              </w:tc>
            </w:tr>
          </w:tbl>
          <w:p w14:paraId="2687D8E2">
            <w:pPr>
              <w:pStyle w:val="2"/>
              <w:jc w:val="both"/>
            </w:pPr>
          </w:p>
          <w:p w14:paraId="44981438">
            <w:pPr>
              <w:pStyle w:val="2"/>
              <w:jc w:val="both"/>
            </w:pPr>
          </w:p>
        </w:tc>
      </w:tr>
    </w:tbl>
    <w:p w14:paraId="24C1128E">
      <w:pPr>
        <w:pStyle w:val="2"/>
        <w:sectPr>
          <w:pgSz w:w="16838" w:h="11906" w:orient="landscape"/>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7968"/>
      </w:tblGrid>
      <w:tr w14:paraId="5155ABE4">
        <w:tc>
          <w:tcPr>
            <w:tcW w:w="554" w:type="dxa"/>
          </w:tcPr>
          <w:p w14:paraId="1DF18849">
            <w:pPr>
              <w:pStyle w:val="2"/>
              <w:jc w:val="both"/>
            </w:pPr>
          </w:p>
        </w:tc>
        <w:tc>
          <w:tcPr>
            <w:tcW w:w="7968" w:type="dxa"/>
          </w:tcPr>
          <w:p w14:paraId="560622EC">
            <w:pPr>
              <w:ind w:firstLine="480"/>
              <w:jc w:val="both"/>
            </w:pPr>
            <w:r>
              <w:rPr>
                <w:rFonts w:hint="eastAsia"/>
              </w:rPr>
              <w:t>(三)环境影响分析</w:t>
            </w:r>
          </w:p>
          <w:p w14:paraId="44769FBC">
            <w:pPr>
              <w:ind w:firstLine="480"/>
              <w:jc w:val="both"/>
            </w:pPr>
            <w:r>
              <w:rPr>
                <w:rFonts w:hint="eastAsia"/>
              </w:rPr>
              <w:t>1、有组织达标分析</w:t>
            </w:r>
          </w:p>
          <w:p w14:paraId="15DACDA2">
            <w:pPr>
              <w:pStyle w:val="14"/>
              <w:numPr>
                <w:ilvl w:val="0"/>
                <w:numId w:val="9"/>
              </w:numPr>
              <w:tabs>
                <w:tab w:val="clear" w:pos="0"/>
              </w:tabs>
              <w:spacing w:before="156"/>
            </w:pPr>
            <w:r>
              <w:rPr>
                <w:rFonts w:hint="eastAsia"/>
              </w:rPr>
              <w:t xml:space="preserve">  项目废气达标排放情况一览表</w:t>
            </w:r>
          </w:p>
          <w:tbl>
            <w:tblPr>
              <w:tblStyle w:val="9"/>
              <w:tblW w:w="4998" w:type="pct"/>
              <w:jc w:val="center"/>
              <w:tblLayout w:type="autofit"/>
              <w:tblCellMar>
                <w:top w:w="0" w:type="dxa"/>
                <w:left w:w="108" w:type="dxa"/>
                <w:bottom w:w="0" w:type="dxa"/>
                <w:right w:w="108" w:type="dxa"/>
              </w:tblCellMar>
            </w:tblPr>
            <w:tblGrid>
              <w:gridCol w:w="1230"/>
              <w:gridCol w:w="1213"/>
              <w:gridCol w:w="1512"/>
              <w:gridCol w:w="1537"/>
              <w:gridCol w:w="1551"/>
              <w:gridCol w:w="706"/>
            </w:tblGrid>
            <w:tr w14:paraId="6D2101A9">
              <w:trPr>
                <w:trHeight w:val="278" w:hRule="atLeast"/>
                <w:jc w:val="center"/>
              </w:trPr>
              <w:tc>
                <w:tcPr>
                  <w:tcW w:w="793" w:type="pct"/>
                  <w:vMerge w:val="restart"/>
                  <w:tcBorders>
                    <w:top w:val="single" w:color="auto" w:sz="4" w:space="0"/>
                    <w:left w:val="single" w:color="auto" w:sz="4" w:space="0"/>
                    <w:bottom w:val="single" w:color="auto" w:sz="4" w:space="0"/>
                    <w:right w:val="single" w:color="auto" w:sz="4" w:space="0"/>
                  </w:tcBorders>
                  <w:noWrap/>
                  <w:vAlign w:val="center"/>
                </w:tcPr>
                <w:p w14:paraId="060F8DA2">
                  <w:pPr>
                    <w:pStyle w:val="13"/>
                    <w:jc w:val="center"/>
                  </w:pPr>
                  <w:r>
                    <w:rPr>
                      <w:rFonts w:hint="eastAsia"/>
                    </w:rPr>
                    <w:t>排气筒编号</w:t>
                  </w:r>
                </w:p>
              </w:tc>
              <w:tc>
                <w:tcPr>
                  <w:tcW w:w="782" w:type="pct"/>
                  <w:vMerge w:val="restart"/>
                  <w:tcBorders>
                    <w:top w:val="single" w:color="auto" w:sz="4" w:space="0"/>
                    <w:left w:val="single" w:color="auto" w:sz="4" w:space="0"/>
                    <w:bottom w:val="single" w:color="auto" w:sz="4" w:space="0"/>
                    <w:right w:val="single" w:color="auto" w:sz="4" w:space="0"/>
                  </w:tcBorders>
                  <w:noWrap/>
                  <w:vAlign w:val="center"/>
                </w:tcPr>
                <w:p w14:paraId="1DB921CC">
                  <w:pPr>
                    <w:pStyle w:val="13"/>
                    <w:jc w:val="center"/>
                  </w:pPr>
                  <w:r>
                    <w:rPr>
                      <w:rFonts w:hint="eastAsia"/>
                    </w:rPr>
                    <w:t>污染因子</w:t>
                  </w:r>
                </w:p>
              </w:tc>
              <w:tc>
                <w:tcPr>
                  <w:tcW w:w="975" w:type="pct"/>
                  <w:vMerge w:val="restart"/>
                  <w:tcBorders>
                    <w:top w:val="single" w:color="auto" w:sz="4" w:space="0"/>
                    <w:left w:val="single" w:color="auto" w:sz="4" w:space="0"/>
                    <w:bottom w:val="single" w:color="auto" w:sz="4" w:space="0"/>
                    <w:right w:val="single" w:color="auto" w:sz="4" w:space="0"/>
                  </w:tcBorders>
                  <w:vAlign w:val="center"/>
                </w:tcPr>
                <w:p w14:paraId="62524D73">
                  <w:pPr>
                    <w:pStyle w:val="13"/>
                    <w:jc w:val="center"/>
                  </w:pPr>
                  <w:r>
                    <w:rPr>
                      <w:rFonts w:hint="eastAsia"/>
                    </w:rPr>
                    <w:t>排放速率kg/h</w:t>
                  </w:r>
                </w:p>
              </w:tc>
              <w:tc>
                <w:tcPr>
                  <w:tcW w:w="991" w:type="pct"/>
                  <w:vMerge w:val="restart"/>
                  <w:tcBorders>
                    <w:top w:val="single" w:color="auto" w:sz="4" w:space="0"/>
                    <w:left w:val="single" w:color="auto" w:sz="4" w:space="0"/>
                    <w:bottom w:val="single" w:color="auto" w:sz="4" w:space="0"/>
                    <w:right w:val="single" w:color="auto" w:sz="4" w:space="0"/>
                  </w:tcBorders>
                  <w:vAlign w:val="center"/>
                </w:tcPr>
                <w:p w14:paraId="0A72136A">
                  <w:pPr>
                    <w:pStyle w:val="13"/>
                    <w:jc w:val="center"/>
                  </w:pPr>
                  <w:r>
                    <w:rPr>
                      <w:rFonts w:hint="eastAsia"/>
                    </w:rPr>
                    <w:t>排放浓度mg/m</w:t>
                  </w:r>
                  <w:r>
                    <w:rPr>
                      <w:rFonts w:hint="eastAsia"/>
                      <w:vertAlign w:val="superscript"/>
                    </w:rPr>
                    <w:t>3</w:t>
                  </w:r>
                </w:p>
              </w:tc>
              <w:tc>
                <w:tcPr>
                  <w:tcW w:w="1000" w:type="pct"/>
                  <w:tcBorders>
                    <w:top w:val="single" w:color="auto" w:sz="4" w:space="0"/>
                    <w:left w:val="nil"/>
                    <w:bottom w:val="single" w:color="auto" w:sz="4" w:space="0"/>
                    <w:right w:val="nil"/>
                  </w:tcBorders>
                  <w:vAlign w:val="center"/>
                </w:tcPr>
                <w:p w14:paraId="555F8CCB">
                  <w:pPr>
                    <w:pStyle w:val="13"/>
                    <w:jc w:val="center"/>
                  </w:pPr>
                  <w:r>
                    <w:rPr>
                      <w:rFonts w:hint="eastAsia"/>
                    </w:rPr>
                    <w:t>排放标准</w:t>
                  </w:r>
                </w:p>
              </w:tc>
              <w:tc>
                <w:tcPr>
                  <w:tcW w:w="455" w:type="pct"/>
                  <w:vMerge w:val="restart"/>
                  <w:tcBorders>
                    <w:top w:val="single" w:color="auto" w:sz="4" w:space="0"/>
                    <w:left w:val="single" w:color="auto" w:sz="4" w:space="0"/>
                    <w:bottom w:val="single" w:color="000000" w:sz="4" w:space="0"/>
                    <w:right w:val="single" w:color="auto" w:sz="4" w:space="0"/>
                  </w:tcBorders>
                  <w:vAlign w:val="center"/>
                </w:tcPr>
                <w:p w14:paraId="4DA925EE">
                  <w:pPr>
                    <w:pStyle w:val="13"/>
                    <w:jc w:val="center"/>
                  </w:pPr>
                  <w:r>
                    <w:rPr>
                      <w:rFonts w:hint="eastAsia"/>
                    </w:rPr>
                    <w:t>是否达标</w:t>
                  </w:r>
                </w:p>
              </w:tc>
            </w:tr>
            <w:tr w14:paraId="24F06759">
              <w:trPr>
                <w:trHeight w:val="278" w:hRule="atLeast"/>
                <w:jc w:val="center"/>
              </w:trPr>
              <w:tc>
                <w:tcPr>
                  <w:tcW w:w="793" w:type="pct"/>
                  <w:vMerge w:val="continue"/>
                  <w:tcBorders>
                    <w:top w:val="single" w:color="auto" w:sz="4" w:space="0"/>
                    <w:left w:val="single" w:color="auto" w:sz="4" w:space="0"/>
                    <w:bottom w:val="single" w:color="auto" w:sz="4" w:space="0"/>
                    <w:right w:val="single" w:color="auto" w:sz="4" w:space="0"/>
                  </w:tcBorders>
                  <w:noWrap/>
                  <w:vAlign w:val="center"/>
                </w:tcPr>
                <w:p w14:paraId="2649A74F">
                  <w:pPr>
                    <w:pStyle w:val="13"/>
                    <w:jc w:val="center"/>
                  </w:pPr>
                </w:p>
              </w:tc>
              <w:tc>
                <w:tcPr>
                  <w:tcW w:w="782" w:type="pct"/>
                  <w:vMerge w:val="continue"/>
                  <w:tcBorders>
                    <w:top w:val="single" w:color="auto" w:sz="4" w:space="0"/>
                    <w:left w:val="single" w:color="auto" w:sz="4" w:space="0"/>
                    <w:bottom w:val="single" w:color="auto" w:sz="4" w:space="0"/>
                    <w:right w:val="single" w:color="auto" w:sz="4" w:space="0"/>
                  </w:tcBorders>
                  <w:noWrap/>
                  <w:vAlign w:val="center"/>
                </w:tcPr>
                <w:p w14:paraId="72A43F5D">
                  <w:pPr>
                    <w:pStyle w:val="13"/>
                    <w:jc w:val="center"/>
                  </w:pPr>
                </w:p>
              </w:tc>
              <w:tc>
                <w:tcPr>
                  <w:tcW w:w="975" w:type="pct"/>
                  <w:vMerge w:val="continue"/>
                  <w:tcBorders>
                    <w:top w:val="single" w:color="auto" w:sz="4" w:space="0"/>
                    <w:left w:val="single" w:color="auto" w:sz="4" w:space="0"/>
                    <w:bottom w:val="single" w:color="auto" w:sz="4" w:space="0"/>
                    <w:right w:val="single" w:color="auto" w:sz="4" w:space="0"/>
                  </w:tcBorders>
                  <w:vAlign w:val="center"/>
                </w:tcPr>
                <w:p w14:paraId="221FBF6F">
                  <w:pPr>
                    <w:pStyle w:val="13"/>
                    <w:jc w:val="center"/>
                  </w:pPr>
                </w:p>
              </w:tc>
              <w:tc>
                <w:tcPr>
                  <w:tcW w:w="991" w:type="pct"/>
                  <w:vMerge w:val="continue"/>
                  <w:tcBorders>
                    <w:top w:val="single" w:color="auto" w:sz="4" w:space="0"/>
                    <w:left w:val="single" w:color="auto" w:sz="4" w:space="0"/>
                    <w:bottom w:val="single" w:color="auto" w:sz="4" w:space="0"/>
                    <w:right w:val="single" w:color="auto" w:sz="4" w:space="0"/>
                  </w:tcBorders>
                  <w:vAlign w:val="center"/>
                </w:tcPr>
                <w:p w14:paraId="36FFC77D">
                  <w:pPr>
                    <w:pStyle w:val="13"/>
                    <w:jc w:val="center"/>
                  </w:pPr>
                </w:p>
              </w:tc>
              <w:tc>
                <w:tcPr>
                  <w:tcW w:w="1000" w:type="pct"/>
                  <w:tcBorders>
                    <w:top w:val="nil"/>
                    <w:left w:val="nil"/>
                    <w:bottom w:val="single" w:color="auto" w:sz="4" w:space="0"/>
                    <w:right w:val="single" w:color="auto" w:sz="4" w:space="0"/>
                  </w:tcBorders>
                  <w:vAlign w:val="center"/>
                </w:tcPr>
                <w:p w14:paraId="0D94C8CD">
                  <w:pPr>
                    <w:pStyle w:val="13"/>
                    <w:jc w:val="center"/>
                  </w:pPr>
                  <w:r>
                    <w:rPr>
                      <w:rFonts w:hint="eastAsia"/>
                    </w:rPr>
                    <w:t>排放浓度mg/m</w:t>
                  </w:r>
                  <w:r>
                    <w:rPr>
                      <w:rFonts w:hint="eastAsia"/>
                      <w:vertAlign w:val="superscript"/>
                    </w:rPr>
                    <w:t>3</w:t>
                  </w:r>
                </w:p>
              </w:tc>
              <w:tc>
                <w:tcPr>
                  <w:tcW w:w="455" w:type="pct"/>
                  <w:vMerge w:val="continue"/>
                  <w:tcBorders>
                    <w:top w:val="single" w:color="auto" w:sz="4" w:space="0"/>
                    <w:left w:val="single" w:color="auto" w:sz="4" w:space="0"/>
                    <w:bottom w:val="single" w:color="000000" w:sz="4" w:space="0"/>
                    <w:right w:val="single" w:color="auto" w:sz="4" w:space="0"/>
                  </w:tcBorders>
                  <w:vAlign w:val="center"/>
                </w:tcPr>
                <w:p w14:paraId="1FE81167">
                  <w:pPr>
                    <w:pStyle w:val="13"/>
                    <w:jc w:val="center"/>
                  </w:pPr>
                </w:p>
              </w:tc>
            </w:tr>
            <w:tr w14:paraId="6FFBB2FE">
              <w:trPr>
                <w:trHeight w:val="278" w:hRule="atLeast"/>
                <w:jc w:val="center"/>
              </w:trPr>
              <w:tc>
                <w:tcPr>
                  <w:tcW w:w="793" w:type="pct"/>
                  <w:tcBorders>
                    <w:top w:val="nil"/>
                    <w:left w:val="single" w:color="auto" w:sz="4" w:space="0"/>
                    <w:bottom w:val="single" w:color="auto" w:sz="4" w:space="0"/>
                    <w:right w:val="single" w:color="auto" w:sz="4" w:space="0"/>
                  </w:tcBorders>
                  <w:noWrap/>
                  <w:vAlign w:val="center"/>
                </w:tcPr>
                <w:p w14:paraId="35B98D63">
                  <w:pPr>
                    <w:pStyle w:val="13"/>
                    <w:jc w:val="center"/>
                  </w:pPr>
                  <w:r>
                    <w:t>DA00</w:t>
                  </w:r>
                  <w:r>
                    <w:rPr>
                      <w:rFonts w:hint="eastAsia"/>
                    </w:rPr>
                    <w:t>2</w:t>
                  </w:r>
                </w:p>
              </w:tc>
              <w:tc>
                <w:tcPr>
                  <w:tcW w:w="782" w:type="pct"/>
                  <w:tcBorders>
                    <w:top w:val="nil"/>
                    <w:left w:val="nil"/>
                    <w:bottom w:val="single" w:color="auto" w:sz="4" w:space="0"/>
                    <w:right w:val="single" w:color="auto" w:sz="4" w:space="0"/>
                  </w:tcBorders>
                  <w:noWrap/>
                  <w:vAlign w:val="center"/>
                </w:tcPr>
                <w:p w14:paraId="2A71D074">
                  <w:pPr>
                    <w:pStyle w:val="13"/>
                    <w:jc w:val="center"/>
                  </w:pPr>
                  <w:r>
                    <w:rPr>
                      <w:rFonts w:hint="eastAsia"/>
                    </w:rPr>
                    <w:t>颗粒物</w:t>
                  </w:r>
                </w:p>
              </w:tc>
              <w:tc>
                <w:tcPr>
                  <w:tcW w:w="975" w:type="pct"/>
                  <w:tcBorders>
                    <w:top w:val="nil"/>
                    <w:left w:val="nil"/>
                    <w:bottom w:val="single" w:color="auto" w:sz="4" w:space="0"/>
                    <w:right w:val="single" w:color="auto" w:sz="4" w:space="0"/>
                  </w:tcBorders>
                  <w:vAlign w:val="center"/>
                </w:tcPr>
                <w:p w14:paraId="6B56C289">
                  <w:pPr>
                    <w:pStyle w:val="13"/>
                    <w:jc w:val="center"/>
                  </w:pPr>
                  <w:r>
                    <w:rPr>
                      <w:rFonts w:hint="eastAsia"/>
                    </w:rPr>
                    <w:t>0.008</w:t>
                  </w:r>
                </w:p>
              </w:tc>
              <w:tc>
                <w:tcPr>
                  <w:tcW w:w="991" w:type="pct"/>
                  <w:tcBorders>
                    <w:top w:val="nil"/>
                    <w:left w:val="nil"/>
                    <w:bottom w:val="single" w:color="auto" w:sz="4" w:space="0"/>
                    <w:right w:val="single" w:color="auto" w:sz="4" w:space="0"/>
                  </w:tcBorders>
                  <w:vAlign w:val="center"/>
                </w:tcPr>
                <w:p w14:paraId="7A71FE26">
                  <w:pPr>
                    <w:pStyle w:val="13"/>
                    <w:jc w:val="center"/>
                  </w:pPr>
                  <w:r>
                    <w:rPr>
                      <w:rFonts w:hint="eastAsia"/>
                    </w:rPr>
                    <w:t>0.511</w:t>
                  </w:r>
                </w:p>
              </w:tc>
              <w:tc>
                <w:tcPr>
                  <w:tcW w:w="1000" w:type="pct"/>
                  <w:tcBorders>
                    <w:top w:val="nil"/>
                    <w:left w:val="nil"/>
                    <w:bottom w:val="single" w:color="auto" w:sz="4" w:space="0"/>
                    <w:right w:val="single" w:color="auto" w:sz="4" w:space="0"/>
                  </w:tcBorders>
                  <w:vAlign w:val="center"/>
                </w:tcPr>
                <w:p w14:paraId="022FE5BB">
                  <w:pPr>
                    <w:pStyle w:val="13"/>
                    <w:jc w:val="center"/>
                  </w:pPr>
                  <w:r>
                    <w:t>20</w:t>
                  </w:r>
                </w:p>
              </w:tc>
              <w:tc>
                <w:tcPr>
                  <w:tcW w:w="455" w:type="pct"/>
                  <w:tcBorders>
                    <w:top w:val="nil"/>
                    <w:left w:val="nil"/>
                    <w:bottom w:val="single" w:color="auto" w:sz="4" w:space="0"/>
                    <w:right w:val="single" w:color="auto" w:sz="4" w:space="0"/>
                  </w:tcBorders>
                  <w:vAlign w:val="center"/>
                </w:tcPr>
                <w:p w14:paraId="028CD608">
                  <w:pPr>
                    <w:pStyle w:val="13"/>
                    <w:jc w:val="center"/>
                  </w:pPr>
                  <w:r>
                    <w:rPr>
                      <w:rFonts w:hint="eastAsia"/>
                    </w:rPr>
                    <w:t>达标</w:t>
                  </w:r>
                </w:p>
              </w:tc>
            </w:tr>
            <w:tr w14:paraId="34F08605">
              <w:trPr>
                <w:trHeight w:val="278" w:hRule="atLeast"/>
                <w:jc w:val="center"/>
              </w:trPr>
              <w:tc>
                <w:tcPr>
                  <w:tcW w:w="793" w:type="pct"/>
                  <w:tcBorders>
                    <w:top w:val="nil"/>
                    <w:left w:val="single" w:color="auto" w:sz="4" w:space="0"/>
                    <w:bottom w:val="single" w:color="auto" w:sz="4" w:space="0"/>
                    <w:right w:val="single" w:color="auto" w:sz="4" w:space="0"/>
                  </w:tcBorders>
                  <w:noWrap/>
                  <w:vAlign w:val="center"/>
                </w:tcPr>
                <w:p w14:paraId="260EB30E">
                  <w:pPr>
                    <w:pStyle w:val="13"/>
                    <w:jc w:val="center"/>
                  </w:pPr>
                  <w:r>
                    <w:t>DA00</w:t>
                  </w:r>
                  <w:r>
                    <w:rPr>
                      <w:rFonts w:hint="eastAsia"/>
                    </w:rPr>
                    <w:t>1</w:t>
                  </w:r>
                </w:p>
              </w:tc>
              <w:tc>
                <w:tcPr>
                  <w:tcW w:w="782" w:type="pct"/>
                  <w:tcBorders>
                    <w:top w:val="nil"/>
                    <w:left w:val="nil"/>
                    <w:bottom w:val="single" w:color="auto" w:sz="4" w:space="0"/>
                    <w:right w:val="single" w:color="auto" w:sz="4" w:space="0"/>
                  </w:tcBorders>
                  <w:noWrap/>
                  <w:vAlign w:val="center"/>
                </w:tcPr>
                <w:p w14:paraId="1CF7EAF1">
                  <w:pPr>
                    <w:pStyle w:val="13"/>
                    <w:jc w:val="center"/>
                  </w:pPr>
                  <w:r>
                    <w:rPr>
                      <w:rFonts w:hint="eastAsia"/>
                    </w:rPr>
                    <w:t>非甲烷总烃</w:t>
                  </w:r>
                </w:p>
              </w:tc>
              <w:tc>
                <w:tcPr>
                  <w:tcW w:w="975" w:type="pct"/>
                  <w:tcBorders>
                    <w:top w:val="nil"/>
                    <w:left w:val="nil"/>
                    <w:bottom w:val="single" w:color="auto" w:sz="4" w:space="0"/>
                    <w:right w:val="single" w:color="auto" w:sz="4" w:space="0"/>
                  </w:tcBorders>
                  <w:vAlign w:val="center"/>
                </w:tcPr>
                <w:p w14:paraId="6DFCE4A2">
                  <w:pPr>
                    <w:pStyle w:val="13"/>
                    <w:jc w:val="center"/>
                  </w:pPr>
                  <w:r>
                    <w:rPr>
                      <w:rFonts w:hint="eastAsia"/>
                    </w:rPr>
                    <w:t>0.050</w:t>
                  </w:r>
                </w:p>
              </w:tc>
              <w:tc>
                <w:tcPr>
                  <w:tcW w:w="991" w:type="pct"/>
                  <w:tcBorders>
                    <w:top w:val="nil"/>
                    <w:left w:val="nil"/>
                    <w:bottom w:val="single" w:color="auto" w:sz="4" w:space="0"/>
                    <w:right w:val="single" w:color="auto" w:sz="4" w:space="0"/>
                  </w:tcBorders>
                  <w:vAlign w:val="center"/>
                </w:tcPr>
                <w:p w14:paraId="19DC06D3">
                  <w:pPr>
                    <w:pStyle w:val="13"/>
                    <w:jc w:val="center"/>
                  </w:pPr>
                  <w:r>
                    <w:rPr>
                      <w:rFonts w:hint="eastAsia"/>
                    </w:rPr>
                    <w:t>2.077</w:t>
                  </w:r>
                </w:p>
              </w:tc>
              <w:tc>
                <w:tcPr>
                  <w:tcW w:w="1000" w:type="pct"/>
                  <w:tcBorders>
                    <w:top w:val="nil"/>
                    <w:left w:val="nil"/>
                    <w:bottom w:val="single" w:color="auto" w:sz="4" w:space="0"/>
                    <w:right w:val="single" w:color="auto" w:sz="4" w:space="0"/>
                  </w:tcBorders>
                  <w:vAlign w:val="center"/>
                </w:tcPr>
                <w:p w14:paraId="28FE9CC1">
                  <w:pPr>
                    <w:pStyle w:val="13"/>
                    <w:jc w:val="center"/>
                  </w:pPr>
                  <w:r>
                    <w:t>60</w:t>
                  </w:r>
                </w:p>
              </w:tc>
              <w:tc>
                <w:tcPr>
                  <w:tcW w:w="455" w:type="pct"/>
                  <w:tcBorders>
                    <w:top w:val="nil"/>
                    <w:left w:val="nil"/>
                    <w:bottom w:val="single" w:color="auto" w:sz="4" w:space="0"/>
                    <w:right w:val="single" w:color="auto" w:sz="4" w:space="0"/>
                  </w:tcBorders>
                  <w:vAlign w:val="center"/>
                </w:tcPr>
                <w:p w14:paraId="4AD05242">
                  <w:pPr>
                    <w:pStyle w:val="13"/>
                    <w:jc w:val="center"/>
                  </w:pPr>
                  <w:r>
                    <w:rPr>
                      <w:rFonts w:hint="eastAsia"/>
                    </w:rPr>
                    <w:t>达标</w:t>
                  </w:r>
                </w:p>
              </w:tc>
            </w:tr>
          </w:tbl>
          <w:p w14:paraId="0A5231B4">
            <w:pPr>
              <w:ind w:firstLine="480"/>
              <w:jc w:val="both"/>
            </w:pPr>
            <w:r>
              <w:rPr>
                <w:rFonts w:hint="eastAsia"/>
              </w:rPr>
              <w:t>由上表可知，本项目各工艺废气经收集处理后，有组织废气均能满足《合成树脂工业污染物排放标准》（GB 31572-2015，含2024年修改单）中表5特别排放限值要求。</w:t>
            </w:r>
          </w:p>
          <w:p w14:paraId="0E498F99">
            <w:pPr>
              <w:ind w:firstLine="480"/>
              <w:jc w:val="both"/>
            </w:pPr>
            <w:r>
              <w:rPr>
                <w:rFonts w:hint="eastAsia"/>
              </w:rPr>
              <w:t>(四)污染防治技术可行性分析</w:t>
            </w:r>
          </w:p>
          <w:p w14:paraId="3716A5D1">
            <w:pPr>
              <w:ind w:firstLine="480"/>
              <w:jc w:val="both"/>
              <w:rPr>
                <w:rFonts w:cs="Times New Roman"/>
                <w:szCs w:val="24"/>
              </w:rPr>
            </w:pPr>
            <w:r>
              <w:rPr>
                <w:rFonts w:hint="eastAsia" w:cs="Times New Roman"/>
                <w:szCs w:val="24"/>
              </w:rPr>
              <w:t>本项目对照</w:t>
            </w:r>
            <w:r>
              <w:rPr>
                <w:rFonts w:cs="Times New Roman"/>
                <w:szCs w:val="24"/>
              </w:rPr>
              <w:t>《排污许可证申请与核发技术规范 橡胶与塑料制品工业》（HJ1122-2020）可知，项目废气处理措施可行性分析如下：</w:t>
            </w:r>
          </w:p>
          <w:p w14:paraId="7AE41678">
            <w:pPr>
              <w:pStyle w:val="14"/>
              <w:numPr>
                <w:ilvl w:val="0"/>
                <w:numId w:val="9"/>
              </w:numPr>
              <w:tabs>
                <w:tab w:val="clear" w:pos="0"/>
              </w:tabs>
              <w:spacing w:before="156"/>
            </w:pPr>
            <w:r>
              <w:rPr>
                <w:rFonts w:hint="eastAsia"/>
              </w:rPr>
              <w:t xml:space="preserve">  项目废气处理措施可行性分析</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959"/>
              <w:gridCol w:w="1319"/>
              <w:gridCol w:w="2534"/>
              <w:gridCol w:w="1136"/>
              <w:gridCol w:w="640"/>
            </w:tblGrid>
            <w:tr w14:paraId="092ECDC3">
              <w:trPr>
                <w:trHeight w:val="340" w:hRule="atLeast"/>
              </w:trPr>
              <w:tc>
                <w:tcPr>
                  <w:tcW w:w="745" w:type="pct"/>
                  <w:tcBorders>
                    <w:top w:val="single" w:color="auto" w:sz="4" w:space="0"/>
                    <w:bottom w:val="single" w:color="auto" w:sz="4" w:space="0"/>
                    <w:right w:val="single" w:color="auto" w:sz="4" w:space="0"/>
                  </w:tcBorders>
                  <w:vAlign w:val="center"/>
                </w:tcPr>
                <w:p w14:paraId="1B3EE7BE">
                  <w:pPr>
                    <w:pStyle w:val="13"/>
                    <w:jc w:val="center"/>
                  </w:pPr>
                  <w:r>
                    <w:rPr>
                      <w:rFonts w:hint="eastAsia"/>
                    </w:rPr>
                    <w:t>排污类别</w:t>
                  </w:r>
                </w:p>
              </w:tc>
              <w:tc>
                <w:tcPr>
                  <w:tcW w:w="619" w:type="pct"/>
                  <w:tcBorders>
                    <w:top w:val="single" w:color="auto" w:sz="4" w:space="0"/>
                    <w:left w:val="single" w:color="auto" w:sz="4" w:space="0"/>
                    <w:bottom w:val="single" w:color="auto" w:sz="4" w:space="0"/>
                    <w:right w:val="single" w:color="auto" w:sz="4" w:space="0"/>
                  </w:tcBorders>
                  <w:vAlign w:val="center"/>
                </w:tcPr>
                <w:p w14:paraId="574D1819">
                  <w:pPr>
                    <w:pStyle w:val="13"/>
                    <w:jc w:val="center"/>
                  </w:pPr>
                  <w:r>
                    <w:rPr>
                      <w:rFonts w:hint="eastAsia"/>
                    </w:rPr>
                    <w:t>生产单元</w:t>
                  </w:r>
                </w:p>
              </w:tc>
              <w:tc>
                <w:tcPr>
                  <w:tcW w:w="851" w:type="pct"/>
                  <w:tcBorders>
                    <w:top w:val="single" w:color="auto" w:sz="4" w:space="0"/>
                    <w:left w:val="single" w:color="auto" w:sz="4" w:space="0"/>
                    <w:bottom w:val="single" w:color="auto" w:sz="4" w:space="0"/>
                    <w:right w:val="single" w:color="auto" w:sz="4" w:space="0"/>
                  </w:tcBorders>
                  <w:vAlign w:val="center"/>
                </w:tcPr>
                <w:p w14:paraId="43A25A23">
                  <w:pPr>
                    <w:pStyle w:val="13"/>
                    <w:jc w:val="center"/>
                  </w:pPr>
                  <w:r>
                    <w:rPr>
                      <w:rFonts w:hint="eastAsia"/>
                    </w:rPr>
                    <w:t>生产设施</w:t>
                  </w:r>
                </w:p>
              </w:tc>
              <w:tc>
                <w:tcPr>
                  <w:tcW w:w="1635" w:type="pct"/>
                  <w:tcBorders>
                    <w:top w:val="single" w:color="auto" w:sz="4" w:space="0"/>
                    <w:left w:val="single" w:color="auto" w:sz="4" w:space="0"/>
                    <w:bottom w:val="single" w:color="auto" w:sz="4" w:space="0"/>
                    <w:right w:val="single" w:color="auto" w:sz="4" w:space="0"/>
                  </w:tcBorders>
                  <w:vAlign w:val="center"/>
                </w:tcPr>
                <w:p w14:paraId="4668CF80">
                  <w:pPr>
                    <w:pStyle w:val="13"/>
                    <w:jc w:val="center"/>
                  </w:pPr>
                  <w:r>
                    <w:t>可行技术</w:t>
                  </w:r>
                </w:p>
              </w:tc>
              <w:tc>
                <w:tcPr>
                  <w:tcW w:w="733" w:type="pct"/>
                  <w:tcBorders>
                    <w:top w:val="single" w:color="auto" w:sz="4" w:space="0"/>
                    <w:left w:val="single" w:color="auto" w:sz="4" w:space="0"/>
                    <w:bottom w:val="single" w:color="auto" w:sz="4" w:space="0"/>
                    <w:right w:val="single" w:color="auto" w:sz="4" w:space="0"/>
                  </w:tcBorders>
                  <w:vAlign w:val="center"/>
                </w:tcPr>
                <w:p w14:paraId="3DED32B9">
                  <w:pPr>
                    <w:pStyle w:val="13"/>
                    <w:jc w:val="center"/>
                  </w:pPr>
                  <w:r>
                    <w:t>本项目</w:t>
                  </w:r>
                  <w:r>
                    <w:rPr>
                      <w:rFonts w:hint="eastAsia"/>
                    </w:rPr>
                    <w:t>情况</w:t>
                  </w:r>
                </w:p>
              </w:tc>
              <w:tc>
                <w:tcPr>
                  <w:tcW w:w="413" w:type="pct"/>
                  <w:tcBorders>
                    <w:top w:val="single" w:color="auto" w:sz="4" w:space="0"/>
                    <w:left w:val="single" w:color="auto" w:sz="4" w:space="0"/>
                    <w:bottom w:val="single" w:color="auto" w:sz="4" w:space="0"/>
                    <w:right w:val="single" w:color="auto" w:sz="4" w:space="0"/>
                  </w:tcBorders>
                  <w:vAlign w:val="center"/>
                </w:tcPr>
                <w:p w14:paraId="4FBFB926">
                  <w:pPr>
                    <w:pStyle w:val="13"/>
                    <w:jc w:val="center"/>
                  </w:pPr>
                  <w:r>
                    <w:t>是否符合</w:t>
                  </w:r>
                </w:p>
              </w:tc>
            </w:tr>
            <w:tr w14:paraId="17701B7D">
              <w:trPr>
                <w:trHeight w:val="340" w:hRule="atLeast"/>
              </w:trPr>
              <w:tc>
                <w:tcPr>
                  <w:tcW w:w="745" w:type="pct"/>
                  <w:tcBorders>
                    <w:top w:val="single" w:color="auto" w:sz="4" w:space="0"/>
                    <w:left w:val="single" w:color="auto" w:sz="4" w:space="0"/>
                    <w:bottom w:val="single" w:color="auto" w:sz="4" w:space="0"/>
                    <w:right w:val="single" w:color="auto" w:sz="4" w:space="0"/>
                  </w:tcBorders>
                  <w:vAlign w:val="center"/>
                </w:tcPr>
                <w:p w14:paraId="639854FB">
                  <w:pPr>
                    <w:pStyle w:val="13"/>
                    <w:jc w:val="center"/>
                  </w:pPr>
                  <w:r>
                    <w:rPr>
                      <w:rFonts w:hint="eastAsia"/>
                    </w:rPr>
                    <w:t>塑料零件及其他塑料制品制造</w:t>
                  </w:r>
                </w:p>
              </w:tc>
              <w:tc>
                <w:tcPr>
                  <w:tcW w:w="619" w:type="pct"/>
                  <w:tcBorders>
                    <w:top w:val="single" w:color="auto" w:sz="4" w:space="0"/>
                    <w:left w:val="single" w:color="auto" w:sz="4" w:space="0"/>
                    <w:bottom w:val="single" w:color="auto" w:sz="4" w:space="0"/>
                    <w:right w:val="single" w:color="auto" w:sz="4" w:space="0"/>
                  </w:tcBorders>
                  <w:vAlign w:val="center"/>
                </w:tcPr>
                <w:p w14:paraId="6601024A">
                  <w:pPr>
                    <w:pStyle w:val="13"/>
                    <w:jc w:val="center"/>
                  </w:pPr>
                  <w:r>
                    <w:rPr>
                      <w:rFonts w:hint="eastAsia"/>
                    </w:rPr>
                    <w:t>注塑、挤出</w:t>
                  </w:r>
                </w:p>
              </w:tc>
              <w:tc>
                <w:tcPr>
                  <w:tcW w:w="851" w:type="pct"/>
                  <w:tcBorders>
                    <w:top w:val="single" w:color="auto" w:sz="4" w:space="0"/>
                    <w:left w:val="single" w:color="auto" w:sz="4" w:space="0"/>
                    <w:bottom w:val="single" w:color="auto" w:sz="4" w:space="0"/>
                    <w:right w:val="single" w:color="auto" w:sz="4" w:space="0"/>
                  </w:tcBorders>
                  <w:vAlign w:val="center"/>
                </w:tcPr>
                <w:p w14:paraId="4FC1BA4E">
                  <w:pPr>
                    <w:pStyle w:val="13"/>
                    <w:jc w:val="center"/>
                  </w:pPr>
                  <w:r>
                    <w:rPr>
                      <w:rFonts w:hint="eastAsia"/>
                    </w:rPr>
                    <w:t>挤出机、注塑机</w:t>
                  </w:r>
                </w:p>
              </w:tc>
              <w:tc>
                <w:tcPr>
                  <w:tcW w:w="1635" w:type="pct"/>
                  <w:tcBorders>
                    <w:top w:val="single" w:color="auto" w:sz="4" w:space="0"/>
                    <w:left w:val="single" w:color="auto" w:sz="4" w:space="0"/>
                    <w:bottom w:val="single" w:color="auto" w:sz="4" w:space="0"/>
                    <w:right w:val="single" w:color="auto" w:sz="4" w:space="0"/>
                  </w:tcBorders>
                  <w:vAlign w:val="center"/>
                </w:tcPr>
                <w:p w14:paraId="561531FA">
                  <w:pPr>
                    <w:pStyle w:val="13"/>
                    <w:jc w:val="center"/>
                  </w:pPr>
                  <w:r>
                    <w:rPr>
                      <w:rFonts w:hint="eastAsia"/>
                    </w:rPr>
                    <w:t>除尘、喷淋、吸附、热力燃烧、催化燃烧、低温等离子、UV光氧化/光催化、生物法、以上组合技术</w:t>
                  </w:r>
                </w:p>
              </w:tc>
              <w:tc>
                <w:tcPr>
                  <w:tcW w:w="733" w:type="pct"/>
                  <w:tcBorders>
                    <w:top w:val="single" w:color="auto" w:sz="4" w:space="0"/>
                    <w:left w:val="single" w:color="auto" w:sz="4" w:space="0"/>
                    <w:bottom w:val="single" w:color="auto" w:sz="4" w:space="0"/>
                    <w:right w:val="single" w:color="auto" w:sz="4" w:space="0"/>
                  </w:tcBorders>
                  <w:vAlign w:val="center"/>
                </w:tcPr>
                <w:p w14:paraId="062B3664">
                  <w:pPr>
                    <w:pStyle w:val="13"/>
                    <w:jc w:val="center"/>
                  </w:pPr>
                  <w:r>
                    <w:rPr>
                      <w:rFonts w:hint="eastAsia"/>
                    </w:rPr>
                    <w:t>水喷淋+水雾过滤器+活性炭吸附</w:t>
                  </w:r>
                </w:p>
              </w:tc>
              <w:tc>
                <w:tcPr>
                  <w:tcW w:w="413" w:type="pct"/>
                  <w:tcBorders>
                    <w:top w:val="single" w:color="auto" w:sz="4" w:space="0"/>
                    <w:left w:val="single" w:color="auto" w:sz="4" w:space="0"/>
                    <w:bottom w:val="single" w:color="auto" w:sz="4" w:space="0"/>
                    <w:right w:val="single" w:color="auto" w:sz="4" w:space="0"/>
                  </w:tcBorders>
                  <w:vAlign w:val="center"/>
                </w:tcPr>
                <w:p w14:paraId="42D24364">
                  <w:pPr>
                    <w:pStyle w:val="13"/>
                    <w:jc w:val="center"/>
                  </w:pPr>
                  <w:r>
                    <w:t>符合</w:t>
                  </w:r>
                </w:p>
              </w:tc>
            </w:tr>
          </w:tbl>
          <w:p w14:paraId="42DB3AD0">
            <w:pPr>
              <w:ind w:firstLine="480"/>
              <w:jc w:val="both"/>
            </w:pPr>
            <w:r>
              <w:rPr>
                <w:rFonts w:hint="eastAsia"/>
              </w:rPr>
              <w:t>本项目采用水喷淋+水雾过滤器+活性炭吸附装置去除挤出、注塑工序中产生的有机废气，水喷淋可降低挤出废气、注塑废气的温度，还可去除废气中可溶性有机物，水雾过滤器可有效去除废气中水分子，确保后端活性炭吸附装置的吸附能效。</w:t>
            </w:r>
          </w:p>
          <w:p w14:paraId="6F6C2470">
            <w:pPr>
              <w:ind w:firstLine="480"/>
              <w:jc w:val="both"/>
            </w:pPr>
            <w:r>
              <w:rPr>
                <w:rFonts w:hint="eastAsia"/>
              </w:rPr>
              <w:t>二、废水</w:t>
            </w:r>
          </w:p>
          <w:p w14:paraId="22BEC597">
            <w:pPr>
              <w:ind w:firstLine="480"/>
              <w:jc w:val="both"/>
            </w:pPr>
            <w:r>
              <w:rPr>
                <w:rFonts w:hint="eastAsia"/>
              </w:rPr>
              <w:t>本项目不新增新鲜水使用量，故本项目实施后，不新增废水排放量。</w:t>
            </w:r>
          </w:p>
          <w:p w14:paraId="0BAEF0B9">
            <w:pPr>
              <w:ind w:firstLine="420"/>
              <w:jc w:val="both"/>
              <w:rPr>
                <w:rFonts w:eastAsia="黑体" w:cs="Times New Roman"/>
                <w:sz w:val="21"/>
                <w:szCs w:val="21"/>
              </w:rPr>
            </w:pPr>
          </w:p>
        </w:tc>
      </w:tr>
    </w:tbl>
    <w:p w14:paraId="5EB03CFE">
      <w:pPr>
        <w:pStyle w:val="2"/>
        <w:sectPr>
          <w:pgSz w:w="11906" w:h="16838"/>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9689"/>
      </w:tblGrid>
      <w:tr w14:paraId="0DC5DA26">
        <w:tc>
          <w:tcPr>
            <w:tcW w:w="633" w:type="dxa"/>
          </w:tcPr>
          <w:p w14:paraId="2A20BD15">
            <w:pPr>
              <w:pStyle w:val="2"/>
              <w:jc w:val="both"/>
            </w:pPr>
          </w:p>
        </w:tc>
        <w:tc>
          <w:tcPr>
            <w:tcW w:w="19689" w:type="dxa"/>
          </w:tcPr>
          <w:p w14:paraId="45029C2E">
            <w:pPr>
              <w:ind w:firstLine="480"/>
              <w:jc w:val="both"/>
            </w:pPr>
            <w:r>
              <w:rPr>
                <w:rFonts w:hint="eastAsia"/>
              </w:rPr>
              <w:t>三、噪声</w:t>
            </w:r>
          </w:p>
          <w:p w14:paraId="102E6A7A">
            <w:pPr>
              <w:ind w:firstLine="480"/>
              <w:jc w:val="both"/>
              <w:rPr>
                <w:rFonts w:cs="Times New Roman"/>
                <w:szCs w:val="24"/>
              </w:rPr>
            </w:pPr>
            <w:r>
              <w:rPr>
                <w:rFonts w:hint="eastAsia" w:cs="Times New Roman"/>
                <w:szCs w:val="24"/>
              </w:rPr>
              <w:t>1、</w:t>
            </w:r>
            <w:r>
              <w:rPr>
                <w:rFonts w:cs="Times New Roman"/>
                <w:szCs w:val="24"/>
              </w:rPr>
              <w:t>噪声产排情况</w:t>
            </w:r>
          </w:p>
          <w:p w14:paraId="5FB79506">
            <w:pPr>
              <w:ind w:firstLine="480"/>
              <w:jc w:val="both"/>
            </w:pPr>
            <w:r>
              <w:t>本项目</w:t>
            </w:r>
            <w:r>
              <w:rPr>
                <w:rFonts w:hint="eastAsia"/>
              </w:rPr>
              <w:t>室内</w:t>
            </w:r>
            <w:r>
              <w:t>噪声主要</w:t>
            </w:r>
            <w:r>
              <w:rPr>
                <w:rFonts w:hint="eastAsia"/>
              </w:rPr>
              <w:t>为新增注塑机</w:t>
            </w:r>
            <w:r>
              <w:t>机械设备运转过程中产生的噪声。</w:t>
            </w:r>
          </w:p>
          <w:p w14:paraId="20DCE4B1">
            <w:pPr>
              <w:pStyle w:val="14"/>
              <w:numPr>
                <w:ilvl w:val="0"/>
                <w:numId w:val="9"/>
              </w:numPr>
              <w:tabs>
                <w:tab w:val="clear" w:pos="0"/>
              </w:tabs>
              <w:spacing w:before="156"/>
            </w:pPr>
            <w:r>
              <w:rPr>
                <w:rFonts w:hint="eastAsia"/>
              </w:rPr>
              <w:t xml:space="preserve">  本项目新增主要生产设备噪声源强一览表(室内源强)</w:t>
            </w:r>
          </w:p>
          <w:tbl>
            <w:tblPr>
              <w:tblStyle w:val="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325"/>
              <w:gridCol w:w="1193"/>
              <w:gridCol w:w="805"/>
              <w:gridCol w:w="1377"/>
              <w:gridCol w:w="646"/>
              <w:gridCol w:w="681"/>
              <w:gridCol w:w="887"/>
              <w:gridCol w:w="739"/>
              <w:gridCol w:w="739"/>
              <w:gridCol w:w="739"/>
              <w:gridCol w:w="766"/>
              <w:gridCol w:w="751"/>
              <w:gridCol w:w="751"/>
              <w:gridCol w:w="751"/>
              <w:gridCol w:w="778"/>
              <w:gridCol w:w="926"/>
              <w:gridCol w:w="945"/>
              <w:gridCol w:w="684"/>
              <w:gridCol w:w="684"/>
              <w:gridCol w:w="684"/>
              <w:gridCol w:w="688"/>
              <w:gridCol w:w="945"/>
            </w:tblGrid>
            <w:tr w14:paraId="08E85FAF">
              <w:trPr>
                <w:trHeight w:val="340" w:hRule="atLeast"/>
                <w:jc w:val="center"/>
              </w:trPr>
              <w:tc>
                <w:tcPr>
                  <w:tcW w:w="247" w:type="pct"/>
                  <w:vMerge w:val="restart"/>
                  <w:vAlign w:val="center"/>
                </w:tcPr>
                <w:p w14:paraId="553E2826">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建筑物名称</w:t>
                  </w:r>
                </w:p>
              </w:tc>
              <w:tc>
                <w:tcPr>
                  <w:tcW w:w="341" w:type="pct"/>
                  <w:vMerge w:val="restart"/>
                  <w:vAlign w:val="center"/>
                </w:tcPr>
                <w:p w14:paraId="4C972F71">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声源名称</w:t>
                  </w:r>
                </w:p>
              </w:tc>
              <w:tc>
                <w:tcPr>
                  <w:tcW w:w="307" w:type="pct"/>
                  <w:vAlign w:val="center"/>
                </w:tcPr>
                <w:p w14:paraId="5F03E2A2">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声源源强</w:t>
                  </w:r>
                </w:p>
              </w:tc>
              <w:tc>
                <w:tcPr>
                  <w:tcW w:w="207" w:type="pct"/>
                  <w:vMerge w:val="restart"/>
                  <w:vAlign w:val="center"/>
                </w:tcPr>
                <w:p w14:paraId="331A3FDD">
                  <w:pPr>
                    <w:widowControl/>
                    <w:spacing w:line="240" w:lineRule="auto"/>
                    <w:ind w:firstLine="0" w:firstLineChars="0"/>
                    <w:jc w:val="center"/>
                    <w:textAlignment w:val="center"/>
                    <w:rPr>
                      <w:rFonts w:hint="eastAsia" w:ascii="宋体" w:hAnsi="宋体" w:cs="宋体"/>
                      <w:sz w:val="18"/>
                    </w:rPr>
                  </w:pPr>
                  <w:r>
                    <w:rPr>
                      <w:rFonts w:hint="eastAsia" w:ascii="宋体" w:hAnsi="宋体" w:cs="宋体"/>
                      <w:sz w:val="18"/>
                    </w:rPr>
                    <w:t>型号</w:t>
                  </w:r>
                </w:p>
              </w:tc>
              <w:tc>
                <w:tcPr>
                  <w:tcW w:w="354" w:type="pct"/>
                  <w:vMerge w:val="restart"/>
                  <w:vAlign w:val="center"/>
                </w:tcPr>
                <w:p w14:paraId="1110C10D">
                  <w:pPr>
                    <w:widowControl/>
                    <w:spacing w:line="240" w:lineRule="auto"/>
                    <w:ind w:firstLine="0" w:firstLineChars="0"/>
                    <w:jc w:val="center"/>
                    <w:textAlignment w:val="center"/>
                    <w:rPr>
                      <w:rFonts w:hint="eastAsia" w:ascii="宋体" w:hAnsi="宋体" w:cs="宋体"/>
                      <w:kern w:val="0"/>
                      <w:sz w:val="18"/>
                      <w:lang w:bidi="ar"/>
                    </w:rPr>
                  </w:pPr>
                  <w:r>
                    <w:rPr>
                      <w:rFonts w:hint="eastAsia" w:ascii="宋体" w:hAnsi="宋体" w:cs="宋体"/>
                      <w:kern w:val="0"/>
                      <w:sz w:val="18"/>
                      <w:lang w:bidi="ar"/>
                    </w:rPr>
                    <w:t>声源控制措施</w:t>
                  </w:r>
                </w:p>
              </w:tc>
              <w:tc>
                <w:tcPr>
                  <w:tcW w:w="569" w:type="pct"/>
                  <w:gridSpan w:val="3"/>
                  <w:vAlign w:val="center"/>
                </w:tcPr>
                <w:p w14:paraId="4ACAD94D">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空间相对位置</w:t>
                  </w:r>
                  <w:r>
                    <w:rPr>
                      <w:rFonts w:cs="Times New Roman"/>
                      <w:kern w:val="0"/>
                      <w:sz w:val="18"/>
                      <w:lang w:bidi="ar"/>
                    </w:rPr>
                    <w:t>/m</w:t>
                  </w:r>
                </w:p>
              </w:tc>
              <w:tc>
                <w:tcPr>
                  <w:tcW w:w="767" w:type="pct"/>
                  <w:gridSpan w:val="4"/>
                  <w:vAlign w:val="center"/>
                </w:tcPr>
                <w:p w14:paraId="62FF470C">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距室内边界距离</w:t>
                  </w:r>
                  <w:r>
                    <w:rPr>
                      <w:rFonts w:cs="Times New Roman"/>
                      <w:kern w:val="0"/>
                      <w:sz w:val="18"/>
                      <w:lang w:bidi="ar"/>
                    </w:rPr>
                    <w:t>/m</w:t>
                  </w:r>
                </w:p>
              </w:tc>
              <w:tc>
                <w:tcPr>
                  <w:tcW w:w="779" w:type="pct"/>
                  <w:gridSpan w:val="4"/>
                  <w:vAlign w:val="center"/>
                </w:tcPr>
                <w:p w14:paraId="76557CA9">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室内边界声级</w:t>
                  </w:r>
                  <w:r>
                    <w:rPr>
                      <w:rFonts w:cs="Times New Roman"/>
                      <w:kern w:val="0"/>
                      <w:sz w:val="18"/>
                      <w:lang w:bidi="ar"/>
                    </w:rPr>
                    <w:t>/dB(A)</w:t>
                  </w:r>
                </w:p>
              </w:tc>
              <w:tc>
                <w:tcPr>
                  <w:tcW w:w="238" w:type="pct"/>
                  <w:vMerge w:val="restart"/>
                  <w:vAlign w:val="center"/>
                </w:tcPr>
                <w:p w14:paraId="489C4F6A">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运行时段</w:t>
                  </w:r>
                </w:p>
              </w:tc>
              <w:tc>
                <w:tcPr>
                  <w:tcW w:w="243" w:type="pct"/>
                  <w:vMerge w:val="restart"/>
                  <w:vAlign w:val="center"/>
                </w:tcPr>
                <w:p w14:paraId="2F9F5E44">
                  <w:pPr>
                    <w:widowControl/>
                    <w:spacing w:line="240" w:lineRule="auto"/>
                    <w:ind w:firstLine="0" w:firstLineChars="0"/>
                    <w:jc w:val="center"/>
                    <w:textAlignment w:val="center"/>
                    <w:rPr>
                      <w:rFonts w:hint="eastAsia" w:ascii="宋体" w:hAnsi="宋体" w:cs="宋体"/>
                      <w:sz w:val="18"/>
                    </w:rPr>
                  </w:pPr>
                  <w:bookmarkStart w:id="7" w:name="RANGE!AC11"/>
                  <w:r>
                    <w:rPr>
                      <w:rFonts w:hint="eastAsia" w:ascii="宋体" w:hAnsi="宋体" w:cs="宋体"/>
                      <w:kern w:val="0"/>
                      <w:sz w:val="18"/>
                      <w:lang w:bidi="ar"/>
                    </w:rPr>
                    <w:t>建筑物插入损失</w:t>
                  </w:r>
                  <w:r>
                    <w:rPr>
                      <w:rFonts w:cs="Times New Roman"/>
                      <w:kern w:val="0"/>
                      <w:sz w:val="18"/>
                      <w:lang w:bidi="ar"/>
                    </w:rPr>
                    <w:t xml:space="preserve"> / dB(A)</w:t>
                  </w:r>
                  <w:bookmarkEnd w:id="7"/>
                </w:p>
              </w:tc>
              <w:tc>
                <w:tcPr>
                  <w:tcW w:w="943" w:type="pct"/>
                  <w:gridSpan w:val="5"/>
                  <w:vAlign w:val="center"/>
                </w:tcPr>
                <w:p w14:paraId="0FF0187E">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建筑物外噪声声压级</w:t>
                  </w:r>
                  <w:r>
                    <w:rPr>
                      <w:rFonts w:cs="Times New Roman"/>
                      <w:kern w:val="0"/>
                      <w:sz w:val="18"/>
                      <w:lang w:bidi="ar"/>
                    </w:rPr>
                    <w:t>/dB(A)</w:t>
                  </w:r>
                </w:p>
              </w:tc>
            </w:tr>
            <w:tr w14:paraId="5217623F">
              <w:trPr>
                <w:trHeight w:val="340" w:hRule="atLeast"/>
                <w:jc w:val="center"/>
              </w:trPr>
              <w:tc>
                <w:tcPr>
                  <w:tcW w:w="247" w:type="pct"/>
                  <w:vMerge w:val="continue"/>
                  <w:vAlign w:val="center"/>
                </w:tcPr>
                <w:p w14:paraId="55AB821B">
                  <w:pPr>
                    <w:widowControl/>
                    <w:spacing w:line="240" w:lineRule="auto"/>
                    <w:ind w:firstLine="0" w:firstLineChars="0"/>
                    <w:jc w:val="center"/>
                    <w:rPr>
                      <w:rFonts w:hint="eastAsia" w:ascii="宋体" w:hAnsi="宋体" w:cs="宋体"/>
                      <w:sz w:val="18"/>
                    </w:rPr>
                  </w:pPr>
                </w:p>
              </w:tc>
              <w:tc>
                <w:tcPr>
                  <w:tcW w:w="341" w:type="pct"/>
                  <w:vMerge w:val="continue"/>
                  <w:vAlign w:val="center"/>
                </w:tcPr>
                <w:p w14:paraId="2FAB353A">
                  <w:pPr>
                    <w:widowControl/>
                    <w:spacing w:line="240" w:lineRule="auto"/>
                    <w:ind w:firstLine="0" w:firstLineChars="0"/>
                    <w:jc w:val="center"/>
                    <w:rPr>
                      <w:rFonts w:hint="eastAsia" w:ascii="宋体" w:hAnsi="宋体" w:cs="宋体"/>
                      <w:sz w:val="18"/>
                    </w:rPr>
                  </w:pPr>
                </w:p>
              </w:tc>
              <w:tc>
                <w:tcPr>
                  <w:tcW w:w="307" w:type="pct"/>
                  <w:shd w:val="clear" w:color="000000" w:fill="FFFFFF"/>
                  <w:vAlign w:val="center"/>
                </w:tcPr>
                <w:p w14:paraId="5625CFBB">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声压级</w:t>
                  </w:r>
                  <w:r>
                    <w:rPr>
                      <w:rFonts w:cs="Times New Roman"/>
                      <w:kern w:val="0"/>
                      <w:sz w:val="18"/>
                      <w:lang w:bidi="ar"/>
                    </w:rPr>
                    <w:t>/dB(A)</w:t>
                  </w:r>
                </w:p>
              </w:tc>
              <w:tc>
                <w:tcPr>
                  <w:tcW w:w="207" w:type="pct"/>
                  <w:vMerge w:val="continue"/>
                  <w:vAlign w:val="center"/>
                </w:tcPr>
                <w:p w14:paraId="039F14BA">
                  <w:pPr>
                    <w:widowControl/>
                    <w:spacing w:line="240" w:lineRule="auto"/>
                    <w:ind w:firstLine="0" w:firstLineChars="0"/>
                    <w:jc w:val="center"/>
                    <w:rPr>
                      <w:rFonts w:hint="eastAsia" w:ascii="宋体" w:hAnsi="宋体" w:cs="宋体"/>
                      <w:sz w:val="18"/>
                    </w:rPr>
                  </w:pPr>
                </w:p>
              </w:tc>
              <w:tc>
                <w:tcPr>
                  <w:tcW w:w="354" w:type="pct"/>
                  <w:vMerge w:val="continue"/>
                  <w:vAlign w:val="center"/>
                </w:tcPr>
                <w:p w14:paraId="08EAC43E">
                  <w:pPr>
                    <w:widowControl/>
                    <w:spacing w:line="240" w:lineRule="auto"/>
                    <w:ind w:firstLine="0" w:firstLineChars="0"/>
                    <w:jc w:val="center"/>
                    <w:rPr>
                      <w:rFonts w:hint="eastAsia" w:ascii="宋体" w:hAnsi="宋体" w:cs="宋体"/>
                      <w:sz w:val="18"/>
                    </w:rPr>
                  </w:pPr>
                </w:p>
              </w:tc>
              <w:tc>
                <w:tcPr>
                  <w:tcW w:w="166" w:type="pct"/>
                  <w:shd w:val="clear" w:color="000000" w:fill="FFFFFF"/>
                  <w:vAlign w:val="center"/>
                </w:tcPr>
                <w:p w14:paraId="3177397E">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X</w:t>
                  </w:r>
                </w:p>
              </w:tc>
              <w:tc>
                <w:tcPr>
                  <w:tcW w:w="175" w:type="pct"/>
                  <w:shd w:val="clear" w:color="000000" w:fill="FFFFFF"/>
                  <w:vAlign w:val="center"/>
                </w:tcPr>
                <w:p w14:paraId="45E56EBD">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Y</w:t>
                  </w:r>
                </w:p>
              </w:tc>
              <w:tc>
                <w:tcPr>
                  <w:tcW w:w="228" w:type="pct"/>
                  <w:shd w:val="clear" w:color="000000" w:fill="FFFFFF"/>
                  <w:vAlign w:val="center"/>
                </w:tcPr>
                <w:p w14:paraId="0DD62BF2">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Z</w:t>
                  </w:r>
                </w:p>
              </w:tc>
              <w:tc>
                <w:tcPr>
                  <w:tcW w:w="190" w:type="pct"/>
                  <w:shd w:val="clear" w:color="000000" w:fill="FFFFFF"/>
                  <w:vAlign w:val="center"/>
                </w:tcPr>
                <w:p w14:paraId="6C6089E0">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东</w:t>
                  </w:r>
                </w:p>
              </w:tc>
              <w:tc>
                <w:tcPr>
                  <w:tcW w:w="190" w:type="pct"/>
                  <w:shd w:val="clear" w:color="000000" w:fill="FFFFFF"/>
                  <w:vAlign w:val="center"/>
                </w:tcPr>
                <w:p w14:paraId="4E964199">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南</w:t>
                  </w:r>
                </w:p>
              </w:tc>
              <w:tc>
                <w:tcPr>
                  <w:tcW w:w="190" w:type="pct"/>
                  <w:shd w:val="clear" w:color="000000" w:fill="FFFFFF"/>
                  <w:vAlign w:val="center"/>
                </w:tcPr>
                <w:p w14:paraId="755F61B9">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西</w:t>
                  </w:r>
                </w:p>
              </w:tc>
              <w:tc>
                <w:tcPr>
                  <w:tcW w:w="196" w:type="pct"/>
                  <w:shd w:val="clear" w:color="000000" w:fill="FFFFFF"/>
                  <w:vAlign w:val="center"/>
                </w:tcPr>
                <w:p w14:paraId="6734D98F">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北</w:t>
                  </w:r>
                </w:p>
              </w:tc>
              <w:tc>
                <w:tcPr>
                  <w:tcW w:w="193" w:type="pct"/>
                  <w:shd w:val="clear" w:color="000000" w:fill="FFFFFF"/>
                  <w:vAlign w:val="center"/>
                </w:tcPr>
                <w:p w14:paraId="718B3DC1">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东</w:t>
                  </w:r>
                </w:p>
              </w:tc>
              <w:tc>
                <w:tcPr>
                  <w:tcW w:w="193" w:type="pct"/>
                  <w:shd w:val="clear" w:color="000000" w:fill="FFFFFF"/>
                  <w:vAlign w:val="center"/>
                </w:tcPr>
                <w:p w14:paraId="05CD0A28">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南</w:t>
                  </w:r>
                </w:p>
              </w:tc>
              <w:tc>
                <w:tcPr>
                  <w:tcW w:w="193" w:type="pct"/>
                  <w:shd w:val="clear" w:color="000000" w:fill="FFFFFF"/>
                  <w:vAlign w:val="center"/>
                </w:tcPr>
                <w:p w14:paraId="260B4985">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西</w:t>
                  </w:r>
                </w:p>
              </w:tc>
              <w:tc>
                <w:tcPr>
                  <w:tcW w:w="200" w:type="pct"/>
                  <w:shd w:val="clear" w:color="000000" w:fill="FFFFFF"/>
                  <w:vAlign w:val="center"/>
                </w:tcPr>
                <w:p w14:paraId="1A103482">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北</w:t>
                  </w:r>
                </w:p>
              </w:tc>
              <w:tc>
                <w:tcPr>
                  <w:tcW w:w="238" w:type="pct"/>
                  <w:vMerge w:val="continue"/>
                  <w:vAlign w:val="center"/>
                </w:tcPr>
                <w:p w14:paraId="7ABB13BF">
                  <w:pPr>
                    <w:widowControl/>
                    <w:spacing w:line="240" w:lineRule="auto"/>
                    <w:ind w:firstLine="0" w:firstLineChars="0"/>
                    <w:jc w:val="center"/>
                    <w:rPr>
                      <w:rFonts w:hint="eastAsia" w:ascii="宋体" w:hAnsi="宋体" w:cs="宋体"/>
                      <w:sz w:val="18"/>
                    </w:rPr>
                  </w:pPr>
                </w:p>
              </w:tc>
              <w:tc>
                <w:tcPr>
                  <w:tcW w:w="243" w:type="pct"/>
                  <w:vMerge w:val="continue"/>
                  <w:shd w:val="clear" w:color="000000" w:fill="FFFFFF"/>
                  <w:vAlign w:val="center"/>
                </w:tcPr>
                <w:p w14:paraId="75F19340">
                  <w:pPr>
                    <w:widowControl/>
                    <w:spacing w:line="240" w:lineRule="auto"/>
                    <w:ind w:firstLine="0" w:firstLineChars="0"/>
                    <w:jc w:val="center"/>
                    <w:textAlignment w:val="center"/>
                    <w:rPr>
                      <w:rFonts w:hint="eastAsia" w:ascii="宋体" w:hAnsi="宋体" w:cs="宋体"/>
                      <w:sz w:val="18"/>
                    </w:rPr>
                  </w:pPr>
                </w:p>
              </w:tc>
              <w:tc>
                <w:tcPr>
                  <w:tcW w:w="176" w:type="pct"/>
                  <w:shd w:val="clear" w:color="000000" w:fill="FFFFFF"/>
                  <w:vAlign w:val="center"/>
                </w:tcPr>
                <w:p w14:paraId="4FAAEAAC">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东</w:t>
                  </w:r>
                </w:p>
              </w:tc>
              <w:tc>
                <w:tcPr>
                  <w:tcW w:w="176" w:type="pct"/>
                  <w:shd w:val="clear" w:color="000000" w:fill="FFFFFF"/>
                  <w:vAlign w:val="center"/>
                </w:tcPr>
                <w:p w14:paraId="6AF99C07">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南</w:t>
                  </w:r>
                </w:p>
              </w:tc>
              <w:tc>
                <w:tcPr>
                  <w:tcW w:w="176" w:type="pct"/>
                  <w:shd w:val="clear" w:color="000000" w:fill="FFFFFF"/>
                  <w:vAlign w:val="center"/>
                </w:tcPr>
                <w:p w14:paraId="04E3A6B1">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西</w:t>
                  </w:r>
                </w:p>
              </w:tc>
              <w:tc>
                <w:tcPr>
                  <w:tcW w:w="177" w:type="pct"/>
                  <w:shd w:val="clear" w:color="000000" w:fill="FFFFFF"/>
                  <w:vAlign w:val="center"/>
                </w:tcPr>
                <w:p w14:paraId="2C7E8861">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北</w:t>
                  </w:r>
                </w:p>
              </w:tc>
              <w:tc>
                <w:tcPr>
                  <w:tcW w:w="236" w:type="pct"/>
                  <w:shd w:val="clear" w:color="000000" w:fill="FFFFFF"/>
                  <w:vAlign w:val="center"/>
                </w:tcPr>
                <w:p w14:paraId="0D42ADEF">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建筑物外距离</w:t>
                  </w:r>
                </w:p>
              </w:tc>
            </w:tr>
            <w:tr w14:paraId="67C1AA42">
              <w:trPr>
                <w:trHeight w:val="340" w:hRule="atLeast"/>
                <w:jc w:val="center"/>
              </w:trPr>
              <w:tc>
                <w:tcPr>
                  <w:tcW w:w="247" w:type="pct"/>
                  <w:shd w:val="clear" w:color="000000" w:fill="FFFFFF"/>
                  <w:vAlign w:val="center"/>
                </w:tcPr>
                <w:p w14:paraId="6620DC1B">
                  <w:pPr>
                    <w:widowControl/>
                    <w:spacing w:line="240" w:lineRule="auto"/>
                    <w:ind w:firstLine="0" w:firstLineChars="0"/>
                    <w:jc w:val="center"/>
                    <w:textAlignment w:val="center"/>
                    <w:rPr>
                      <w:rFonts w:hint="eastAsia" w:ascii="宋体" w:hAnsi="宋体" w:cs="宋体"/>
                      <w:sz w:val="18"/>
                    </w:rPr>
                  </w:pPr>
                  <w:r>
                    <w:rPr>
                      <w:rFonts w:hint="eastAsia" w:ascii="宋体" w:hAnsi="宋体" w:cs="宋体"/>
                      <w:sz w:val="18"/>
                    </w:rPr>
                    <w:t>打板房</w:t>
                  </w:r>
                </w:p>
              </w:tc>
              <w:tc>
                <w:tcPr>
                  <w:tcW w:w="341" w:type="pct"/>
                  <w:noWrap/>
                  <w:vAlign w:val="center"/>
                </w:tcPr>
                <w:p w14:paraId="15A8F41E">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注塑机组</w:t>
                  </w:r>
                </w:p>
              </w:tc>
              <w:tc>
                <w:tcPr>
                  <w:tcW w:w="307" w:type="pct"/>
                  <w:shd w:val="clear" w:color="000000" w:fill="FFFFFF"/>
                  <w:vAlign w:val="center"/>
                </w:tcPr>
                <w:p w14:paraId="0DA9E37D">
                  <w:pPr>
                    <w:widowControl/>
                    <w:spacing w:line="240" w:lineRule="auto"/>
                    <w:ind w:firstLine="0" w:firstLineChars="0"/>
                    <w:jc w:val="center"/>
                    <w:textAlignment w:val="center"/>
                    <w:rPr>
                      <w:rFonts w:cs="Times New Roman"/>
                      <w:sz w:val="18"/>
                    </w:rPr>
                  </w:pPr>
                  <w:r>
                    <w:rPr>
                      <w:rFonts w:hint="eastAsia" w:eastAsia="等线" w:cs="Times New Roman"/>
                      <w:kern w:val="0"/>
                      <w:sz w:val="18"/>
                      <w:lang w:bidi="ar"/>
                    </w:rPr>
                    <w:t>80/1</w:t>
                  </w:r>
                </w:p>
              </w:tc>
              <w:tc>
                <w:tcPr>
                  <w:tcW w:w="207" w:type="pct"/>
                  <w:shd w:val="clear" w:color="000000" w:fill="FFFFFF"/>
                  <w:vAlign w:val="center"/>
                </w:tcPr>
                <w:p w14:paraId="4988FBEA">
                  <w:pPr>
                    <w:widowControl/>
                    <w:spacing w:line="240" w:lineRule="auto"/>
                    <w:ind w:firstLine="0" w:firstLineChars="0"/>
                    <w:jc w:val="center"/>
                    <w:textAlignment w:val="center"/>
                    <w:rPr>
                      <w:rFonts w:cs="Times New Roman"/>
                      <w:sz w:val="18"/>
                    </w:rPr>
                  </w:pPr>
                  <w:r>
                    <w:rPr>
                      <w:rFonts w:hint="eastAsia" w:cs="Times New Roman"/>
                      <w:sz w:val="18"/>
                    </w:rPr>
                    <w:t>/</w:t>
                  </w:r>
                </w:p>
              </w:tc>
              <w:tc>
                <w:tcPr>
                  <w:tcW w:w="354" w:type="pct"/>
                  <w:vMerge w:val="restart"/>
                  <w:shd w:val="clear" w:color="000000" w:fill="FFFFFF"/>
                  <w:vAlign w:val="center"/>
                </w:tcPr>
                <w:p w14:paraId="2735211E">
                  <w:pPr>
                    <w:widowControl/>
                    <w:spacing w:line="240" w:lineRule="auto"/>
                    <w:ind w:firstLine="0" w:firstLineChars="0"/>
                    <w:jc w:val="center"/>
                    <w:textAlignment w:val="center"/>
                    <w:rPr>
                      <w:rFonts w:hint="eastAsia" w:ascii="宋体" w:hAnsi="宋体" w:cs="宋体"/>
                      <w:kern w:val="0"/>
                      <w:sz w:val="18"/>
                      <w:lang w:bidi="ar"/>
                    </w:rPr>
                  </w:pPr>
                  <w:r>
                    <w:rPr>
                      <w:rFonts w:hint="eastAsia" w:ascii="宋体" w:hAnsi="宋体" w:cs="宋体"/>
                      <w:kern w:val="0"/>
                      <w:sz w:val="18"/>
                      <w:lang w:bidi="ar"/>
                    </w:rPr>
                    <w:t>选用低噪声设备，设置减振基座，厂房隔声</w:t>
                  </w:r>
                </w:p>
              </w:tc>
              <w:tc>
                <w:tcPr>
                  <w:tcW w:w="166" w:type="pct"/>
                  <w:shd w:val="clear" w:color="000000" w:fill="FFFFFF"/>
                  <w:vAlign w:val="center"/>
                </w:tcPr>
                <w:p w14:paraId="3C443EF6">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-28</w:t>
                  </w:r>
                </w:p>
              </w:tc>
              <w:tc>
                <w:tcPr>
                  <w:tcW w:w="175" w:type="pct"/>
                  <w:shd w:val="clear" w:color="000000" w:fill="FFFFFF"/>
                  <w:vAlign w:val="center"/>
                </w:tcPr>
                <w:p w14:paraId="21302CA6">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-11</w:t>
                  </w:r>
                </w:p>
              </w:tc>
              <w:tc>
                <w:tcPr>
                  <w:tcW w:w="228" w:type="pct"/>
                  <w:shd w:val="clear" w:color="000000" w:fill="FFFFFF"/>
                  <w:vAlign w:val="center"/>
                </w:tcPr>
                <w:p w14:paraId="502DA882">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1.2</w:t>
                  </w:r>
                </w:p>
              </w:tc>
              <w:tc>
                <w:tcPr>
                  <w:tcW w:w="190" w:type="pct"/>
                  <w:shd w:val="clear" w:color="000000" w:fill="FFFFFF"/>
                  <w:vAlign w:val="center"/>
                </w:tcPr>
                <w:p w14:paraId="02A652A8">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2</w:t>
                  </w:r>
                </w:p>
              </w:tc>
              <w:tc>
                <w:tcPr>
                  <w:tcW w:w="190" w:type="pct"/>
                  <w:shd w:val="clear" w:color="000000" w:fill="FFFFFF"/>
                  <w:vAlign w:val="center"/>
                </w:tcPr>
                <w:p w14:paraId="41BD98D3">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5</w:t>
                  </w:r>
                </w:p>
              </w:tc>
              <w:tc>
                <w:tcPr>
                  <w:tcW w:w="190" w:type="pct"/>
                  <w:shd w:val="clear" w:color="000000" w:fill="FFFFFF"/>
                  <w:vAlign w:val="center"/>
                </w:tcPr>
                <w:p w14:paraId="219CAD6D">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2</w:t>
                  </w:r>
                </w:p>
              </w:tc>
              <w:tc>
                <w:tcPr>
                  <w:tcW w:w="196" w:type="pct"/>
                  <w:shd w:val="clear" w:color="000000" w:fill="FFFFFF"/>
                  <w:vAlign w:val="center"/>
                </w:tcPr>
                <w:p w14:paraId="12B5DFC1">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5</w:t>
                  </w:r>
                </w:p>
              </w:tc>
              <w:tc>
                <w:tcPr>
                  <w:tcW w:w="193" w:type="pct"/>
                  <w:shd w:val="clear" w:color="000000" w:fill="FFFFFF"/>
                  <w:vAlign w:val="center"/>
                </w:tcPr>
                <w:p w14:paraId="6655A895">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65</w:t>
                  </w:r>
                  <w:r>
                    <w:rPr>
                      <w:rFonts w:hint="eastAsia" w:eastAsia="等线" w:cs="Times New Roman"/>
                      <w:kern w:val="0"/>
                      <w:sz w:val="18"/>
                      <w:lang w:bidi="ar"/>
                    </w:rPr>
                    <w:t>.5</w:t>
                  </w:r>
                </w:p>
              </w:tc>
              <w:tc>
                <w:tcPr>
                  <w:tcW w:w="193" w:type="pct"/>
                  <w:shd w:val="clear" w:color="000000" w:fill="FFFFFF"/>
                  <w:vAlign w:val="center"/>
                </w:tcPr>
                <w:p w14:paraId="7F31422D">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65</w:t>
                  </w:r>
                  <w:r>
                    <w:rPr>
                      <w:rFonts w:hint="eastAsia" w:eastAsia="等线" w:cs="Times New Roman"/>
                      <w:kern w:val="0"/>
                      <w:sz w:val="18"/>
                      <w:lang w:bidi="ar"/>
                    </w:rPr>
                    <w:t>.5</w:t>
                  </w:r>
                </w:p>
              </w:tc>
              <w:tc>
                <w:tcPr>
                  <w:tcW w:w="193" w:type="pct"/>
                  <w:shd w:val="clear" w:color="000000" w:fill="FFFFFF"/>
                  <w:vAlign w:val="center"/>
                </w:tcPr>
                <w:p w14:paraId="1FC4C7B0">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67</w:t>
                  </w:r>
                  <w:r>
                    <w:rPr>
                      <w:rFonts w:hint="eastAsia" w:eastAsia="等线" w:cs="Times New Roman"/>
                      <w:kern w:val="0"/>
                      <w:sz w:val="18"/>
                      <w:lang w:bidi="ar"/>
                    </w:rPr>
                    <w:t>.4</w:t>
                  </w:r>
                </w:p>
              </w:tc>
              <w:tc>
                <w:tcPr>
                  <w:tcW w:w="200" w:type="pct"/>
                  <w:shd w:val="clear" w:color="000000" w:fill="FFFFFF"/>
                  <w:vAlign w:val="center"/>
                </w:tcPr>
                <w:p w14:paraId="5B2D70D8">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68</w:t>
                  </w:r>
                  <w:r>
                    <w:rPr>
                      <w:rFonts w:hint="eastAsia" w:eastAsia="等线" w:cs="Times New Roman"/>
                      <w:kern w:val="0"/>
                      <w:sz w:val="18"/>
                      <w:lang w:bidi="ar"/>
                    </w:rPr>
                    <w:t>.7</w:t>
                  </w:r>
                </w:p>
              </w:tc>
              <w:tc>
                <w:tcPr>
                  <w:tcW w:w="238" w:type="pct"/>
                  <w:vMerge w:val="restart"/>
                  <w:shd w:val="clear" w:color="000000" w:fill="FFFFFF"/>
                  <w:vAlign w:val="center"/>
                </w:tcPr>
                <w:p w14:paraId="794EFA5D">
                  <w:pPr>
                    <w:widowControl/>
                    <w:spacing w:line="240" w:lineRule="auto"/>
                    <w:ind w:firstLine="0" w:firstLineChars="0"/>
                    <w:jc w:val="center"/>
                    <w:textAlignment w:val="center"/>
                    <w:rPr>
                      <w:rFonts w:hint="eastAsia" w:ascii="宋体" w:hAnsi="宋体" w:cs="宋体"/>
                      <w:sz w:val="18"/>
                    </w:rPr>
                  </w:pPr>
                  <w:r>
                    <w:rPr>
                      <w:rFonts w:hint="eastAsia" w:ascii="宋体" w:hAnsi="宋体" w:cs="宋体"/>
                      <w:kern w:val="0"/>
                      <w:sz w:val="18"/>
                      <w:lang w:bidi="ar"/>
                    </w:rPr>
                    <w:t>昼、夜连续运行</w:t>
                  </w:r>
                </w:p>
              </w:tc>
              <w:tc>
                <w:tcPr>
                  <w:tcW w:w="243" w:type="pct"/>
                  <w:shd w:val="clear" w:color="000000" w:fill="FFFFFF"/>
                  <w:vAlign w:val="center"/>
                </w:tcPr>
                <w:p w14:paraId="65E7B134">
                  <w:pPr>
                    <w:widowControl/>
                    <w:spacing w:line="240" w:lineRule="auto"/>
                    <w:ind w:firstLine="0" w:firstLineChars="0"/>
                    <w:jc w:val="center"/>
                    <w:textAlignment w:val="center"/>
                    <w:rPr>
                      <w:rFonts w:eastAsia="等线" w:cs="Times New Roman"/>
                      <w:sz w:val="18"/>
                    </w:rPr>
                  </w:pPr>
                  <w:r>
                    <w:rPr>
                      <w:rFonts w:hint="eastAsia" w:eastAsia="等线" w:cs="Times New Roman"/>
                      <w:sz w:val="18"/>
                    </w:rPr>
                    <w:t>21</w:t>
                  </w:r>
                </w:p>
              </w:tc>
              <w:tc>
                <w:tcPr>
                  <w:tcW w:w="176" w:type="pct"/>
                  <w:shd w:val="clear" w:color="000000" w:fill="FFFFFF"/>
                  <w:vAlign w:val="center"/>
                </w:tcPr>
                <w:p w14:paraId="0485F5A1">
                  <w:pPr>
                    <w:widowControl/>
                    <w:spacing w:line="240" w:lineRule="auto"/>
                    <w:ind w:firstLine="0" w:firstLineChars="0"/>
                    <w:jc w:val="center"/>
                    <w:textAlignment w:val="center"/>
                    <w:rPr>
                      <w:rFonts w:eastAsia="等线" w:cs="Times New Roman"/>
                      <w:kern w:val="0"/>
                      <w:sz w:val="18"/>
                      <w:lang w:bidi="ar"/>
                    </w:rPr>
                  </w:pPr>
                  <w:r>
                    <w:rPr>
                      <w:rFonts w:eastAsia="等线" w:cs="Times New Roman"/>
                      <w:kern w:val="0"/>
                      <w:sz w:val="18"/>
                      <w:lang w:bidi="ar"/>
                    </w:rPr>
                    <w:t>44</w:t>
                  </w:r>
                  <w:r>
                    <w:rPr>
                      <w:rFonts w:hint="eastAsia" w:eastAsia="等线" w:cs="Times New Roman"/>
                      <w:kern w:val="0"/>
                      <w:sz w:val="18"/>
                      <w:lang w:bidi="ar"/>
                    </w:rPr>
                    <w:t>.5</w:t>
                  </w:r>
                </w:p>
              </w:tc>
              <w:tc>
                <w:tcPr>
                  <w:tcW w:w="176" w:type="pct"/>
                  <w:shd w:val="clear" w:color="000000" w:fill="FFFFFF"/>
                  <w:vAlign w:val="center"/>
                </w:tcPr>
                <w:p w14:paraId="222CDDE2">
                  <w:pPr>
                    <w:widowControl/>
                    <w:spacing w:line="240" w:lineRule="auto"/>
                    <w:ind w:firstLine="0" w:firstLineChars="0"/>
                    <w:jc w:val="center"/>
                    <w:textAlignment w:val="center"/>
                    <w:rPr>
                      <w:rFonts w:eastAsia="等线" w:cs="Times New Roman"/>
                      <w:kern w:val="0"/>
                      <w:sz w:val="18"/>
                      <w:lang w:bidi="ar"/>
                    </w:rPr>
                  </w:pPr>
                  <w:r>
                    <w:rPr>
                      <w:rFonts w:eastAsia="等线" w:cs="Times New Roman"/>
                      <w:kern w:val="0"/>
                      <w:sz w:val="18"/>
                      <w:lang w:bidi="ar"/>
                    </w:rPr>
                    <w:t>44</w:t>
                  </w:r>
                  <w:r>
                    <w:rPr>
                      <w:rFonts w:hint="eastAsia" w:eastAsia="等线" w:cs="Times New Roman"/>
                      <w:kern w:val="0"/>
                      <w:sz w:val="18"/>
                      <w:lang w:bidi="ar"/>
                    </w:rPr>
                    <w:t>.5</w:t>
                  </w:r>
                </w:p>
              </w:tc>
              <w:tc>
                <w:tcPr>
                  <w:tcW w:w="176" w:type="pct"/>
                  <w:shd w:val="clear" w:color="000000" w:fill="FFFFFF"/>
                  <w:vAlign w:val="center"/>
                </w:tcPr>
                <w:p w14:paraId="2E48EA04">
                  <w:pPr>
                    <w:widowControl/>
                    <w:spacing w:line="240" w:lineRule="auto"/>
                    <w:ind w:firstLine="0" w:firstLineChars="0"/>
                    <w:jc w:val="center"/>
                    <w:textAlignment w:val="center"/>
                    <w:rPr>
                      <w:rFonts w:eastAsia="等线" w:cs="Times New Roman"/>
                      <w:kern w:val="0"/>
                      <w:sz w:val="18"/>
                      <w:lang w:bidi="ar"/>
                    </w:rPr>
                  </w:pPr>
                  <w:r>
                    <w:rPr>
                      <w:rFonts w:eastAsia="等线" w:cs="Times New Roman"/>
                      <w:kern w:val="0"/>
                      <w:sz w:val="18"/>
                      <w:lang w:bidi="ar"/>
                    </w:rPr>
                    <w:t>46</w:t>
                  </w:r>
                  <w:r>
                    <w:rPr>
                      <w:rFonts w:hint="eastAsia" w:eastAsia="等线" w:cs="Times New Roman"/>
                      <w:kern w:val="0"/>
                      <w:sz w:val="18"/>
                      <w:lang w:bidi="ar"/>
                    </w:rPr>
                    <w:t>.4</w:t>
                  </w:r>
                </w:p>
              </w:tc>
              <w:tc>
                <w:tcPr>
                  <w:tcW w:w="177" w:type="pct"/>
                  <w:shd w:val="clear" w:color="000000" w:fill="FFFFFF"/>
                  <w:vAlign w:val="center"/>
                </w:tcPr>
                <w:p w14:paraId="3E4656CC">
                  <w:pPr>
                    <w:widowControl/>
                    <w:spacing w:line="240" w:lineRule="auto"/>
                    <w:ind w:firstLine="0" w:firstLineChars="0"/>
                    <w:jc w:val="center"/>
                    <w:textAlignment w:val="center"/>
                    <w:rPr>
                      <w:rFonts w:eastAsia="等线" w:cs="Times New Roman"/>
                      <w:kern w:val="0"/>
                      <w:sz w:val="18"/>
                      <w:lang w:bidi="ar"/>
                    </w:rPr>
                  </w:pPr>
                  <w:r>
                    <w:rPr>
                      <w:rFonts w:eastAsia="等线" w:cs="Times New Roman"/>
                      <w:kern w:val="0"/>
                      <w:sz w:val="18"/>
                      <w:lang w:bidi="ar"/>
                    </w:rPr>
                    <w:t>47</w:t>
                  </w:r>
                  <w:r>
                    <w:rPr>
                      <w:rFonts w:hint="eastAsia" w:eastAsia="等线" w:cs="Times New Roman"/>
                      <w:kern w:val="0"/>
                      <w:sz w:val="18"/>
                      <w:lang w:bidi="ar"/>
                    </w:rPr>
                    <w:t>.7</w:t>
                  </w:r>
                </w:p>
              </w:tc>
              <w:tc>
                <w:tcPr>
                  <w:tcW w:w="236" w:type="pct"/>
                  <w:shd w:val="clear" w:color="000000" w:fill="FFFFFF"/>
                  <w:vAlign w:val="center"/>
                </w:tcPr>
                <w:p w14:paraId="2B7CA48E">
                  <w:pPr>
                    <w:widowControl/>
                    <w:spacing w:line="240" w:lineRule="auto"/>
                    <w:ind w:firstLine="0" w:firstLineChars="0"/>
                    <w:jc w:val="center"/>
                    <w:textAlignment w:val="center"/>
                    <w:rPr>
                      <w:rFonts w:eastAsia="等线" w:cs="Times New Roman"/>
                      <w:sz w:val="18"/>
                    </w:rPr>
                  </w:pPr>
                  <w:r>
                    <w:rPr>
                      <w:rFonts w:eastAsia="等线" w:cs="Times New Roman"/>
                      <w:kern w:val="0"/>
                      <w:sz w:val="18"/>
                      <w:lang w:bidi="ar"/>
                    </w:rPr>
                    <w:t>1</w:t>
                  </w:r>
                </w:p>
              </w:tc>
            </w:tr>
            <w:tr w14:paraId="2378AE57">
              <w:trPr>
                <w:trHeight w:val="340" w:hRule="atLeast"/>
                <w:jc w:val="center"/>
              </w:trPr>
              <w:tc>
                <w:tcPr>
                  <w:tcW w:w="247" w:type="pct"/>
                  <w:shd w:val="clear" w:color="000000" w:fill="FFFFFF"/>
                  <w:vAlign w:val="center"/>
                </w:tcPr>
                <w:p w14:paraId="0BAD9B8B">
                  <w:pPr>
                    <w:widowControl/>
                    <w:spacing w:line="240" w:lineRule="auto"/>
                    <w:ind w:firstLine="0" w:firstLineChars="0"/>
                    <w:jc w:val="center"/>
                    <w:textAlignment w:val="center"/>
                    <w:rPr>
                      <w:rFonts w:hint="eastAsia" w:ascii="宋体" w:hAnsi="宋体" w:cs="宋体"/>
                      <w:sz w:val="18"/>
                    </w:rPr>
                  </w:pPr>
                  <w:r>
                    <w:rPr>
                      <w:rFonts w:hint="eastAsia" w:ascii="宋体" w:hAnsi="宋体" w:cs="宋体"/>
                      <w:sz w:val="18"/>
                    </w:rPr>
                    <w:t>生产车间</w:t>
                  </w:r>
                </w:p>
              </w:tc>
              <w:tc>
                <w:tcPr>
                  <w:tcW w:w="341" w:type="pct"/>
                  <w:noWrap/>
                  <w:vAlign w:val="center"/>
                </w:tcPr>
                <w:p w14:paraId="1E34D6C0">
                  <w:pPr>
                    <w:widowControl/>
                    <w:spacing w:line="240" w:lineRule="auto"/>
                    <w:ind w:firstLine="0" w:firstLineChars="0"/>
                    <w:jc w:val="center"/>
                    <w:textAlignment w:val="center"/>
                    <w:rPr>
                      <w:rFonts w:hint="eastAsia" w:ascii="宋体" w:hAnsi="宋体" w:cs="宋体"/>
                      <w:kern w:val="0"/>
                      <w:sz w:val="18"/>
                      <w:lang w:bidi="ar"/>
                    </w:rPr>
                  </w:pPr>
                  <w:r>
                    <w:rPr>
                      <w:rFonts w:hint="eastAsia" w:ascii="宋体" w:hAnsi="宋体" w:cs="宋体"/>
                      <w:kern w:val="0"/>
                      <w:sz w:val="18"/>
                      <w:lang w:bidi="ar"/>
                    </w:rPr>
                    <w:t>螺杆挤出机</w:t>
                  </w:r>
                </w:p>
              </w:tc>
              <w:tc>
                <w:tcPr>
                  <w:tcW w:w="307" w:type="pct"/>
                  <w:shd w:val="clear" w:color="000000" w:fill="FFFFFF"/>
                  <w:vAlign w:val="center"/>
                </w:tcPr>
                <w:p w14:paraId="6C1F4084">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75/1</w:t>
                  </w:r>
                </w:p>
              </w:tc>
              <w:tc>
                <w:tcPr>
                  <w:tcW w:w="207" w:type="pct"/>
                  <w:shd w:val="clear" w:color="000000" w:fill="FFFFFF"/>
                  <w:vAlign w:val="center"/>
                </w:tcPr>
                <w:p w14:paraId="05FAEDB6">
                  <w:pPr>
                    <w:widowControl/>
                    <w:spacing w:line="240" w:lineRule="auto"/>
                    <w:ind w:firstLine="0" w:firstLineChars="0"/>
                    <w:jc w:val="center"/>
                    <w:textAlignment w:val="center"/>
                    <w:rPr>
                      <w:rFonts w:cs="Times New Roman"/>
                      <w:sz w:val="18"/>
                    </w:rPr>
                  </w:pPr>
                  <w:r>
                    <w:rPr>
                      <w:rFonts w:hint="eastAsia" w:cs="Times New Roman"/>
                      <w:sz w:val="18"/>
                    </w:rPr>
                    <w:t>36B</w:t>
                  </w:r>
                </w:p>
              </w:tc>
              <w:tc>
                <w:tcPr>
                  <w:tcW w:w="354" w:type="pct"/>
                  <w:vMerge w:val="continue"/>
                  <w:shd w:val="clear" w:color="000000" w:fill="FFFFFF"/>
                  <w:vAlign w:val="center"/>
                </w:tcPr>
                <w:p w14:paraId="067E0602">
                  <w:pPr>
                    <w:widowControl/>
                    <w:spacing w:line="240" w:lineRule="auto"/>
                    <w:ind w:firstLine="0" w:firstLineChars="0"/>
                    <w:jc w:val="center"/>
                    <w:textAlignment w:val="center"/>
                    <w:rPr>
                      <w:rFonts w:hint="eastAsia" w:ascii="宋体" w:hAnsi="宋体" w:cs="宋体"/>
                      <w:kern w:val="0"/>
                      <w:sz w:val="18"/>
                      <w:lang w:bidi="ar"/>
                    </w:rPr>
                  </w:pPr>
                </w:p>
              </w:tc>
              <w:tc>
                <w:tcPr>
                  <w:tcW w:w="166" w:type="pct"/>
                  <w:shd w:val="clear" w:color="000000" w:fill="FFFFFF"/>
                  <w:vAlign w:val="center"/>
                </w:tcPr>
                <w:p w14:paraId="2BB9389E">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10</w:t>
                  </w:r>
                </w:p>
              </w:tc>
              <w:tc>
                <w:tcPr>
                  <w:tcW w:w="175" w:type="pct"/>
                  <w:shd w:val="clear" w:color="000000" w:fill="FFFFFF"/>
                  <w:vAlign w:val="center"/>
                </w:tcPr>
                <w:p w14:paraId="7BBDE095">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-5</w:t>
                  </w:r>
                </w:p>
              </w:tc>
              <w:tc>
                <w:tcPr>
                  <w:tcW w:w="228" w:type="pct"/>
                  <w:shd w:val="clear" w:color="000000" w:fill="FFFFFF"/>
                  <w:vAlign w:val="center"/>
                </w:tcPr>
                <w:p w14:paraId="3E5DB681">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1.2</w:t>
                  </w:r>
                </w:p>
              </w:tc>
              <w:tc>
                <w:tcPr>
                  <w:tcW w:w="190" w:type="pct"/>
                  <w:shd w:val="clear" w:color="000000" w:fill="FFFFFF"/>
                  <w:vAlign w:val="center"/>
                </w:tcPr>
                <w:p w14:paraId="2C2F4ECD">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10</w:t>
                  </w:r>
                </w:p>
              </w:tc>
              <w:tc>
                <w:tcPr>
                  <w:tcW w:w="190" w:type="pct"/>
                  <w:shd w:val="clear" w:color="000000" w:fill="FFFFFF"/>
                  <w:vAlign w:val="center"/>
                </w:tcPr>
                <w:p w14:paraId="2DEEE371">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2</w:t>
                  </w:r>
                </w:p>
              </w:tc>
              <w:tc>
                <w:tcPr>
                  <w:tcW w:w="190" w:type="pct"/>
                  <w:shd w:val="clear" w:color="000000" w:fill="FFFFFF"/>
                  <w:vAlign w:val="center"/>
                </w:tcPr>
                <w:p w14:paraId="40983F24">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27</w:t>
                  </w:r>
                </w:p>
              </w:tc>
              <w:tc>
                <w:tcPr>
                  <w:tcW w:w="196" w:type="pct"/>
                  <w:shd w:val="clear" w:color="000000" w:fill="FFFFFF"/>
                  <w:vAlign w:val="center"/>
                </w:tcPr>
                <w:p w14:paraId="2BBB20CB">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19</w:t>
                  </w:r>
                </w:p>
              </w:tc>
              <w:tc>
                <w:tcPr>
                  <w:tcW w:w="193" w:type="pct"/>
                  <w:shd w:val="clear" w:color="000000" w:fill="FFFFFF"/>
                  <w:vAlign w:val="center"/>
                </w:tcPr>
                <w:p w14:paraId="44E5E7FC">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64.1</w:t>
                  </w:r>
                </w:p>
              </w:tc>
              <w:tc>
                <w:tcPr>
                  <w:tcW w:w="193" w:type="pct"/>
                  <w:shd w:val="clear" w:color="000000" w:fill="FFFFFF"/>
                  <w:vAlign w:val="center"/>
                </w:tcPr>
                <w:p w14:paraId="43017907">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65.4</w:t>
                  </w:r>
                </w:p>
              </w:tc>
              <w:tc>
                <w:tcPr>
                  <w:tcW w:w="193" w:type="pct"/>
                  <w:shd w:val="clear" w:color="000000" w:fill="FFFFFF"/>
                  <w:vAlign w:val="center"/>
                </w:tcPr>
                <w:p w14:paraId="2A8CCA26">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62.4</w:t>
                  </w:r>
                </w:p>
              </w:tc>
              <w:tc>
                <w:tcPr>
                  <w:tcW w:w="200" w:type="pct"/>
                  <w:shd w:val="clear" w:color="000000" w:fill="FFFFFF"/>
                  <w:vAlign w:val="center"/>
                </w:tcPr>
                <w:p w14:paraId="7633EE04">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63.1</w:t>
                  </w:r>
                </w:p>
              </w:tc>
              <w:tc>
                <w:tcPr>
                  <w:tcW w:w="238" w:type="pct"/>
                  <w:vMerge w:val="continue"/>
                  <w:shd w:val="clear" w:color="000000" w:fill="FFFFFF"/>
                  <w:vAlign w:val="center"/>
                </w:tcPr>
                <w:p w14:paraId="413F03F8">
                  <w:pPr>
                    <w:widowControl/>
                    <w:spacing w:line="240" w:lineRule="auto"/>
                    <w:ind w:firstLine="0" w:firstLineChars="0"/>
                    <w:jc w:val="center"/>
                    <w:textAlignment w:val="center"/>
                    <w:rPr>
                      <w:rFonts w:hint="eastAsia" w:ascii="宋体" w:hAnsi="宋体" w:cs="宋体"/>
                      <w:kern w:val="0"/>
                      <w:sz w:val="18"/>
                      <w:lang w:bidi="ar"/>
                    </w:rPr>
                  </w:pPr>
                </w:p>
              </w:tc>
              <w:tc>
                <w:tcPr>
                  <w:tcW w:w="243" w:type="pct"/>
                  <w:shd w:val="clear" w:color="000000" w:fill="FFFFFF"/>
                  <w:vAlign w:val="center"/>
                </w:tcPr>
                <w:p w14:paraId="298805F4">
                  <w:pPr>
                    <w:widowControl/>
                    <w:spacing w:line="240" w:lineRule="auto"/>
                    <w:ind w:firstLine="0" w:firstLineChars="0"/>
                    <w:jc w:val="center"/>
                    <w:textAlignment w:val="center"/>
                    <w:rPr>
                      <w:rFonts w:eastAsia="等线" w:cs="Times New Roman"/>
                      <w:sz w:val="18"/>
                    </w:rPr>
                  </w:pPr>
                  <w:r>
                    <w:rPr>
                      <w:rFonts w:hint="eastAsia" w:eastAsia="等线" w:cs="Times New Roman"/>
                      <w:sz w:val="18"/>
                    </w:rPr>
                    <w:t>21</w:t>
                  </w:r>
                </w:p>
              </w:tc>
              <w:tc>
                <w:tcPr>
                  <w:tcW w:w="176" w:type="pct"/>
                  <w:shd w:val="clear" w:color="000000" w:fill="FFFFFF"/>
                  <w:vAlign w:val="center"/>
                </w:tcPr>
                <w:p w14:paraId="625938B5">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43.1</w:t>
                  </w:r>
                </w:p>
              </w:tc>
              <w:tc>
                <w:tcPr>
                  <w:tcW w:w="176" w:type="pct"/>
                  <w:shd w:val="clear" w:color="000000" w:fill="FFFFFF"/>
                  <w:vAlign w:val="center"/>
                </w:tcPr>
                <w:p w14:paraId="13E15425">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43.4</w:t>
                  </w:r>
                </w:p>
              </w:tc>
              <w:tc>
                <w:tcPr>
                  <w:tcW w:w="176" w:type="pct"/>
                  <w:shd w:val="clear" w:color="000000" w:fill="FFFFFF"/>
                  <w:vAlign w:val="center"/>
                </w:tcPr>
                <w:p w14:paraId="4665C17E">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41.4</w:t>
                  </w:r>
                </w:p>
              </w:tc>
              <w:tc>
                <w:tcPr>
                  <w:tcW w:w="177" w:type="pct"/>
                  <w:shd w:val="clear" w:color="000000" w:fill="FFFFFF"/>
                  <w:vAlign w:val="center"/>
                </w:tcPr>
                <w:p w14:paraId="48BCE580">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42.1</w:t>
                  </w:r>
                </w:p>
              </w:tc>
              <w:tc>
                <w:tcPr>
                  <w:tcW w:w="236" w:type="pct"/>
                  <w:shd w:val="clear" w:color="000000" w:fill="FFFFFF"/>
                  <w:vAlign w:val="center"/>
                </w:tcPr>
                <w:p w14:paraId="11BD3A77">
                  <w:pPr>
                    <w:widowControl/>
                    <w:spacing w:line="240" w:lineRule="auto"/>
                    <w:ind w:firstLine="0" w:firstLineChars="0"/>
                    <w:jc w:val="center"/>
                    <w:textAlignment w:val="center"/>
                    <w:rPr>
                      <w:rFonts w:eastAsia="等线" w:cs="Times New Roman"/>
                      <w:kern w:val="0"/>
                      <w:sz w:val="18"/>
                      <w:lang w:bidi="ar"/>
                    </w:rPr>
                  </w:pPr>
                  <w:r>
                    <w:rPr>
                      <w:rFonts w:hint="eastAsia" w:eastAsia="等线" w:cs="Times New Roman"/>
                      <w:kern w:val="0"/>
                      <w:sz w:val="18"/>
                      <w:lang w:bidi="ar"/>
                    </w:rPr>
                    <w:t>1</w:t>
                  </w:r>
                </w:p>
              </w:tc>
            </w:tr>
            <w:tr w14:paraId="0BD90558">
              <w:trPr>
                <w:trHeight w:val="340" w:hRule="atLeast"/>
                <w:jc w:val="center"/>
              </w:trPr>
              <w:tc>
                <w:tcPr>
                  <w:tcW w:w="5000" w:type="pct"/>
                  <w:gridSpan w:val="23"/>
                  <w:shd w:val="clear" w:color="000000" w:fill="FFFFFF"/>
                  <w:vAlign w:val="center"/>
                </w:tcPr>
                <w:p w14:paraId="67C5018A">
                  <w:pPr>
                    <w:widowControl/>
                    <w:spacing w:line="240" w:lineRule="auto"/>
                    <w:ind w:firstLine="0" w:firstLineChars="0"/>
                    <w:textAlignment w:val="center"/>
                    <w:rPr>
                      <w:rFonts w:hint="eastAsia" w:ascii="宋体" w:hAnsi="宋体" w:cs="宋体"/>
                      <w:sz w:val="18"/>
                    </w:rPr>
                  </w:pPr>
                  <w:r>
                    <w:rPr>
                      <w:rFonts w:hint="eastAsia" w:ascii="宋体" w:hAnsi="宋体" w:cs="宋体"/>
                      <w:kern w:val="0"/>
                      <w:sz w:val="18"/>
                      <w:lang w:bidi="ar"/>
                    </w:rPr>
                    <w:t>表中坐标以厂界中心为坐标原点，正东向为</w:t>
                  </w:r>
                  <w:r>
                    <w:rPr>
                      <w:rFonts w:cs="Times New Roman"/>
                      <w:kern w:val="0"/>
                      <w:sz w:val="18"/>
                      <w:lang w:bidi="ar"/>
                    </w:rPr>
                    <w:t>X</w:t>
                  </w:r>
                  <w:r>
                    <w:rPr>
                      <w:rFonts w:hint="eastAsia" w:ascii="宋体" w:hAnsi="宋体" w:cs="宋体"/>
                      <w:kern w:val="0"/>
                      <w:sz w:val="18"/>
                      <w:lang w:bidi="ar"/>
                    </w:rPr>
                    <w:t>轴正方向，正北向为</w:t>
                  </w:r>
                  <w:r>
                    <w:rPr>
                      <w:rFonts w:cs="Times New Roman"/>
                      <w:kern w:val="0"/>
                      <w:sz w:val="18"/>
                      <w:lang w:bidi="ar"/>
                    </w:rPr>
                    <w:t>Y</w:t>
                  </w:r>
                  <w:r>
                    <w:rPr>
                      <w:rFonts w:hint="eastAsia" w:ascii="宋体" w:hAnsi="宋体" w:cs="宋体"/>
                      <w:kern w:val="0"/>
                      <w:sz w:val="18"/>
                      <w:lang w:bidi="ar"/>
                    </w:rPr>
                    <w:t>轴正方向；本项目厂房外墙采用单层实墙，参考《环保工程手册</w:t>
                  </w:r>
                  <w:r>
                    <w:rPr>
                      <w:rFonts w:cs="Times New Roman"/>
                      <w:kern w:val="0"/>
                      <w:sz w:val="18"/>
                      <w:lang w:bidi="ar"/>
                    </w:rPr>
                    <w:t xml:space="preserve"> </w:t>
                  </w:r>
                  <w:r>
                    <w:rPr>
                      <w:rFonts w:hint="eastAsia" w:ascii="宋体" w:hAnsi="宋体" w:cs="宋体"/>
                      <w:kern w:val="0"/>
                      <w:sz w:val="18"/>
                      <w:lang w:bidi="ar"/>
                    </w:rPr>
                    <w:t>环境噪声控制卷》单层实墙的最小隔声可达</w:t>
                  </w:r>
                  <w:r>
                    <w:rPr>
                      <w:rFonts w:cs="Times New Roman"/>
                      <w:kern w:val="0"/>
                      <w:sz w:val="18"/>
                      <w:lang w:bidi="ar"/>
                    </w:rPr>
                    <w:t>43dB</w:t>
                  </w:r>
                  <w:r>
                    <w:rPr>
                      <w:rFonts w:hint="eastAsia" w:ascii="宋体" w:hAnsi="宋体" w:cs="宋体"/>
                      <w:kern w:val="0"/>
                      <w:sz w:val="18"/>
                      <w:lang w:bidi="ar"/>
                    </w:rPr>
                    <w:t>，但考虑厂房外墙局部分布有玻璃窗和门，本次环评厂房平均隔声取</w:t>
                  </w:r>
                  <w:r>
                    <w:rPr>
                      <w:rFonts w:cs="Times New Roman"/>
                      <w:kern w:val="0"/>
                      <w:sz w:val="18"/>
                      <w:lang w:bidi="ar"/>
                    </w:rPr>
                    <w:t>15-20dB</w:t>
                  </w:r>
                  <w:r>
                    <w:rPr>
                      <w:rFonts w:hint="eastAsia" w:ascii="宋体" w:hAnsi="宋体" w:cs="宋体"/>
                      <w:kern w:val="0"/>
                      <w:sz w:val="18"/>
                      <w:lang w:bidi="ar"/>
                    </w:rPr>
                    <w:t>。根据导则</w:t>
                  </w:r>
                  <w:r>
                    <w:rPr>
                      <w:rFonts w:cs="Times New Roman"/>
                      <w:kern w:val="0"/>
                      <w:sz w:val="18"/>
                      <w:lang w:bidi="ar"/>
                    </w:rPr>
                    <w:t>B.4</w:t>
                  </w:r>
                  <w:r>
                    <w:rPr>
                      <w:rFonts w:hint="eastAsia" w:ascii="宋体" w:hAnsi="宋体" w:cs="宋体"/>
                      <w:kern w:val="0"/>
                      <w:sz w:val="18"/>
                      <w:lang w:bidi="ar"/>
                    </w:rPr>
                    <w:t>计算公式，本表中</w:t>
                  </w:r>
                  <w:r>
                    <w:rPr>
                      <w:rFonts w:cs="Times New Roman"/>
                      <w:kern w:val="0"/>
                      <w:sz w:val="18"/>
                      <w:lang w:bidi="ar"/>
                    </w:rPr>
                    <w:t>“</w:t>
                  </w:r>
                  <w:r>
                    <w:rPr>
                      <w:rFonts w:hint="eastAsia" w:ascii="宋体" w:hAnsi="宋体" w:cs="宋体"/>
                      <w:kern w:val="0"/>
                      <w:sz w:val="18"/>
                      <w:lang w:bidi="ar"/>
                    </w:rPr>
                    <w:t>建筑插入损失</w:t>
                  </w:r>
                  <w:r>
                    <w:rPr>
                      <w:rFonts w:cs="Times New Roman"/>
                      <w:kern w:val="0"/>
                      <w:sz w:val="18"/>
                      <w:lang w:bidi="ar"/>
                    </w:rPr>
                    <w:t>”</w:t>
                  </w:r>
                  <w:r>
                    <w:rPr>
                      <w:rFonts w:hint="eastAsia" w:ascii="宋体" w:hAnsi="宋体" w:cs="宋体"/>
                      <w:kern w:val="0"/>
                      <w:sz w:val="18"/>
                      <w:lang w:bidi="ar"/>
                    </w:rPr>
                    <w:t>为平均隔声量</w:t>
                  </w:r>
                  <w:r>
                    <w:rPr>
                      <w:rFonts w:cs="Times New Roman"/>
                      <w:kern w:val="0"/>
                      <w:sz w:val="18"/>
                      <w:lang w:bidi="ar"/>
                    </w:rPr>
                    <w:t>+6dB</w:t>
                  </w:r>
                  <w:r>
                    <w:rPr>
                      <w:rFonts w:hint="eastAsia" w:ascii="宋体" w:hAnsi="宋体" w:cs="宋体"/>
                      <w:kern w:val="0"/>
                      <w:sz w:val="18"/>
                      <w:lang w:bidi="ar"/>
                    </w:rPr>
                    <w:t>，即</w:t>
                  </w:r>
                  <w:r>
                    <w:rPr>
                      <w:rFonts w:cs="Times New Roman"/>
                      <w:kern w:val="0"/>
                      <w:sz w:val="18"/>
                      <w:lang w:bidi="ar"/>
                    </w:rPr>
                    <w:t>21-26dB</w:t>
                  </w:r>
                  <w:r>
                    <w:rPr>
                      <w:rFonts w:hint="eastAsia" w:ascii="宋体" w:hAnsi="宋体" w:cs="宋体"/>
                      <w:kern w:val="0"/>
                      <w:sz w:val="18"/>
                      <w:lang w:bidi="ar"/>
                    </w:rPr>
                    <w:t>。</w:t>
                  </w:r>
                </w:p>
              </w:tc>
            </w:tr>
          </w:tbl>
          <w:p w14:paraId="1FAEBE43">
            <w:pPr>
              <w:pStyle w:val="2"/>
              <w:jc w:val="both"/>
            </w:pPr>
          </w:p>
        </w:tc>
      </w:tr>
    </w:tbl>
    <w:p w14:paraId="7A4E940E">
      <w:pPr>
        <w:pStyle w:val="2"/>
      </w:pPr>
    </w:p>
    <w:p w14:paraId="3392DC64">
      <w:pPr>
        <w:pStyle w:val="2"/>
        <w:sectPr>
          <w:pgSz w:w="23811" w:h="16838" w:orient="landscape"/>
          <w:pgMar w:top="1440" w:right="1800" w:bottom="1440" w:left="1800" w:header="851" w:footer="992"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6"/>
        <w:gridCol w:w="8016"/>
      </w:tblGrid>
      <w:tr w14:paraId="53233AC4">
        <w:tc>
          <w:tcPr>
            <w:tcW w:w="506" w:type="dxa"/>
          </w:tcPr>
          <w:p w14:paraId="241DB32F">
            <w:pPr>
              <w:pStyle w:val="2"/>
              <w:jc w:val="both"/>
            </w:pPr>
          </w:p>
        </w:tc>
        <w:tc>
          <w:tcPr>
            <w:tcW w:w="8016" w:type="dxa"/>
          </w:tcPr>
          <w:p w14:paraId="226FD729">
            <w:pPr>
              <w:ind w:left="480" w:firstLine="0" w:firstLineChars="0"/>
              <w:jc w:val="both"/>
              <w:rPr>
                <w:rFonts w:cs="Times New Roman"/>
                <w:szCs w:val="24"/>
              </w:rPr>
            </w:pPr>
            <w:r>
              <w:rPr>
                <w:rFonts w:hint="eastAsia" w:cs="Times New Roman"/>
                <w:szCs w:val="24"/>
              </w:rPr>
              <w:t>2、</w:t>
            </w:r>
            <w:r>
              <w:rPr>
                <w:rFonts w:cs="Times New Roman"/>
                <w:szCs w:val="24"/>
              </w:rPr>
              <w:t>预测结果</w:t>
            </w:r>
          </w:p>
          <w:p w14:paraId="379E0581">
            <w:pPr>
              <w:ind w:firstLine="480"/>
              <w:jc w:val="both"/>
              <w:rPr>
                <w:rFonts w:cs="Times New Roman"/>
                <w:szCs w:val="24"/>
              </w:rPr>
            </w:pPr>
            <w:r>
              <w:rPr>
                <w:rFonts w:cs="Times New Roman"/>
                <w:szCs w:val="24"/>
              </w:rPr>
              <w:t>经预测，预测结果见下表。</w:t>
            </w:r>
          </w:p>
          <w:p w14:paraId="4445F5E3">
            <w:pPr>
              <w:pStyle w:val="14"/>
              <w:numPr>
                <w:ilvl w:val="0"/>
                <w:numId w:val="9"/>
              </w:numPr>
              <w:tabs>
                <w:tab w:val="clear" w:pos="0"/>
              </w:tabs>
              <w:spacing w:before="156"/>
            </w:pPr>
            <w:r>
              <w:rPr>
                <w:rFonts w:hint="eastAsia"/>
              </w:rPr>
              <w:t xml:space="preserve">  噪声预测结果  单位：dB(A)</w:t>
            </w:r>
          </w:p>
          <w:tbl>
            <w:tblPr>
              <w:tblStyle w:val="9"/>
              <w:tblW w:w="7798" w:type="dxa"/>
              <w:tblInd w:w="0" w:type="dxa"/>
              <w:tblLayout w:type="autofit"/>
              <w:tblCellMar>
                <w:top w:w="0" w:type="dxa"/>
                <w:left w:w="108" w:type="dxa"/>
                <w:bottom w:w="0" w:type="dxa"/>
                <w:right w:w="108" w:type="dxa"/>
              </w:tblCellMar>
            </w:tblPr>
            <w:tblGrid>
              <w:gridCol w:w="618"/>
              <w:gridCol w:w="797"/>
              <w:gridCol w:w="706"/>
              <w:gridCol w:w="711"/>
              <w:gridCol w:w="706"/>
              <w:gridCol w:w="711"/>
              <w:gridCol w:w="706"/>
              <w:gridCol w:w="711"/>
              <w:gridCol w:w="706"/>
              <w:gridCol w:w="712"/>
              <w:gridCol w:w="714"/>
            </w:tblGrid>
            <w:tr w14:paraId="55DD8686">
              <w:trPr>
                <w:trHeight w:val="288" w:hRule="atLeast"/>
              </w:trPr>
              <w:tc>
                <w:tcPr>
                  <w:tcW w:w="907" w:type="pct"/>
                  <w:gridSpan w:val="2"/>
                  <w:vMerge w:val="restart"/>
                  <w:tcBorders>
                    <w:top w:val="single" w:color="auto" w:sz="4" w:space="0"/>
                    <w:left w:val="single" w:color="auto" w:sz="4" w:space="0"/>
                    <w:bottom w:val="single" w:color="auto" w:sz="4" w:space="0"/>
                    <w:right w:val="single" w:color="auto" w:sz="4" w:space="0"/>
                  </w:tcBorders>
                  <w:vAlign w:val="center"/>
                </w:tcPr>
                <w:p w14:paraId="4AF6DF01">
                  <w:pPr>
                    <w:pStyle w:val="13"/>
                    <w:jc w:val="center"/>
                  </w:pPr>
                  <w:r>
                    <w:rPr>
                      <w:rFonts w:hint="eastAsia"/>
                    </w:rPr>
                    <w:t>预测点位</w:t>
                  </w:r>
                </w:p>
              </w:tc>
              <w:tc>
                <w:tcPr>
                  <w:tcW w:w="909" w:type="pct"/>
                  <w:gridSpan w:val="2"/>
                  <w:tcBorders>
                    <w:top w:val="single" w:color="auto" w:sz="4" w:space="0"/>
                    <w:left w:val="nil"/>
                    <w:bottom w:val="single" w:color="auto" w:sz="4" w:space="0"/>
                    <w:right w:val="single" w:color="auto" w:sz="4" w:space="0"/>
                  </w:tcBorders>
                  <w:vAlign w:val="center"/>
                </w:tcPr>
                <w:p w14:paraId="7BD60586">
                  <w:pPr>
                    <w:pStyle w:val="13"/>
                    <w:jc w:val="center"/>
                  </w:pPr>
                  <w:r>
                    <w:rPr>
                      <w:rFonts w:hint="eastAsia"/>
                    </w:rPr>
                    <w:t>贡献值</w:t>
                  </w:r>
                </w:p>
              </w:tc>
              <w:tc>
                <w:tcPr>
                  <w:tcW w:w="909" w:type="pct"/>
                  <w:gridSpan w:val="2"/>
                  <w:tcBorders>
                    <w:top w:val="single" w:color="auto" w:sz="4" w:space="0"/>
                    <w:left w:val="nil"/>
                    <w:bottom w:val="single" w:color="auto" w:sz="4" w:space="0"/>
                    <w:right w:val="single" w:color="000000" w:sz="4" w:space="0"/>
                  </w:tcBorders>
                  <w:vAlign w:val="center"/>
                </w:tcPr>
                <w:p w14:paraId="5C9ECF8D">
                  <w:pPr>
                    <w:pStyle w:val="13"/>
                    <w:jc w:val="center"/>
                  </w:pPr>
                  <w:r>
                    <w:rPr>
                      <w:rFonts w:hint="eastAsia"/>
                    </w:rPr>
                    <w:t>背景值</w:t>
                  </w:r>
                </w:p>
              </w:tc>
              <w:tc>
                <w:tcPr>
                  <w:tcW w:w="909" w:type="pct"/>
                  <w:gridSpan w:val="2"/>
                  <w:tcBorders>
                    <w:top w:val="single" w:color="auto" w:sz="4" w:space="0"/>
                    <w:left w:val="nil"/>
                    <w:bottom w:val="single" w:color="auto" w:sz="4" w:space="0"/>
                    <w:right w:val="single" w:color="000000" w:sz="4" w:space="0"/>
                  </w:tcBorders>
                  <w:vAlign w:val="center"/>
                </w:tcPr>
                <w:p w14:paraId="538D4763">
                  <w:pPr>
                    <w:pStyle w:val="13"/>
                    <w:jc w:val="center"/>
                  </w:pPr>
                  <w:r>
                    <w:rPr>
                      <w:rFonts w:hint="eastAsia"/>
                    </w:rPr>
                    <w:t>预测值</w:t>
                  </w:r>
                </w:p>
              </w:tc>
              <w:tc>
                <w:tcPr>
                  <w:tcW w:w="909" w:type="pct"/>
                  <w:gridSpan w:val="2"/>
                  <w:tcBorders>
                    <w:top w:val="single" w:color="auto" w:sz="4" w:space="0"/>
                    <w:left w:val="nil"/>
                    <w:bottom w:val="single" w:color="auto" w:sz="4" w:space="0"/>
                    <w:right w:val="single" w:color="auto" w:sz="4" w:space="0"/>
                  </w:tcBorders>
                  <w:vAlign w:val="center"/>
                </w:tcPr>
                <w:p w14:paraId="6DF881C5">
                  <w:pPr>
                    <w:pStyle w:val="13"/>
                    <w:jc w:val="center"/>
                  </w:pPr>
                  <w:r>
                    <w:rPr>
                      <w:rFonts w:hint="eastAsia"/>
                    </w:rPr>
                    <w:t>标准值</w:t>
                  </w:r>
                </w:p>
              </w:tc>
              <w:tc>
                <w:tcPr>
                  <w:tcW w:w="455" w:type="pct"/>
                  <w:vMerge w:val="restart"/>
                  <w:tcBorders>
                    <w:top w:val="single" w:color="auto" w:sz="4" w:space="0"/>
                    <w:left w:val="single" w:color="auto" w:sz="4" w:space="0"/>
                    <w:bottom w:val="single" w:color="auto" w:sz="4" w:space="0"/>
                    <w:right w:val="single" w:color="auto" w:sz="4" w:space="0"/>
                  </w:tcBorders>
                  <w:vAlign w:val="center"/>
                </w:tcPr>
                <w:p w14:paraId="7197567A">
                  <w:pPr>
                    <w:pStyle w:val="13"/>
                    <w:jc w:val="center"/>
                  </w:pPr>
                  <w:r>
                    <w:rPr>
                      <w:rFonts w:hint="eastAsia"/>
                    </w:rPr>
                    <w:t>达标情况</w:t>
                  </w:r>
                </w:p>
              </w:tc>
            </w:tr>
            <w:tr w14:paraId="2B22C74E">
              <w:trPr>
                <w:trHeight w:val="288" w:hRule="atLeast"/>
              </w:trPr>
              <w:tc>
                <w:tcPr>
                  <w:tcW w:w="907" w:type="pct"/>
                  <w:gridSpan w:val="2"/>
                  <w:vMerge w:val="continue"/>
                  <w:tcBorders>
                    <w:top w:val="single" w:color="auto" w:sz="4" w:space="0"/>
                    <w:left w:val="single" w:color="auto" w:sz="4" w:space="0"/>
                    <w:bottom w:val="single" w:color="auto" w:sz="4" w:space="0"/>
                    <w:right w:val="single" w:color="auto" w:sz="4" w:space="0"/>
                  </w:tcBorders>
                  <w:vAlign w:val="center"/>
                </w:tcPr>
                <w:p w14:paraId="2E7E946E">
                  <w:pPr>
                    <w:pStyle w:val="13"/>
                    <w:jc w:val="center"/>
                  </w:pPr>
                </w:p>
              </w:tc>
              <w:tc>
                <w:tcPr>
                  <w:tcW w:w="453" w:type="pct"/>
                  <w:tcBorders>
                    <w:top w:val="nil"/>
                    <w:left w:val="nil"/>
                    <w:bottom w:val="single" w:color="auto" w:sz="4" w:space="0"/>
                    <w:right w:val="single" w:color="auto" w:sz="4" w:space="0"/>
                  </w:tcBorders>
                  <w:vAlign w:val="center"/>
                </w:tcPr>
                <w:p w14:paraId="4910F9F5">
                  <w:pPr>
                    <w:pStyle w:val="13"/>
                    <w:jc w:val="center"/>
                  </w:pPr>
                  <w:r>
                    <w:rPr>
                      <w:rFonts w:hint="eastAsia"/>
                    </w:rPr>
                    <w:t>昼间</w:t>
                  </w:r>
                </w:p>
              </w:tc>
              <w:tc>
                <w:tcPr>
                  <w:tcW w:w="455" w:type="pct"/>
                  <w:tcBorders>
                    <w:top w:val="nil"/>
                    <w:left w:val="nil"/>
                    <w:bottom w:val="single" w:color="auto" w:sz="4" w:space="0"/>
                    <w:right w:val="single" w:color="auto" w:sz="4" w:space="0"/>
                  </w:tcBorders>
                  <w:vAlign w:val="center"/>
                </w:tcPr>
                <w:p w14:paraId="2B51F61C">
                  <w:pPr>
                    <w:pStyle w:val="13"/>
                    <w:jc w:val="center"/>
                  </w:pPr>
                  <w:r>
                    <w:rPr>
                      <w:rFonts w:hint="eastAsia"/>
                    </w:rPr>
                    <w:t>夜间</w:t>
                  </w:r>
                </w:p>
              </w:tc>
              <w:tc>
                <w:tcPr>
                  <w:tcW w:w="453" w:type="pct"/>
                  <w:tcBorders>
                    <w:top w:val="nil"/>
                    <w:left w:val="nil"/>
                    <w:bottom w:val="single" w:color="auto" w:sz="4" w:space="0"/>
                    <w:right w:val="single" w:color="auto" w:sz="4" w:space="0"/>
                  </w:tcBorders>
                  <w:vAlign w:val="center"/>
                </w:tcPr>
                <w:p w14:paraId="025B5C4E">
                  <w:pPr>
                    <w:pStyle w:val="13"/>
                    <w:jc w:val="center"/>
                  </w:pPr>
                  <w:r>
                    <w:rPr>
                      <w:rFonts w:hint="eastAsia"/>
                    </w:rPr>
                    <w:t>昼间</w:t>
                  </w:r>
                </w:p>
              </w:tc>
              <w:tc>
                <w:tcPr>
                  <w:tcW w:w="455" w:type="pct"/>
                  <w:tcBorders>
                    <w:top w:val="nil"/>
                    <w:left w:val="nil"/>
                    <w:bottom w:val="single" w:color="auto" w:sz="4" w:space="0"/>
                    <w:right w:val="single" w:color="auto" w:sz="4" w:space="0"/>
                  </w:tcBorders>
                  <w:vAlign w:val="center"/>
                </w:tcPr>
                <w:p w14:paraId="05F0BE6F">
                  <w:pPr>
                    <w:pStyle w:val="13"/>
                    <w:jc w:val="center"/>
                  </w:pPr>
                  <w:r>
                    <w:rPr>
                      <w:rFonts w:hint="eastAsia"/>
                    </w:rPr>
                    <w:t>夜间</w:t>
                  </w:r>
                </w:p>
              </w:tc>
              <w:tc>
                <w:tcPr>
                  <w:tcW w:w="453" w:type="pct"/>
                  <w:tcBorders>
                    <w:top w:val="nil"/>
                    <w:left w:val="nil"/>
                    <w:bottom w:val="single" w:color="auto" w:sz="4" w:space="0"/>
                    <w:right w:val="single" w:color="auto" w:sz="4" w:space="0"/>
                  </w:tcBorders>
                  <w:vAlign w:val="center"/>
                </w:tcPr>
                <w:p w14:paraId="7FC64E3D">
                  <w:pPr>
                    <w:pStyle w:val="13"/>
                    <w:jc w:val="center"/>
                  </w:pPr>
                  <w:r>
                    <w:rPr>
                      <w:rFonts w:hint="eastAsia"/>
                    </w:rPr>
                    <w:t>昼间</w:t>
                  </w:r>
                </w:p>
              </w:tc>
              <w:tc>
                <w:tcPr>
                  <w:tcW w:w="455" w:type="pct"/>
                  <w:tcBorders>
                    <w:top w:val="nil"/>
                    <w:left w:val="nil"/>
                    <w:bottom w:val="single" w:color="auto" w:sz="4" w:space="0"/>
                    <w:right w:val="single" w:color="auto" w:sz="4" w:space="0"/>
                  </w:tcBorders>
                  <w:vAlign w:val="center"/>
                </w:tcPr>
                <w:p w14:paraId="75B4678B">
                  <w:pPr>
                    <w:pStyle w:val="13"/>
                    <w:jc w:val="center"/>
                  </w:pPr>
                  <w:r>
                    <w:rPr>
                      <w:rFonts w:hint="eastAsia"/>
                    </w:rPr>
                    <w:t>夜间</w:t>
                  </w:r>
                </w:p>
              </w:tc>
              <w:tc>
                <w:tcPr>
                  <w:tcW w:w="453" w:type="pct"/>
                  <w:tcBorders>
                    <w:top w:val="nil"/>
                    <w:left w:val="nil"/>
                    <w:bottom w:val="single" w:color="auto" w:sz="4" w:space="0"/>
                    <w:right w:val="single" w:color="auto" w:sz="4" w:space="0"/>
                  </w:tcBorders>
                  <w:vAlign w:val="center"/>
                </w:tcPr>
                <w:p w14:paraId="24F5380F">
                  <w:pPr>
                    <w:pStyle w:val="13"/>
                    <w:jc w:val="center"/>
                  </w:pPr>
                  <w:r>
                    <w:rPr>
                      <w:rFonts w:hint="eastAsia"/>
                    </w:rPr>
                    <w:t>昼间</w:t>
                  </w:r>
                </w:p>
              </w:tc>
              <w:tc>
                <w:tcPr>
                  <w:tcW w:w="455" w:type="pct"/>
                  <w:tcBorders>
                    <w:top w:val="nil"/>
                    <w:left w:val="nil"/>
                    <w:bottom w:val="single" w:color="auto" w:sz="4" w:space="0"/>
                    <w:right w:val="single" w:color="auto" w:sz="4" w:space="0"/>
                  </w:tcBorders>
                  <w:vAlign w:val="center"/>
                </w:tcPr>
                <w:p w14:paraId="6E7454F6">
                  <w:pPr>
                    <w:pStyle w:val="13"/>
                    <w:jc w:val="center"/>
                  </w:pPr>
                  <w:r>
                    <w:rPr>
                      <w:rFonts w:hint="eastAsia"/>
                    </w:rPr>
                    <w:t>夜间</w:t>
                  </w:r>
                </w:p>
              </w:tc>
              <w:tc>
                <w:tcPr>
                  <w:tcW w:w="455" w:type="pct"/>
                  <w:vMerge w:val="continue"/>
                  <w:tcBorders>
                    <w:top w:val="single" w:color="auto" w:sz="4" w:space="0"/>
                    <w:left w:val="single" w:color="auto" w:sz="4" w:space="0"/>
                    <w:bottom w:val="single" w:color="auto" w:sz="4" w:space="0"/>
                    <w:right w:val="single" w:color="auto" w:sz="4" w:space="0"/>
                  </w:tcBorders>
                  <w:vAlign w:val="center"/>
                </w:tcPr>
                <w:p w14:paraId="7FEC6670">
                  <w:pPr>
                    <w:pStyle w:val="13"/>
                    <w:jc w:val="center"/>
                  </w:pPr>
                </w:p>
              </w:tc>
            </w:tr>
            <w:tr w14:paraId="3EF55E5B">
              <w:trPr>
                <w:trHeight w:val="288" w:hRule="atLeast"/>
              </w:trPr>
              <w:tc>
                <w:tcPr>
                  <w:tcW w:w="396" w:type="pct"/>
                  <w:vMerge w:val="restart"/>
                  <w:tcBorders>
                    <w:top w:val="nil"/>
                    <w:left w:val="single" w:color="auto" w:sz="4" w:space="0"/>
                    <w:bottom w:val="single" w:color="auto" w:sz="4" w:space="0"/>
                    <w:right w:val="single" w:color="auto" w:sz="4" w:space="0"/>
                  </w:tcBorders>
                  <w:vAlign w:val="center"/>
                </w:tcPr>
                <w:p w14:paraId="7044D579">
                  <w:pPr>
                    <w:pStyle w:val="13"/>
                    <w:jc w:val="center"/>
                  </w:pPr>
                  <w:r>
                    <w:rPr>
                      <w:rFonts w:hint="eastAsia"/>
                    </w:rPr>
                    <w:t>厂界</w:t>
                  </w:r>
                </w:p>
              </w:tc>
              <w:tc>
                <w:tcPr>
                  <w:tcW w:w="511" w:type="pct"/>
                  <w:tcBorders>
                    <w:top w:val="nil"/>
                    <w:left w:val="nil"/>
                    <w:bottom w:val="single" w:color="auto" w:sz="4" w:space="0"/>
                    <w:right w:val="single" w:color="auto" w:sz="4" w:space="0"/>
                  </w:tcBorders>
                  <w:vAlign w:val="center"/>
                </w:tcPr>
                <w:p w14:paraId="1BBE7081">
                  <w:pPr>
                    <w:pStyle w:val="13"/>
                    <w:jc w:val="center"/>
                  </w:pPr>
                  <w:r>
                    <w:rPr>
                      <w:rFonts w:hint="eastAsia"/>
                    </w:rPr>
                    <w:t>北厂界</w:t>
                  </w:r>
                </w:p>
              </w:tc>
              <w:tc>
                <w:tcPr>
                  <w:tcW w:w="453" w:type="pct"/>
                  <w:tcBorders>
                    <w:top w:val="nil"/>
                    <w:left w:val="nil"/>
                    <w:bottom w:val="single" w:color="auto" w:sz="4" w:space="0"/>
                    <w:right w:val="single" w:color="auto" w:sz="4" w:space="0"/>
                  </w:tcBorders>
                  <w:vAlign w:val="center"/>
                </w:tcPr>
                <w:p w14:paraId="73EECDEA">
                  <w:pPr>
                    <w:pStyle w:val="13"/>
                    <w:jc w:val="center"/>
                  </w:pPr>
                  <w:r>
                    <w:t>52.5</w:t>
                  </w:r>
                </w:p>
              </w:tc>
              <w:tc>
                <w:tcPr>
                  <w:tcW w:w="455" w:type="pct"/>
                  <w:tcBorders>
                    <w:top w:val="nil"/>
                    <w:left w:val="nil"/>
                    <w:bottom w:val="single" w:color="auto" w:sz="4" w:space="0"/>
                    <w:right w:val="single" w:color="auto" w:sz="4" w:space="0"/>
                  </w:tcBorders>
                  <w:vAlign w:val="center"/>
                </w:tcPr>
                <w:p w14:paraId="2B5E8E08">
                  <w:pPr>
                    <w:pStyle w:val="13"/>
                    <w:jc w:val="center"/>
                  </w:pPr>
                  <w:r>
                    <w:t>52.5</w:t>
                  </w:r>
                </w:p>
              </w:tc>
              <w:tc>
                <w:tcPr>
                  <w:tcW w:w="453" w:type="pct"/>
                  <w:tcBorders>
                    <w:top w:val="nil"/>
                    <w:left w:val="nil"/>
                    <w:bottom w:val="single" w:color="auto" w:sz="4" w:space="0"/>
                    <w:right w:val="single" w:color="auto" w:sz="4" w:space="0"/>
                  </w:tcBorders>
                  <w:vAlign w:val="center"/>
                </w:tcPr>
                <w:p w14:paraId="657BA4D7">
                  <w:pPr>
                    <w:pStyle w:val="13"/>
                    <w:jc w:val="center"/>
                  </w:pPr>
                  <w:r>
                    <w:t>53.2</w:t>
                  </w:r>
                </w:p>
              </w:tc>
              <w:tc>
                <w:tcPr>
                  <w:tcW w:w="455" w:type="pct"/>
                  <w:tcBorders>
                    <w:top w:val="nil"/>
                    <w:left w:val="nil"/>
                    <w:bottom w:val="single" w:color="auto" w:sz="4" w:space="0"/>
                    <w:right w:val="single" w:color="auto" w:sz="4" w:space="0"/>
                  </w:tcBorders>
                  <w:vAlign w:val="center"/>
                </w:tcPr>
                <w:p w14:paraId="536FC770">
                  <w:pPr>
                    <w:pStyle w:val="13"/>
                    <w:jc w:val="center"/>
                  </w:pPr>
                  <w:r>
                    <w:t>44.6</w:t>
                  </w:r>
                </w:p>
              </w:tc>
              <w:tc>
                <w:tcPr>
                  <w:tcW w:w="453" w:type="pct"/>
                  <w:tcBorders>
                    <w:top w:val="nil"/>
                    <w:left w:val="nil"/>
                    <w:bottom w:val="single" w:color="auto" w:sz="4" w:space="0"/>
                    <w:right w:val="single" w:color="auto" w:sz="4" w:space="0"/>
                  </w:tcBorders>
                  <w:vAlign w:val="center"/>
                </w:tcPr>
                <w:p w14:paraId="0242ECC8">
                  <w:pPr>
                    <w:pStyle w:val="13"/>
                    <w:jc w:val="center"/>
                  </w:pPr>
                  <w:r>
                    <w:t>54.9</w:t>
                  </w:r>
                </w:p>
              </w:tc>
              <w:tc>
                <w:tcPr>
                  <w:tcW w:w="455" w:type="pct"/>
                  <w:tcBorders>
                    <w:top w:val="nil"/>
                    <w:left w:val="nil"/>
                    <w:bottom w:val="single" w:color="auto" w:sz="4" w:space="0"/>
                    <w:right w:val="single" w:color="auto" w:sz="4" w:space="0"/>
                  </w:tcBorders>
                  <w:vAlign w:val="center"/>
                </w:tcPr>
                <w:p w14:paraId="5C826702">
                  <w:pPr>
                    <w:pStyle w:val="13"/>
                    <w:jc w:val="center"/>
                  </w:pPr>
                  <w:r>
                    <w:t>52.8</w:t>
                  </w:r>
                </w:p>
              </w:tc>
              <w:tc>
                <w:tcPr>
                  <w:tcW w:w="453" w:type="pct"/>
                  <w:vMerge w:val="restart"/>
                  <w:tcBorders>
                    <w:top w:val="nil"/>
                    <w:left w:val="single" w:color="auto" w:sz="4" w:space="0"/>
                    <w:bottom w:val="single" w:color="auto" w:sz="4" w:space="0"/>
                    <w:right w:val="single" w:color="auto" w:sz="4" w:space="0"/>
                  </w:tcBorders>
                  <w:vAlign w:val="center"/>
                </w:tcPr>
                <w:p w14:paraId="11B693F8">
                  <w:pPr>
                    <w:pStyle w:val="13"/>
                    <w:jc w:val="center"/>
                  </w:pPr>
                  <w:r>
                    <w:t>65</w:t>
                  </w:r>
                </w:p>
              </w:tc>
              <w:tc>
                <w:tcPr>
                  <w:tcW w:w="455" w:type="pct"/>
                  <w:vMerge w:val="restart"/>
                  <w:tcBorders>
                    <w:top w:val="nil"/>
                    <w:left w:val="single" w:color="auto" w:sz="4" w:space="0"/>
                    <w:bottom w:val="single" w:color="auto" w:sz="4" w:space="0"/>
                    <w:right w:val="single" w:color="auto" w:sz="4" w:space="0"/>
                  </w:tcBorders>
                  <w:vAlign w:val="center"/>
                </w:tcPr>
                <w:p w14:paraId="24574C37">
                  <w:pPr>
                    <w:pStyle w:val="13"/>
                    <w:jc w:val="center"/>
                  </w:pPr>
                  <w:r>
                    <w:t>55</w:t>
                  </w:r>
                </w:p>
              </w:tc>
              <w:tc>
                <w:tcPr>
                  <w:tcW w:w="455" w:type="pct"/>
                  <w:tcBorders>
                    <w:top w:val="nil"/>
                    <w:left w:val="nil"/>
                    <w:bottom w:val="single" w:color="auto" w:sz="4" w:space="0"/>
                    <w:right w:val="single" w:color="auto" w:sz="4" w:space="0"/>
                  </w:tcBorders>
                  <w:vAlign w:val="center"/>
                </w:tcPr>
                <w:p w14:paraId="44139985">
                  <w:pPr>
                    <w:pStyle w:val="13"/>
                    <w:jc w:val="center"/>
                  </w:pPr>
                  <w:r>
                    <w:rPr>
                      <w:rFonts w:hint="eastAsia"/>
                    </w:rPr>
                    <w:t>达标</w:t>
                  </w:r>
                </w:p>
              </w:tc>
            </w:tr>
            <w:tr w14:paraId="4D99F1C8">
              <w:trPr>
                <w:trHeight w:val="288" w:hRule="atLeast"/>
              </w:trPr>
              <w:tc>
                <w:tcPr>
                  <w:tcW w:w="396" w:type="pct"/>
                  <w:vMerge w:val="continue"/>
                  <w:tcBorders>
                    <w:top w:val="nil"/>
                    <w:left w:val="single" w:color="auto" w:sz="4" w:space="0"/>
                    <w:bottom w:val="single" w:color="auto" w:sz="4" w:space="0"/>
                    <w:right w:val="single" w:color="auto" w:sz="4" w:space="0"/>
                  </w:tcBorders>
                  <w:vAlign w:val="center"/>
                </w:tcPr>
                <w:p w14:paraId="66319722">
                  <w:pPr>
                    <w:pStyle w:val="13"/>
                    <w:jc w:val="center"/>
                  </w:pPr>
                </w:p>
              </w:tc>
              <w:tc>
                <w:tcPr>
                  <w:tcW w:w="511" w:type="pct"/>
                  <w:tcBorders>
                    <w:top w:val="nil"/>
                    <w:left w:val="nil"/>
                    <w:bottom w:val="single" w:color="auto" w:sz="4" w:space="0"/>
                    <w:right w:val="single" w:color="auto" w:sz="4" w:space="0"/>
                  </w:tcBorders>
                  <w:vAlign w:val="center"/>
                </w:tcPr>
                <w:p w14:paraId="177FD789">
                  <w:pPr>
                    <w:pStyle w:val="13"/>
                    <w:jc w:val="center"/>
                  </w:pPr>
                  <w:r>
                    <w:rPr>
                      <w:rFonts w:hint="eastAsia"/>
                    </w:rPr>
                    <w:t>南厂界</w:t>
                  </w:r>
                </w:p>
              </w:tc>
              <w:tc>
                <w:tcPr>
                  <w:tcW w:w="453" w:type="pct"/>
                  <w:tcBorders>
                    <w:top w:val="nil"/>
                    <w:left w:val="nil"/>
                    <w:bottom w:val="single" w:color="auto" w:sz="4" w:space="0"/>
                    <w:right w:val="single" w:color="auto" w:sz="4" w:space="0"/>
                  </w:tcBorders>
                  <w:vAlign w:val="center"/>
                </w:tcPr>
                <w:p w14:paraId="1E7C50A1">
                  <w:pPr>
                    <w:pStyle w:val="13"/>
                    <w:jc w:val="center"/>
                  </w:pPr>
                  <w:r>
                    <w:t>45.2</w:t>
                  </w:r>
                </w:p>
              </w:tc>
              <w:tc>
                <w:tcPr>
                  <w:tcW w:w="455" w:type="pct"/>
                  <w:tcBorders>
                    <w:top w:val="nil"/>
                    <w:left w:val="nil"/>
                    <w:bottom w:val="single" w:color="auto" w:sz="4" w:space="0"/>
                    <w:right w:val="single" w:color="auto" w:sz="4" w:space="0"/>
                  </w:tcBorders>
                  <w:vAlign w:val="center"/>
                </w:tcPr>
                <w:p w14:paraId="222DEA43">
                  <w:pPr>
                    <w:pStyle w:val="13"/>
                    <w:jc w:val="center"/>
                  </w:pPr>
                  <w:r>
                    <w:t>45.2</w:t>
                  </w:r>
                </w:p>
              </w:tc>
              <w:tc>
                <w:tcPr>
                  <w:tcW w:w="453" w:type="pct"/>
                  <w:tcBorders>
                    <w:top w:val="nil"/>
                    <w:left w:val="nil"/>
                    <w:bottom w:val="single" w:color="auto" w:sz="4" w:space="0"/>
                    <w:right w:val="single" w:color="auto" w:sz="4" w:space="0"/>
                  </w:tcBorders>
                  <w:vAlign w:val="center"/>
                </w:tcPr>
                <w:p w14:paraId="5680C18A">
                  <w:pPr>
                    <w:pStyle w:val="13"/>
                    <w:jc w:val="center"/>
                  </w:pPr>
                  <w:r>
                    <w:t>53.4</w:t>
                  </w:r>
                </w:p>
              </w:tc>
              <w:tc>
                <w:tcPr>
                  <w:tcW w:w="455" w:type="pct"/>
                  <w:tcBorders>
                    <w:top w:val="nil"/>
                    <w:left w:val="nil"/>
                    <w:bottom w:val="single" w:color="auto" w:sz="4" w:space="0"/>
                    <w:right w:val="single" w:color="auto" w:sz="4" w:space="0"/>
                  </w:tcBorders>
                  <w:vAlign w:val="center"/>
                </w:tcPr>
                <w:p w14:paraId="248DA3A0">
                  <w:pPr>
                    <w:pStyle w:val="13"/>
                    <w:jc w:val="center"/>
                  </w:pPr>
                  <w:r>
                    <w:t>44.2</w:t>
                  </w:r>
                </w:p>
              </w:tc>
              <w:tc>
                <w:tcPr>
                  <w:tcW w:w="453" w:type="pct"/>
                  <w:tcBorders>
                    <w:top w:val="nil"/>
                    <w:left w:val="nil"/>
                    <w:bottom w:val="single" w:color="auto" w:sz="4" w:space="0"/>
                    <w:right w:val="single" w:color="auto" w:sz="4" w:space="0"/>
                  </w:tcBorders>
                  <w:vAlign w:val="center"/>
                </w:tcPr>
                <w:p w14:paraId="68CAF874">
                  <w:pPr>
                    <w:pStyle w:val="13"/>
                    <w:jc w:val="center"/>
                  </w:pPr>
                  <w:r>
                    <w:t>53.7</w:t>
                  </w:r>
                </w:p>
              </w:tc>
              <w:tc>
                <w:tcPr>
                  <w:tcW w:w="455" w:type="pct"/>
                  <w:tcBorders>
                    <w:top w:val="nil"/>
                    <w:left w:val="nil"/>
                    <w:bottom w:val="single" w:color="auto" w:sz="4" w:space="0"/>
                    <w:right w:val="single" w:color="auto" w:sz="4" w:space="0"/>
                  </w:tcBorders>
                  <w:vAlign w:val="center"/>
                </w:tcPr>
                <w:p w14:paraId="4DAA7758">
                  <w:pPr>
                    <w:pStyle w:val="13"/>
                    <w:jc w:val="center"/>
                  </w:pPr>
                  <w:r>
                    <w:t>54.3</w:t>
                  </w:r>
                </w:p>
              </w:tc>
              <w:tc>
                <w:tcPr>
                  <w:tcW w:w="453" w:type="pct"/>
                  <w:vMerge w:val="continue"/>
                  <w:tcBorders>
                    <w:top w:val="nil"/>
                    <w:left w:val="single" w:color="auto" w:sz="4" w:space="0"/>
                    <w:bottom w:val="single" w:color="auto" w:sz="4" w:space="0"/>
                    <w:right w:val="single" w:color="auto" w:sz="4" w:space="0"/>
                  </w:tcBorders>
                  <w:vAlign w:val="center"/>
                </w:tcPr>
                <w:p w14:paraId="1FB158D1">
                  <w:pPr>
                    <w:pStyle w:val="13"/>
                    <w:jc w:val="center"/>
                  </w:pPr>
                </w:p>
              </w:tc>
              <w:tc>
                <w:tcPr>
                  <w:tcW w:w="455" w:type="pct"/>
                  <w:vMerge w:val="continue"/>
                  <w:tcBorders>
                    <w:top w:val="nil"/>
                    <w:left w:val="single" w:color="auto" w:sz="4" w:space="0"/>
                    <w:bottom w:val="single" w:color="auto" w:sz="4" w:space="0"/>
                    <w:right w:val="single" w:color="auto" w:sz="4" w:space="0"/>
                  </w:tcBorders>
                  <w:vAlign w:val="center"/>
                </w:tcPr>
                <w:p w14:paraId="71A90857">
                  <w:pPr>
                    <w:pStyle w:val="13"/>
                    <w:jc w:val="center"/>
                  </w:pPr>
                </w:p>
              </w:tc>
              <w:tc>
                <w:tcPr>
                  <w:tcW w:w="455" w:type="pct"/>
                  <w:tcBorders>
                    <w:top w:val="nil"/>
                    <w:left w:val="nil"/>
                    <w:bottom w:val="single" w:color="auto" w:sz="4" w:space="0"/>
                    <w:right w:val="single" w:color="auto" w:sz="4" w:space="0"/>
                  </w:tcBorders>
                  <w:vAlign w:val="center"/>
                </w:tcPr>
                <w:p w14:paraId="7CB1D734">
                  <w:pPr>
                    <w:pStyle w:val="13"/>
                    <w:jc w:val="center"/>
                  </w:pPr>
                  <w:r>
                    <w:rPr>
                      <w:rFonts w:hint="eastAsia"/>
                    </w:rPr>
                    <w:t>达标</w:t>
                  </w:r>
                </w:p>
              </w:tc>
            </w:tr>
            <w:tr w14:paraId="1AEF8E29">
              <w:trPr>
                <w:trHeight w:val="288" w:hRule="atLeast"/>
              </w:trPr>
              <w:tc>
                <w:tcPr>
                  <w:tcW w:w="396" w:type="pct"/>
                  <w:vMerge w:val="continue"/>
                  <w:tcBorders>
                    <w:top w:val="nil"/>
                    <w:left w:val="single" w:color="auto" w:sz="4" w:space="0"/>
                    <w:bottom w:val="single" w:color="auto" w:sz="4" w:space="0"/>
                    <w:right w:val="single" w:color="auto" w:sz="4" w:space="0"/>
                  </w:tcBorders>
                  <w:vAlign w:val="center"/>
                </w:tcPr>
                <w:p w14:paraId="25DD644B">
                  <w:pPr>
                    <w:pStyle w:val="13"/>
                    <w:jc w:val="center"/>
                  </w:pPr>
                </w:p>
              </w:tc>
              <w:tc>
                <w:tcPr>
                  <w:tcW w:w="511" w:type="pct"/>
                  <w:tcBorders>
                    <w:top w:val="nil"/>
                    <w:left w:val="nil"/>
                    <w:bottom w:val="single" w:color="auto" w:sz="4" w:space="0"/>
                    <w:right w:val="single" w:color="auto" w:sz="4" w:space="0"/>
                  </w:tcBorders>
                  <w:vAlign w:val="center"/>
                </w:tcPr>
                <w:p w14:paraId="395D5488">
                  <w:pPr>
                    <w:pStyle w:val="13"/>
                    <w:jc w:val="center"/>
                  </w:pPr>
                  <w:r>
                    <w:rPr>
                      <w:rFonts w:hint="eastAsia"/>
                    </w:rPr>
                    <w:t>西厂界</w:t>
                  </w:r>
                </w:p>
              </w:tc>
              <w:tc>
                <w:tcPr>
                  <w:tcW w:w="453" w:type="pct"/>
                  <w:tcBorders>
                    <w:top w:val="nil"/>
                    <w:left w:val="nil"/>
                    <w:bottom w:val="single" w:color="auto" w:sz="4" w:space="0"/>
                    <w:right w:val="single" w:color="auto" w:sz="4" w:space="0"/>
                  </w:tcBorders>
                  <w:vAlign w:val="center"/>
                </w:tcPr>
                <w:p w14:paraId="4C80C397">
                  <w:pPr>
                    <w:pStyle w:val="13"/>
                    <w:jc w:val="center"/>
                  </w:pPr>
                  <w:r>
                    <w:t>47.9</w:t>
                  </w:r>
                </w:p>
              </w:tc>
              <w:tc>
                <w:tcPr>
                  <w:tcW w:w="455" w:type="pct"/>
                  <w:tcBorders>
                    <w:top w:val="nil"/>
                    <w:left w:val="nil"/>
                    <w:bottom w:val="single" w:color="auto" w:sz="4" w:space="0"/>
                    <w:right w:val="single" w:color="auto" w:sz="4" w:space="0"/>
                  </w:tcBorders>
                  <w:vAlign w:val="center"/>
                </w:tcPr>
                <w:p w14:paraId="02DC5E10">
                  <w:pPr>
                    <w:pStyle w:val="13"/>
                    <w:jc w:val="center"/>
                  </w:pPr>
                  <w:r>
                    <w:t>47.9</w:t>
                  </w:r>
                </w:p>
              </w:tc>
              <w:tc>
                <w:tcPr>
                  <w:tcW w:w="453" w:type="pct"/>
                  <w:tcBorders>
                    <w:top w:val="nil"/>
                    <w:left w:val="nil"/>
                    <w:bottom w:val="single" w:color="auto" w:sz="4" w:space="0"/>
                    <w:right w:val="single" w:color="auto" w:sz="4" w:space="0"/>
                  </w:tcBorders>
                  <w:vAlign w:val="center"/>
                </w:tcPr>
                <w:p w14:paraId="5B1135FF">
                  <w:pPr>
                    <w:pStyle w:val="13"/>
                    <w:jc w:val="center"/>
                  </w:pPr>
                  <w:r>
                    <w:t>56.6</w:t>
                  </w:r>
                </w:p>
              </w:tc>
              <w:tc>
                <w:tcPr>
                  <w:tcW w:w="455" w:type="pct"/>
                  <w:tcBorders>
                    <w:top w:val="nil"/>
                    <w:left w:val="nil"/>
                    <w:bottom w:val="single" w:color="auto" w:sz="4" w:space="0"/>
                    <w:right w:val="single" w:color="auto" w:sz="4" w:space="0"/>
                  </w:tcBorders>
                  <w:vAlign w:val="center"/>
                </w:tcPr>
                <w:p w14:paraId="3E515B98">
                  <w:pPr>
                    <w:pStyle w:val="13"/>
                    <w:jc w:val="center"/>
                  </w:pPr>
                  <w:r>
                    <w:t>46.2</w:t>
                  </w:r>
                </w:p>
              </w:tc>
              <w:tc>
                <w:tcPr>
                  <w:tcW w:w="453" w:type="pct"/>
                  <w:tcBorders>
                    <w:top w:val="nil"/>
                    <w:left w:val="nil"/>
                    <w:bottom w:val="single" w:color="auto" w:sz="4" w:space="0"/>
                    <w:right w:val="single" w:color="auto" w:sz="4" w:space="0"/>
                  </w:tcBorders>
                  <w:vAlign w:val="center"/>
                </w:tcPr>
                <w:p w14:paraId="5233AC89">
                  <w:pPr>
                    <w:pStyle w:val="13"/>
                    <w:jc w:val="center"/>
                  </w:pPr>
                  <w:r>
                    <w:t>57.5</w:t>
                  </w:r>
                </w:p>
              </w:tc>
              <w:tc>
                <w:tcPr>
                  <w:tcW w:w="455" w:type="pct"/>
                  <w:tcBorders>
                    <w:top w:val="nil"/>
                    <w:left w:val="nil"/>
                    <w:bottom w:val="single" w:color="auto" w:sz="4" w:space="0"/>
                    <w:right w:val="single" w:color="auto" w:sz="4" w:space="0"/>
                  </w:tcBorders>
                  <w:vAlign w:val="center"/>
                </w:tcPr>
                <w:p w14:paraId="236EE734">
                  <w:pPr>
                    <w:pStyle w:val="13"/>
                    <w:jc w:val="center"/>
                  </w:pPr>
                  <w:r>
                    <w:t>49.5</w:t>
                  </w:r>
                </w:p>
              </w:tc>
              <w:tc>
                <w:tcPr>
                  <w:tcW w:w="453" w:type="pct"/>
                  <w:vMerge w:val="continue"/>
                  <w:tcBorders>
                    <w:top w:val="nil"/>
                    <w:left w:val="single" w:color="auto" w:sz="4" w:space="0"/>
                    <w:bottom w:val="single" w:color="auto" w:sz="4" w:space="0"/>
                    <w:right w:val="single" w:color="auto" w:sz="4" w:space="0"/>
                  </w:tcBorders>
                  <w:vAlign w:val="center"/>
                </w:tcPr>
                <w:p w14:paraId="70A86ACA">
                  <w:pPr>
                    <w:pStyle w:val="13"/>
                    <w:jc w:val="center"/>
                  </w:pPr>
                </w:p>
              </w:tc>
              <w:tc>
                <w:tcPr>
                  <w:tcW w:w="455" w:type="pct"/>
                  <w:vMerge w:val="continue"/>
                  <w:tcBorders>
                    <w:top w:val="nil"/>
                    <w:left w:val="single" w:color="auto" w:sz="4" w:space="0"/>
                    <w:bottom w:val="single" w:color="auto" w:sz="4" w:space="0"/>
                    <w:right w:val="single" w:color="auto" w:sz="4" w:space="0"/>
                  </w:tcBorders>
                  <w:vAlign w:val="center"/>
                </w:tcPr>
                <w:p w14:paraId="0815AA5E">
                  <w:pPr>
                    <w:pStyle w:val="13"/>
                    <w:jc w:val="center"/>
                  </w:pPr>
                </w:p>
              </w:tc>
              <w:tc>
                <w:tcPr>
                  <w:tcW w:w="455" w:type="pct"/>
                  <w:tcBorders>
                    <w:top w:val="nil"/>
                    <w:left w:val="nil"/>
                    <w:bottom w:val="single" w:color="auto" w:sz="4" w:space="0"/>
                    <w:right w:val="single" w:color="auto" w:sz="4" w:space="0"/>
                  </w:tcBorders>
                  <w:vAlign w:val="center"/>
                </w:tcPr>
                <w:p w14:paraId="423589AD">
                  <w:pPr>
                    <w:pStyle w:val="13"/>
                    <w:jc w:val="center"/>
                  </w:pPr>
                  <w:r>
                    <w:rPr>
                      <w:rFonts w:hint="eastAsia"/>
                    </w:rPr>
                    <w:t>达标</w:t>
                  </w:r>
                </w:p>
              </w:tc>
            </w:tr>
            <w:tr w14:paraId="274F8BF1">
              <w:trPr>
                <w:trHeight w:val="276" w:hRule="atLeast"/>
              </w:trPr>
              <w:tc>
                <w:tcPr>
                  <w:tcW w:w="396" w:type="pct"/>
                  <w:vMerge w:val="continue"/>
                  <w:tcBorders>
                    <w:top w:val="nil"/>
                    <w:left w:val="single" w:color="auto" w:sz="4" w:space="0"/>
                    <w:bottom w:val="single" w:color="auto" w:sz="4" w:space="0"/>
                    <w:right w:val="single" w:color="auto" w:sz="4" w:space="0"/>
                  </w:tcBorders>
                  <w:vAlign w:val="center"/>
                </w:tcPr>
                <w:p w14:paraId="732D8C57">
                  <w:pPr>
                    <w:pStyle w:val="13"/>
                    <w:jc w:val="center"/>
                  </w:pPr>
                </w:p>
              </w:tc>
              <w:tc>
                <w:tcPr>
                  <w:tcW w:w="511" w:type="pct"/>
                  <w:tcBorders>
                    <w:top w:val="nil"/>
                    <w:left w:val="nil"/>
                    <w:bottom w:val="single" w:color="auto" w:sz="4" w:space="0"/>
                    <w:right w:val="single" w:color="auto" w:sz="4" w:space="0"/>
                  </w:tcBorders>
                  <w:vAlign w:val="center"/>
                </w:tcPr>
                <w:p w14:paraId="356DD074">
                  <w:pPr>
                    <w:pStyle w:val="13"/>
                    <w:jc w:val="center"/>
                  </w:pPr>
                  <w:r>
                    <w:rPr>
                      <w:rFonts w:hint="eastAsia"/>
                    </w:rPr>
                    <w:t>东厂界</w:t>
                  </w:r>
                </w:p>
              </w:tc>
              <w:tc>
                <w:tcPr>
                  <w:tcW w:w="453" w:type="pct"/>
                  <w:tcBorders>
                    <w:top w:val="nil"/>
                    <w:left w:val="nil"/>
                    <w:bottom w:val="single" w:color="auto" w:sz="4" w:space="0"/>
                    <w:right w:val="single" w:color="auto" w:sz="4" w:space="0"/>
                  </w:tcBorders>
                  <w:vAlign w:val="center"/>
                </w:tcPr>
                <w:p w14:paraId="50E2CCE1">
                  <w:pPr>
                    <w:pStyle w:val="13"/>
                    <w:jc w:val="center"/>
                  </w:pPr>
                  <w:r>
                    <w:t>48.5</w:t>
                  </w:r>
                </w:p>
              </w:tc>
              <w:tc>
                <w:tcPr>
                  <w:tcW w:w="455" w:type="pct"/>
                  <w:tcBorders>
                    <w:top w:val="nil"/>
                    <w:left w:val="nil"/>
                    <w:bottom w:val="single" w:color="auto" w:sz="4" w:space="0"/>
                    <w:right w:val="single" w:color="auto" w:sz="4" w:space="0"/>
                  </w:tcBorders>
                  <w:vAlign w:val="center"/>
                </w:tcPr>
                <w:p w14:paraId="27DAAC4E">
                  <w:pPr>
                    <w:pStyle w:val="13"/>
                    <w:jc w:val="center"/>
                  </w:pPr>
                  <w:r>
                    <w:t>48.5</w:t>
                  </w:r>
                </w:p>
              </w:tc>
              <w:tc>
                <w:tcPr>
                  <w:tcW w:w="453" w:type="pct"/>
                  <w:tcBorders>
                    <w:top w:val="nil"/>
                    <w:left w:val="nil"/>
                    <w:bottom w:val="single" w:color="auto" w:sz="4" w:space="0"/>
                    <w:right w:val="single" w:color="auto" w:sz="4" w:space="0"/>
                  </w:tcBorders>
                  <w:vAlign w:val="center"/>
                </w:tcPr>
                <w:p w14:paraId="0B10FAA4">
                  <w:pPr>
                    <w:pStyle w:val="13"/>
                    <w:jc w:val="center"/>
                  </w:pPr>
                  <w:r>
                    <w:t>50.5</w:t>
                  </w:r>
                </w:p>
              </w:tc>
              <w:tc>
                <w:tcPr>
                  <w:tcW w:w="455" w:type="pct"/>
                  <w:tcBorders>
                    <w:top w:val="nil"/>
                    <w:left w:val="nil"/>
                    <w:bottom w:val="single" w:color="auto" w:sz="4" w:space="0"/>
                    <w:right w:val="single" w:color="auto" w:sz="4" w:space="0"/>
                  </w:tcBorders>
                  <w:vAlign w:val="center"/>
                </w:tcPr>
                <w:p w14:paraId="256C11F0">
                  <w:pPr>
                    <w:pStyle w:val="13"/>
                    <w:jc w:val="center"/>
                  </w:pPr>
                  <w:r>
                    <w:t>43.1</w:t>
                  </w:r>
                </w:p>
              </w:tc>
              <w:tc>
                <w:tcPr>
                  <w:tcW w:w="453" w:type="pct"/>
                  <w:tcBorders>
                    <w:top w:val="nil"/>
                    <w:left w:val="nil"/>
                    <w:bottom w:val="single" w:color="auto" w:sz="4" w:space="0"/>
                    <w:right w:val="single" w:color="auto" w:sz="4" w:space="0"/>
                  </w:tcBorders>
                  <w:vAlign w:val="center"/>
                </w:tcPr>
                <w:p w14:paraId="3DF8EC0B">
                  <w:pPr>
                    <w:pStyle w:val="13"/>
                    <w:jc w:val="center"/>
                  </w:pPr>
                  <w:r>
                    <w:t>52.1</w:t>
                  </w:r>
                </w:p>
              </w:tc>
              <w:tc>
                <w:tcPr>
                  <w:tcW w:w="455" w:type="pct"/>
                  <w:tcBorders>
                    <w:top w:val="nil"/>
                    <w:left w:val="nil"/>
                    <w:bottom w:val="single" w:color="auto" w:sz="4" w:space="0"/>
                    <w:right w:val="single" w:color="auto" w:sz="4" w:space="0"/>
                  </w:tcBorders>
                  <w:vAlign w:val="center"/>
                </w:tcPr>
                <w:p w14:paraId="11844342">
                  <w:pPr>
                    <w:pStyle w:val="13"/>
                    <w:jc w:val="center"/>
                  </w:pPr>
                  <w:r>
                    <w:t>49.4</w:t>
                  </w:r>
                </w:p>
              </w:tc>
              <w:tc>
                <w:tcPr>
                  <w:tcW w:w="453" w:type="pct"/>
                  <w:tcBorders>
                    <w:top w:val="nil"/>
                    <w:left w:val="nil"/>
                    <w:bottom w:val="single" w:color="auto" w:sz="4" w:space="0"/>
                    <w:right w:val="single" w:color="auto" w:sz="4" w:space="0"/>
                  </w:tcBorders>
                  <w:vAlign w:val="center"/>
                </w:tcPr>
                <w:p w14:paraId="1A14E59D">
                  <w:pPr>
                    <w:pStyle w:val="13"/>
                    <w:jc w:val="center"/>
                  </w:pPr>
                  <w:r>
                    <w:t>70</w:t>
                  </w:r>
                </w:p>
              </w:tc>
              <w:tc>
                <w:tcPr>
                  <w:tcW w:w="455" w:type="pct"/>
                  <w:tcBorders>
                    <w:top w:val="nil"/>
                    <w:left w:val="nil"/>
                    <w:bottom w:val="single" w:color="auto" w:sz="4" w:space="0"/>
                    <w:right w:val="single" w:color="auto" w:sz="4" w:space="0"/>
                  </w:tcBorders>
                  <w:vAlign w:val="center"/>
                </w:tcPr>
                <w:p w14:paraId="2EB97913">
                  <w:pPr>
                    <w:pStyle w:val="13"/>
                    <w:jc w:val="center"/>
                  </w:pPr>
                  <w:r>
                    <w:t>55</w:t>
                  </w:r>
                </w:p>
              </w:tc>
              <w:tc>
                <w:tcPr>
                  <w:tcW w:w="455" w:type="pct"/>
                  <w:tcBorders>
                    <w:top w:val="nil"/>
                    <w:left w:val="nil"/>
                    <w:bottom w:val="single" w:color="auto" w:sz="4" w:space="0"/>
                    <w:right w:val="single" w:color="auto" w:sz="4" w:space="0"/>
                  </w:tcBorders>
                  <w:vAlign w:val="center"/>
                </w:tcPr>
                <w:p w14:paraId="1C669ADB">
                  <w:pPr>
                    <w:pStyle w:val="13"/>
                    <w:jc w:val="center"/>
                  </w:pPr>
                  <w:r>
                    <w:rPr>
                      <w:rFonts w:hint="eastAsia"/>
                    </w:rPr>
                    <w:t>达标</w:t>
                  </w:r>
                </w:p>
              </w:tc>
            </w:tr>
            <w:tr w14:paraId="098F0F70">
              <w:trPr>
                <w:trHeight w:val="432" w:hRule="atLeast"/>
              </w:trPr>
              <w:tc>
                <w:tcPr>
                  <w:tcW w:w="5000" w:type="pct"/>
                  <w:gridSpan w:val="11"/>
                  <w:tcBorders>
                    <w:top w:val="single" w:color="auto" w:sz="4" w:space="0"/>
                    <w:left w:val="single" w:color="auto" w:sz="4" w:space="0"/>
                    <w:bottom w:val="single" w:color="auto" w:sz="4" w:space="0"/>
                    <w:right w:val="single" w:color="auto" w:sz="4" w:space="0"/>
                  </w:tcBorders>
                  <w:vAlign w:val="center"/>
                </w:tcPr>
                <w:p w14:paraId="31B861DC">
                  <w:pPr>
                    <w:pStyle w:val="13"/>
                    <w:jc w:val="both"/>
                  </w:pPr>
                  <w:r>
                    <w:rPr>
                      <w:rFonts w:hint="eastAsia"/>
                    </w:rPr>
                    <w:t>本项目因订单波动等原因，现有工程夜间实际未生产，故本次评价采用原环评噪声预测贡献值，作为本项目噪声现状背景值进行叠加。</w:t>
                  </w:r>
                </w:p>
              </w:tc>
            </w:tr>
          </w:tbl>
          <w:p w14:paraId="504FFF59">
            <w:pPr>
              <w:spacing w:before="156" w:beforeLines="50"/>
              <w:ind w:firstLine="480"/>
              <w:jc w:val="both"/>
              <w:rPr>
                <w:rFonts w:cs="Times New Roman"/>
                <w:szCs w:val="24"/>
              </w:rPr>
            </w:pPr>
            <w:r>
              <w:rPr>
                <w:rFonts w:cs="Times New Roman"/>
                <w:szCs w:val="24"/>
              </w:rPr>
              <w:t>预测结果表明，在采取相应的减振降噪措施处理后，运行过程中新增设备运转产生的噪声，对</w:t>
            </w:r>
            <w:r>
              <w:rPr>
                <w:rFonts w:hint="eastAsia" w:cs="Times New Roman"/>
                <w:szCs w:val="24"/>
              </w:rPr>
              <w:t>北、南、西</w:t>
            </w:r>
            <w:r>
              <w:rPr>
                <w:rFonts w:cs="Times New Roman"/>
                <w:szCs w:val="24"/>
              </w:rPr>
              <w:t>厂界噪声的</w:t>
            </w:r>
            <w:r>
              <w:rPr>
                <w:rFonts w:hint="eastAsia" w:cs="Times New Roman"/>
                <w:szCs w:val="24"/>
              </w:rPr>
              <w:t>贡献</w:t>
            </w:r>
            <w:r>
              <w:rPr>
                <w:rFonts w:cs="Times New Roman"/>
                <w:szCs w:val="24"/>
              </w:rPr>
              <w:t>值均能满足《工业企业厂界环境噪声排放标准》(GB12348-2008)中</w:t>
            </w:r>
            <w:r>
              <w:rPr>
                <w:rFonts w:hint="eastAsia" w:cs="Times New Roman"/>
                <w:szCs w:val="24"/>
              </w:rPr>
              <w:t>3</w:t>
            </w:r>
            <w:r>
              <w:rPr>
                <w:rFonts w:cs="Times New Roman"/>
                <w:szCs w:val="24"/>
              </w:rPr>
              <w:t>类</w:t>
            </w:r>
            <w:r>
              <w:rPr>
                <w:rFonts w:hint="eastAsia" w:cs="Times New Roman"/>
                <w:szCs w:val="24"/>
              </w:rPr>
              <w:t>区</w:t>
            </w:r>
            <w:r>
              <w:rPr>
                <w:rFonts w:cs="Times New Roman"/>
                <w:szCs w:val="24"/>
              </w:rPr>
              <w:t>标准的要求</w:t>
            </w:r>
            <w:r>
              <w:rPr>
                <w:rFonts w:hint="eastAsia" w:cs="Times New Roman"/>
                <w:szCs w:val="24"/>
              </w:rPr>
              <w:t>，</w:t>
            </w:r>
            <w:r>
              <w:rPr>
                <w:rFonts w:cs="Times New Roman"/>
                <w:szCs w:val="24"/>
              </w:rPr>
              <w:t>对</w:t>
            </w:r>
            <w:r>
              <w:rPr>
                <w:rFonts w:hint="eastAsia" w:cs="Times New Roman"/>
                <w:szCs w:val="24"/>
              </w:rPr>
              <w:t>东</w:t>
            </w:r>
            <w:r>
              <w:rPr>
                <w:rFonts w:cs="Times New Roman"/>
                <w:szCs w:val="24"/>
              </w:rPr>
              <w:t>厂界噪声的</w:t>
            </w:r>
            <w:r>
              <w:rPr>
                <w:rFonts w:hint="eastAsia" w:cs="Times New Roman"/>
                <w:szCs w:val="24"/>
              </w:rPr>
              <w:t>贡献</w:t>
            </w:r>
            <w:r>
              <w:rPr>
                <w:rFonts w:cs="Times New Roman"/>
                <w:szCs w:val="24"/>
              </w:rPr>
              <w:t>值均能满足《工业企业厂界环境噪声排放标准》(GB12348-2008)中</w:t>
            </w:r>
            <w:r>
              <w:rPr>
                <w:rFonts w:hint="eastAsia" w:cs="Times New Roman"/>
                <w:szCs w:val="24"/>
              </w:rPr>
              <w:t>4</w:t>
            </w:r>
            <w:r>
              <w:rPr>
                <w:rFonts w:cs="Times New Roman"/>
                <w:szCs w:val="24"/>
              </w:rPr>
              <w:t>类</w:t>
            </w:r>
            <w:r>
              <w:rPr>
                <w:rFonts w:hint="eastAsia" w:cs="Times New Roman"/>
                <w:szCs w:val="24"/>
              </w:rPr>
              <w:t>区</w:t>
            </w:r>
            <w:r>
              <w:rPr>
                <w:rFonts w:cs="Times New Roman"/>
                <w:szCs w:val="24"/>
              </w:rPr>
              <w:t>标准的要求。</w:t>
            </w:r>
          </w:p>
          <w:p w14:paraId="2803D3FF">
            <w:pPr>
              <w:ind w:firstLine="480"/>
              <w:jc w:val="both"/>
              <w:rPr>
                <w:rFonts w:cs="Times New Roman"/>
                <w:szCs w:val="24"/>
              </w:rPr>
            </w:pPr>
            <w:r>
              <w:rPr>
                <w:rFonts w:cs="Times New Roman"/>
                <w:szCs w:val="24"/>
              </w:rPr>
              <w:t>因此，本评价认为，项目运行过程中的噪声不会对区域声环境造成明显不利影响。</w:t>
            </w:r>
          </w:p>
          <w:p w14:paraId="35E8AF3C">
            <w:pPr>
              <w:ind w:firstLine="480"/>
              <w:jc w:val="both"/>
              <w:rPr>
                <w:rFonts w:cs="Times New Roman"/>
                <w:szCs w:val="24"/>
              </w:rPr>
            </w:pPr>
            <w:r>
              <w:rPr>
                <w:rFonts w:hint="eastAsia" w:cs="Times New Roman"/>
                <w:szCs w:val="24"/>
              </w:rPr>
              <w:t>3、</w:t>
            </w:r>
            <w:r>
              <w:rPr>
                <w:rFonts w:cs="Times New Roman"/>
                <w:szCs w:val="24"/>
              </w:rPr>
              <w:t>噪声监测计划</w:t>
            </w:r>
          </w:p>
          <w:p w14:paraId="3A976338">
            <w:pPr>
              <w:ind w:firstLine="480"/>
              <w:jc w:val="both"/>
              <w:rPr>
                <w:rFonts w:cs="Times New Roman"/>
                <w:szCs w:val="24"/>
              </w:rPr>
            </w:pPr>
            <w:r>
              <w:rPr>
                <w:rFonts w:cs="Times New Roman"/>
                <w:szCs w:val="24"/>
              </w:rPr>
              <w:t>根据《排污单位自行监测技术指南 总则》（HJ819-2017）并结合《工业企业厂界环境噪声排放标准》（GB12348-2008），项目监测点位设置、监测频次及最低监测频次按下表执行。</w:t>
            </w:r>
          </w:p>
          <w:p w14:paraId="5CC62DB0">
            <w:pPr>
              <w:pStyle w:val="14"/>
              <w:numPr>
                <w:ilvl w:val="0"/>
                <w:numId w:val="9"/>
              </w:numPr>
              <w:tabs>
                <w:tab w:val="clear" w:pos="0"/>
              </w:tabs>
              <w:spacing w:before="156"/>
            </w:pPr>
            <w:r>
              <w:rPr>
                <w:rFonts w:hint="eastAsia"/>
              </w:rPr>
              <w:t xml:space="preserve">  噪声污染源监测计划表</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26"/>
              <w:gridCol w:w="1060"/>
              <w:gridCol w:w="1026"/>
              <w:gridCol w:w="1004"/>
              <w:gridCol w:w="2489"/>
            </w:tblGrid>
            <w:tr w14:paraId="6CFC7EF3">
              <w:trPr>
                <w:trHeight w:val="340" w:hRule="atLeast"/>
              </w:trPr>
              <w:tc>
                <w:tcPr>
                  <w:tcW w:w="440" w:type="pct"/>
                  <w:vAlign w:val="center"/>
                </w:tcPr>
                <w:p w14:paraId="39D3AAAE">
                  <w:pPr>
                    <w:spacing w:line="240" w:lineRule="auto"/>
                    <w:ind w:firstLine="0" w:firstLineChars="0"/>
                    <w:jc w:val="center"/>
                    <w:rPr>
                      <w:rFonts w:cs="Times New Roman"/>
                      <w:kern w:val="0"/>
                      <w:sz w:val="18"/>
                    </w:rPr>
                  </w:pPr>
                  <w:r>
                    <w:rPr>
                      <w:rFonts w:cs="Times New Roman"/>
                      <w:kern w:val="0"/>
                      <w:sz w:val="18"/>
                    </w:rPr>
                    <w:t>类别</w:t>
                  </w:r>
                </w:p>
              </w:tc>
              <w:tc>
                <w:tcPr>
                  <w:tcW w:w="979" w:type="pct"/>
                  <w:vAlign w:val="center"/>
                </w:tcPr>
                <w:p w14:paraId="0847A4B7">
                  <w:pPr>
                    <w:spacing w:line="240" w:lineRule="auto"/>
                    <w:ind w:firstLine="0" w:firstLineChars="0"/>
                    <w:jc w:val="center"/>
                    <w:rPr>
                      <w:rFonts w:cs="Times New Roman"/>
                      <w:kern w:val="0"/>
                      <w:sz w:val="18"/>
                    </w:rPr>
                  </w:pPr>
                  <w:r>
                    <w:rPr>
                      <w:rFonts w:cs="Times New Roman"/>
                      <w:kern w:val="0"/>
                      <w:sz w:val="18"/>
                    </w:rPr>
                    <w:t>监测点位</w:t>
                  </w:r>
                </w:p>
              </w:tc>
              <w:tc>
                <w:tcPr>
                  <w:tcW w:w="680" w:type="pct"/>
                  <w:vAlign w:val="center"/>
                </w:tcPr>
                <w:p w14:paraId="3F86A93E">
                  <w:pPr>
                    <w:spacing w:line="240" w:lineRule="auto"/>
                    <w:ind w:firstLine="0" w:firstLineChars="0"/>
                    <w:jc w:val="center"/>
                    <w:rPr>
                      <w:rFonts w:cs="Times New Roman"/>
                      <w:kern w:val="0"/>
                      <w:sz w:val="18"/>
                    </w:rPr>
                  </w:pPr>
                  <w:r>
                    <w:rPr>
                      <w:rFonts w:cs="Times New Roman"/>
                      <w:kern w:val="0"/>
                      <w:sz w:val="18"/>
                    </w:rPr>
                    <w:t>检测项目</w:t>
                  </w:r>
                </w:p>
              </w:tc>
              <w:tc>
                <w:tcPr>
                  <w:tcW w:w="658" w:type="pct"/>
                  <w:vAlign w:val="center"/>
                </w:tcPr>
                <w:p w14:paraId="2C17822C">
                  <w:pPr>
                    <w:spacing w:line="240" w:lineRule="auto"/>
                    <w:ind w:firstLine="0" w:firstLineChars="0"/>
                    <w:jc w:val="center"/>
                    <w:rPr>
                      <w:rFonts w:cs="Times New Roman"/>
                      <w:kern w:val="0"/>
                      <w:sz w:val="18"/>
                    </w:rPr>
                  </w:pPr>
                  <w:r>
                    <w:rPr>
                      <w:rFonts w:cs="Times New Roman"/>
                      <w:kern w:val="0"/>
                      <w:sz w:val="18"/>
                    </w:rPr>
                    <w:t>检测频率</w:t>
                  </w:r>
                </w:p>
              </w:tc>
              <w:tc>
                <w:tcPr>
                  <w:tcW w:w="644" w:type="pct"/>
                  <w:vAlign w:val="center"/>
                </w:tcPr>
                <w:p w14:paraId="1CE992E0">
                  <w:pPr>
                    <w:spacing w:line="240" w:lineRule="auto"/>
                    <w:ind w:firstLine="0" w:firstLineChars="0"/>
                    <w:jc w:val="center"/>
                    <w:rPr>
                      <w:rFonts w:cs="Times New Roman"/>
                      <w:kern w:val="0"/>
                      <w:sz w:val="18"/>
                    </w:rPr>
                  </w:pPr>
                  <w:r>
                    <w:rPr>
                      <w:rFonts w:cs="Times New Roman"/>
                      <w:kern w:val="0"/>
                      <w:sz w:val="18"/>
                    </w:rPr>
                    <w:t>检测单位</w:t>
                  </w:r>
                </w:p>
              </w:tc>
              <w:tc>
                <w:tcPr>
                  <w:tcW w:w="1597" w:type="pct"/>
                  <w:vAlign w:val="center"/>
                </w:tcPr>
                <w:p w14:paraId="47B45A64">
                  <w:pPr>
                    <w:spacing w:line="240" w:lineRule="auto"/>
                    <w:ind w:firstLine="0" w:firstLineChars="0"/>
                    <w:jc w:val="center"/>
                    <w:rPr>
                      <w:rFonts w:cs="Times New Roman"/>
                      <w:kern w:val="0"/>
                      <w:sz w:val="18"/>
                    </w:rPr>
                  </w:pPr>
                  <w:r>
                    <w:rPr>
                      <w:rFonts w:cs="Times New Roman"/>
                      <w:kern w:val="0"/>
                      <w:sz w:val="18"/>
                    </w:rPr>
                    <w:t>标准</w:t>
                  </w:r>
                </w:p>
              </w:tc>
            </w:tr>
            <w:tr w14:paraId="57513530">
              <w:trPr>
                <w:trHeight w:val="340" w:hRule="atLeast"/>
              </w:trPr>
              <w:tc>
                <w:tcPr>
                  <w:tcW w:w="440" w:type="pct"/>
                  <w:vMerge w:val="restart"/>
                  <w:vAlign w:val="center"/>
                </w:tcPr>
                <w:p w14:paraId="2D9F1B34">
                  <w:pPr>
                    <w:spacing w:line="240" w:lineRule="auto"/>
                    <w:ind w:firstLine="0" w:firstLineChars="0"/>
                    <w:jc w:val="center"/>
                    <w:rPr>
                      <w:rFonts w:cs="Times New Roman"/>
                      <w:kern w:val="0"/>
                      <w:sz w:val="18"/>
                    </w:rPr>
                  </w:pPr>
                  <w:r>
                    <w:rPr>
                      <w:rFonts w:cs="Times New Roman"/>
                      <w:kern w:val="0"/>
                      <w:sz w:val="18"/>
                    </w:rPr>
                    <w:t>噪声</w:t>
                  </w:r>
                </w:p>
              </w:tc>
              <w:tc>
                <w:tcPr>
                  <w:tcW w:w="979" w:type="pct"/>
                  <w:vAlign w:val="center"/>
                </w:tcPr>
                <w:p w14:paraId="4BE35529">
                  <w:pPr>
                    <w:spacing w:line="240" w:lineRule="auto"/>
                    <w:ind w:firstLine="0" w:firstLineChars="0"/>
                    <w:jc w:val="center"/>
                    <w:rPr>
                      <w:rFonts w:cs="Times New Roman"/>
                      <w:kern w:val="0"/>
                      <w:sz w:val="18"/>
                    </w:rPr>
                  </w:pPr>
                  <w:r>
                    <w:rPr>
                      <w:rFonts w:hint="eastAsia" w:cs="Times New Roman"/>
                      <w:kern w:val="0"/>
                      <w:sz w:val="18"/>
                    </w:rPr>
                    <w:t>北</w:t>
                  </w:r>
                  <w:r>
                    <w:rPr>
                      <w:rFonts w:cs="Times New Roman"/>
                      <w:kern w:val="0"/>
                      <w:sz w:val="18"/>
                    </w:rPr>
                    <w:t>、南、</w:t>
                  </w:r>
                  <w:r>
                    <w:rPr>
                      <w:rFonts w:hint="eastAsia" w:cs="Times New Roman"/>
                      <w:kern w:val="0"/>
                      <w:sz w:val="18"/>
                    </w:rPr>
                    <w:t>西</w:t>
                  </w:r>
                  <w:r>
                    <w:rPr>
                      <w:rFonts w:cs="Times New Roman"/>
                      <w:kern w:val="0"/>
                      <w:sz w:val="18"/>
                    </w:rPr>
                    <w:t>厂界外1m</w:t>
                  </w:r>
                </w:p>
              </w:tc>
              <w:tc>
                <w:tcPr>
                  <w:tcW w:w="680" w:type="pct"/>
                  <w:vMerge w:val="restart"/>
                  <w:vAlign w:val="center"/>
                </w:tcPr>
                <w:p w14:paraId="6B46D35E">
                  <w:pPr>
                    <w:spacing w:line="240" w:lineRule="auto"/>
                    <w:ind w:firstLine="0" w:firstLineChars="0"/>
                    <w:jc w:val="center"/>
                    <w:rPr>
                      <w:rFonts w:cs="Times New Roman"/>
                      <w:kern w:val="0"/>
                      <w:sz w:val="18"/>
                    </w:rPr>
                  </w:pPr>
                  <w:r>
                    <w:rPr>
                      <w:rFonts w:cs="Times New Roman"/>
                      <w:kern w:val="0"/>
                      <w:sz w:val="18"/>
                    </w:rPr>
                    <w:t>连续等效声Leq(A)</w:t>
                  </w:r>
                </w:p>
              </w:tc>
              <w:tc>
                <w:tcPr>
                  <w:tcW w:w="658" w:type="pct"/>
                  <w:vMerge w:val="restart"/>
                  <w:vAlign w:val="center"/>
                </w:tcPr>
                <w:p w14:paraId="1727B64F">
                  <w:pPr>
                    <w:spacing w:line="240" w:lineRule="auto"/>
                    <w:ind w:firstLine="0" w:firstLineChars="0"/>
                    <w:jc w:val="center"/>
                    <w:rPr>
                      <w:rFonts w:cs="Times New Roman"/>
                      <w:kern w:val="0"/>
                      <w:sz w:val="18"/>
                    </w:rPr>
                  </w:pPr>
                  <w:r>
                    <w:rPr>
                      <w:rFonts w:cs="Times New Roman"/>
                      <w:kern w:val="0"/>
                      <w:sz w:val="18"/>
                    </w:rPr>
                    <w:t>1次/</w:t>
                  </w:r>
                  <w:r>
                    <w:rPr>
                      <w:rFonts w:hint="eastAsia" w:cs="Times New Roman"/>
                      <w:kern w:val="0"/>
                      <w:sz w:val="18"/>
                    </w:rPr>
                    <w:t>季度</w:t>
                  </w:r>
                </w:p>
              </w:tc>
              <w:tc>
                <w:tcPr>
                  <w:tcW w:w="644" w:type="pct"/>
                  <w:vMerge w:val="restart"/>
                  <w:vAlign w:val="center"/>
                </w:tcPr>
                <w:p w14:paraId="6989C399">
                  <w:pPr>
                    <w:spacing w:line="240" w:lineRule="auto"/>
                    <w:ind w:firstLine="0" w:firstLineChars="0"/>
                    <w:jc w:val="center"/>
                    <w:rPr>
                      <w:rFonts w:cs="Times New Roman"/>
                      <w:kern w:val="0"/>
                      <w:sz w:val="18"/>
                    </w:rPr>
                  </w:pPr>
                  <w:r>
                    <w:rPr>
                      <w:rFonts w:cs="Times New Roman"/>
                      <w:kern w:val="0"/>
                      <w:sz w:val="18"/>
                    </w:rPr>
                    <w:t>委托有资质的环境监测单位进行监测</w:t>
                  </w:r>
                </w:p>
              </w:tc>
              <w:tc>
                <w:tcPr>
                  <w:tcW w:w="1597" w:type="pct"/>
                  <w:vAlign w:val="center"/>
                </w:tcPr>
                <w:p w14:paraId="6521A8AF">
                  <w:pPr>
                    <w:spacing w:line="240" w:lineRule="auto"/>
                    <w:ind w:firstLine="0" w:firstLineChars="0"/>
                    <w:jc w:val="center"/>
                    <w:rPr>
                      <w:rFonts w:cs="Times New Roman"/>
                      <w:kern w:val="0"/>
                      <w:sz w:val="18"/>
                    </w:rPr>
                  </w:pPr>
                  <w:r>
                    <w:rPr>
                      <w:rFonts w:cs="Times New Roman"/>
                      <w:kern w:val="0"/>
                      <w:sz w:val="18"/>
                    </w:rPr>
                    <w:t>《工业企业厂界环境噪声排放标准》(GB12348-2008)</w:t>
                  </w:r>
                  <w:r>
                    <w:rPr>
                      <w:rFonts w:hint="eastAsia" w:cs="Times New Roman"/>
                      <w:kern w:val="0"/>
                      <w:sz w:val="18"/>
                    </w:rPr>
                    <w:t>3</w:t>
                  </w:r>
                  <w:r>
                    <w:rPr>
                      <w:rFonts w:cs="Times New Roman"/>
                      <w:kern w:val="0"/>
                      <w:sz w:val="18"/>
                    </w:rPr>
                    <w:t>类标准</w:t>
                  </w:r>
                </w:p>
              </w:tc>
            </w:tr>
            <w:tr w14:paraId="171D80A7">
              <w:trPr>
                <w:trHeight w:val="340" w:hRule="atLeast"/>
              </w:trPr>
              <w:tc>
                <w:tcPr>
                  <w:tcW w:w="440" w:type="pct"/>
                  <w:vMerge w:val="continue"/>
                  <w:vAlign w:val="center"/>
                </w:tcPr>
                <w:p w14:paraId="617256B1">
                  <w:pPr>
                    <w:spacing w:line="240" w:lineRule="auto"/>
                    <w:ind w:firstLine="0" w:firstLineChars="0"/>
                    <w:jc w:val="center"/>
                    <w:rPr>
                      <w:rFonts w:cs="Times New Roman"/>
                      <w:kern w:val="0"/>
                      <w:sz w:val="18"/>
                    </w:rPr>
                  </w:pPr>
                </w:p>
              </w:tc>
              <w:tc>
                <w:tcPr>
                  <w:tcW w:w="979" w:type="pct"/>
                  <w:vAlign w:val="center"/>
                </w:tcPr>
                <w:p w14:paraId="7A749F7C">
                  <w:pPr>
                    <w:spacing w:line="240" w:lineRule="auto"/>
                    <w:ind w:firstLine="0" w:firstLineChars="0"/>
                    <w:jc w:val="center"/>
                    <w:rPr>
                      <w:rFonts w:cs="Times New Roman"/>
                      <w:kern w:val="0"/>
                      <w:sz w:val="18"/>
                    </w:rPr>
                  </w:pPr>
                  <w:r>
                    <w:rPr>
                      <w:rFonts w:hint="eastAsia" w:cs="Times New Roman"/>
                      <w:kern w:val="0"/>
                      <w:sz w:val="18"/>
                    </w:rPr>
                    <w:t>东厂界外1m</w:t>
                  </w:r>
                </w:p>
              </w:tc>
              <w:tc>
                <w:tcPr>
                  <w:tcW w:w="680" w:type="pct"/>
                  <w:vMerge w:val="continue"/>
                  <w:vAlign w:val="center"/>
                </w:tcPr>
                <w:p w14:paraId="67175A6C">
                  <w:pPr>
                    <w:spacing w:line="240" w:lineRule="auto"/>
                    <w:ind w:firstLine="0" w:firstLineChars="0"/>
                    <w:jc w:val="center"/>
                    <w:rPr>
                      <w:rFonts w:cs="Times New Roman"/>
                      <w:kern w:val="0"/>
                      <w:sz w:val="18"/>
                    </w:rPr>
                  </w:pPr>
                </w:p>
              </w:tc>
              <w:tc>
                <w:tcPr>
                  <w:tcW w:w="658" w:type="pct"/>
                  <w:vMerge w:val="continue"/>
                  <w:vAlign w:val="center"/>
                </w:tcPr>
                <w:p w14:paraId="05F4BD2D">
                  <w:pPr>
                    <w:spacing w:line="240" w:lineRule="auto"/>
                    <w:ind w:firstLine="0" w:firstLineChars="0"/>
                    <w:jc w:val="center"/>
                    <w:rPr>
                      <w:rFonts w:cs="Times New Roman"/>
                      <w:kern w:val="0"/>
                      <w:sz w:val="18"/>
                    </w:rPr>
                  </w:pPr>
                </w:p>
              </w:tc>
              <w:tc>
                <w:tcPr>
                  <w:tcW w:w="644" w:type="pct"/>
                  <w:vMerge w:val="continue"/>
                  <w:vAlign w:val="center"/>
                </w:tcPr>
                <w:p w14:paraId="190A15F5">
                  <w:pPr>
                    <w:spacing w:line="240" w:lineRule="auto"/>
                    <w:ind w:firstLine="0" w:firstLineChars="0"/>
                    <w:jc w:val="center"/>
                    <w:rPr>
                      <w:rFonts w:cs="Times New Roman"/>
                      <w:kern w:val="0"/>
                      <w:sz w:val="18"/>
                    </w:rPr>
                  </w:pPr>
                </w:p>
              </w:tc>
              <w:tc>
                <w:tcPr>
                  <w:tcW w:w="1597" w:type="pct"/>
                  <w:vAlign w:val="center"/>
                </w:tcPr>
                <w:p w14:paraId="32F90ABB">
                  <w:pPr>
                    <w:spacing w:line="240" w:lineRule="auto"/>
                    <w:ind w:firstLine="0" w:firstLineChars="0"/>
                    <w:jc w:val="center"/>
                    <w:rPr>
                      <w:rFonts w:cs="Times New Roman"/>
                      <w:kern w:val="0"/>
                      <w:sz w:val="18"/>
                    </w:rPr>
                  </w:pPr>
                  <w:r>
                    <w:rPr>
                      <w:rFonts w:cs="Times New Roman"/>
                      <w:kern w:val="0"/>
                      <w:sz w:val="18"/>
                    </w:rPr>
                    <w:t>《工业企业厂界环境噪声排放标准》(GB12348-2008)</w:t>
                  </w:r>
                  <w:r>
                    <w:rPr>
                      <w:rFonts w:hint="eastAsia" w:cs="Times New Roman"/>
                      <w:kern w:val="0"/>
                      <w:sz w:val="18"/>
                    </w:rPr>
                    <w:t>4</w:t>
                  </w:r>
                  <w:r>
                    <w:rPr>
                      <w:rFonts w:cs="Times New Roman"/>
                      <w:kern w:val="0"/>
                      <w:sz w:val="18"/>
                    </w:rPr>
                    <w:t>类标准</w:t>
                  </w:r>
                </w:p>
              </w:tc>
            </w:tr>
          </w:tbl>
          <w:p w14:paraId="61DD3C8A">
            <w:pPr>
              <w:spacing w:before="156" w:beforeLines="50"/>
              <w:ind w:firstLine="480"/>
              <w:jc w:val="both"/>
              <w:rPr>
                <w:rFonts w:cs="Times New Roman"/>
                <w:szCs w:val="24"/>
              </w:rPr>
            </w:pPr>
            <w:r>
              <w:rPr>
                <w:rFonts w:hint="eastAsia" w:cs="Times New Roman"/>
                <w:szCs w:val="24"/>
              </w:rPr>
              <w:t>四</w:t>
            </w:r>
            <w:r>
              <w:rPr>
                <w:rFonts w:cs="Times New Roman"/>
                <w:szCs w:val="24"/>
              </w:rPr>
              <w:t>、固体废物</w:t>
            </w:r>
          </w:p>
          <w:p w14:paraId="7F686AF9">
            <w:pPr>
              <w:ind w:firstLine="480"/>
              <w:jc w:val="both"/>
              <w:rPr>
                <w:rFonts w:cs="Times New Roman"/>
                <w:szCs w:val="24"/>
              </w:rPr>
            </w:pPr>
            <w:r>
              <w:rPr>
                <w:rFonts w:hint="eastAsia" w:cs="Times New Roman"/>
                <w:szCs w:val="24"/>
              </w:rPr>
              <w:t>1、</w:t>
            </w:r>
            <w:r>
              <w:rPr>
                <w:rFonts w:cs="Times New Roman"/>
                <w:szCs w:val="24"/>
              </w:rPr>
              <w:t>固废产生情况</w:t>
            </w:r>
          </w:p>
          <w:p w14:paraId="63DCC16D">
            <w:pPr>
              <w:ind w:firstLine="480"/>
              <w:jc w:val="both"/>
              <w:rPr>
                <w:rFonts w:hint="eastAsia" w:ascii="宋体" w:hAnsi="宋体" w:cs="宋体"/>
                <w:szCs w:val="24"/>
              </w:rPr>
            </w:pPr>
            <w:r>
              <w:rPr>
                <w:rFonts w:hint="eastAsia" w:ascii="宋体" w:hAnsi="宋体" w:cs="宋体"/>
                <w:szCs w:val="24"/>
              </w:rPr>
              <w:t>①废边角料</w:t>
            </w:r>
          </w:p>
          <w:p w14:paraId="26F54CE3">
            <w:pPr>
              <w:ind w:firstLine="480"/>
              <w:jc w:val="both"/>
            </w:pPr>
            <w:r>
              <w:rPr>
                <w:rFonts w:cs="Times New Roman"/>
                <w:szCs w:val="24"/>
              </w:rPr>
              <w:t>项目</w:t>
            </w:r>
            <w:r>
              <w:rPr>
                <w:rFonts w:hint="eastAsia" w:cs="Times New Roman"/>
                <w:szCs w:val="24"/>
              </w:rPr>
              <w:t>生产</w:t>
            </w:r>
            <w:r>
              <w:rPr>
                <w:rFonts w:cs="Times New Roman"/>
                <w:szCs w:val="24"/>
              </w:rPr>
              <w:t>工序会产生废边角料，根据建设单位提供资料，项目废边角料产生量</w:t>
            </w:r>
            <w:r>
              <w:rPr>
                <w:rFonts w:hint="eastAsia" w:cs="Times New Roman"/>
                <w:szCs w:val="24"/>
              </w:rPr>
              <w:t>约为0.1%，则</w:t>
            </w:r>
            <w:r>
              <w:rPr>
                <w:rFonts w:cs="Times New Roman"/>
                <w:szCs w:val="24"/>
              </w:rPr>
              <w:t>本项目废边角料产生</w:t>
            </w:r>
            <w:r>
              <w:rPr>
                <w:rFonts w:hint="eastAsia" w:cs="Times New Roman"/>
                <w:szCs w:val="24"/>
              </w:rPr>
              <w:t>量为8t/a，</w:t>
            </w:r>
            <w:r>
              <w:rPr>
                <w:rFonts w:cs="Times New Roman"/>
                <w:szCs w:val="24"/>
              </w:rPr>
              <w:t>经</w:t>
            </w:r>
            <w:r>
              <w:rPr>
                <w:rFonts w:hint="eastAsia" w:cs="Times New Roman"/>
                <w:szCs w:val="24"/>
              </w:rPr>
              <w:t>收集后进入粉碎工序，全部回用于挤出工序</w:t>
            </w:r>
            <w:r>
              <w:rPr>
                <w:rFonts w:cs="Times New Roman"/>
                <w:szCs w:val="24"/>
              </w:rPr>
              <w:t>。</w:t>
            </w:r>
          </w:p>
          <w:p w14:paraId="2B937596">
            <w:pPr>
              <w:ind w:firstLine="480"/>
              <w:jc w:val="both"/>
              <w:rPr>
                <w:rFonts w:hint="eastAsia" w:ascii="宋体" w:hAnsi="宋体" w:cs="宋体"/>
                <w:szCs w:val="24"/>
              </w:rPr>
            </w:pPr>
            <w:r>
              <w:rPr>
                <w:rFonts w:hint="eastAsia" w:ascii="宋体" w:hAnsi="宋体" w:cs="宋体"/>
                <w:szCs w:val="24"/>
              </w:rPr>
              <w:t>②废活性炭</w:t>
            </w:r>
          </w:p>
          <w:p w14:paraId="5312BC28">
            <w:pPr>
              <w:ind w:firstLine="480"/>
              <w:jc w:val="both"/>
              <w:rPr>
                <w:rFonts w:hint="eastAsia" w:ascii="宋体" w:hAnsi="宋体" w:cs="宋体"/>
                <w:szCs w:val="24"/>
              </w:rPr>
            </w:pPr>
            <w:r>
              <w:rPr>
                <w:rFonts w:hint="eastAsia" w:ascii="宋体" w:hAnsi="宋体" w:cs="宋体"/>
                <w:szCs w:val="24"/>
              </w:rPr>
              <w:t>本项目注塑工序产生的注塑废气采用初过滤+两级活性炭吸附装置处理，根据《杭州市生态环境局关</w:t>
            </w:r>
            <w:r>
              <w:rPr>
                <w:rFonts w:cs="Times New Roman"/>
                <w:szCs w:val="24"/>
              </w:rPr>
              <w:t>于加快VOCs治</w:t>
            </w:r>
            <w:r>
              <w:rPr>
                <w:rFonts w:hint="eastAsia" w:ascii="宋体" w:hAnsi="宋体" w:cs="宋体"/>
                <w:szCs w:val="24"/>
              </w:rPr>
              <w:t>理活性炭</w:t>
            </w:r>
            <w:r>
              <w:rPr>
                <w:rFonts w:cs="Times New Roman"/>
                <w:szCs w:val="24"/>
              </w:rPr>
              <w:t>吸附设施升级改造工作的通知》中废气收集参数和最少活性炭装填量参考表，本项目VOCs废气初始浓度</w:t>
            </w:r>
            <w:r>
              <w:rPr>
                <w:rFonts w:hint="eastAsia" w:cs="Times New Roman"/>
                <w:szCs w:val="24"/>
              </w:rPr>
              <w:t>(按照非甲烷总烃浓度换算为VOCs浓度)</w:t>
            </w:r>
            <w:r>
              <w:rPr>
                <w:rFonts w:cs="Times New Roman"/>
                <w:szCs w:val="24"/>
              </w:rPr>
              <w:t>小于200mg/Nm</w:t>
            </w:r>
            <w:r>
              <w:rPr>
                <w:rFonts w:cs="Times New Roman"/>
                <w:szCs w:val="24"/>
                <w:vertAlign w:val="superscript"/>
              </w:rPr>
              <w:t>3</w:t>
            </w:r>
            <w:r>
              <w:rPr>
                <w:rFonts w:cs="Times New Roman"/>
                <w:szCs w:val="24"/>
              </w:rPr>
              <w:t>，且风量设置≥20000m</w:t>
            </w:r>
            <w:r>
              <w:rPr>
                <w:rFonts w:cs="Times New Roman"/>
                <w:szCs w:val="24"/>
                <w:vertAlign w:val="superscript"/>
              </w:rPr>
              <w:t>3</w:t>
            </w:r>
            <w:r>
              <w:rPr>
                <w:rFonts w:cs="Times New Roman"/>
                <w:szCs w:val="24"/>
              </w:rPr>
              <w:t>/h，本次活性炭最少装填量按照</w:t>
            </w:r>
            <w:r>
              <w:rPr>
                <w:rFonts w:hint="eastAsia" w:cs="Times New Roman"/>
                <w:szCs w:val="24"/>
              </w:rPr>
              <w:t>3</w:t>
            </w:r>
            <w:r>
              <w:rPr>
                <w:rFonts w:cs="Times New Roman"/>
                <w:szCs w:val="24"/>
              </w:rPr>
              <w:t>t计算，年工作</w:t>
            </w:r>
            <w:r>
              <w:rPr>
                <w:rFonts w:hint="eastAsia" w:cs="Times New Roman"/>
                <w:szCs w:val="24"/>
              </w:rPr>
              <w:t>72</w:t>
            </w:r>
            <w:r>
              <w:rPr>
                <w:rFonts w:cs="Times New Roman"/>
                <w:szCs w:val="24"/>
              </w:rPr>
              <w:t>00h，更换频次为</w:t>
            </w:r>
            <w:r>
              <w:rPr>
                <w:rFonts w:hint="eastAsia" w:cs="Times New Roman"/>
                <w:szCs w:val="24"/>
              </w:rPr>
              <w:t>4</w:t>
            </w:r>
            <w:r>
              <w:rPr>
                <w:rFonts w:cs="Times New Roman"/>
                <w:szCs w:val="24"/>
              </w:rPr>
              <w:t>次/年</w:t>
            </w:r>
            <w:r>
              <w:rPr>
                <w:rFonts w:hint="eastAsia" w:cs="Times New Roman"/>
                <w:szCs w:val="24"/>
              </w:rPr>
              <w:t>(3个月更换一次)</w:t>
            </w:r>
            <w:r>
              <w:rPr>
                <w:rFonts w:cs="Times New Roman"/>
                <w:szCs w:val="24"/>
              </w:rPr>
              <w:t>，VOCs削减量为</w:t>
            </w:r>
            <w:r>
              <w:rPr>
                <w:rFonts w:hint="eastAsia" w:cs="Times New Roman"/>
                <w:szCs w:val="24"/>
              </w:rPr>
              <w:t>3.23</w:t>
            </w:r>
            <w:r>
              <w:rPr>
                <w:rFonts w:cs="Times New Roman"/>
                <w:szCs w:val="24"/>
              </w:rPr>
              <w:t>t/a，故本项目废活性炭年产生量约为</w:t>
            </w:r>
            <w:r>
              <w:rPr>
                <w:rFonts w:hint="eastAsia" w:cs="Times New Roman"/>
                <w:szCs w:val="24"/>
              </w:rPr>
              <w:t>15.23</w:t>
            </w:r>
            <w:r>
              <w:rPr>
                <w:rFonts w:cs="Times New Roman"/>
                <w:szCs w:val="24"/>
              </w:rPr>
              <w:t>t/a</w:t>
            </w:r>
            <w:r>
              <w:rPr>
                <w:rFonts w:hint="eastAsia" w:cs="Times New Roman"/>
                <w:szCs w:val="24"/>
              </w:rPr>
              <w:t>，经收集后暂存于厂区危废间，委托有资质单位进行处置。</w:t>
            </w:r>
          </w:p>
          <w:p w14:paraId="10C91B02">
            <w:pPr>
              <w:ind w:firstLine="480"/>
              <w:jc w:val="both"/>
              <w:rPr>
                <w:rFonts w:cs="Times New Roman"/>
                <w:szCs w:val="24"/>
              </w:rPr>
            </w:pPr>
            <w:r>
              <w:rPr>
                <w:rFonts w:hint="eastAsia" w:ascii="宋体" w:hAnsi="宋体" w:cs="Times New Roman"/>
                <w:szCs w:val="24"/>
              </w:rPr>
              <w:t>③</w:t>
            </w:r>
            <w:r>
              <w:rPr>
                <w:rFonts w:cs="Times New Roman"/>
                <w:szCs w:val="24"/>
              </w:rPr>
              <w:t>废</w:t>
            </w:r>
            <w:r>
              <w:rPr>
                <w:rFonts w:hint="eastAsia" w:cs="Times New Roman"/>
                <w:szCs w:val="24"/>
              </w:rPr>
              <w:t>过滤网</w:t>
            </w:r>
          </w:p>
          <w:p w14:paraId="0E1DD25A">
            <w:pPr>
              <w:ind w:firstLine="480"/>
              <w:jc w:val="both"/>
              <w:rPr>
                <w:rFonts w:cs="Times New Roman"/>
                <w:szCs w:val="24"/>
              </w:rPr>
            </w:pPr>
            <w:r>
              <w:rPr>
                <w:rFonts w:hint="eastAsia" w:ascii="宋体" w:hAnsi="宋体" w:cs="宋体"/>
                <w:szCs w:val="24"/>
              </w:rPr>
              <w:t>本项目注塑工序产生的注塑废气采用水喷淋+水雾过滤器+活性炭吸附装置处理</w:t>
            </w:r>
            <w:r>
              <w:rPr>
                <w:rFonts w:cs="Times New Roman"/>
                <w:szCs w:val="24"/>
              </w:rPr>
              <w:t>，</w:t>
            </w:r>
            <w:r>
              <w:rPr>
                <w:rFonts w:hint="eastAsia" w:cs="Times New Roman"/>
                <w:szCs w:val="24"/>
              </w:rPr>
              <w:t>会定期产生废滤网；本项目挤出工序产品切换及日常维护过程中，挤出口处会产生废滤网。</w:t>
            </w:r>
            <w:r>
              <w:rPr>
                <w:rFonts w:hint="eastAsia"/>
              </w:rPr>
              <w:t>根据建设单位提供实际运行数据</w:t>
            </w:r>
            <w:r>
              <w:t>，本项目</w:t>
            </w:r>
            <w:r>
              <w:rPr>
                <w:rFonts w:hint="eastAsia"/>
              </w:rPr>
              <w:t>废过滤</w:t>
            </w:r>
            <w:r>
              <w:rPr>
                <w:rFonts w:hint="eastAsia" w:cs="Times New Roman"/>
                <w:szCs w:val="24"/>
              </w:rPr>
              <w:t>网</w:t>
            </w:r>
            <w:r>
              <w:rPr>
                <w:rFonts w:cs="Times New Roman"/>
              </w:rPr>
              <w:t>产生量约为0.</w:t>
            </w:r>
            <w:r>
              <w:rPr>
                <w:rFonts w:hint="eastAsia" w:cs="Times New Roman"/>
              </w:rPr>
              <w:t>5</w:t>
            </w:r>
            <w:r>
              <w:rPr>
                <w:rFonts w:cs="Times New Roman"/>
              </w:rPr>
              <w:t>t/a，</w:t>
            </w:r>
            <w:r>
              <w:rPr>
                <w:rFonts w:cs="Times New Roman"/>
                <w:szCs w:val="24"/>
              </w:rPr>
              <w:t>经收集后暂存于厂区危废间，委托有资质单位进行处置。</w:t>
            </w:r>
          </w:p>
          <w:p w14:paraId="291B8A22">
            <w:pPr>
              <w:ind w:firstLine="480"/>
              <w:jc w:val="both"/>
              <w:rPr>
                <w:rFonts w:hint="eastAsia" w:ascii="宋体" w:hAnsi="宋体" w:cs="Cambria Math"/>
              </w:rPr>
            </w:pPr>
            <w:r>
              <w:rPr>
                <w:rFonts w:hint="eastAsia" w:ascii="宋体" w:hAnsi="宋体"/>
              </w:rPr>
              <w:t>④</w:t>
            </w:r>
            <w:r>
              <w:rPr>
                <w:rFonts w:hint="eastAsia" w:ascii="宋体" w:hAnsi="宋体" w:cs="Cambria Math"/>
              </w:rPr>
              <w:t>废包装袋</w:t>
            </w:r>
          </w:p>
          <w:p w14:paraId="208F001D">
            <w:pPr>
              <w:ind w:firstLine="480"/>
              <w:jc w:val="both"/>
            </w:pPr>
            <w:r>
              <w:t>项目</w:t>
            </w:r>
            <w:r>
              <w:rPr>
                <w:rFonts w:hint="eastAsia"/>
              </w:rPr>
              <w:t>主要原料</w:t>
            </w:r>
            <w:r>
              <w:t>采用</w:t>
            </w:r>
            <w:r>
              <w:rPr>
                <w:rFonts w:hint="eastAsia"/>
              </w:rPr>
              <w:t>袋</w:t>
            </w:r>
            <w:r>
              <w:t>装方式，</w:t>
            </w:r>
            <w:r>
              <w:rPr>
                <w:rFonts w:hint="eastAsia"/>
              </w:rPr>
              <w:t>根据建设单位实际运行经验</w:t>
            </w:r>
            <w:r>
              <w:t>，</w:t>
            </w:r>
            <w:r>
              <w:rPr>
                <w:rFonts w:hint="eastAsia"/>
              </w:rPr>
              <w:t>本项目</w:t>
            </w:r>
            <w:r>
              <w:rPr>
                <w:rFonts w:hint="eastAsia" w:ascii="宋体" w:hAnsi="宋体" w:cs="Cambria Math"/>
              </w:rPr>
              <w:t>废包装袋</w:t>
            </w:r>
            <w:r>
              <w:rPr>
                <w:rFonts w:hint="eastAsia"/>
              </w:rPr>
              <w:t>产生量约为0.1t/a，经收集后暂存于一般固废库，外售综合利用。</w:t>
            </w:r>
          </w:p>
          <w:p w14:paraId="29041022">
            <w:pPr>
              <w:ind w:firstLine="480"/>
              <w:jc w:val="both"/>
            </w:pPr>
            <w:r>
              <w:rPr>
                <w:rFonts w:hint="eastAsia" w:ascii="宋体" w:hAnsi="宋体" w:cs="Cambria Math"/>
              </w:rPr>
              <w:t>⑤</w:t>
            </w:r>
            <w:r>
              <w:rPr>
                <w:rFonts w:hint="eastAsia"/>
              </w:rPr>
              <w:t>废油桶及废润滑油</w:t>
            </w:r>
          </w:p>
          <w:p w14:paraId="1BEBB9A7">
            <w:pPr>
              <w:ind w:firstLine="480"/>
              <w:jc w:val="both"/>
            </w:pPr>
            <w:r>
              <w:rPr>
                <w:rFonts w:hint="eastAsia"/>
              </w:rPr>
              <w:t>本项目生产运行过程中，设备维护保养使用机油会产生废润滑油桶，年产生量2个，折合质量约为2kg/a，废润滑油产生量约为0.1t/a。</w:t>
            </w:r>
          </w:p>
          <w:p w14:paraId="3D3DF237">
            <w:pPr>
              <w:ind w:firstLine="480"/>
              <w:jc w:val="both"/>
            </w:pPr>
            <w:r>
              <w:rPr>
                <w:rFonts w:hint="eastAsia" w:ascii="宋体" w:hAnsi="宋体" w:cs="Cambria Math"/>
              </w:rPr>
              <w:t>⑥</w:t>
            </w:r>
            <w:r>
              <w:rPr>
                <w:rFonts w:hint="eastAsia"/>
              </w:rPr>
              <w:t>除尘器收集的粉尘</w:t>
            </w:r>
          </w:p>
          <w:p w14:paraId="0C820AD0">
            <w:pPr>
              <w:ind w:firstLine="480"/>
              <w:jc w:val="both"/>
            </w:pPr>
            <w:r>
              <w:rPr>
                <w:rFonts w:hint="eastAsia"/>
              </w:rPr>
              <w:t>本项目投配料过程产生的粉尘经脉冲滤筒除尘器收集后排放，脉冲滤筒除尘装置收集的粉尘约为0.5t/a，经收集后全部回用。</w:t>
            </w:r>
          </w:p>
          <w:p w14:paraId="73E59770">
            <w:pPr>
              <w:ind w:firstLine="480"/>
              <w:jc w:val="both"/>
            </w:pPr>
            <w:r>
              <w:rPr>
                <w:rFonts w:hint="eastAsia"/>
              </w:rPr>
              <w:t>⑦劳保用品</w:t>
            </w:r>
          </w:p>
          <w:p w14:paraId="49EFA7A3">
            <w:pPr>
              <w:ind w:firstLine="480"/>
              <w:jc w:val="both"/>
            </w:pPr>
            <w:r>
              <w:rPr>
                <w:rFonts w:hint="eastAsia"/>
              </w:rPr>
              <w:t>本项目日常生产、设备维护等过程中会产生废劳保用品，根据类别同类型企业，本项目废劳保用品产生量约为0.5t/a，集中收集后委托有资质单位进行处置。</w:t>
            </w:r>
          </w:p>
          <w:p w14:paraId="09FEED1D">
            <w:pPr>
              <w:ind w:firstLine="480"/>
              <w:jc w:val="both"/>
            </w:pPr>
            <w:r>
              <w:rPr>
                <w:rFonts w:hint="eastAsia"/>
              </w:rPr>
              <w:t>⑧沉渣</w:t>
            </w:r>
          </w:p>
          <w:p w14:paraId="13DB1D4C">
            <w:pPr>
              <w:ind w:firstLine="480"/>
              <w:jc w:val="both"/>
            </w:pPr>
            <w:r>
              <w:rPr>
                <w:rFonts w:hint="eastAsia"/>
              </w:rPr>
              <w:t>本项目循环冷却定期补充不外排，根据现有项目实际运行经验，循环冷却水池直接冷却产品后会产生沉淀物，产生量约为0.5t/a。由建设单位定期清理，外售综合利用。</w:t>
            </w:r>
          </w:p>
          <w:p w14:paraId="57FFA315">
            <w:pPr>
              <w:ind w:firstLine="480"/>
              <w:jc w:val="both"/>
            </w:pPr>
            <w:r>
              <w:rPr>
                <w:rFonts w:hint="eastAsia" w:ascii="宋体" w:hAnsi="宋体" w:cs="宋体"/>
              </w:rPr>
              <w:t>⑨</w:t>
            </w:r>
            <w:r>
              <w:rPr>
                <w:rFonts w:hint="eastAsia"/>
              </w:rPr>
              <w:t>生活垃圾</w:t>
            </w:r>
          </w:p>
          <w:p w14:paraId="0520387F">
            <w:pPr>
              <w:ind w:firstLine="480"/>
              <w:jc w:val="both"/>
            </w:pPr>
            <w:r>
              <w:t>本项目</w:t>
            </w:r>
            <w:r>
              <w:rPr>
                <w:rFonts w:hint="eastAsia"/>
              </w:rPr>
              <w:t>全厂</w:t>
            </w:r>
            <w:r>
              <w:t>劳动定员</w:t>
            </w:r>
            <w:r>
              <w:rPr>
                <w:rFonts w:hint="eastAsia"/>
              </w:rPr>
              <w:t>70</w:t>
            </w:r>
            <w:r>
              <w:t>人，生活垃圾按0.5kg/人/d计算，则</w:t>
            </w:r>
            <w:r>
              <w:rPr>
                <w:rFonts w:hint="eastAsia"/>
              </w:rPr>
              <w:t>项目</w:t>
            </w:r>
            <w:r>
              <w:t>生活垃圾</w:t>
            </w:r>
            <w:r>
              <w:rPr>
                <w:rFonts w:hint="eastAsia"/>
              </w:rPr>
              <w:t>年产量为10.5</w:t>
            </w:r>
            <w:r>
              <w:t>t/a。</w:t>
            </w:r>
          </w:p>
          <w:p w14:paraId="402407C6">
            <w:pPr>
              <w:ind w:firstLine="480"/>
              <w:jc w:val="both"/>
            </w:pPr>
            <w:r>
              <w:t>根据《固体废物分类与代码目录》以及《国家危险废物名录(202</w:t>
            </w:r>
            <w:r>
              <w:rPr>
                <w:rFonts w:hint="eastAsia"/>
              </w:rPr>
              <w:t>5</w:t>
            </w:r>
            <w:r>
              <w:t>)》的规定，判断每种废物类别，判定结果见下：</w:t>
            </w:r>
          </w:p>
          <w:p w14:paraId="414B1424">
            <w:pPr>
              <w:pStyle w:val="14"/>
              <w:numPr>
                <w:ilvl w:val="0"/>
                <w:numId w:val="9"/>
              </w:numPr>
              <w:tabs>
                <w:tab w:val="clear" w:pos="0"/>
              </w:tabs>
              <w:spacing w:before="156"/>
            </w:pPr>
            <w:r>
              <w:rPr>
                <w:rFonts w:hint="eastAsia"/>
              </w:rPr>
              <w:t xml:space="preserve">  本项目全厂产生的固体废弃物统计表</w:t>
            </w:r>
          </w:p>
          <w:tbl>
            <w:tblPr>
              <w:tblStyle w:val="1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1181"/>
              <w:gridCol w:w="1137"/>
              <w:gridCol w:w="611"/>
              <w:gridCol w:w="790"/>
              <w:gridCol w:w="779"/>
              <w:gridCol w:w="1009"/>
              <w:gridCol w:w="1735"/>
            </w:tblGrid>
            <w:tr w14:paraId="0DC86CD9">
              <w:trPr>
                <w:trHeight w:val="340" w:hRule="atLeast"/>
              </w:trPr>
              <w:tc>
                <w:tcPr>
                  <w:tcW w:w="348" w:type="pct"/>
                  <w:vMerge w:val="restart"/>
                  <w:vAlign w:val="center"/>
                </w:tcPr>
                <w:p w14:paraId="7850816A">
                  <w:pPr>
                    <w:spacing w:line="240" w:lineRule="auto"/>
                    <w:ind w:firstLine="0" w:firstLineChars="0"/>
                    <w:jc w:val="center"/>
                    <w:rPr>
                      <w:rFonts w:cs="Times New Roman"/>
                      <w:sz w:val="18"/>
                    </w:rPr>
                  </w:pPr>
                  <w:r>
                    <w:rPr>
                      <w:rFonts w:cs="Times New Roman"/>
                      <w:sz w:val="18"/>
                    </w:rPr>
                    <w:t>序号</w:t>
                  </w:r>
                </w:p>
              </w:tc>
              <w:tc>
                <w:tcPr>
                  <w:tcW w:w="758" w:type="pct"/>
                  <w:vMerge w:val="restart"/>
                  <w:vAlign w:val="center"/>
                </w:tcPr>
                <w:p w14:paraId="4381C5A1">
                  <w:pPr>
                    <w:spacing w:line="240" w:lineRule="auto"/>
                    <w:ind w:firstLine="0" w:firstLineChars="0"/>
                    <w:jc w:val="center"/>
                    <w:rPr>
                      <w:rFonts w:cs="Times New Roman"/>
                      <w:sz w:val="18"/>
                    </w:rPr>
                  </w:pPr>
                  <w:r>
                    <w:rPr>
                      <w:rFonts w:cs="Times New Roman"/>
                      <w:sz w:val="18"/>
                    </w:rPr>
                    <w:t>固废名称</w:t>
                  </w:r>
                </w:p>
              </w:tc>
              <w:tc>
                <w:tcPr>
                  <w:tcW w:w="730" w:type="pct"/>
                  <w:vMerge w:val="restart"/>
                  <w:vAlign w:val="center"/>
                </w:tcPr>
                <w:p w14:paraId="648790B8">
                  <w:pPr>
                    <w:spacing w:line="240" w:lineRule="auto"/>
                    <w:ind w:firstLine="0" w:firstLineChars="0"/>
                    <w:jc w:val="center"/>
                    <w:rPr>
                      <w:rFonts w:cs="Times New Roman"/>
                      <w:sz w:val="18"/>
                    </w:rPr>
                  </w:pPr>
                  <w:r>
                    <w:rPr>
                      <w:rFonts w:cs="Times New Roman"/>
                      <w:sz w:val="18"/>
                    </w:rPr>
                    <w:t>产生环节</w:t>
                  </w:r>
                </w:p>
              </w:tc>
              <w:tc>
                <w:tcPr>
                  <w:tcW w:w="392" w:type="pct"/>
                  <w:vMerge w:val="restart"/>
                  <w:vAlign w:val="center"/>
                </w:tcPr>
                <w:p w14:paraId="3FC7DDE0">
                  <w:pPr>
                    <w:spacing w:line="240" w:lineRule="auto"/>
                    <w:ind w:firstLine="0" w:firstLineChars="0"/>
                    <w:jc w:val="center"/>
                    <w:rPr>
                      <w:rFonts w:cs="Times New Roman"/>
                      <w:sz w:val="18"/>
                    </w:rPr>
                  </w:pPr>
                  <w:r>
                    <w:rPr>
                      <w:rFonts w:cs="Times New Roman"/>
                      <w:sz w:val="18"/>
                    </w:rPr>
                    <w:t>形态</w:t>
                  </w:r>
                </w:p>
              </w:tc>
              <w:tc>
                <w:tcPr>
                  <w:tcW w:w="507" w:type="pct"/>
                  <w:vMerge w:val="restart"/>
                  <w:vAlign w:val="center"/>
                </w:tcPr>
                <w:p w14:paraId="7197BDF4">
                  <w:pPr>
                    <w:spacing w:line="240" w:lineRule="auto"/>
                    <w:ind w:firstLine="0" w:firstLineChars="0"/>
                    <w:jc w:val="center"/>
                    <w:rPr>
                      <w:rFonts w:cs="Times New Roman"/>
                      <w:sz w:val="18"/>
                    </w:rPr>
                  </w:pPr>
                  <w:r>
                    <w:rPr>
                      <w:rFonts w:cs="Times New Roman"/>
                      <w:sz w:val="18"/>
                    </w:rPr>
                    <w:t>产生量t/a</w:t>
                  </w:r>
                </w:p>
              </w:tc>
              <w:tc>
                <w:tcPr>
                  <w:tcW w:w="2262" w:type="pct"/>
                  <w:gridSpan w:val="3"/>
                  <w:vAlign w:val="center"/>
                </w:tcPr>
                <w:p w14:paraId="655F22D7">
                  <w:pPr>
                    <w:spacing w:line="240" w:lineRule="auto"/>
                    <w:ind w:firstLine="0" w:firstLineChars="0"/>
                    <w:jc w:val="center"/>
                    <w:rPr>
                      <w:rFonts w:cs="Times New Roman"/>
                      <w:sz w:val="18"/>
                    </w:rPr>
                  </w:pPr>
                  <w:r>
                    <w:rPr>
                      <w:rFonts w:cs="Times New Roman"/>
                      <w:sz w:val="18"/>
                    </w:rPr>
                    <w:t>种类判定</w:t>
                  </w:r>
                </w:p>
              </w:tc>
            </w:tr>
            <w:tr w14:paraId="18DEEFF4">
              <w:trPr>
                <w:trHeight w:val="340" w:hRule="atLeast"/>
              </w:trPr>
              <w:tc>
                <w:tcPr>
                  <w:tcW w:w="348" w:type="pct"/>
                  <w:vMerge w:val="continue"/>
                  <w:vAlign w:val="center"/>
                </w:tcPr>
                <w:p w14:paraId="5D047308">
                  <w:pPr>
                    <w:spacing w:line="240" w:lineRule="auto"/>
                    <w:ind w:firstLine="0" w:firstLineChars="0"/>
                    <w:jc w:val="center"/>
                    <w:rPr>
                      <w:rFonts w:cs="Times New Roman"/>
                      <w:sz w:val="18"/>
                    </w:rPr>
                  </w:pPr>
                </w:p>
              </w:tc>
              <w:tc>
                <w:tcPr>
                  <w:tcW w:w="758" w:type="pct"/>
                  <w:vMerge w:val="continue"/>
                  <w:vAlign w:val="center"/>
                </w:tcPr>
                <w:p w14:paraId="0EBDEE93">
                  <w:pPr>
                    <w:spacing w:line="240" w:lineRule="auto"/>
                    <w:ind w:firstLine="0" w:firstLineChars="0"/>
                    <w:jc w:val="center"/>
                    <w:rPr>
                      <w:rFonts w:cs="Times New Roman"/>
                      <w:sz w:val="18"/>
                    </w:rPr>
                  </w:pPr>
                </w:p>
              </w:tc>
              <w:tc>
                <w:tcPr>
                  <w:tcW w:w="730" w:type="pct"/>
                  <w:vMerge w:val="continue"/>
                  <w:vAlign w:val="center"/>
                </w:tcPr>
                <w:p w14:paraId="277629C3">
                  <w:pPr>
                    <w:spacing w:line="240" w:lineRule="auto"/>
                    <w:ind w:firstLine="0" w:firstLineChars="0"/>
                    <w:jc w:val="center"/>
                    <w:rPr>
                      <w:rFonts w:cs="Times New Roman"/>
                      <w:sz w:val="18"/>
                    </w:rPr>
                  </w:pPr>
                </w:p>
              </w:tc>
              <w:tc>
                <w:tcPr>
                  <w:tcW w:w="392" w:type="pct"/>
                  <w:vMerge w:val="continue"/>
                  <w:vAlign w:val="center"/>
                </w:tcPr>
                <w:p w14:paraId="7B2CE5B1">
                  <w:pPr>
                    <w:spacing w:line="240" w:lineRule="auto"/>
                    <w:ind w:firstLine="0" w:firstLineChars="0"/>
                    <w:jc w:val="center"/>
                    <w:rPr>
                      <w:rFonts w:cs="Times New Roman"/>
                      <w:sz w:val="18"/>
                    </w:rPr>
                  </w:pPr>
                </w:p>
              </w:tc>
              <w:tc>
                <w:tcPr>
                  <w:tcW w:w="507" w:type="pct"/>
                  <w:vMerge w:val="continue"/>
                  <w:vAlign w:val="center"/>
                </w:tcPr>
                <w:p w14:paraId="0474BEED">
                  <w:pPr>
                    <w:spacing w:line="240" w:lineRule="auto"/>
                    <w:ind w:firstLine="0" w:firstLineChars="0"/>
                    <w:jc w:val="center"/>
                    <w:rPr>
                      <w:rFonts w:cs="Times New Roman"/>
                      <w:sz w:val="18"/>
                    </w:rPr>
                  </w:pPr>
                </w:p>
              </w:tc>
              <w:tc>
                <w:tcPr>
                  <w:tcW w:w="500" w:type="pct"/>
                  <w:vAlign w:val="center"/>
                </w:tcPr>
                <w:p w14:paraId="0DCD34E3">
                  <w:pPr>
                    <w:spacing w:line="240" w:lineRule="auto"/>
                    <w:ind w:firstLine="0" w:firstLineChars="0"/>
                    <w:jc w:val="center"/>
                    <w:rPr>
                      <w:rFonts w:cs="Times New Roman"/>
                      <w:sz w:val="18"/>
                    </w:rPr>
                  </w:pPr>
                  <w:r>
                    <w:rPr>
                      <w:rFonts w:cs="Times New Roman"/>
                      <w:sz w:val="18"/>
                    </w:rPr>
                    <w:t>类别</w:t>
                  </w:r>
                </w:p>
              </w:tc>
              <w:tc>
                <w:tcPr>
                  <w:tcW w:w="648" w:type="pct"/>
                  <w:vAlign w:val="center"/>
                </w:tcPr>
                <w:p w14:paraId="14729114">
                  <w:pPr>
                    <w:spacing w:line="240" w:lineRule="auto"/>
                    <w:ind w:firstLine="0" w:firstLineChars="0"/>
                    <w:jc w:val="center"/>
                    <w:rPr>
                      <w:rFonts w:cs="Times New Roman"/>
                      <w:sz w:val="18"/>
                    </w:rPr>
                  </w:pPr>
                  <w:r>
                    <w:rPr>
                      <w:rFonts w:cs="Times New Roman"/>
                      <w:sz w:val="18"/>
                    </w:rPr>
                    <w:t>类别代码</w:t>
                  </w:r>
                </w:p>
              </w:tc>
              <w:tc>
                <w:tcPr>
                  <w:tcW w:w="1114" w:type="pct"/>
                  <w:vAlign w:val="center"/>
                </w:tcPr>
                <w:p w14:paraId="0A3470FA">
                  <w:pPr>
                    <w:spacing w:line="240" w:lineRule="auto"/>
                    <w:ind w:firstLine="0" w:firstLineChars="0"/>
                    <w:jc w:val="center"/>
                    <w:rPr>
                      <w:rFonts w:cs="Times New Roman"/>
                      <w:sz w:val="18"/>
                    </w:rPr>
                  </w:pPr>
                  <w:r>
                    <w:rPr>
                      <w:rFonts w:cs="Times New Roman"/>
                      <w:sz w:val="18"/>
                    </w:rPr>
                    <w:t>判断依据</w:t>
                  </w:r>
                </w:p>
              </w:tc>
            </w:tr>
            <w:tr w14:paraId="027EB4F7">
              <w:trPr>
                <w:trHeight w:val="340" w:hRule="atLeast"/>
              </w:trPr>
              <w:tc>
                <w:tcPr>
                  <w:tcW w:w="348" w:type="pct"/>
                  <w:vAlign w:val="center"/>
                </w:tcPr>
                <w:p w14:paraId="3BA821E8">
                  <w:pPr>
                    <w:spacing w:line="240" w:lineRule="auto"/>
                    <w:ind w:firstLine="0" w:firstLineChars="0"/>
                    <w:jc w:val="center"/>
                    <w:rPr>
                      <w:rFonts w:cs="Times New Roman"/>
                      <w:sz w:val="18"/>
                    </w:rPr>
                  </w:pPr>
                  <w:r>
                    <w:rPr>
                      <w:rFonts w:cs="Times New Roman"/>
                      <w:sz w:val="18"/>
                    </w:rPr>
                    <w:t>1</w:t>
                  </w:r>
                </w:p>
              </w:tc>
              <w:tc>
                <w:tcPr>
                  <w:tcW w:w="758" w:type="pct"/>
                  <w:vAlign w:val="center"/>
                </w:tcPr>
                <w:p w14:paraId="3C2998F3">
                  <w:pPr>
                    <w:spacing w:line="240" w:lineRule="auto"/>
                    <w:ind w:firstLine="0" w:firstLineChars="0"/>
                    <w:jc w:val="center"/>
                    <w:rPr>
                      <w:rFonts w:cs="Times New Roman"/>
                      <w:sz w:val="18"/>
                    </w:rPr>
                  </w:pPr>
                  <w:r>
                    <w:rPr>
                      <w:rFonts w:hint="eastAsia" w:cs="Times New Roman"/>
                      <w:sz w:val="18"/>
                    </w:rPr>
                    <w:t>废边角料</w:t>
                  </w:r>
                </w:p>
              </w:tc>
              <w:tc>
                <w:tcPr>
                  <w:tcW w:w="730" w:type="pct"/>
                  <w:vAlign w:val="center"/>
                </w:tcPr>
                <w:p w14:paraId="22DD69B0">
                  <w:pPr>
                    <w:spacing w:line="240" w:lineRule="auto"/>
                    <w:ind w:firstLine="0" w:firstLineChars="0"/>
                    <w:jc w:val="center"/>
                    <w:rPr>
                      <w:rFonts w:cs="Times New Roman"/>
                      <w:sz w:val="18"/>
                    </w:rPr>
                  </w:pPr>
                  <w:r>
                    <w:rPr>
                      <w:rFonts w:hint="eastAsia" w:cs="Times New Roman"/>
                      <w:sz w:val="18"/>
                    </w:rPr>
                    <w:t>生产</w:t>
                  </w:r>
                </w:p>
              </w:tc>
              <w:tc>
                <w:tcPr>
                  <w:tcW w:w="392" w:type="pct"/>
                  <w:vAlign w:val="center"/>
                </w:tcPr>
                <w:p w14:paraId="232C3C63">
                  <w:pPr>
                    <w:spacing w:line="240" w:lineRule="auto"/>
                    <w:ind w:firstLine="0" w:firstLineChars="0"/>
                    <w:jc w:val="center"/>
                    <w:rPr>
                      <w:rFonts w:cs="Times New Roman"/>
                      <w:sz w:val="18"/>
                    </w:rPr>
                  </w:pPr>
                  <w:r>
                    <w:rPr>
                      <w:rFonts w:cs="Times New Roman"/>
                      <w:sz w:val="18"/>
                    </w:rPr>
                    <w:t>固体</w:t>
                  </w:r>
                </w:p>
              </w:tc>
              <w:tc>
                <w:tcPr>
                  <w:tcW w:w="507" w:type="pct"/>
                  <w:vAlign w:val="center"/>
                </w:tcPr>
                <w:p w14:paraId="73156553">
                  <w:pPr>
                    <w:spacing w:line="240" w:lineRule="auto"/>
                    <w:ind w:firstLine="0" w:firstLineChars="0"/>
                    <w:jc w:val="center"/>
                    <w:rPr>
                      <w:rFonts w:cs="Times New Roman"/>
                      <w:sz w:val="18"/>
                    </w:rPr>
                  </w:pPr>
                  <w:r>
                    <w:rPr>
                      <w:rFonts w:hint="eastAsia" w:cs="Times New Roman"/>
                      <w:sz w:val="18"/>
                    </w:rPr>
                    <w:t>8</w:t>
                  </w:r>
                </w:p>
              </w:tc>
              <w:tc>
                <w:tcPr>
                  <w:tcW w:w="500" w:type="pct"/>
                  <w:vAlign w:val="center"/>
                </w:tcPr>
                <w:p w14:paraId="16DD064F">
                  <w:pPr>
                    <w:spacing w:line="240" w:lineRule="auto"/>
                    <w:ind w:firstLine="0" w:firstLineChars="0"/>
                    <w:jc w:val="center"/>
                    <w:rPr>
                      <w:rFonts w:cs="Times New Roman"/>
                      <w:sz w:val="18"/>
                    </w:rPr>
                  </w:pPr>
                  <w:r>
                    <w:rPr>
                      <w:rFonts w:hint="eastAsia" w:cs="Times New Roman"/>
                      <w:sz w:val="18"/>
                    </w:rPr>
                    <w:t>/</w:t>
                  </w:r>
                </w:p>
              </w:tc>
              <w:tc>
                <w:tcPr>
                  <w:tcW w:w="648" w:type="pct"/>
                  <w:vAlign w:val="center"/>
                </w:tcPr>
                <w:p w14:paraId="3847C091">
                  <w:pPr>
                    <w:spacing w:line="240" w:lineRule="auto"/>
                    <w:ind w:firstLine="0" w:firstLineChars="0"/>
                    <w:jc w:val="center"/>
                    <w:rPr>
                      <w:rFonts w:cs="Times New Roman"/>
                      <w:sz w:val="18"/>
                    </w:rPr>
                  </w:pPr>
                  <w:r>
                    <w:rPr>
                      <w:rFonts w:hint="eastAsia" w:cs="Times New Roman"/>
                      <w:sz w:val="18"/>
                    </w:rPr>
                    <w:t>SW17</w:t>
                  </w:r>
                </w:p>
              </w:tc>
              <w:tc>
                <w:tcPr>
                  <w:tcW w:w="1114" w:type="pct"/>
                  <w:vMerge w:val="restart"/>
                  <w:vAlign w:val="center"/>
                </w:tcPr>
                <w:p w14:paraId="33B35989">
                  <w:pPr>
                    <w:spacing w:line="240" w:lineRule="auto"/>
                    <w:ind w:firstLine="0" w:firstLineChars="0"/>
                    <w:jc w:val="center"/>
                    <w:rPr>
                      <w:rFonts w:cs="Times New Roman"/>
                      <w:sz w:val="18"/>
                    </w:rPr>
                  </w:pPr>
                  <w:r>
                    <w:rPr>
                      <w:rFonts w:cs="Times New Roman"/>
                      <w:sz w:val="18"/>
                    </w:rPr>
                    <w:t>《固体废物分类与代码目录》</w:t>
                  </w:r>
                </w:p>
              </w:tc>
            </w:tr>
            <w:tr w14:paraId="0DACAF8A">
              <w:trPr>
                <w:trHeight w:val="340" w:hRule="atLeast"/>
              </w:trPr>
              <w:tc>
                <w:tcPr>
                  <w:tcW w:w="348" w:type="pct"/>
                  <w:vAlign w:val="center"/>
                </w:tcPr>
                <w:p w14:paraId="51F11330">
                  <w:pPr>
                    <w:spacing w:line="240" w:lineRule="auto"/>
                    <w:ind w:firstLine="0" w:firstLineChars="0"/>
                    <w:jc w:val="center"/>
                    <w:rPr>
                      <w:rFonts w:cs="Times New Roman"/>
                      <w:sz w:val="18"/>
                    </w:rPr>
                  </w:pPr>
                  <w:r>
                    <w:rPr>
                      <w:rFonts w:cs="Times New Roman"/>
                      <w:sz w:val="18"/>
                    </w:rPr>
                    <w:t>2</w:t>
                  </w:r>
                </w:p>
              </w:tc>
              <w:tc>
                <w:tcPr>
                  <w:tcW w:w="758" w:type="pct"/>
                  <w:vAlign w:val="center"/>
                </w:tcPr>
                <w:p w14:paraId="2879FFC5">
                  <w:pPr>
                    <w:spacing w:line="240" w:lineRule="auto"/>
                    <w:ind w:firstLine="0" w:firstLineChars="0"/>
                    <w:jc w:val="center"/>
                    <w:rPr>
                      <w:rFonts w:cs="Times New Roman"/>
                      <w:sz w:val="18"/>
                    </w:rPr>
                  </w:pPr>
                  <w:r>
                    <w:rPr>
                      <w:rFonts w:hint="eastAsia" w:cs="Times New Roman"/>
                      <w:sz w:val="18"/>
                    </w:rPr>
                    <w:t>废包装袋</w:t>
                  </w:r>
                </w:p>
              </w:tc>
              <w:tc>
                <w:tcPr>
                  <w:tcW w:w="730" w:type="pct"/>
                  <w:vAlign w:val="center"/>
                </w:tcPr>
                <w:p w14:paraId="6B55DF30">
                  <w:pPr>
                    <w:spacing w:line="240" w:lineRule="auto"/>
                    <w:ind w:firstLine="0" w:firstLineChars="0"/>
                    <w:jc w:val="center"/>
                    <w:rPr>
                      <w:rFonts w:cs="Times New Roman"/>
                      <w:sz w:val="18"/>
                    </w:rPr>
                  </w:pPr>
                  <w:r>
                    <w:rPr>
                      <w:rFonts w:hint="eastAsia" w:cs="Times New Roman"/>
                      <w:sz w:val="18"/>
                    </w:rPr>
                    <w:t>原料包装</w:t>
                  </w:r>
                </w:p>
              </w:tc>
              <w:tc>
                <w:tcPr>
                  <w:tcW w:w="392" w:type="pct"/>
                  <w:vAlign w:val="center"/>
                </w:tcPr>
                <w:p w14:paraId="58601E3C">
                  <w:pPr>
                    <w:spacing w:line="240" w:lineRule="auto"/>
                    <w:ind w:firstLine="0" w:firstLineChars="0"/>
                    <w:jc w:val="center"/>
                    <w:rPr>
                      <w:rFonts w:cs="Times New Roman"/>
                      <w:sz w:val="18"/>
                    </w:rPr>
                  </w:pPr>
                  <w:r>
                    <w:rPr>
                      <w:rFonts w:cs="Times New Roman"/>
                      <w:sz w:val="18"/>
                    </w:rPr>
                    <w:t>固体</w:t>
                  </w:r>
                </w:p>
              </w:tc>
              <w:tc>
                <w:tcPr>
                  <w:tcW w:w="507" w:type="pct"/>
                  <w:vAlign w:val="center"/>
                </w:tcPr>
                <w:p w14:paraId="7A74CFEA">
                  <w:pPr>
                    <w:spacing w:line="240" w:lineRule="auto"/>
                    <w:ind w:firstLine="0" w:firstLineChars="0"/>
                    <w:jc w:val="center"/>
                    <w:rPr>
                      <w:rFonts w:cs="Times New Roman"/>
                      <w:sz w:val="18"/>
                    </w:rPr>
                  </w:pPr>
                  <w:r>
                    <w:rPr>
                      <w:rFonts w:hint="eastAsia" w:cs="Times New Roman"/>
                      <w:sz w:val="18"/>
                    </w:rPr>
                    <w:t>0.1</w:t>
                  </w:r>
                </w:p>
              </w:tc>
              <w:tc>
                <w:tcPr>
                  <w:tcW w:w="500" w:type="pct"/>
                  <w:vAlign w:val="center"/>
                </w:tcPr>
                <w:p w14:paraId="6E594854">
                  <w:pPr>
                    <w:spacing w:line="240" w:lineRule="auto"/>
                    <w:ind w:firstLine="0" w:firstLineChars="0"/>
                    <w:jc w:val="center"/>
                    <w:rPr>
                      <w:rFonts w:cs="Times New Roman"/>
                      <w:sz w:val="18"/>
                    </w:rPr>
                  </w:pPr>
                  <w:r>
                    <w:rPr>
                      <w:rFonts w:hint="eastAsia" w:cs="Times New Roman"/>
                      <w:sz w:val="18"/>
                    </w:rPr>
                    <w:t>/</w:t>
                  </w:r>
                </w:p>
              </w:tc>
              <w:tc>
                <w:tcPr>
                  <w:tcW w:w="648" w:type="pct"/>
                  <w:vAlign w:val="center"/>
                </w:tcPr>
                <w:p w14:paraId="7238B653">
                  <w:pPr>
                    <w:spacing w:line="240" w:lineRule="auto"/>
                    <w:ind w:firstLine="0" w:firstLineChars="0"/>
                    <w:jc w:val="center"/>
                    <w:rPr>
                      <w:rFonts w:cs="Times New Roman"/>
                      <w:sz w:val="18"/>
                    </w:rPr>
                  </w:pPr>
                  <w:r>
                    <w:rPr>
                      <w:rFonts w:hint="eastAsia" w:cs="Times New Roman"/>
                      <w:sz w:val="18"/>
                    </w:rPr>
                    <w:t>SW17</w:t>
                  </w:r>
                </w:p>
              </w:tc>
              <w:tc>
                <w:tcPr>
                  <w:tcW w:w="1114" w:type="pct"/>
                  <w:vMerge w:val="continue"/>
                  <w:vAlign w:val="center"/>
                </w:tcPr>
                <w:p w14:paraId="04B77914">
                  <w:pPr>
                    <w:spacing w:line="240" w:lineRule="auto"/>
                    <w:ind w:firstLine="0" w:firstLineChars="0"/>
                    <w:jc w:val="center"/>
                    <w:rPr>
                      <w:rFonts w:cs="Times New Roman"/>
                      <w:sz w:val="18"/>
                    </w:rPr>
                  </w:pPr>
                </w:p>
              </w:tc>
            </w:tr>
            <w:tr w14:paraId="2527C932">
              <w:trPr>
                <w:trHeight w:val="340" w:hRule="atLeast"/>
              </w:trPr>
              <w:tc>
                <w:tcPr>
                  <w:tcW w:w="348" w:type="pct"/>
                  <w:vAlign w:val="center"/>
                </w:tcPr>
                <w:p w14:paraId="34D6E83F">
                  <w:pPr>
                    <w:spacing w:line="240" w:lineRule="auto"/>
                    <w:ind w:firstLine="0" w:firstLineChars="0"/>
                    <w:jc w:val="center"/>
                    <w:rPr>
                      <w:rFonts w:cs="Times New Roman"/>
                      <w:sz w:val="18"/>
                    </w:rPr>
                  </w:pPr>
                  <w:r>
                    <w:rPr>
                      <w:rFonts w:hint="eastAsia" w:cs="Times New Roman"/>
                      <w:sz w:val="18"/>
                    </w:rPr>
                    <w:t>3</w:t>
                  </w:r>
                </w:p>
              </w:tc>
              <w:tc>
                <w:tcPr>
                  <w:tcW w:w="758" w:type="pct"/>
                  <w:vAlign w:val="center"/>
                </w:tcPr>
                <w:p w14:paraId="33988BAF">
                  <w:pPr>
                    <w:spacing w:line="240" w:lineRule="auto"/>
                    <w:ind w:firstLine="0" w:firstLineChars="0"/>
                    <w:jc w:val="center"/>
                    <w:rPr>
                      <w:rFonts w:cs="Times New Roman"/>
                      <w:sz w:val="18"/>
                    </w:rPr>
                  </w:pPr>
                  <w:r>
                    <w:rPr>
                      <w:rFonts w:hint="eastAsia" w:cs="Times New Roman"/>
                      <w:sz w:val="18"/>
                    </w:rPr>
                    <w:t>除尘器收集的粉尘</w:t>
                  </w:r>
                </w:p>
              </w:tc>
              <w:tc>
                <w:tcPr>
                  <w:tcW w:w="730" w:type="pct"/>
                  <w:vAlign w:val="center"/>
                </w:tcPr>
                <w:p w14:paraId="7E338765">
                  <w:pPr>
                    <w:spacing w:line="240" w:lineRule="auto"/>
                    <w:ind w:firstLine="0" w:firstLineChars="0"/>
                    <w:jc w:val="center"/>
                    <w:rPr>
                      <w:rFonts w:cs="Times New Roman"/>
                      <w:sz w:val="18"/>
                    </w:rPr>
                  </w:pPr>
                  <w:r>
                    <w:rPr>
                      <w:rFonts w:hint="eastAsia" w:cs="Times New Roman"/>
                      <w:sz w:val="18"/>
                    </w:rPr>
                    <w:t>废气处理</w:t>
                  </w:r>
                </w:p>
              </w:tc>
              <w:tc>
                <w:tcPr>
                  <w:tcW w:w="392" w:type="pct"/>
                  <w:vAlign w:val="center"/>
                </w:tcPr>
                <w:p w14:paraId="19DE3131">
                  <w:pPr>
                    <w:spacing w:line="240" w:lineRule="auto"/>
                    <w:ind w:firstLine="0" w:firstLineChars="0"/>
                    <w:jc w:val="center"/>
                    <w:rPr>
                      <w:rFonts w:cs="Times New Roman"/>
                      <w:sz w:val="18"/>
                    </w:rPr>
                  </w:pPr>
                  <w:r>
                    <w:rPr>
                      <w:rFonts w:cs="Times New Roman"/>
                      <w:sz w:val="18"/>
                    </w:rPr>
                    <w:t>固体</w:t>
                  </w:r>
                </w:p>
              </w:tc>
              <w:tc>
                <w:tcPr>
                  <w:tcW w:w="507" w:type="pct"/>
                  <w:vAlign w:val="center"/>
                </w:tcPr>
                <w:p w14:paraId="7C11F63F">
                  <w:pPr>
                    <w:spacing w:line="240" w:lineRule="auto"/>
                    <w:ind w:firstLine="0" w:firstLineChars="0"/>
                    <w:jc w:val="center"/>
                    <w:rPr>
                      <w:rFonts w:cs="Times New Roman"/>
                      <w:sz w:val="18"/>
                    </w:rPr>
                  </w:pPr>
                  <w:r>
                    <w:rPr>
                      <w:rFonts w:hint="eastAsia" w:cs="Times New Roman"/>
                      <w:sz w:val="18"/>
                    </w:rPr>
                    <w:t>0.5</w:t>
                  </w:r>
                </w:p>
              </w:tc>
              <w:tc>
                <w:tcPr>
                  <w:tcW w:w="500" w:type="pct"/>
                  <w:vAlign w:val="center"/>
                </w:tcPr>
                <w:p w14:paraId="5820B9BC">
                  <w:pPr>
                    <w:spacing w:line="240" w:lineRule="auto"/>
                    <w:ind w:firstLine="0" w:firstLineChars="0"/>
                    <w:jc w:val="center"/>
                    <w:rPr>
                      <w:rFonts w:cs="Times New Roman"/>
                      <w:sz w:val="18"/>
                    </w:rPr>
                  </w:pPr>
                  <w:r>
                    <w:rPr>
                      <w:rFonts w:hint="eastAsia" w:cs="Times New Roman"/>
                      <w:sz w:val="18"/>
                    </w:rPr>
                    <w:t>/</w:t>
                  </w:r>
                </w:p>
              </w:tc>
              <w:tc>
                <w:tcPr>
                  <w:tcW w:w="648" w:type="pct"/>
                  <w:vAlign w:val="center"/>
                </w:tcPr>
                <w:p w14:paraId="7A823C08">
                  <w:pPr>
                    <w:spacing w:line="240" w:lineRule="auto"/>
                    <w:ind w:firstLine="0" w:firstLineChars="0"/>
                    <w:jc w:val="center"/>
                    <w:rPr>
                      <w:rFonts w:cs="Times New Roman"/>
                      <w:sz w:val="18"/>
                    </w:rPr>
                  </w:pPr>
                  <w:r>
                    <w:rPr>
                      <w:rFonts w:hint="eastAsia" w:cs="Times New Roman"/>
                      <w:sz w:val="18"/>
                    </w:rPr>
                    <w:t>/</w:t>
                  </w:r>
                </w:p>
              </w:tc>
              <w:tc>
                <w:tcPr>
                  <w:tcW w:w="1114" w:type="pct"/>
                  <w:vMerge w:val="continue"/>
                  <w:vAlign w:val="center"/>
                </w:tcPr>
                <w:p w14:paraId="7145FDD5">
                  <w:pPr>
                    <w:spacing w:line="240" w:lineRule="auto"/>
                    <w:ind w:firstLine="0" w:firstLineChars="0"/>
                    <w:jc w:val="center"/>
                    <w:rPr>
                      <w:rFonts w:cs="Times New Roman"/>
                      <w:sz w:val="18"/>
                    </w:rPr>
                  </w:pPr>
                </w:p>
              </w:tc>
            </w:tr>
            <w:tr w14:paraId="586E533E">
              <w:trPr>
                <w:trHeight w:val="340" w:hRule="atLeast"/>
              </w:trPr>
              <w:tc>
                <w:tcPr>
                  <w:tcW w:w="348" w:type="pct"/>
                  <w:vAlign w:val="center"/>
                </w:tcPr>
                <w:p w14:paraId="025E3D8A">
                  <w:pPr>
                    <w:spacing w:line="240" w:lineRule="auto"/>
                    <w:ind w:firstLine="0" w:firstLineChars="0"/>
                    <w:jc w:val="center"/>
                    <w:rPr>
                      <w:rFonts w:cs="Times New Roman"/>
                      <w:sz w:val="18"/>
                    </w:rPr>
                  </w:pPr>
                  <w:r>
                    <w:rPr>
                      <w:rFonts w:hint="eastAsia" w:cs="Times New Roman"/>
                      <w:sz w:val="18"/>
                    </w:rPr>
                    <w:t>4</w:t>
                  </w:r>
                </w:p>
              </w:tc>
              <w:tc>
                <w:tcPr>
                  <w:tcW w:w="758" w:type="pct"/>
                  <w:vAlign w:val="center"/>
                </w:tcPr>
                <w:p w14:paraId="746B7759">
                  <w:pPr>
                    <w:spacing w:line="240" w:lineRule="auto"/>
                    <w:ind w:firstLine="0" w:firstLineChars="0"/>
                    <w:jc w:val="center"/>
                    <w:rPr>
                      <w:rFonts w:cs="Times New Roman"/>
                      <w:sz w:val="18"/>
                    </w:rPr>
                  </w:pPr>
                  <w:r>
                    <w:rPr>
                      <w:rFonts w:hint="eastAsia" w:cs="Times New Roman"/>
                      <w:sz w:val="18"/>
                    </w:rPr>
                    <w:t>沉渣</w:t>
                  </w:r>
                </w:p>
              </w:tc>
              <w:tc>
                <w:tcPr>
                  <w:tcW w:w="730" w:type="pct"/>
                  <w:vAlign w:val="center"/>
                </w:tcPr>
                <w:p w14:paraId="59CE9595">
                  <w:pPr>
                    <w:spacing w:line="240" w:lineRule="auto"/>
                    <w:ind w:firstLine="0" w:firstLineChars="0"/>
                    <w:jc w:val="center"/>
                    <w:rPr>
                      <w:rFonts w:cs="Times New Roman"/>
                      <w:sz w:val="18"/>
                    </w:rPr>
                  </w:pPr>
                  <w:r>
                    <w:rPr>
                      <w:rFonts w:hint="eastAsia" w:cs="Times New Roman"/>
                      <w:sz w:val="18"/>
                    </w:rPr>
                    <w:t>循环冷却池</w:t>
                  </w:r>
                </w:p>
              </w:tc>
              <w:tc>
                <w:tcPr>
                  <w:tcW w:w="392" w:type="pct"/>
                  <w:vAlign w:val="center"/>
                </w:tcPr>
                <w:p w14:paraId="654D5675">
                  <w:pPr>
                    <w:spacing w:line="240" w:lineRule="auto"/>
                    <w:ind w:firstLine="0" w:firstLineChars="0"/>
                    <w:jc w:val="center"/>
                    <w:rPr>
                      <w:rFonts w:cs="Times New Roman"/>
                      <w:sz w:val="18"/>
                    </w:rPr>
                  </w:pPr>
                  <w:r>
                    <w:rPr>
                      <w:rFonts w:hint="eastAsia" w:cs="Times New Roman"/>
                      <w:sz w:val="18"/>
                    </w:rPr>
                    <w:t>固体</w:t>
                  </w:r>
                </w:p>
              </w:tc>
              <w:tc>
                <w:tcPr>
                  <w:tcW w:w="507" w:type="pct"/>
                  <w:vAlign w:val="center"/>
                </w:tcPr>
                <w:p w14:paraId="62FAC4D5">
                  <w:pPr>
                    <w:spacing w:line="240" w:lineRule="auto"/>
                    <w:ind w:firstLine="0" w:firstLineChars="0"/>
                    <w:jc w:val="center"/>
                    <w:rPr>
                      <w:rFonts w:cs="Times New Roman"/>
                      <w:sz w:val="18"/>
                    </w:rPr>
                  </w:pPr>
                  <w:r>
                    <w:rPr>
                      <w:rFonts w:hint="eastAsia" w:cs="Times New Roman"/>
                      <w:sz w:val="18"/>
                    </w:rPr>
                    <w:t>0.5</w:t>
                  </w:r>
                </w:p>
              </w:tc>
              <w:tc>
                <w:tcPr>
                  <w:tcW w:w="500" w:type="pct"/>
                  <w:vAlign w:val="center"/>
                </w:tcPr>
                <w:p w14:paraId="495E02A9">
                  <w:pPr>
                    <w:spacing w:line="240" w:lineRule="auto"/>
                    <w:ind w:firstLine="0" w:firstLineChars="0"/>
                    <w:jc w:val="center"/>
                    <w:rPr>
                      <w:rFonts w:cs="Times New Roman"/>
                      <w:sz w:val="18"/>
                    </w:rPr>
                  </w:pPr>
                  <w:r>
                    <w:rPr>
                      <w:rFonts w:hint="eastAsia" w:cs="Times New Roman"/>
                      <w:sz w:val="18"/>
                    </w:rPr>
                    <w:t>/</w:t>
                  </w:r>
                </w:p>
              </w:tc>
              <w:tc>
                <w:tcPr>
                  <w:tcW w:w="648" w:type="pct"/>
                  <w:vAlign w:val="center"/>
                </w:tcPr>
                <w:p w14:paraId="3698DAB9">
                  <w:pPr>
                    <w:spacing w:line="240" w:lineRule="auto"/>
                    <w:ind w:firstLine="0" w:firstLineChars="0"/>
                    <w:jc w:val="center"/>
                    <w:rPr>
                      <w:rFonts w:cs="Times New Roman"/>
                      <w:sz w:val="18"/>
                    </w:rPr>
                  </w:pPr>
                  <w:r>
                    <w:rPr>
                      <w:rFonts w:hint="eastAsia" w:cs="Times New Roman"/>
                      <w:sz w:val="18"/>
                    </w:rPr>
                    <w:t>/</w:t>
                  </w:r>
                </w:p>
              </w:tc>
              <w:tc>
                <w:tcPr>
                  <w:tcW w:w="1114" w:type="pct"/>
                  <w:vMerge w:val="continue"/>
                  <w:vAlign w:val="center"/>
                </w:tcPr>
                <w:p w14:paraId="210BB011">
                  <w:pPr>
                    <w:spacing w:line="240" w:lineRule="auto"/>
                    <w:ind w:firstLine="0" w:firstLineChars="0"/>
                    <w:jc w:val="center"/>
                    <w:rPr>
                      <w:rFonts w:cs="Times New Roman"/>
                      <w:sz w:val="18"/>
                    </w:rPr>
                  </w:pPr>
                </w:p>
              </w:tc>
            </w:tr>
            <w:tr w14:paraId="49782730">
              <w:trPr>
                <w:trHeight w:val="340" w:hRule="atLeast"/>
              </w:trPr>
              <w:tc>
                <w:tcPr>
                  <w:tcW w:w="348" w:type="pct"/>
                  <w:vAlign w:val="center"/>
                </w:tcPr>
                <w:p w14:paraId="1B7C4DEA">
                  <w:pPr>
                    <w:spacing w:line="240" w:lineRule="auto"/>
                    <w:ind w:firstLine="0" w:firstLineChars="0"/>
                    <w:jc w:val="center"/>
                    <w:rPr>
                      <w:rFonts w:cs="Times New Roman"/>
                      <w:sz w:val="18"/>
                    </w:rPr>
                  </w:pPr>
                  <w:r>
                    <w:rPr>
                      <w:rFonts w:hint="eastAsia" w:cs="Times New Roman"/>
                      <w:sz w:val="18"/>
                    </w:rPr>
                    <w:t>5</w:t>
                  </w:r>
                </w:p>
              </w:tc>
              <w:tc>
                <w:tcPr>
                  <w:tcW w:w="758" w:type="pct"/>
                  <w:vAlign w:val="center"/>
                </w:tcPr>
                <w:p w14:paraId="0AC5BC10">
                  <w:pPr>
                    <w:spacing w:line="240" w:lineRule="auto"/>
                    <w:ind w:firstLine="0" w:firstLineChars="0"/>
                    <w:jc w:val="center"/>
                    <w:rPr>
                      <w:rFonts w:cs="Times New Roman"/>
                      <w:sz w:val="18"/>
                    </w:rPr>
                  </w:pPr>
                  <w:r>
                    <w:rPr>
                      <w:rFonts w:hint="eastAsia" w:cs="Times New Roman"/>
                      <w:sz w:val="18"/>
                    </w:rPr>
                    <w:t>废活性炭</w:t>
                  </w:r>
                </w:p>
              </w:tc>
              <w:tc>
                <w:tcPr>
                  <w:tcW w:w="730" w:type="pct"/>
                  <w:vAlign w:val="center"/>
                </w:tcPr>
                <w:p w14:paraId="5ECC722D">
                  <w:pPr>
                    <w:spacing w:line="240" w:lineRule="auto"/>
                    <w:ind w:firstLine="0" w:firstLineChars="0"/>
                    <w:jc w:val="center"/>
                    <w:rPr>
                      <w:rFonts w:cs="Times New Roman"/>
                      <w:sz w:val="18"/>
                    </w:rPr>
                  </w:pPr>
                  <w:r>
                    <w:rPr>
                      <w:rFonts w:hint="eastAsia" w:cs="Times New Roman"/>
                      <w:sz w:val="18"/>
                    </w:rPr>
                    <w:t>废气处理</w:t>
                  </w:r>
                </w:p>
              </w:tc>
              <w:tc>
                <w:tcPr>
                  <w:tcW w:w="392" w:type="pct"/>
                  <w:vAlign w:val="center"/>
                </w:tcPr>
                <w:p w14:paraId="6445034F">
                  <w:pPr>
                    <w:spacing w:line="240" w:lineRule="auto"/>
                    <w:ind w:firstLine="0" w:firstLineChars="0"/>
                    <w:jc w:val="center"/>
                    <w:rPr>
                      <w:rFonts w:cs="Times New Roman"/>
                      <w:sz w:val="18"/>
                    </w:rPr>
                  </w:pPr>
                  <w:r>
                    <w:rPr>
                      <w:rFonts w:cs="Times New Roman"/>
                      <w:sz w:val="18"/>
                    </w:rPr>
                    <w:t>固体</w:t>
                  </w:r>
                </w:p>
              </w:tc>
              <w:tc>
                <w:tcPr>
                  <w:tcW w:w="507" w:type="pct"/>
                  <w:vAlign w:val="center"/>
                </w:tcPr>
                <w:p w14:paraId="469CDB2B">
                  <w:pPr>
                    <w:spacing w:line="240" w:lineRule="auto"/>
                    <w:ind w:firstLine="0" w:firstLineChars="0"/>
                    <w:jc w:val="center"/>
                    <w:rPr>
                      <w:rFonts w:cs="Times New Roman"/>
                      <w:sz w:val="18"/>
                    </w:rPr>
                  </w:pPr>
                  <w:r>
                    <w:rPr>
                      <w:rFonts w:hint="eastAsia" w:cs="Times New Roman"/>
                      <w:sz w:val="18"/>
                    </w:rPr>
                    <w:t>15.23</w:t>
                  </w:r>
                </w:p>
              </w:tc>
              <w:tc>
                <w:tcPr>
                  <w:tcW w:w="500" w:type="pct"/>
                  <w:vAlign w:val="center"/>
                </w:tcPr>
                <w:p w14:paraId="0A90E8ED">
                  <w:pPr>
                    <w:spacing w:line="240" w:lineRule="auto"/>
                    <w:ind w:firstLine="0" w:firstLineChars="0"/>
                    <w:jc w:val="center"/>
                    <w:rPr>
                      <w:rFonts w:cs="Times New Roman"/>
                      <w:sz w:val="18"/>
                    </w:rPr>
                  </w:pPr>
                  <w:r>
                    <w:rPr>
                      <w:rFonts w:cs="Times New Roman"/>
                      <w:sz w:val="18"/>
                    </w:rPr>
                    <w:t>危废</w:t>
                  </w:r>
                </w:p>
              </w:tc>
              <w:tc>
                <w:tcPr>
                  <w:tcW w:w="648" w:type="pct"/>
                  <w:vAlign w:val="center"/>
                </w:tcPr>
                <w:p w14:paraId="74447994">
                  <w:pPr>
                    <w:spacing w:line="240" w:lineRule="auto"/>
                    <w:ind w:firstLine="0" w:firstLineChars="0"/>
                    <w:jc w:val="center"/>
                    <w:rPr>
                      <w:rFonts w:cs="Times New Roman"/>
                      <w:sz w:val="18"/>
                    </w:rPr>
                  </w:pPr>
                  <w:r>
                    <w:rPr>
                      <w:rFonts w:cs="Times New Roman"/>
                      <w:sz w:val="18"/>
                    </w:rPr>
                    <w:t>HW49</w:t>
                  </w:r>
                </w:p>
              </w:tc>
              <w:tc>
                <w:tcPr>
                  <w:tcW w:w="1114" w:type="pct"/>
                  <w:vMerge w:val="restart"/>
                  <w:vAlign w:val="center"/>
                </w:tcPr>
                <w:p w14:paraId="01F9066D">
                  <w:pPr>
                    <w:spacing w:line="240" w:lineRule="auto"/>
                    <w:ind w:firstLine="0" w:firstLineChars="0"/>
                    <w:jc w:val="center"/>
                    <w:rPr>
                      <w:rFonts w:cs="Times New Roman"/>
                      <w:sz w:val="18"/>
                    </w:rPr>
                  </w:pPr>
                  <w:r>
                    <w:rPr>
                      <w:rFonts w:cs="Times New Roman"/>
                      <w:sz w:val="18"/>
                    </w:rPr>
                    <w:t>《国家危险废物名录》（202</w:t>
                  </w:r>
                  <w:r>
                    <w:rPr>
                      <w:rFonts w:hint="eastAsia" w:cs="Times New Roman"/>
                      <w:sz w:val="18"/>
                    </w:rPr>
                    <w:t>5</w:t>
                  </w:r>
                  <w:r>
                    <w:rPr>
                      <w:rFonts w:cs="Times New Roman"/>
                      <w:sz w:val="18"/>
                    </w:rPr>
                    <w:t>年版）</w:t>
                  </w:r>
                </w:p>
              </w:tc>
            </w:tr>
            <w:tr w14:paraId="18EF45A8">
              <w:trPr>
                <w:trHeight w:val="340" w:hRule="atLeast"/>
              </w:trPr>
              <w:tc>
                <w:tcPr>
                  <w:tcW w:w="348" w:type="pct"/>
                  <w:vAlign w:val="center"/>
                </w:tcPr>
                <w:p w14:paraId="218440FF">
                  <w:pPr>
                    <w:spacing w:line="240" w:lineRule="auto"/>
                    <w:ind w:firstLine="0" w:firstLineChars="0"/>
                    <w:jc w:val="center"/>
                    <w:rPr>
                      <w:rFonts w:cs="Times New Roman"/>
                      <w:sz w:val="18"/>
                    </w:rPr>
                  </w:pPr>
                  <w:r>
                    <w:rPr>
                      <w:rFonts w:hint="eastAsia" w:cs="Times New Roman"/>
                      <w:sz w:val="18"/>
                    </w:rPr>
                    <w:t>6</w:t>
                  </w:r>
                </w:p>
              </w:tc>
              <w:tc>
                <w:tcPr>
                  <w:tcW w:w="758" w:type="pct"/>
                  <w:vAlign w:val="center"/>
                </w:tcPr>
                <w:p w14:paraId="69BE37F9">
                  <w:pPr>
                    <w:spacing w:line="240" w:lineRule="auto"/>
                    <w:ind w:firstLine="0" w:firstLineChars="0"/>
                    <w:jc w:val="center"/>
                    <w:rPr>
                      <w:rFonts w:cs="Times New Roman"/>
                      <w:sz w:val="18"/>
                    </w:rPr>
                  </w:pPr>
                  <w:r>
                    <w:rPr>
                      <w:rFonts w:hint="eastAsia" w:cs="Times New Roman"/>
                      <w:sz w:val="18"/>
                    </w:rPr>
                    <w:t>废过滤网</w:t>
                  </w:r>
                </w:p>
              </w:tc>
              <w:tc>
                <w:tcPr>
                  <w:tcW w:w="730" w:type="pct"/>
                  <w:vAlign w:val="center"/>
                </w:tcPr>
                <w:p w14:paraId="41763448">
                  <w:pPr>
                    <w:spacing w:line="240" w:lineRule="auto"/>
                    <w:ind w:firstLine="0" w:firstLineChars="0"/>
                    <w:jc w:val="center"/>
                    <w:rPr>
                      <w:rFonts w:cs="Times New Roman"/>
                      <w:sz w:val="18"/>
                    </w:rPr>
                  </w:pPr>
                  <w:r>
                    <w:rPr>
                      <w:rFonts w:hint="eastAsia" w:cs="Times New Roman"/>
                      <w:sz w:val="18"/>
                    </w:rPr>
                    <w:t>废气处理</w:t>
                  </w:r>
                </w:p>
              </w:tc>
              <w:tc>
                <w:tcPr>
                  <w:tcW w:w="392" w:type="pct"/>
                  <w:vAlign w:val="center"/>
                </w:tcPr>
                <w:p w14:paraId="6EC08C6A">
                  <w:pPr>
                    <w:spacing w:line="240" w:lineRule="auto"/>
                    <w:ind w:firstLine="0" w:firstLineChars="0"/>
                    <w:jc w:val="center"/>
                    <w:rPr>
                      <w:rFonts w:cs="Times New Roman"/>
                      <w:sz w:val="18"/>
                    </w:rPr>
                  </w:pPr>
                  <w:r>
                    <w:rPr>
                      <w:rFonts w:cs="Times New Roman"/>
                      <w:sz w:val="18"/>
                    </w:rPr>
                    <w:t>固体</w:t>
                  </w:r>
                </w:p>
              </w:tc>
              <w:tc>
                <w:tcPr>
                  <w:tcW w:w="507" w:type="pct"/>
                  <w:vAlign w:val="center"/>
                </w:tcPr>
                <w:p w14:paraId="6BD7ABAD">
                  <w:pPr>
                    <w:spacing w:line="240" w:lineRule="auto"/>
                    <w:ind w:firstLine="0" w:firstLineChars="0"/>
                    <w:jc w:val="center"/>
                    <w:rPr>
                      <w:rFonts w:cs="Times New Roman"/>
                      <w:sz w:val="18"/>
                    </w:rPr>
                  </w:pPr>
                  <w:r>
                    <w:rPr>
                      <w:rFonts w:hint="eastAsia" w:cs="Times New Roman"/>
                      <w:sz w:val="18"/>
                    </w:rPr>
                    <w:t>0.5</w:t>
                  </w:r>
                </w:p>
              </w:tc>
              <w:tc>
                <w:tcPr>
                  <w:tcW w:w="500" w:type="pct"/>
                  <w:vAlign w:val="center"/>
                </w:tcPr>
                <w:p w14:paraId="4BE1FEB6">
                  <w:pPr>
                    <w:spacing w:line="240" w:lineRule="auto"/>
                    <w:ind w:firstLine="0" w:firstLineChars="0"/>
                    <w:jc w:val="center"/>
                    <w:rPr>
                      <w:rFonts w:cs="Times New Roman"/>
                      <w:sz w:val="18"/>
                    </w:rPr>
                  </w:pPr>
                  <w:r>
                    <w:rPr>
                      <w:rFonts w:cs="Times New Roman"/>
                      <w:sz w:val="18"/>
                    </w:rPr>
                    <w:t>危废</w:t>
                  </w:r>
                </w:p>
              </w:tc>
              <w:tc>
                <w:tcPr>
                  <w:tcW w:w="648" w:type="pct"/>
                  <w:vAlign w:val="center"/>
                </w:tcPr>
                <w:p w14:paraId="37F5777E">
                  <w:pPr>
                    <w:spacing w:line="240" w:lineRule="auto"/>
                    <w:ind w:firstLine="0" w:firstLineChars="0"/>
                    <w:jc w:val="center"/>
                    <w:rPr>
                      <w:rFonts w:cs="Times New Roman"/>
                      <w:sz w:val="18"/>
                    </w:rPr>
                  </w:pPr>
                  <w:r>
                    <w:rPr>
                      <w:rFonts w:cs="Times New Roman"/>
                      <w:sz w:val="18"/>
                    </w:rPr>
                    <w:t>HW49</w:t>
                  </w:r>
                </w:p>
              </w:tc>
              <w:tc>
                <w:tcPr>
                  <w:tcW w:w="1114" w:type="pct"/>
                  <w:vMerge w:val="continue"/>
                  <w:vAlign w:val="center"/>
                </w:tcPr>
                <w:p w14:paraId="5EF5DB69">
                  <w:pPr>
                    <w:spacing w:line="240" w:lineRule="auto"/>
                    <w:ind w:firstLine="0" w:firstLineChars="0"/>
                    <w:jc w:val="center"/>
                    <w:rPr>
                      <w:rFonts w:cs="Times New Roman"/>
                      <w:sz w:val="18"/>
                    </w:rPr>
                  </w:pPr>
                </w:p>
              </w:tc>
            </w:tr>
            <w:tr w14:paraId="494BACE4">
              <w:trPr>
                <w:trHeight w:val="340" w:hRule="atLeast"/>
              </w:trPr>
              <w:tc>
                <w:tcPr>
                  <w:tcW w:w="348" w:type="pct"/>
                  <w:vAlign w:val="center"/>
                </w:tcPr>
                <w:p w14:paraId="2E4FF0D6">
                  <w:pPr>
                    <w:spacing w:line="240" w:lineRule="auto"/>
                    <w:ind w:firstLine="0" w:firstLineChars="0"/>
                    <w:jc w:val="center"/>
                    <w:rPr>
                      <w:rFonts w:cs="Times New Roman"/>
                      <w:sz w:val="18"/>
                    </w:rPr>
                  </w:pPr>
                  <w:r>
                    <w:rPr>
                      <w:rFonts w:hint="eastAsia" w:cs="Times New Roman"/>
                      <w:sz w:val="18"/>
                    </w:rPr>
                    <w:t>7</w:t>
                  </w:r>
                </w:p>
              </w:tc>
              <w:tc>
                <w:tcPr>
                  <w:tcW w:w="758" w:type="pct"/>
                  <w:vAlign w:val="center"/>
                </w:tcPr>
                <w:p w14:paraId="4BD6FB10">
                  <w:pPr>
                    <w:spacing w:line="240" w:lineRule="auto"/>
                    <w:ind w:firstLine="0" w:firstLineChars="0"/>
                    <w:jc w:val="center"/>
                    <w:rPr>
                      <w:rFonts w:cs="Times New Roman"/>
                      <w:sz w:val="18"/>
                    </w:rPr>
                  </w:pPr>
                  <w:r>
                    <w:rPr>
                      <w:rFonts w:hint="eastAsia" w:cs="Times New Roman"/>
                      <w:sz w:val="18"/>
                    </w:rPr>
                    <w:t>废润油桶</w:t>
                  </w:r>
                </w:p>
              </w:tc>
              <w:tc>
                <w:tcPr>
                  <w:tcW w:w="730" w:type="pct"/>
                  <w:vAlign w:val="center"/>
                </w:tcPr>
                <w:p w14:paraId="116A6CEE">
                  <w:pPr>
                    <w:spacing w:line="240" w:lineRule="auto"/>
                    <w:ind w:firstLine="0" w:firstLineChars="0"/>
                    <w:jc w:val="center"/>
                    <w:rPr>
                      <w:rFonts w:cs="Times New Roman"/>
                      <w:sz w:val="18"/>
                    </w:rPr>
                  </w:pPr>
                  <w:r>
                    <w:rPr>
                      <w:rFonts w:hint="eastAsia" w:cs="Times New Roman"/>
                      <w:sz w:val="18"/>
                    </w:rPr>
                    <w:t>设备维护</w:t>
                  </w:r>
                </w:p>
              </w:tc>
              <w:tc>
                <w:tcPr>
                  <w:tcW w:w="392" w:type="pct"/>
                  <w:vAlign w:val="center"/>
                </w:tcPr>
                <w:p w14:paraId="3AE1B151">
                  <w:pPr>
                    <w:spacing w:line="240" w:lineRule="auto"/>
                    <w:ind w:firstLine="0" w:firstLineChars="0"/>
                    <w:jc w:val="center"/>
                    <w:rPr>
                      <w:rFonts w:cs="Times New Roman"/>
                      <w:sz w:val="18"/>
                    </w:rPr>
                  </w:pPr>
                  <w:r>
                    <w:rPr>
                      <w:rFonts w:cs="Times New Roman"/>
                      <w:sz w:val="18"/>
                    </w:rPr>
                    <w:t>固体</w:t>
                  </w:r>
                </w:p>
              </w:tc>
              <w:tc>
                <w:tcPr>
                  <w:tcW w:w="507" w:type="pct"/>
                  <w:vAlign w:val="center"/>
                </w:tcPr>
                <w:p w14:paraId="7F5C3582">
                  <w:pPr>
                    <w:spacing w:line="240" w:lineRule="auto"/>
                    <w:ind w:firstLine="0" w:firstLineChars="0"/>
                    <w:jc w:val="center"/>
                    <w:rPr>
                      <w:rFonts w:cs="Times New Roman"/>
                      <w:sz w:val="18"/>
                    </w:rPr>
                  </w:pPr>
                  <w:r>
                    <w:rPr>
                      <w:rFonts w:hint="eastAsia" w:cs="Times New Roman"/>
                      <w:sz w:val="18"/>
                    </w:rPr>
                    <w:t>0.002</w:t>
                  </w:r>
                </w:p>
              </w:tc>
              <w:tc>
                <w:tcPr>
                  <w:tcW w:w="500" w:type="pct"/>
                  <w:vAlign w:val="center"/>
                </w:tcPr>
                <w:p w14:paraId="0F7DA834">
                  <w:pPr>
                    <w:spacing w:line="240" w:lineRule="auto"/>
                    <w:ind w:firstLine="0" w:firstLineChars="0"/>
                    <w:jc w:val="center"/>
                    <w:rPr>
                      <w:rFonts w:cs="Times New Roman"/>
                      <w:sz w:val="18"/>
                    </w:rPr>
                  </w:pPr>
                  <w:r>
                    <w:rPr>
                      <w:rFonts w:cs="Times New Roman"/>
                      <w:sz w:val="18"/>
                    </w:rPr>
                    <w:t>危废</w:t>
                  </w:r>
                </w:p>
              </w:tc>
              <w:tc>
                <w:tcPr>
                  <w:tcW w:w="648" w:type="pct"/>
                  <w:vAlign w:val="center"/>
                </w:tcPr>
                <w:p w14:paraId="62AA7CA0">
                  <w:pPr>
                    <w:spacing w:line="240" w:lineRule="auto"/>
                    <w:ind w:firstLine="0" w:firstLineChars="0"/>
                    <w:jc w:val="center"/>
                    <w:rPr>
                      <w:rFonts w:cs="Times New Roman"/>
                      <w:sz w:val="18"/>
                    </w:rPr>
                  </w:pPr>
                  <w:r>
                    <w:rPr>
                      <w:rFonts w:cs="Times New Roman"/>
                      <w:sz w:val="18"/>
                    </w:rPr>
                    <w:t>HW08</w:t>
                  </w:r>
                </w:p>
              </w:tc>
              <w:tc>
                <w:tcPr>
                  <w:tcW w:w="1114" w:type="pct"/>
                  <w:vMerge w:val="continue"/>
                  <w:vAlign w:val="center"/>
                </w:tcPr>
                <w:p w14:paraId="417BE6A2">
                  <w:pPr>
                    <w:spacing w:line="240" w:lineRule="auto"/>
                    <w:ind w:firstLine="0" w:firstLineChars="0"/>
                    <w:jc w:val="center"/>
                    <w:rPr>
                      <w:rFonts w:cs="Times New Roman"/>
                      <w:sz w:val="18"/>
                    </w:rPr>
                  </w:pPr>
                </w:p>
              </w:tc>
            </w:tr>
            <w:tr w14:paraId="75A04DD8">
              <w:trPr>
                <w:trHeight w:val="340" w:hRule="atLeast"/>
              </w:trPr>
              <w:tc>
                <w:tcPr>
                  <w:tcW w:w="348" w:type="pct"/>
                  <w:vAlign w:val="center"/>
                </w:tcPr>
                <w:p w14:paraId="77349113">
                  <w:pPr>
                    <w:spacing w:line="240" w:lineRule="auto"/>
                    <w:ind w:firstLine="0" w:firstLineChars="0"/>
                    <w:jc w:val="center"/>
                    <w:rPr>
                      <w:rFonts w:cs="Times New Roman"/>
                      <w:sz w:val="18"/>
                    </w:rPr>
                  </w:pPr>
                  <w:r>
                    <w:rPr>
                      <w:rFonts w:hint="eastAsia" w:cs="Times New Roman"/>
                      <w:sz w:val="18"/>
                    </w:rPr>
                    <w:t>8</w:t>
                  </w:r>
                </w:p>
              </w:tc>
              <w:tc>
                <w:tcPr>
                  <w:tcW w:w="758" w:type="pct"/>
                  <w:vAlign w:val="center"/>
                </w:tcPr>
                <w:p w14:paraId="36AE7579">
                  <w:pPr>
                    <w:spacing w:line="240" w:lineRule="auto"/>
                    <w:ind w:firstLine="0" w:firstLineChars="0"/>
                    <w:jc w:val="center"/>
                    <w:rPr>
                      <w:rFonts w:cs="Times New Roman"/>
                      <w:sz w:val="18"/>
                    </w:rPr>
                  </w:pPr>
                  <w:r>
                    <w:rPr>
                      <w:rFonts w:hint="eastAsia" w:cs="Times New Roman"/>
                      <w:sz w:val="18"/>
                    </w:rPr>
                    <w:t>废润滑油</w:t>
                  </w:r>
                </w:p>
              </w:tc>
              <w:tc>
                <w:tcPr>
                  <w:tcW w:w="730" w:type="pct"/>
                  <w:vAlign w:val="center"/>
                </w:tcPr>
                <w:p w14:paraId="5DDD6844">
                  <w:pPr>
                    <w:spacing w:line="240" w:lineRule="auto"/>
                    <w:ind w:firstLine="0" w:firstLineChars="0"/>
                    <w:jc w:val="center"/>
                    <w:rPr>
                      <w:rFonts w:cs="Times New Roman"/>
                      <w:sz w:val="18"/>
                    </w:rPr>
                  </w:pPr>
                  <w:r>
                    <w:rPr>
                      <w:rFonts w:hint="eastAsia" w:cs="Times New Roman"/>
                      <w:sz w:val="18"/>
                    </w:rPr>
                    <w:t>设备维护</w:t>
                  </w:r>
                </w:p>
              </w:tc>
              <w:tc>
                <w:tcPr>
                  <w:tcW w:w="392" w:type="pct"/>
                  <w:vAlign w:val="center"/>
                </w:tcPr>
                <w:p w14:paraId="11F5D338">
                  <w:pPr>
                    <w:spacing w:line="240" w:lineRule="auto"/>
                    <w:ind w:firstLine="0" w:firstLineChars="0"/>
                    <w:jc w:val="center"/>
                    <w:rPr>
                      <w:rFonts w:cs="Times New Roman"/>
                      <w:sz w:val="18"/>
                    </w:rPr>
                  </w:pPr>
                  <w:r>
                    <w:rPr>
                      <w:rFonts w:hint="eastAsia" w:cs="Times New Roman"/>
                      <w:sz w:val="18"/>
                    </w:rPr>
                    <w:t>液体</w:t>
                  </w:r>
                </w:p>
              </w:tc>
              <w:tc>
                <w:tcPr>
                  <w:tcW w:w="507" w:type="pct"/>
                  <w:vAlign w:val="center"/>
                </w:tcPr>
                <w:p w14:paraId="1EB4CF02">
                  <w:pPr>
                    <w:spacing w:line="240" w:lineRule="auto"/>
                    <w:ind w:firstLine="0" w:firstLineChars="0"/>
                    <w:jc w:val="center"/>
                    <w:rPr>
                      <w:rFonts w:cs="Times New Roman"/>
                      <w:sz w:val="18"/>
                    </w:rPr>
                  </w:pPr>
                  <w:r>
                    <w:rPr>
                      <w:rFonts w:hint="eastAsia" w:cs="Times New Roman"/>
                      <w:sz w:val="18"/>
                    </w:rPr>
                    <w:t>0.1</w:t>
                  </w:r>
                </w:p>
              </w:tc>
              <w:tc>
                <w:tcPr>
                  <w:tcW w:w="500" w:type="pct"/>
                  <w:vAlign w:val="center"/>
                </w:tcPr>
                <w:p w14:paraId="19763407">
                  <w:pPr>
                    <w:spacing w:line="240" w:lineRule="auto"/>
                    <w:ind w:firstLine="0" w:firstLineChars="0"/>
                    <w:jc w:val="center"/>
                    <w:rPr>
                      <w:rFonts w:cs="Times New Roman"/>
                      <w:sz w:val="18"/>
                    </w:rPr>
                  </w:pPr>
                  <w:r>
                    <w:rPr>
                      <w:rFonts w:cs="Times New Roman"/>
                      <w:sz w:val="18"/>
                    </w:rPr>
                    <w:t>危废</w:t>
                  </w:r>
                </w:p>
              </w:tc>
              <w:tc>
                <w:tcPr>
                  <w:tcW w:w="648" w:type="pct"/>
                  <w:vAlign w:val="center"/>
                </w:tcPr>
                <w:p w14:paraId="66B6C223">
                  <w:pPr>
                    <w:spacing w:line="240" w:lineRule="auto"/>
                    <w:ind w:firstLine="0" w:firstLineChars="0"/>
                    <w:jc w:val="center"/>
                    <w:rPr>
                      <w:rFonts w:cs="Times New Roman"/>
                      <w:sz w:val="18"/>
                    </w:rPr>
                  </w:pPr>
                  <w:r>
                    <w:rPr>
                      <w:rFonts w:cs="Times New Roman"/>
                      <w:sz w:val="18"/>
                    </w:rPr>
                    <w:t>HW08</w:t>
                  </w:r>
                </w:p>
              </w:tc>
              <w:tc>
                <w:tcPr>
                  <w:tcW w:w="1114" w:type="pct"/>
                  <w:vMerge w:val="continue"/>
                  <w:vAlign w:val="center"/>
                </w:tcPr>
                <w:p w14:paraId="0C42B181">
                  <w:pPr>
                    <w:spacing w:line="240" w:lineRule="auto"/>
                    <w:ind w:firstLine="0" w:firstLineChars="0"/>
                    <w:jc w:val="center"/>
                    <w:rPr>
                      <w:rFonts w:cs="Times New Roman"/>
                      <w:sz w:val="18"/>
                    </w:rPr>
                  </w:pPr>
                </w:p>
              </w:tc>
            </w:tr>
            <w:tr w14:paraId="6F542275">
              <w:trPr>
                <w:trHeight w:val="340" w:hRule="atLeast"/>
              </w:trPr>
              <w:tc>
                <w:tcPr>
                  <w:tcW w:w="348" w:type="pct"/>
                  <w:vAlign w:val="center"/>
                </w:tcPr>
                <w:p w14:paraId="21D74936">
                  <w:pPr>
                    <w:spacing w:line="240" w:lineRule="auto"/>
                    <w:ind w:firstLine="0" w:firstLineChars="0"/>
                    <w:jc w:val="center"/>
                    <w:rPr>
                      <w:rFonts w:cs="Times New Roman"/>
                      <w:sz w:val="18"/>
                    </w:rPr>
                  </w:pPr>
                  <w:r>
                    <w:rPr>
                      <w:rFonts w:hint="eastAsia" w:cs="Times New Roman"/>
                      <w:sz w:val="18"/>
                    </w:rPr>
                    <w:t>9</w:t>
                  </w:r>
                </w:p>
              </w:tc>
              <w:tc>
                <w:tcPr>
                  <w:tcW w:w="758" w:type="pct"/>
                  <w:vAlign w:val="center"/>
                </w:tcPr>
                <w:p w14:paraId="5B206C44">
                  <w:pPr>
                    <w:spacing w:line="240" w:lineRule="auto"/>
                    <w:ind w:firstLine="0" w:firstLineChars="0"/>
                    <w:jc w:val="center"/>
                    <w:rPr>
                      <w:rFonts w:cs="Times New Roman"/>
                      <w:sz w:val="18"/>
                    </w:rPr>
                  </w:pPr>
                  <w:r>
                    <w:rPr>
                      <w:rFonts w:hint="eastAsia" w:cs="Times New Roman"/>
                      <w:sz w:val="18"/>
                    </w:rPr>
                    <w:t>废劳保用品</w:t>
                  </w:r>
                </w:p>
              </w:tc>
              <w:tc>
                <w:tcPr>
                  <w:tcW w:w="730" w:type="pct"/>
                  <w:vAlign w:val="center"/>
                </w:tcPr>
                <w:p w14:paraId="05E649C5">
                  <w:pPr>
                    <w:spacing w:line="240" w:lineRule="auto"/>
                    <w:ind w:firstLine="0" w:firstLineChars="0"/>
                    <w:jc w:val="center"/>
                    <w:rPr>
                      <w:rFonts w:cs="Times New Roman"/>
                      <w:sz w:val="18"/>
                    </w:rPr>
                  </w:pPr>
                  <w:r>
                    <w:rPr>
                      <w:rFonts w:hint="eastAsia" w:cs="Times New Roman"/>
                      <w:sz w:val="18"/>
                    </w:rPr>
                    <w:t>生产</w:t>
                  </w:r>
                </w:p>
              </w:tc>
              <w:tc>
                <w:tcPr>
                  <w:tcW w:w="392" w:type="pct"/>
                  <w:vAlign w:val="center"/>
                </w:tcPr>
                <w:p w14:paraId="6EA8AE9B">
                  <w:pPr>
                    <w:spacing w:line="240" w:lineRule="auto"/>
                    <w:ind w:firstLine="0" w:firstLineChars="0"/>
                    <w:jc w:val="center"/>
                    <w:rPr>
                      <w:rFonts w:cs="Times New Roman"/>
                      <w:sz w:val="18"/>
                    </w:rPr>
                  </w:pPr>
                  <w:r>
                    <w:rPr>
                      <w:rFonts w:hint="eastAsia" w:cs="Times New Roman"/>
                      <w:sz w:val="18"/>
                    </w:rPr>
                    <w:t>固体</w:t>
                  </w:r>
                </w:p>
              </w:tc>
              <w:tc>
                <w:tcPr>
                  <w:tcW w:w="507" w:type="pct"/>
                  <w:vAlign w:val="center"/>
                </w:tcPr>
                <w:p w14:paraId="583F584F">
                  <w:pPr>
                    <w:spacing w:line="240" w:lineRule="auto"/>
                    <w:ind w:firstLine="0" w:firstLineChars="0"/>
                    <w:jc w:val="center"/>
                    <w:rPr>
                      <w:rFonts w:cs="Times New Roman"/>
                      <w:sz w:val="18"/>
                    </w:rPr>
                  </w:pPr>
                  <w:r>
                    <w:rPr>
                      <w:rFonts w:hint="eastAsia" w:cs="Times New Roman"/>
                      <w:sz w:val="18"/>
                    </w:rPr>
                    <w:t>0.5</w:t>
                  </w:r>
                </w:p>
              </w:tc>
              <w:tc>
                <w:tcPr>
                  <w:tcW w:w="500" w:type="pct"/>
                  <w:vAlign w:val="center"/>
                </w:tcPr>
                <w:p w14:paraId="112BAD0A">
                  <w:pPr>
                    <w:spacing w:line="240" w:lineRule="auto"/>
                    <w:ind w:firstLine="0" w:firstLineChars="0"/>
                    <w:jc w:val="center"/>
                    <w:rPr>
                      <w:rFonts w:cs="Times New Roman"/>
                      <w:sz w:val="18"/>
                    </w:rPr>
                  </w:pPr>
                  <w:r>
                    <w:rPr>
                      <w:rFonts w:cs="Times New Roman"/>
                      <w:sz w:val="18"/>
                    </w:rPr>
                    <w:t>危废</w:t>
                  </w:r>
                </w:p>
              </w:tc>
              <w:tc>
                <w:tcPr>
                  <w:tcW w:w="648" w:type="pct"/>
                  <w:vAlign w:val="center"/>
                </w:tcPr>
                <w:p w14:paraId="539A000B">
                  <w:pPr>
                    <w:spacing w:line="240" w:lineRule="auto"/>
                    <w:ind w:firstLine="0" w:firstLineChars="0"/>
                    <w:jc w:val="center"/>
                    <w:rPr>
                      <w:rFonts w:cs="Times New Roman"/>
                      <w:sz w:val="18"/>
                    </w:rPr>
                  </w:pPr>
                  <w:r>
                    <w:rPr>
                      <w:rFonts w:hint="eastAsia" w:cs="Times New Roman"/>
                      <w:sz w:val="18"/>
                    </w:rPr>
                    <w:t>HW49</w:t>
                  </w:r>
                </w:p>
              </w:tc>
              <w:tc>
                <w:tcPr>
                  <w:tcW w:w="1114" w:type="pct"/>
                  <w:vMerge w:val="continue"/>
                  <w:vAlign w:val="center"/>
                </w:tcPr>
                <w:p w14:paraId="560094AA">
                  <w:pPr>
                    <w:spacing w:line="240" w:lineRule="auto"/>
                    <w:ind w:firstLine="0" w:firstLineChars="0"/>
                    <w:jc w:val="center"/>
                    <w:rPr>
                      <w:rFonts w:cs="Times New Roman"/>
                      <w:sz w:val="18"/>
                    </w:rPr>
                  </w:pPr>
                </w:p>
              </w:tc>
            </w:tr>
            <w:tr w14:paraId="5A12303D">
              <w:trPr>
                <w:trHeight w:val="340" w:hRule="atLeast"/>
              </w:trPr>
              <w:tc>
                <w:tcPr>
                  <w:tcW w:w="348" w:type="pct"/>
                  <w:vAlign w:val="center"/>
                </w:tcPr>
                <w:p w14:paraId="09BAE781">
                  <w:pPr>
                    <w:spacing w:line="240" w:lineRule="auto"/>
                    <w:ind w:firstLine="0" w:firstLineChars="0"/>
                    <w:jc w:val="center"/>
                    <w:rPr>
                      <w:rFonts w:cs="Times New Roman"/>
                      <w:sz w:val="18"/>
                    </w:rPr>
                  </w:pPr>
                  <w:r>
                    <w:rPr>
                      <w:rFonts w:hint="eastAsia" w:cs="Times New Roman"/>
                      <w:sz w:val="18"/>
                    </w:rPr>
                    <w:t>10</w:t>
                  </w:r>
                </w:p>
              </w:tc>
              <w:tc>
                <w:tcPr>
                  <w:tcW w:w="758" w:type="pct"/>
                  <w:vAlign w:val="center"/>
                </w:tcPr>
                <w:p w14:paraId="62500339">
                  <w:pPr>
                    <w:spacing w:line="240" w:lineRule="auto"/>
                    <w:ind w:firstLine="0" w:firstLineChars="0"/>
                    <w:jc w:val="center"/>
                    <w:rPr>
                      <w:rFonts w:cs="Times New Roman"/>
                      <w:sz w:val="18"/>
                    </w:rPr>
                  </w:pPr>
                  <w:r>
                    <w:rPr>
                      <w:rFonts w:cs="Times New Roman"/>
                      <w:sz w:val="18"/>
                    </w:rPr>
                    <w:t>生活垃圾</w:t>
                  </w:r>
                </w:p>
              </w:tc>
              <w:tc>
                <w:tcPr>
                  <w:tcW w:w="730" w:type="pct"/>
                  <w:vAlign w:val="center"/>
                </w:tcPr>
                <w:p w14:paraId="329886DD">
                  <w:pPr>
                    <w:spacing w:line="240" w:lineRule="auto"/>
                    <w:ind w:firstLine="0" w:firstLineChars="0"/>
                    <w:jc w:val="center"/>
                    <w:rPr>
                      <w:rFonts w:cs="Times New Roman"/>
                      <w:sz w:val="18"/>
                    </w:rPr>
                  </w:pPr>
                  <w:r>
                    <w:rPr>
                      <w:rFonts w:cs="Times New Roman"/>
                      <w:sz w:val="18"/>
                    </w:rPr>
                    <w:t>生活、办公</w:t>
                  </w:r>
                </w:p>
              </w:tc>
              <w:tc>
                <w:tcPr>
                  <w:tcW w:w="392" w:type="pct"/>
                  <w:vAlign w:val="center"/>
                </w:tcPr>
                <w:p w14:paraId="207A8801">
                  <w:pPr>
                    <w:spacing w:line="240" w:lineRule="auto"/>
                    <w:ind w:firstLine="0" w:firstLineChars="0"/>
                    <w:jc w:val="center"/>
                    <w:rPr>
                      <w:rFonts w:cs="Times New Roman"/>
                      <w:sz w:val="18"/>
                    </w:rPr>
                  </w:pPr>
                  <w:r>
                    <w:rPr>
                      <w:rFonts w:cs="Times New Roman"/>
                      <w:sz w:val="18"/>
                    </w:rPr>
                    <w:t>固体</w:t>
                  </w:r>
                </w:p>
              </w:tc>
              <w:tc>
                <w:tcPr>
                  <w:tcW w:w="507" w:type="pct"/>
                  <w:vAlign w:val="center"/>
                </w:tcPr>
                <w:p w14:paraId="17C05F4A">
                  <w:pPr>
                    <w:spacing w:line="240" w:lineRule="auto"/>
                    <w:ind w:firstLine="0" w:firstLineChars="0"/>
                    <w:jc w:val="center"/>
                    <w:rPr>
                      <w:rFonts w:cs="Times New Roman"/>
                      <w:sz w:val="18"/>
                    </w:rPr>
                  </w:pPr>
                  <w:r>
                    <w:rPr>
                      <w:rFonts w:hint="eastAsia" w:cs="Times New Roman"/>
                      <w:sz w:val="18"/>
                    </w:rPr>
                    <w:t>10.5</w:t>
                  </w:r>
                </w:p>
              </w:tc>
              <w:tc>
                <w:tcPr>
                  <w:tcW w:w="500" w:type="pct"/>
                  <w:vAlign w:val="center"/>
                </w:tcPr>
                <w:p w14:paraId="4A1453F4">
                  <w:pPr>
                    <w:spacing w:line="240" w:lineRule="auto"/>
                    <w:ind w:firstLine="0" w:firstLineChars="0"/>
                    <w:jc w:val="center"/>
                    <w:rPr>
                      <w:rFonts w:cs="Times New Roman"/>
                      <w:sz w:val="18"/>
                    </w:rPr>
                  </w:pPr>
                  <w:r>
                    <w:rPr>
                      <w:rFonts w:cs="Times New Roman"/>
                      <w:sz w:val="18"/>
                    </w:rPr>
                    <w:t>/</w:t>
                  </w:r>
                </w:p>
              </w:tc>
              <w:tc>
                <w:tcPr>
                  <w:tcW w:w="648" w:type="pct"/>
                  <w:vAlign w:val="center"/>
                </w:tcPr>
                <w:p w14:paraId="08E588B7">
                  <w:pPr>
                    <w:spacing w:line="240" w:lineRule="auto"/>
                    <w:ind w:firstLine="0" w:firstLineChars="0"/>
                    <w:jc w:val="center"/>
                    <w:rPr>
                      <w:rFonts w:cs="Times New Roman"/>
                      <w:sz w:val="18"/>
                    </w:rPr>
                  </w:pPr>
                  <w:r>
                    <w:rPr>
                      <w:rFonts w:cs="Times New Roman"/>
                      <w:sz w:val="18"/>
                    </w:rPr>
                    <w:t>/</w:t>
                  </w:r>
                </w:p>
              </w:tc>
              <w:tc>
                <w:tcPr>
                  <w:tcW w:w="1114" w:type="pct"/>
                  <w:vAlign w:val="center"/>
                </w:tcPr>
                <w:p w14:paraId="68BA9C7C">
                  <w:pPr>
                    <w:spacing w:line="240" w:lineRule="auto"/>
                    <w:ind w:firstLine="0" w:firstLineChars="0"/>
                    <w:jc w:val="center"/>
                    <w:rPr>
                      <w:rFonts w:cs="Times New Roman"/>
                      <w:sz w:val="18"/>
                    </w:rPr>
                  </w:pPr>
                  <w:r>
                    <w:rPr>
                      <w:rFonts w:cs="Times New Roman"/>
                      <w:sz w:val="18"/>
                    </w:rPr>
                    <w:t>/</w:t>
                  </w:r>
                </w:p>
              </w:tc>
            </w:tr>
          </w:tbl>
          <w:p w14:paraId="06D18348">
            <w:pPr>
              <w:pStyle w:val="14"/>
              <w:numPr>
                <w:ilvl w:val="0"/>
                <w:numId w:val="9"/>
              </w:numPr>
              <w:tabs>
                <w:tab w:val="clear" w:pos="0"/>
              </w:tabs>
              <w:spacing w:before="156"/>
            </w:pPr>
            <w:r>
              <w:rPr>
                <w:rFonts w:hint="eastAsia"/>
              </w:rPr>
              <w:t xml:space="preserve">  本项目全厂产生的危险废弃物统计表</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983"/>
              <w:gridCol w:w="744"/>
              <w:gridCol w:w="1129"/>
              <w:gridCol w:w="792"/>
              <w:gridCol w:w="697"/>
              <w:gridCol w:w="655"/>
              <w:gridCol w:w="688"/>
              <w:gridCol w:w="828"/>
              <w:gridCol w:w="848"/>
            </w:tblGrid>
            <w:tr w14:paraId="40EA2695">
              <w:trPr>
                <w:trHeight w:val="340" w:hRule="atLeast"/>
              </w:trPr>
              <w:tc>
                <w:tcPr>
                  <w:tcW w:w="273" w:type="pct"/>
                  <w:vAlign w:val="center"/>
                </w:tcPr>
                <w:p w14:paraId="2EA622F2">
                  <w:pPr>
                    <w:spacing w:line="240" w:lineRule="auto"/>
                    <w:ind w:firstLine="0" w:firstLineChars="0"/>
                    <w:jc w:val="center"/>
                    <w:rPr>
                      <w:rFonts w:cs="Times New Roman"/>
                      <w:sz w:val="18"/>
                    </w:rPr>
                  </w:pPr>
                  <w:r>
                    <w:rPr>
                      <w:rFonts w:cs="Times New Roman"/>
                      <w:sz w:val="18"/>
                    </w:rPr>
                    <w:t>序号</w:t>
                  </w:r>
                </w:p>
              </w:tc>
              <w:tc>
                <w:tcPr>
                  <w:tcW w:w="630" w:type="pct"/>
                  <w:vAlign w:val="center"/>
                </w:tcPr>
                <w:p w14:paraId="369763D3">
                  <w:pPr>
                    <w:spacing w:line="240" w:lineRule="auto"/>
                    <w:ind w:firstLine="0" w:firstLineChars="0"/>
                    <w:jc w:val="center"/>
                    <w:rPr>
                      <w:rFonts w:cs="Times New Roman"/>
                      <w:sz w:val="18"/>
                    </w:rPr>
                  </w:pPr>
                  <w:r>
                    <w:rPr>
                      <w:rFonts w:cs="Times New Roman"/>
                      <w:sz w:val="18"/>
                    </w:rPr>
                    <w:t>名称</w:t>
                  </w:r>
                </w:p>
              </w:tc>
              <w:tc>
                <w:tcPr>
                  <w:tcW w:w="477" w:type="pct"/>
                  <w:vAlign w:val="center"/>
                </w:tcPr>
                <w:p w14:paraId="68DD5B2F">
                  <w:pPr>
                    <w:spacing w:line="240" w:lineRule="auto"/>
                    <w:ind w:firstLine="0" w:firstLineChars="0"/>
                    <w:jc w:val="center"/>
                    <w:rPr>
                      <w:rFonts w:cs="Times New Roman"/>
                      <w:sz w:val="18"/>
                    </w:rPr>
                  </w:pPr>
                  <w:r>
                    <w:rPr>
                      <w:rFonts w:cs="Times New Roman"/>
                      <w:sz w:val="18"/>
                    </w:rPr>
                    <w:t>类别</w:t>
                  </w:r>
                </w:p>
              </w:tc>
              <w:tc>
                <w:tcPr>
                  <w:tcW w:w="724" w:type="pct"/>
                  <w:vAlign w:val="center"/>
                </w:tcPr>
                <w:p w14:paraId="0F00097F">
                  <w:pPr>
                    <w:spacing w:line="240" w:lineRule="auto"/>
                    <w:ind w:firstLine="0" w:firstLineChars="0"/>
                    <w:jc w:val="center"/>
                    <w:rPr>
                      <w:rFonts w:cs="Times New Roman"/>
                      <w:sz w:val="18"/>
                    </w:rPr>
                  </w:pPr>
                  <w:r>
                    <w:rPr>
                      <w:rFonts w:cs="Times New Roman"/>
                      <w:sz w:val="18"/>
                    </w:rPr>
                    <w:t>代码</w:t>
                  </w:r>
                </w:p>
              </w:tc>
              <w:tc>
                <w:tcPr>
                  <w:tcW w:w="508" w:type="pct"/>
                  <w:vAlign w:val="center"/>
                </w:tcPr>
                <w:p w14:paraId="0F790470">
                  <w:pPr>
                    <w:spacing w:line="240" w:lineRule="auto"/>
                    <w:ind w:firstLine="0" w:firstLineChars="0"/>
                    <w:jc w:val="center"/>
                    <w:rPr>
                      <w:rFonts w:cs="Times New Roman"/>
                      <w:sz w:val="18"/>
                    </w:rPr>
                  </w:pPr>
                  <w:r>
                    <w:rPr>
                      <w:rFonts w:cs="Times New Roman"/>
                      <w:sz w:val="18"/>
                    </w:rPr>
                    <w:t>产生量（t/a）</w:t>
                  </w:r>
                </w:p>
              </w:tc>
              <w:tc>
                <w:tcPr>
                  <w:tcW w:w="447" w:type="pct"/>
                  <w:vAlign w:val="center"/>
                </w:tcPr>
                <w:p w14:paraId="30ABF21D">
                  <w:pPr>
                    <w:spacing w:line="240" w:lineRule="auto"/>
                    <w:ind w:firstLine="0" w:firstLineChars="0"/>
                    <w:jc w:val="center"/>
                    <w:rPr>
                      <w:rFonts w:cs="Times New Roman"/>
                      <w:sz w:val="18"/>
                    </w:rPr>
                  </w:pPr>
                  <w:r>
                    <w:rPr>
                      <w:rFonts w:cs="Times New Roman"/>
                      <w:sz w:val="18"/>
                    </w:rPr>
                    <w:t>有害物质</w:t>
                  </w:r>
                </w:p>
              </w:tc>
              <w:tc>
                <w:tcPr>
                  <w:tcW w:w="420" w:type="pct"/>
                  <w:vAlign w:val="center"/>
                </w:tcPr>
                <w:p w14:paraId="4F740991">
                  <w:pPr>
                    <w:spacing w:line="240" w:lineRule="auto"/>
                    <w:ind w:firstLine="0" w:firstLineChars="0"/>
                    <w:jc w:val="center"/>
                    <w:rPr>
                      <w:rFonts w:cs="Times New Roman"/>
                      <w:sz w:val="18"/>
                    </w:rPr>
                  </w:pPr>
                  <w:r>
                    <w:rPr>
                      <w:rFonts w:cs="Times New Roman"/>
                      <w:sz w:val="18"/>
                    </w:rPr>
                    <w:t>产生周期</w:t>
                  </w:r>
                </w:p>
              </w:tc>
              <w:tc>
                <w:tcPr>
                  <w:tcW w:w="441" w:type="pct"/>
                  <w:vAlign w:val="center"/>
                </w:tcPr>
                <w:p w14:paraId="319FE102">
                  <w:pPr>
                    <w:spacing w:line="240" w:lineRule="auto"/>
                    <w:ind w:firstLine="0" w:firstLineChars="0"/>
                    <w:jc w:val="center"/>
                    <w:rPr>
                      <w:rFonts w:cs="Times New Roman"/>
                      <w:sz w:val="18"/>
                    </w:rPr>
                  </w:pPr>
                  <w:r>
                    <w:rPr>
                      <w:rFonts w:cs="Times New Roman"/>
                      <w:sz w:val="18"/>
                    </w:rPr>
                    <w:t>危险特征</w:t>
                  </w:r>
                </w:p>
              </w:tc>
              <w:tc>
                <w:tcPr>
                  <w:tcW w:w="1075" w:type="pct"/>
                  <w:gridSpan w:val="2"/>
                  <w:vAlign w:val="center"/>
                </w:tcPr>
                <w:p w14:paraId="5D87E1B1">
                  <w:pPr>
                    <w:spacing w:line="240" w:lineRule="auto"/>
                    <w:ind w:firstLine="0" w:firstLineChars="0"/>
                    <w:jc w:val="center"/>
                    <w:rPr>
                      <w:rFonts w:cs="Times New Roman"/>
                      <w:sz w:val="18"/>
                    </w:rPr>
                  </w:pPr>
                  <w:r>
                    <w:rPr>
                      <w:rFonts w:cs="Times New Roman"/>
                      <w:sz w:val="18"/>
                    </w:rPr>
                    <w:t>污染防治措施</w:t>
                  </w:r>
                </w:p>
              </w:tc>
            </w:tr>
            <w:tr w14:paraId="081AE155">
              <w:trPr>
                <w:trHeight w:val="340" w:hRule="atLeast"/>
              </w:trPr>
              <w:tc>
                <w:tcPr>
                  <w:tcW w:w="273" w:type="pct"/>
                  <w:vAlign w:val="center"/>
                </w:tcPr>
                <w:p w14:paraId="71D6EF74">
                  <w:pPr>
                    <w:spacing w:line="240" w:lineRule="auto"/>
                    <w:ind w:firstLine="0" w:firstLineChars="0"/>
                    <w:jc w:val="center"/>
                    <w:rPr>
                      <w:rFonts w:cs="Times New Roman"/>
                      <w:sz w:val="18"/>
                    </w:rPr>
                  </w:pPr>
                  <w:r>
                    <w:rPr>
                      <w:rFonts w:cs="Times New Roman"/>
                      <w:sz w:val="18"/>
                    </w:rPr>
                    <w:t>1</w:t>
                  </w:r>
                </w:p>
              </w:tc>
              <w:tc>
                <w:tcPr>
                  <w:tcW w:w="630" w:type="pct"/>
                  <w:vAlign w:val="center"/>
                </w:tcPr>
                <w:p w14:paraId="5DAD205D">
                  <w:pPr>
                    <w:spacing w:line="240" w:lineRule="auto"/>
                    <w:ind w:firstLine="0" w:firstLineChars="0"/>
                    <w:jc w:val="center"/>
                    <w:rPr>
                      <w:rFonts w:cs="Times New Roman"/>
                      <w:sz w:val="18"/>
                    </w:rPr>
                  </w:pPr>
                  <w:r>
                    <w:rPr>
                      <w:rFonts w:hint="eastAsia" w:cs="Times New Roman"/>
                      <w:sz w:val="18"/>
                    </w:rPr>
                    <w:t>废活性炭</w:t>
                  </w:r>
                </w:p>
              </w:tc>
              <w:tc>
                <w:tcPr>
                  <w:tcW w:w="477" w:type="pct"/>
                  <w:vAlign w:val="center"/>
                </w:tcPr>
                <w:p w14:paraId="55BF66ED">
                  <w:pPr>
                    <w:spacing w:line="240" w:lineRule="auto"/>
                    <w:ind w:firstLine="0" w:firstLineChars="0"/>
                    <w:jc w:val="center"/>
                    <w:rPr>
                      <w:rFonts w:cs="Times New Roman"/>
                      <w:sz w:val="18"/>
                    </w:rPr>
                  </w:pPr>
                  <w:r>
                    <w:rPr>
                      <w:rFonts w:cs="Times New Roman"/>
                      <w:sz w:val="18"/>
                    </w:rPr>
                    <w:t>HW49</w:t>
                  </w:r>
                </w:p>
              </w:tc>
              <w:tc>
                <w:tcPr>
                  <w:tcW w:w="724" w:type="pct"/>
                  <w:vAlign w:val="center"/>
                </w:tcPr>
                <w:p w14:paraId="2ADC7574">
                  <w:pPr>
                    <w:spacing w:line="240" w:lineRule="auto"/>
                    <w:ind w:firstLine="0" w:firstLineChars="0"/>
                    <w:jc w:val="center"/>
                    <w:rPr>
                      <w:rFonts w:cs="Times New Roman"/>
                      <w:sz w:val="18"/>
                    </w:rPr>
                  </w:pPr>
                  <w:r>
                    <w:rPr>
                      <w:rFonts w:hint="eastAsia" w:cs="Times New Roman"/>
                      <w:sz w:val="18"/>
                    </w:rPr>
                    <w:t>9</w:t>
                  </w:r>
                  <w:r>
                    <w:rPr>
                      <w:rFonts w:cs="Times New Roman"/>
                      <w:sz w:val="18"/>
                    </w:rPr>
                    <w:t>00-039-49</w:t>
                  </w:r>
                </w:p>
              </w:tc>
              <w:tc>
                <w:tcPr>
                  <w:tcW w:w="508" w:type="pct"/>
                  <w:vAlign w:val="center"/>
                </w:tcPr>
                <w:p w14:paraId="6692B76F">
                  <w:pPr>
                    <w:spacing w:line="240" w:lineRule="auto"/>
                    <w:ind w:firstLine="0" w:firstLineChars="0"/>
                    <w:jc w:val="center"/>
                    <w:rPr>
                      <w:rFonts w:cs="Times New Roman"/>
                      <w:sz w:val="18"/>
                    </w:rPr>
                  </w:pPr>
                  <w:r>
                    <w:rPr>
                      <w:rFonts w:hint="eastAsia" w:cs="Times New Roman"/>
                      <w:sz w:val="18"/>
                    </w:rPr>
                    <w:t>15.23</w:t>
                  </w:r>
                </w:p>
              </w:tc>
              <w:tc>
                <w:tcPr>
                  <w:tcW w:w="447" w:type="pct"/>
                  <w:vMerge w:val="restart"/>
                  <w:vAlign w:val="center"/>
                </w:tcPr>
                <w:p w14:paraId="2594046D">
                  <w:pPr>
                    <w:spacing w:line="240" w:lineRule="auto"/>
                    <w:ind w:firstLine="0" w:firstLineChars="0"/>
                    <w:jc w:val="center"/>
                    <w:rPr>
                      <w:rFonts w:cs="Times New Roman"/>
                      <w:sz w:val="18"/>
                    </w:rPr>
                  </w:pPr>
                  <w:r>
                    <w:rPr>
                      <w:rFonts w:hint="eastAsia" w:cs="Times New Roman"/>
                      <w:sz w:val="18"/>
                    </w:rPr>
                    <w:t>有机物</w:t>
                  </w:r>
                </w:p>
              </w:tc>
              <w:tc>
                <w:tcPr>
                  <w:tcW w:w="420" w:type="pct"/>
                  <w:vAlign w:val="center"/>
                </w:tcPr>
                <w:p w14:paraId="3A7AA10A">
                  <w:pPr>
                    <w:spacing w:line="240" w:lineRule="auto"/>
                    <w:ind w:firstLine="0" w:firstLineChars="0"/>
                    <w:jc w:val="center"/>
                    <w:rPr>
                      <w:rFonts w:cs="Times New Roman"/>
                      <w:sz w:val="18"/>
                    </w:rPr>
                  </w:pPr>
                  <w:r>
                    <w:rPr>
                      <w:rFonts w:hint="eastAsia" w:cs="Times New Roman"/>
                      <w:sz w:val="18"/>
                    </w:rPr>
                    <w:t>月</w:t>
                  </w:r>
                </w:p>
              </w:tc>
              <w:tc>
                <w:tcPr>
                  <w:tcW w:w="441" w:type="pct"/>
                  <w:vAlign w:val="center"/>
                </w:tcPr>
                <w:p w14:paraId="0D80D580">
                  <w:pPr>
                    <w:spacing w:line="240" w:lineRule="auto"/>
                    <w:ind w:firstLine="0" w:firstLineChars="0"/>
                    <w:jc w:val="center"/>
                    <w:rPr>
                      <w:rFonts w:cs="Times New Roman"/>
                      <w:sz w:val="18"/>
                    </w:rPr>
                  </w:pPr>
                  <w:r>
                    <w:rPr>
                      <w:rFonts w:hint="eastAsia" w:cs="Times New Roman"/>
                      <w:sz w:val="18"/>
                    </w:rPr>
                    <w:t>T</w:t>
                  </w:r>
                </w:p>
              </w:tc>
              <w:tc>
                <w:tcPr>
                  <w:tcW w:w="531" w:type="pct"/>
                  <w:vMerge w:val="restart"/>
                  <w:vAlign w:val="center"/>
                </w:tcPr>
                <w:p w14:paraId="228B5350">
                  <w:pPr>
                    <w:spacing w:line="240" w:lineRule="auto"/>
                    <w:ind w:firstLine="0" w:firstLineChars="0"/>
                    <w:jc w:val="center"/>
                    <w:rPr>
                      <w:rFonts w:cs="Times New Roman"/>
                      <w:sz w:val="18"/>
                    </w:rPr>
                  </w:pPr>
                  <w:r>
                    <w:rPr>
                      <w:rFonts w:cs="Times New Roman"/>
                      <w:sz w:val="18"/>
                    </w:rPr>
                    <w:t>采用符合要求危险废物的器具盛载,并贴危废标签</w:t>
                  </w:r>
                </w:p>
              </w:tc>
              <w:tc>
                <w:tcPr>
                  <w:tcW w:w="544" w:type="pct"/>
                  <w:vMerge w:val="restart"/>
                  <w:vAlign w:val="center"/>
                </w:tcPr>
                <w:p w14:paraId="5607E64C">
                  <w:pPr>
                    <w:spacing w:line="240" w:lineRule="auto"/>
                    <w:ind w:firstLine="0" w:firstLineChars="0"/>
                    <w:jc w:val="both"/>
                    <w:rPr>
                      <w:rFonts w:cs="Times New Roman"/>
                      <w:sz w:val="18"/>
                    </w:rPr>
                  </w:pPr>
                  <w:r>
                    <w:rPr>
                      <w:rFonts w:cs="Times New Roman"/>
                      <w:sz w:val="18"/>
                    </w:rPr>
                    <w:t>置于危废暂存间，委托有资质单位处置,各类危废应分开放，并设隔断。</w:t>
                  </w:r>
                </w:p>
              </w:tc>
            </w:tr>
            <w:tr w14:paraId="306C549E">
              <w:trPr>
                <w:trHeight w:val="340" w:hRule="atLeast"/>
              </w:trPr>
              <w:tc>
                <w:tcPr>
                  <w:tcW w:w="273" w:type="pct"/>
                  <w:vAlign w:val="center"/>
                </w:tcPr>
                <w:p w14:paraId="0A4326B1">
                  <w:pPr>
                    <w:spacing w:line="240" w:lineRule="auto"/>
                    <w:ind w:firstLine="0" w:firstLineChars="0"/>
                    <w:jc w:val="center"/>
                    <w:rPr>
                      <w:rFonts w:cs="Times New Roman"/>
                      <w:sz w:val="18"/>
                    </w:rPr>
                  </w:pPr>
                  <w:r>
                    <w:rPr>
                      <w:rFonts w:hint="eastAsia" w:cs="Times New Roman"/>
                      <w:sz w:val="18"/>
                    </w:rPr>
                    <w:t>2</w:t>
                  </w:r>
                </w:p>
              </w:tc>
              <w:tc>
                <w:tcPr>
                  <w:tcW w:w="630" w:type="pct"/>
                  <w:vAlign w:val="center"/>
                </w:tcPr>
                <w:p w14:paraId="4D2FF93D">
                  <w:pPr>
                    <w:spacing w:line="240" w:lineRule="auto"/>
                    <w:ind w:firstLine="0" w:firstLineChars="0"/>
                    <w:jc w:val="center"/>
                    <w:rPr>
                      <w:rFonts w:cs="Times New Roman"/>
                      <w:sz w:val="18"/>
                    </w:rPr>
                  </w:pPr>
                  <w:r>
                    <w:rPr>
                      <w:rFonts w:hint="eastAsia" w:cs="Times New Roman"/>
                      <w:sz w:val="18"/>
                    </w:rPr>
                    <w:t>废劳保用品</w:t>
                  </w:r>
                </w:p>
              </w:tc>
              <w:tc>
                <w:tcPr>
                  <w:tcW w:w="477" w:type="pct"/>
                  <w:vAlign w:val="center"/>
                </w:tcPr>
                <w:p w14:paraId="4479880E">
                  <w:pPr>
                    <w:spacing w:line="240" w:lineRule="auto"/>
                    <w:ind w:firstLine="0" w:firstLineChars="0"/>
                    <w:jc w:val="center"/>
                    <w:rPr>
                      <w:rFonts w:cs="Times New Roman"/>
                      <w:sz w:val="18"/>
                    </w:rPr>
                  </w:pPr>
                  <w:r>
                    <w:rPr>
                      <w:rFonts w:cs="Times New Roman"/>
                      <w:sz w:val="18"/>
                    </w:rPr>
                    <w:t>HW49</w:t>
                  </w:r>
                </w:p>
              </w:tc>
              <w:tc>
                <w:tcPr>
                  <w:tcW w:w="724" w:type="pct"/>
                  <w:vAlign w:val="center"/>
                </w:tcPr>
                <w:p w14:paraId="05655456">
                  <w:pPr>
                    <w:spacing w:line="240" w:lineRule="auto"/>
                    <w:ind w:firstLine="0" w:firstLineChars="0"/>
                    <w:jc w:val="center"/>
                    <w:rPr>
                      <w:rFonts w:cs="Times New Roman"/>
                      <w:sz w:val="18"/>
                    </w:rPr>
                  </w:pPr>
                  <w:r>
                    <w:rPr>
                      <w:rFonts w:hint="eastAsia" w:cs="Times New Roman"/>
                      <w:sz w:val="18"/>
                    </w:rPr>
                    <w:t>9</w:t>
                  </w:r>
                  <w:r>
                    <w:rPr>
                      <w:rFonts w:cs="Times New Roman"/>
                      <w:sz w:val="18"/>
                    </w:rPr>
                    <w:t>00-039-49</w:t>
                  </w:r>
                </w:p>
              </w:tc>
              <w:tc>
                <w:tcPr>
                  <w:tcW w:w="508" w:type="pct"/>
                  <w:vAlign w:val="center"/>
                </w:tcPr>
                <w:p w14:paraId="1B611327">
                  <w:pPr>
                    <w:spacing w:line="240" w:lineRule="auto"/>
                    <w:ind w:firstLine="0" w:firstLineChars="0"/>
                    <w:jc w:val="center"/>
                    <w:rPr>
                      <w:rFonts w:cs="Times New Roman"/>
                      <w:sz w:val="18"/>
                    </w:rPr>
                  </w:pPr>
                  <w:r>
                    <w:rPr>
                      <w:rFonts w:hint="eastAsia" w:cs="Times New Roman"/>
                      <w:sz w:val="18"/>
                    </w:rPr>
                    <w:t>0.5</w:t>
                  </w:r>
                </w:p>
              </w:tc>
              <w:tc>
                <w:tcPr>
                  <w:tcW w:w="447" w:type="pct"/>
                  <w:vMerge w:val="continue"/>
                  <w:vAlign w:val="center"/>
                </w:tcPr>
                <w:p w14:paraId="76288393">
                  <w:pPr>
                    <w:spacing w:line="240" w:lineRule="auto"/>
                    <w:ind w:firstLine="0" w:firstLineChars="0"/>
                    <w:jc w:val="center"/>
                    <w:rPr>
                      <w:rFonts w:cs="Times New Roman"/>
                      <w:sz w:val="18"/>
                    </w:rPr>
                  </w:pPr>
                </w:p>
              </w:tc>
              <w:tc>
                <w:tcPr>
                  <w:tcW w:w="420" w:type="pct"/>
                  <w:vAlign w:val="center"/>
                </w:tcPr>
                <w:p w14:paraId="0B4C9864">
                  <w:pPr>
                    <w:spacing w:line="240" w:lineRule="auto"/>
                    <w:ind w:firstLine="0" w:firstLineChars="0"/>
                    <w:jc w:val="center"/>
                    <w:rPr>
                      <w:rFonts w:cs="Times New Roman"/>
                      <w:sz w:val="18"/>
                    </w:rPr>
                  </w:pPr>
                  <w:r>
                    <w:rPr>
                      <w:rFonts w:hint="eastAsia" w:cs="Times New Roman"/>
                      <w:sz w:val="18"/>
                    </w:rPr>
                    <w:t>日</w:t>
                  </w:r>
                </w:p>
              </w:tc>
              <w:tc>
                <w:tcPr>
                  <w:tcW w:w="441" w:type="pct"/>
                  <w:vAlign w:val="center"/>
                </w:tcPr>
                <w:p w14:paraId="147EDCB8">
                  <w:pPr>
                    <w:spacing w:line="240" w:lineRule="auto"/>
                    <w:ind w:firstLine="0" w:firstLineChars="0"/>
                    <w:jc w:val="center"/>
                    <w:rPr>
                      <w:rFonts w:cs="Times New Roman"/>
                      <w:sz w:val="18"/>
                    </w:rPr>
                  </w:pPr>
                  <w:r>
                    <w:rPr>
                      <w:rFonts w:hint="eastAsia" w:cs="Times New Roman"/>
                      <w:sz w:val="18"/>
                    </w:rPr>
                    <w:t>T/In</w:t>
                  </w:r>
                </w:p>
              </w:tc>
              <w:tc>
                <w:tcPr>
                  <w:tcW w:w="531" w:type="pct"/>
                  <w:vMerge w:val="continue"/>
                  <w:vAlign w:val="center"/>
                </w:tcPr>
                <w:p w14:paraId="61E62EA5">
                  <w:pPr>
                    <w:spacing w:line="240" w:lineRule="auto"/>
                    <w:ind w:firstLine="0" w:firstLineChars="0"/>
                    <w:jc w:val="center"/>
                    <w:rPr>
                      <w:rFonts w:cs="Times New Roman"/>
                      <w:sz w:val="18"/>
                    </w:rPr>
                  </w:pPr>
                </w:p>
              </w:tc>
              <w:tc>
                <w:tcPr>
                  <w:tcW w:w="544" w:type="pct"/>
                  <w:vMerge w:val="continue"/>
                  <w:vAlign w:val="center"/>
                </w:tcPr>
                <w:p w14:paraId="56986BCC">
                  <w:pPr>
                    <w:spacing w:line="240" w:lineRule="auto"/>
                    <w:ind w:firstLine="0" w:firstLineChars="0"/>
                    <w:jc w:val="both"/>
                    <w:rPr>
                      <w:rFonts w:cs="Times New Roman"/>
                      <w:sz w:val="18"/>
                    </w:rPr>
                  </w:pPr>
                </w:p>
              </w:tc>
            </w:tr>
            <w:tr w14:paraId="7031757D">
              <w:trPr>
                <w:trHeight w:val="340" w:hRule="atLeast"/>
              </w:trPr>
              <w:tc>
                <w:tcPr>
                  <w:tcW w:w="273" w:type="pct"/>
                  <w:vAlign w:val="center"/>
                </w:tcPr>
                <w:p w14:paraId="46F6ED44">
                  <w:pPr>
                    <w:spacing w:line="240" w:lineRule="auto"/>
                    <w:ind w:firstLine="0" w:firstLineChars="0"/>
                    <w:jc w:val="center"/>
                    <w:rPr>
                      <w:rFonts w:cs="Times New Roman"/>
                      <w:sz w:val="18"/>
                    </w:rPr>
                  </w:pPr>
                  <w:r>
                    <w:rPr>
                      <w:rFonts w:hint="eastAsia" w:cs="Times New Roman"/>
                      <w:sz w:val="18"/>
                    </w:rPr>
                    <w:t>3</w:t>
                  </w:r>
                </w:p>
              </w:tc>
              <w:tc>
                <w:tcPr>
                  <w:tcW w:w="630" w:type="pct"/>
                  <w:vAlign w:val="center"/>
                </w:tcPr>
                <w:p w14:paraId="09F92891">
                  <w:pPr>
                    <w:spacing w:line="240" w:lineRule="auto"/>
                    <w:ind w:firstLine="0" w:firstLineChars="0"/>
                    <w:jc w:val="center"/>
                    <w:rPr>
                      <w:rFonts w:cs="Times New Roman"/>
                      <w:sz w:val="18"/>
                    </w:rPr>
                  </w:pPr>
                  <w:r>
                    <w:rPr>
                      <w:rFonts w:hint="eastAsia" w:cs="Times New Roman"/>
                      <w:sz w:val="18"/>
                    </w:rPr>
                    <w:t>废过滤网</w:t>
                  </w:r>
                </w:p>
              </w:tc>
              <w:tc>
                <w:tcPr>
                  <w:tcW w:w="477" w:type="pct"/>
                  <w:vAlign w:val="center"/>
                </w:tcPr>
                <w:p w14:paraId="3695F481">
                  <w:pPr>
                    <w:spacing w:line="240" w:lineRule="auto"/>
                    <w:ind w:firstLine="0" w:firstLineChars="0"/>
                    <w:jc w:val="center"/>
                    <w:rPr>
                      <w:rFonts w:cs="Times New Roman"/>
                      <w:sz w:val="18"/>
                    </w:rPr>
                  </w:pPr>
                  <w:r>
                    <w:rPr>
                      <w:rFonts w:cs="Times New Roman"/>
                      <w:sz w:val="18"/>
                    </w:rPr>
                    <w:t>HW49</w:t>
                  </w:r>
                </w:p>
              </w:tc>
              <w:tc>
                <w:tcPr>
                  <w:tcW w:w="724" w:type="pct"/>
                  <w:vAlign w:val="center"/>
                </w:tcPr>
                <w:p w14:paraId="31D1CAB0">
                  <w:pPr>
                    <w:spacing w:line="240" w:lineRule="auto"/>
                    <w:ind w:firstLine="0" w:firstLineChars="0"/>
                    <w:jc w:val="center"/>
                    <w:rPr>
                      <w:rFonts w:cs="Times New Roman"/>
                      <w:sz w:val="18"/>
                    </w:rPr>
                  </w:pPr>
                  <w:r>
                    <w:rPr>
                      <w:rFonts w:hint="eastAsia" w:cs="Times New Roman"/>
                      <w:sz w:val="18"/>
                    </w:rPr>
                    <w:t>9</w:t>
                  </w:r>
                  <w:r>
                    <w:rPr>
                      <w:rFonts w:cs="Times New Roman"/>
                      <w:sz w:val="18"/>
                    </w:rPr>
                    <w:t>00-0</w:t>
                  </w:r>
                  <w:r>
                    <w:rPr>
                      <w:rFonts w:hint="eastAsia" w:cs="Times New Roman"/>
                      <w:sz w:val="18"/>
                    </w:rPr>
                    <w:t>41</w:t>
                  </w:r>
                  <w:r>
                    <w:rPr>
                      <w:rFonts w:cs="Times New Roman"/>
                      <w:sz w:val="18"/>
                    </w:rPr>
                    <w:t>-49</w:t>
                  </w:r>
                </w:p>
              </w:tc>
              <w:tc>
                <w:tcPr>
                  <w:tcW w:w="508" w:type="pct"/>
                  <w:vAlign w:val="center"/>
                </w:tcPr>
                <w:p w14:paraId="585982E6">
                  <w:pPr>
                    <w:spacing w:line="240" w:lineRule="auto"/>
                    <w:ind w:firstLine="0" w:firstLineChars="0"/>
                    <w:jc w:val="center"/>
                    <w:rPr>
                      <w:rFonts w:cs="Times New Roman"/>
                      <w:sz w:val="18"/>
                    </w:rPr>
                  </w:pPr>
                  <w:r>
                    <w:rPr>
                      <w:rFonts w:hint="eastAsia" w:cs="Times New Roman"/>
                      <w:sz w:val="18"/>
                    </w:rPr>
                    <w:t>0.01</w:t>
                  </w:r>
                </w:p>
              </w:tc>
              <w:tc>
                <w:tcPr>
                  <w:tcW w:w="447" w:type="pct"/>
                  <w:vMerge w:val="continue"/>
                  <w:vAlign w:val="center"/>
                </w:tcPr>
                <w:p w14:paraId="7CFF9DE6">
                  <w:pPr>
                    <w:spacing w:line="240" w:lineRule="auto"/>
                    <w:ind w:firstLine="0" w:firstLineChars="0"/>
                    <w:jc w:val="center"/>
                    <w:rPr>
                      <w:rFonts w:cs="Times New Roman"/>
                      <w:sz w:val="18"/>
                    </w:rPr>
                  </w:pPr>
                </w:p>
              </w:tc>
              <w:tc>
                <w:tcPr>
                  <w:tcW w:w="420" w:type="pct"/>
                  <w:vAlign w:val="center"/>
                </w:tcPr>
                <w:p w14:paraId="7559736B">
                  <w:pPr>
                    <w:spacing w:line="240" w:lineRule="auto"/>
                    <w:ind w:firstLine="0" w:firstLineChars="0"/>
                    <w:jc w:val="center"/>
                    <w:rPr>
                      <w:rFonts w:cs="Times New Roman"/>
                      <w:sz w:val="18"/>
                    </w:rPr>
                  </w:pPr>
                  <w:r>
                    <w:rPr>
                      <w:rFonts w:hint="eastAsia" w:cs="Times New Roman"/>
                      <w:sz w:val="18"/>
                    </w:rPr>
                    <w:t>月</w:t>
                  </w:r>
                </w:p>
              </w:tc>
              <w:tc>
                <w:tcPr>
                  <w:tcW w:w="441" w:type="pct"/>
                  <w:vAlign w:val="center"/>
                </w:tcPr>
                <w:p w14:paraId="03ADBB3F">
                  <w:pPr>
                    <w:spacing w:line="240" w:lineRule="auto"/>
                    <w:ind w:firstLine="0" w:firstLineChars="0"/>
                    <w:jc w:val="center"/>
                    <w:rPr>
                      <w:rFonts w:cs="Times New Roman"/>
                      <w:sz w:val="18"/>
                    </w:rPr>
                  </w:pPr>
                  <w:r>
                    <w:rPr>
                      <w:rFonts w:hint="eastAsia" w:cs="Times New Roman"/>
                      <w:sz w:val="18"/>
                    </w:rPr>
                    <w:t>T/In</w:t>
                  </w:r>
                </w:p>
              </w:tc>
              <w:tc>
                <w:tcPr>
                  <w:tcW w:w="531" w:type="pct"/>
                  <w:vMerge w:val="continue"/>
                  <w:vAlign w:val="center"/>
                </w:tcPr>
                <w:p w14:paraId="3AF51E9A">
                  <w:pPr>
                    <w:spacing w:line="240" w:lineRule="auto"/>
                    <w:ind w:firstLine="0" w:firstLineChars="0"/>
                    <w:jc w:val="center"/>
                    <w:rPr>
                      <w:rFonts w:cs="Times New Roman"/>
                      <w:sz w:val="18"/>
                    </w:rPr>
                  </w:pPr>
                </w:p>
              </w:tc>
              <w:tc>
                <w:tcPr>
                  <w:tcW w:w="544" w:type="pct"/>
                  <w:vMerge w:val="continue"/>
                  <w:vAlign w:val="center"/>
                </w:tcPr>
                <w:p w14:paraId="68A3D50E">
                  <w:pPr>
                    <w:spacing w:line="240" w:lineRule="auto"/>
                    <w:ind w:firstLine="0" w:firstLineChars="0"/>
                    <w:jc w:val="both"/>
                    <w:rPr>
                      <w:rFonts w:cs="Times New Roman"/>
                      <w:sz w:val="18"/>
                    </w:rPr>
                  </w:pPr>
                </w:p>
              </w:tc>
            </w:tr>
            <w:tr w14:paraId="5ED7A2B1">
              <w:trPr>
                <w:trHeight w:val="340" w:hRule="atLeast"/>
              </w:trPr>
              <w:tc>
                <w:tcPr>
                  <w:tcW w:w="273" w:type="pct"/>
                  <w:vAlign w:val="center"/>
                </w:tcPr>
                <w:p w14:paraId="347542D5">
                  <w:pPr>
                    <w:spacing w:line="240" w:lineRule="auto"/>
                    <w:ind w:firstLine="0" w:firstLineChars="0"/>
                    <w:jc w:val="center"/>
                    <w:rPr>
                      <w:rFonts w:cs="Times New Roman"/>
                      <w:sz w:val="18"/>
                    </w:rPr>
                  </w:pPr>
                  <w:r>
                    <w:rPr>
                      <w:rFonts w:hint="eastAsia" w:cs="Times New Roman"/>
                      <w:sz w:val="18"/>
                    </w:rPr>
                    <w:t>4</w:t>
                  </w:r>
                </w:p>
              </w:tc>
              <w:tc>
                <w:tcPr>
                  <w:tcW w:w="630" w:type="pct"/>
                  <w:vAlign w:val="center"/>
                </w:tcPr>
                <w:p w14:paraId="1191BA20">
                  <w:pPr>
                    <w:spacing w:line="240" w:lineRule="auto"/>
                    <w:ind w:firstLine="0" w:firstLineChars="0"/>
                    <w:jc w:val="center"/>
                    <w:rPr>
                      <w:rFonts w:cs="Times New Roman"/>
                      <w:sz w:val="18"/>
                    </w:rPr>
                  </w:pPr>
                  <w:r>
                    <w:rPr>
                      <w:rFonts w:hint="eastAsia" w:cs="Times New Roman"/>
                      <w:sz w:val="18"/>
                    </w:rPr>
                    <w:t>废油桶</w:t>
                  </w:r>
                </w:p>
              </w:tc>
              <w:tc>
                <w:tcPr>
                  <w:tcW w:w="477" w:type="pct"/>
                  <w:vAlign w:val="center"/>
                </w:tcPr>
                <w:p w14:paraId="1E9E21D0">
                  <w:pPr>
                    <w:spacing w:line="240" w:lineRule="auto"/>
                    <w:ind w:firstLine="0" w:firstLineChars="0"/>
                    <w:jc w:val="center"/>
                    <w:rPr>
                      <w:rFonts w:cs="Times New Roman"/>
                      <w:sz w:val="18"/>
                    </w:rPr>
                  </w:pPr>
                  <w:r>
                    <w:rPr>
                      <w:rFonts w:cs="Times New Roman"/>
                      <w:sz w:val="18"/>
                    </w:rPr>
                    <w:t>HW08</w:t>
                  </w:r>
                </w:p>
              </w:tc>
              <w:tc>
                <w:tcPr>
                  <w:tcW w:w="724" w:type="pct"/>
                  <w:vAlign w:val="center"/>
                </w:tcPr>
                <w:p w14:paraId="3383E747">
                  <w:pPr>
                    <w:spacing w:line="240" w:lineRule="auto"/>
                    <w:ind w:firstLine="0" w:firstLineChars="0"/>
                    <w:jc w:val="center"/>
                    <w:rPr>
                      <w:rFonts w:cs="Times New Roman"/>
                      <w:sz w:val="18"/>
                    </w:rPr>
                  </w:pPr>
                  <w:r>
                    <w:rPr>
                      <w:rFonts w:hint="eastAsia" w:cs="Times New Roman"/>
                      <w:sz w:val="18"/>
                    </w:rPr>
                    <w:t>900-249-08</w:t>
                  </w:r>
                </w:p>
              </w:tc>
              <w:tc>
                <w:tcPr>
                  <w:tcW w:w="508" w:type="pct"/>
                  <w:vAlign w:val="center"/>
                </w:tcPr>
                <w:p w14:paraId="664C69E7">
                  <w:pPr>
                    <w:spacing w:line="240" w:lineRule="auto"/>
                    <w:ind w:firstLine="0" w:firstLineChars="0"/>
                    <w:jc w:val="center"/>
                    <w:rPr>
                      <w:rFonts w:cs="Times New Roman"/>
                      <w:sz w:val="18"/>
                    </w:rPr>
                  </w:pPr>
                  <w:r>
                    <w:rPr>
                      <w:rFonts w:hint="eastAsia" w:cs="Times New Roman"/>
                      <w:sz w:val="18"/>
                    </w:rPr>
                    <w:t>0.002</w:t>
                  </w:r>
                </w:p>
              </w:tc>
              <w:tc>
                <w:tcPr>
                  <w:tcW w:w="447" w:type="pct"/>
                  <w:vMerge w:val="restart"/>
                  <w:vAlign w:val="center"/>
                </w:tcPr>
                <w:p w14:paraId="1C87BE54">
                  <w:pPr>
                    <w:spacing w:line="240" w:lineRule="auto"/>
                    <w:ind w:firstLine="0" w:firstLineChars="0"/>
                    <w:jc w:val="center"/>
                    <w:rPr>
                      <w:rFonts w:cs="Times New Roman"/>
                      <w:sz w:val="18"/>
                    </w:rPr>
                  </w:pPr>
                  <w:r>
                    <w:rPr>
                      <w:rFonts w:hint="eastAsia" w:cs="Times New Roman"/>
                      <w:sz w:val="18"/>
                    </w:rPr>
                    <w:t>油类物质</w:t>
                  </w:r>
                </w:p>
              </w:tc>
              <w:tc>
                <w:tcPr>
                  <w:tcW w:w="420" w:type="pct"/>
                  <w:vAlign w:val="center"/>
                </w:tcPr>
                <w:p w14:paraId="1E9D5636">
                  <w:pPr>
                    <w:spacing w:line="240" w:lineRule="auto"/>
                    <w:ind w:firstLine="0" w:firstLineChars="0"/>
                    <w:jc w:val="center"/>
                    <w:rPr>
                      <w:rFonts w:cs="Times New Roman"/>
                      <w:sz w:val="18"/>
                    </w:rPr>
                  </w:pPr>
                  <w:r>
                    <w:rPr>
                      <w:rFonts w:hint="eastAsia" w:cs="Times New Roman"/>
                      <w:sz w:val="18"/>
                    </w:rPr>
                    <w:t>月</w:t>
                  </w:r>
                </w:p>
              </w:tc>
              <w:tc>
                <w:tcPr>
                  <w:tcW w:w="441" w:type="pct"/>
                  <w:vAlign w:val="center"/>
                </w:tcPr>
                <w:p w14:paraId="15012A37">
                  <w:pPr>
                    <w:spacing w:line="240" w:lineRule="auto"/>
                    <w:ind w:firstLine="0" w:firstLineChars="0"/>
                    <w:jc w:val="center"/>
                    <w:rPr>
                      <w:rFonts w:cs="Times New Roman"/>
                      <w:sz w:val="18"/>
                    </w:rPr>
                  </w:pPr>
                  <w:r>
                    <w:rPr>
                      <w:rFonts w:hint="eastAsia" w:cs="Times New Roman"/>
                      <w:sz w:val="18"/>
                    </w:rPr>
                    <w:t>T，I</w:t>
                  </w:r>
                </w:p>
              </w:tc>
              <w:tc>
                <w:tcPr>
                  <w:tcW w:w="531" w:type="pct"/>
                  <w:vMerge w:val="continue"/>
                  <w:vAlign w:val="center"/>
                </w:tcPr>
                <w:p w14:paraId="68BD363A">
                  <w:pPr>
                    <w:spacing w:line="240" w:lineRule="auto"/>
                    <w:ind w:firstLine="0" w:firstLineChars="0"/>
                    <w:jc w:val="center"/>
                    <w:rPr>
                      <w:rFonts w:cs="Times New Roman"/>
                      <w:sz w:val="18"/>
                    </w:rPr>
                  </w:pPr>
                </w:p>
              </w:tc>
              <w:tc>
                <w:tcPr>
                  <w:tcW w:w="544" w:type="pct"/>
                  <w:vMerge w:val="continue"/>
                  <w:vAlign w:val="center"/>
                </w:tcPr>
                <w:p w14:paraId="3DD63C64">
                  <w:pPr>
                    <w:spacing w:line="240" w:lineRule="auto"/>
                    <w:ind w:firstLine="0" w:firstLineChars="0"/>
                    <w:jc w:val="center"/>
                    <w:rPr>
                      <w:rFonts w:cs="Times New Roman"/>
                      <w:sz w:val="18"/>
                    </w:rPr>
                  </w:pPr>
                </w:p>
              </w:tc>
            </w:tr>
            <w:tr w14:paraId="1FAA3E19">
              <w:trPr>
                <w:trHeight w:val="340" w:hRule="atLeast"/>
              </w:trPr>
              <w:tc>
                <w:tcPr>
                  <w:tcW w:w="273" w:type="pct"/>
                  <w:vAlign w:val="center"/>
                </w:tcPr>
                <w:p w14:paraId="11893C64">
                  <w:pPr>
                    <w:spacing w:line="240" w:lineRule="auto"/>
                    <w:ind w:firstLine="0" w:firstLineChars="0"/>
                    <w:jc w:val="center"/>
                    <w:rPr>
                      <w:rFonts w:cs="Times New Roman"/>
                      <w:sz w:val="18"/>
                    </w:rPr>
                  </w:pPr>
                  <w:r>
                    <w:rPr>
                      <w:rFonts w:hint="eastAsia" w:cs="Times New Roman"/>
                      <w:sz w:val="18"/>
                    </w:rPr>
                    <w:t>5</w:t>
                  </w:r>
                </w:p>
              </w:tc>
              <w:tc>
                <w:tcPr>
                  <w:tcW w:w="630" w:type="pct"/>
                  <w:vAlign w:val="center"/>
                </w:tcPr>
                <w:p w14:paraId="58DE84DE">
                  <w:pPr>
                    <w:spacing w:line="240" w:lineRule="auto"/>
                    <w:ind w:firstLine="0" w:firstLineChars="0"/>
                    <w:jc w:val="center"/>
                    <w:rPr>
                      <w:rFonts w:cs="Times New Roman"/>
                      <w:sz w:val="18"/>
                    </w:rPr>
                  </w:pPr>
                  <w:r>
                    <w:rPr>
                      <w:rFonts w:hint="eastAsia" w:cs="Times New Roman"/>
                      <w:sz w:val="18"/>
                    </w:rPr>
                    <w:t>废润滑油</w:t>
                  </w:r>
                </w:p>
              </w:tc>
              <w:tc>
                <w:tcPr>
                  <w:tcW w:w="477" w:type="pct"/>
                  <w:vAlign w:val="center"/>
                </w:tcPr>
                <w:p w14:paraId="6B9C2FDB">
                  <w:pPr>
                    <w:spacing w:line="240" w:lineRule="auto"/>
                    <w:ind w:firstLine="0" w:firstLineChars="0"/>
                    <w:jc w:val="center"/>
                    <w:rPr>
                      <w:rFonts w:cs="Times New Roman"/>
                      <w:sz w:val="18"/>
                    </w:rPr>
                  </w:pPr>
                  <w:r>
                    <w:rPr>
                      <w:rFonts w:cs="Times New Roman"/>
                      <w:sz w:val="18"/>
                    </w:rPr>
                    <w:t>HW08</w:t>
                  </w:r>
                </w:p>
              </w:tc>
              <w:tc>
                <w:tcPr>
                  <w:tcW w:w="724" w:type="pct"/>
                  <w:vAlign w:val="center"/>
                </w:tcPr>
                <w:p w14:paraId="61E4E462">
                  <w:pPr>
                    <w:spacing w:line="240" w:lineRule="auto"/>
                    <w:ind w:firstLine="0" w:firstLineChars="0"/>
                    <w:jc w:val="center"/>
                    <w:rPr>
                      <w:rFonts w:cs="Times New Roman"/>
                      <w:sz w:val="18"/>
                    </w:rPr>
                  </w:pPr>
                  <w:r>
                    <w:rPr>
                      <w:rFonts w:hint="eastAsia" w:cs="Times New Roman"/>
                      <w:sz w:val="18"/>
                    </w:rPr>
                    <w:t>900-217-08</w:t>
                  </w:r>
                </w:p>
              </w:tc>
              <w:tc>
                <w:tcPr>
                  <w:tcW w:w="508" w:type="pct"/>
                  <w:vAlign w:val="center"/>
                </w:tcPr>
                <w:p w14:paraId="251A7F4F">
                  <w:pPr>
                    <w:spacing w:line="240" w:lineRule="auto"/>
                    <w:ind w:firstLine="0" w:firstLineChars="0"/>
                    <w:jc w:val="center"/>
                    <w:rPr>
                      <w:rFonts w:cs="Times New Roman"/>
                      <w:sz w:val="18"/>
                    </w:rPr>
                  </w:pPr>
                  <w:r>
                    <w:rPr>
                      <w:rFonts w:hint="eastAsia" w:cs="Times New Roman"/>
                      <w:sz w:val="18"/>
                    </w:rPr>
                    <w:t>0.1</w:t>
                  </w:r>
                </w:p>
              </w:tc>
              <w:tc>
                <w:tcPr>
                  <w:tcW w:w="447" w:type="pct"/>
                  <w:vMerge w:val="continue"/>
                  <w:vAlign w:val="center"/>
                </w:tcPr>
                <w:p w14:paraId="0492CF45">
                  <w:pPr>
                    <w:spacing w:line="240" w:lineRule="auto"/>
                    <w:ind w:firstLine="0" w:firstLineChars="0"/>
                    <w:jc w:val="center"/>
                    <w:rPr>
                      <w:rFonts w:cs="Times New Roman"/>
                      <w:sz w:val="18"/>
                    </w:rPr>
                  </w:pPr>
                </w:p>
              </w:tc>
              <w:tc>
                <w:tcPr>
                  <w:tcW w:w="420" w:type="pct"/>
                  <w:vAlign w:val="center"/>
                </w:tcPr>
                <w:p w14:paraId="0F264E2E">
                  <w:pPr>
                    <w:spacing w:line="240" w:lineRule="auto"/>
                    <w:ind w:firstLine="0" w:firstLineChars="0"/>
                    <w:jc w:val="center"/>
                    <w:rPr>
                      <w:rFonts w:cs="Times New Roman"/>
                      <w:sz w:val="18"/>
                    </w:rPr>
                  </w:pPr>
                  <w:r>
                    <w:rPr>
                      <w:rFonts w:hint="eastAsia" w:cs="Times New Roman"/>
                      <w:sz w:val="18"/>
                    </w:rPr>
                    <w:t>半年</w:t>
                  </w:r>
                </w:p>
              </w:tc>
              <w:tc>
                <w:tcPr>
                  <w:tcW w:w="441" w:type="pct"/>
                  <w:vAlign w:val="center"/>
                </w:tcPr>
                <w:p w14:paraId="4B91F275">
                  <w:pPr>
                    <w:spacing w:line="240" w:lineRule="auto"/>
                    <w:ind w:firstLine="0" w:firstLineChars="0"/>
                    <w:jc w:val="center"/>
                    <w:rPr>
                      <w:rFonts w:cs="Times New Roman"/>
                      <w:sz w:val="18"/>
                    </w:rPr>
                  </w:pPr>
                  <w:r>
                    <w:rPr>
                      <w:rFonts w:hint="eastAsia" w:cs="Times New Roman"/>
                      <w:sz w:val="18"/>
                    </w:rPr>
                    <w:t>T，I</w:t>
                  </w:r>
                </w:p>
              </w:tc>
              <w:tc>
                <w:tcPr>
                  <w:tcW w:w="531" w:type="pct"/>
                  <w:vMerge w:val="continue"/>
                  <w:vAlign w:val="center"/>
                </w:tcPr>
                <w:p w14:paraId="390F51BD">
                  <w:pPr>
                    <w:spacing w:line="240" w:lineRule="auto"/>
                    <w:ind w:firstLine="0" w:firstLineChars="0"/>
                    <w:jc w:val="center"/>
                    <w:rPr>
                      <w:rFonts w:cs="Times New Roman"/>
                      <w:sz w:val="18"/>
                    </w:rPr>
                  </w:pPr>
                </w:p>
              </w:tc>
              <w:tc>
                <w:tcPr>
                  <w:tcW w:w="544" w:type="pct"/>
                  <w:vMerge w:val="continue"/>
                  <w:vAlign w:val="center"/>
                </w:tcPr>
                <w:p w14:paraId="1BBF9455">
                  <w:pPr>
                    <w:spacing w:line="240" w:lineRule="auto"/>
                    <w:ind w:firstLine="0" w:firstLineChars="0"/>
                    <w:jc w:val="center"/>
                    <w:rPr>
                      <w:rFonts w:cs="Times New Roman"/>
                      <w:sz w:val="18"/>
                    </w:rPr>
                  </w:pPr>
                </w:p>
              </w:tc>
            </w:tr>
          </w:tbl>
          <w:p w14:paraId="611D07EB">
            <w:pPr>
              <w:pStyle w:val="2"/>
              <w:jc w:val="both"/>
            </w:pPr>
          </w:p>
          <w:p w14:paraId="31C59D1C">
            <w:pPr>
              <w:ind w:firstLine="480"/>
              <w:jc w:val="both"/>
              <w:rPr>
                <w:rFonts w:cs="Times New Roman"/>
                <w:szCs w:val="24"/>
              </w:rPr>
            </w:pPr>
            <w:r>
              <w:rPr>
                <w:rFonts w:hint="eastAsia" w:cs="Times New Roman"/>
                <w:szCs w:val="24"/>
              </w:rPr>
              <w:t>2、</w:t>
            </w:r>
            <w:r>
              <w:rPr>
                <w:rFonts w:cs="Times New Roman"/>
                <w:szCs w:val="24"/>
              </w:rPr>
              <w:t>固体废物临时贮存设施的管理要求</w:t>
            </w:r>
          </w:p>
          <w:p w14:paraId="052913BE">
            <w:pPr>
              <w:ind w:firstLine="480"/>
              <w:jc w:val="both"/>
              <w:rPr>
                <w:rFonts w:cs="Times New Roman"/>
                <w:szCs w:val="24"/>
              </w:rPr>
            </w:pPr>
            <w:r>
              <w:rPr>
                <w:rFonts w:hint="eastAsia" w:ascii="宋体" w:hAnsi="宋体" w:cs="宋体"/>
                <w:szCs w:val="24"/>
              </w:rPr>
              <w:t>①</w:t>
            </w:r>
            <w:r>
              <w:rPr>
                <w:rFonts w:cs="Times New Roman"/>
                <w:szCs w:val="24"/>
              </w:rPr>
              <w:t>一般工业固废</w:t>
            </w:r>
          </w:p>
          <w:p w14:paraId="13E707F7">
            <w:pPr>
              <w:ind w:firstLine="480"/>
              <w:jc w:val="both"/>
              <w:rPr>
                <w:rFonts w:cs="Times New Roman"/>
                <w:szCs w:val="24"/>
              </w:rPr>
            </w:pPr>
            <w:r>
              <w:rPr>
                <w:rFonts w:cs="Times New Roman"/>
                <w:szCs w:val="24"/>
              </w:rPr>
              <w:t>本项目一般工业固体废物主要为</w:t>
            </w:r>
            <w:r>
              <w:rPr>
                <w:rFonts w:hint="eastAsia" w:cs="Times New Roman"/>
                <w:szCs w:val="24"/>
              </w:rPr>
              <w:t>废边角料、废包装袋</w:t>
            </w:r>
            <w:r>
              <w:rPr>
                <w:rFonts w:cs="Times New Roman"/>
                <w:szCs w:val="24"/>
              </w:rPr>
              <w:t>，</w:t>
            </w:r>
            <w:r>
              <w:rPr>
                <w:rFonts w:hint="eastAsia" w:cs="Times New Roman"/>
                <w:szCs w:val="24"/>
              </w:rPr>
              <w:t>其中废边角料经破碎机破碎后全部回用；废包装袋</w:t>
            </w:r>
            <w:r>
              <w:rPr>
                <w:rFonts w:cs="Times New Roman"/>
                <w:szCs w:val="24"/>
              </w:rPr>
              <w:t>定期</w:t>
            </w:r>
            <w:r>
              <w:rPr>
                <w:rFonts w:hint="eastAsia" w:cs="Times New Roman"/>
                <w:szCs w:val="24"/>
              </w:rPr>
              <w:t>收集</w:t>
            </w:r>
            <w:r>
              <w:rPr>
                <w:rFonts w:cs="Times New Roman"/>
                <w:szCs w:val="24"/>
              </w:rPr>
              <w:t>后</w:t>
            </w:r>
            <w:r>
              <w:rPr>
                <w:rFonts w:hint="eastAsia" w:cs="Times New Roman"/>
                <w:szCs w:val="24"/>
              </w:rPr>
              <w:t>外售综合利用</w:t>
            </w:r>
            <w:r>
              <w:rPr>
                <w:rFonts w:cs="Times New Roman"/>
                <w:szCs w:val="24"/>
              </w:rPr>
              <w:t>。</w:t>
            </w:r>
          </w:p>
          <w:p w14:paraId="21293B17">
            <w:pPr>
              <w:ind w:firstLine="480"/>
              <w:jc w:val="both"/>
              <w:rPr>
                <w:rFonts w:cs="Times New Roman"/>
                <w:szCs w:val="24"/>
              </w:rPr>
            </w:pPr>
            <w:r>
              <w:rPr>
                <w:rFonts w:hint="eastAsia" w:ascii="宋体" w:hAnsi="宋体" w:cs="宋体"/>
                <w:szCs w:val="24"/>
              </w:rPr>
              <w:t>②</w:t>
            </w:r>
            <w:r>
              <w:rPr>
                <w:rFonts w:cs="Times New Roman"/>
                <w:szCs w:val="24"/>
              </w:rPr>
              <w:t>生活垃圾</w:t>
            </w:r>
          </w:p>
          <w:p w14:paraId="45CCA936">
            <w:pPr>
              <w:ind w:firstLine="480"/>
              <w:jc w:val="both"/>
              <w:rPr>
                <w:rFonts w:cs="Times New Roman"/>
                <w:szCs w:val="24"/>
              </w:rPr>
            </w:pPr>
            <w:r>
              <w:rPr>
                <w:rFonts w:cs="Times New Roman"/>
                <w:szCs w:val="24"/>
              </w:rPr>
              <w:t>生活垃圾经在厂内设垃圾收集桶</w:t>
            </w:r>
            <w:r>
              <w:rPr>
                <w:rFonts w:hint="eastAsia" w:cs="Times New Roman"/>
                <w:szCs w:val="24"/>
              </w:rPr>
              <w:t>，</w:t>
            </w:r>
            <w:r>
              <w:rPr>
                <w:rFonts w:cs="Times New Roman"/>
                <w:szCs w:val="24"/>
              </w:rPr>
              <w:t>由环卫部门清运。</w:t>
            </w:r>
          </w:p>
          <w:p w14:paraId="57845DDF">
            <w:pPr>
              <w:ind w:firstLine="480"/>
              <w:jc w:val="both"/>
              <w:rPr>
                <w:rFonts w:cs="Times New Roman"/>
                <w:szCs w:val="24"/>
              </w:rPr>
            </w:pPr>
            <w:r>
              <w:rPr>
                <w:rFonts w:hint="eastAsia" w:ascii="宋体" w:hAnsi="宋体" w:cs="宋体"/>
                <w:szCs w:val="24"/>
              </w:rPr>
              <w:t>③</w:t>
            </w:r>
            <w:r>
              <w:rPr>
                <w:rFonts w:cs="Times New Roman"/>
                <w:szCs w:val="24"/>
              </w:rPr>
              <w:t>危险固废</w:t>
            </w:r>
          </w:p>
          <w:p w14:paraId="0C122B60">
            <w:pPr>
              <w:ind w:firstLine="480"/>
              <w:jc w:val="both"/>
              <w:rPr>
                <w:rFonts w:cs="Times New Roman"/>
                <w:szCs w:val="24"/>
              </w:rPr>
            </w:pPr>
            <w:r>
              <w:rPr>
                <w:rFonts w:cs="Times New Roman"/>
                <w:szCs w:val="24"/>
              </w:rPr>
              <w:t>A、环境影响分析</w:t>
            </w:r>
          </w:p>
          <w:p w14:paraId="3016C2EA">
            <w:pPr>
              <w:ind w:firstLine="480"/>
              <w:jc w:val="both"/>
              <w:rPr>
                <w:rFonts w:cs="Times New Roman"/>
                <w:szCs w:val="24"/>
              </w:rPr>
            </w:pPr>
            <w:r>
              <w:rPr>
                <w:rFonts w:cs="Times New Roman"/>
                <w:szCs w:val="24"/>
              </w:rPr>
              <w:t>I、危险废物贮存场所(设施)</w:t>
            </w:r>
          </w:p>
          <w:p w14:paraId="744057F5">
            <w:pPr>
              <w:ind w:firstLine="480"/>
              <w:jc w:val="both"/>
              <w:rPr>
                <w:rFonts w:cs="Times New Roman"/>
                <w:szCs w:val="24"/>
              </w:rPr>
            </w:pPr>
            <w:r>
              <w:rPr>
                <w:rFonts w:cs="Times New Roman"/>
                <w:szCs w:val="24"/>
              </w:rPr>
              <w:t>本项目危废暂存于</w:t>
            </w:r>
            <w:r>
              <w:rPr>
                <w:rFonts w:hint="eastAsia" w:cs="Times New Roman"/>
                <w:szCs w:val="24"/>
              </w:rPr>
              <w:t>厂区现有</w:t>
            </w:r>
            <w:r>
              <w:rPr>
                <w:rFonts w:cs="Times New Roman"/>
                <w:szCs w:val="24"/>
              </w:rPr>
              <w:t>危废库，</w:t>
            </w:r>
            <w:r>
              <w:rPr>
                <w:rFonts w:hint="eastAsia" w:cs="Times New Roman"/>
                <w:szCs w:val="24"/>
              </w:rPr>
              <w:t>总</w:t>
            </w:r>
            <w:r>
              <w:rPr>
                <w:rFonts w:cs="Times New Roman"/>
                <w:szCs w:val="24"/>
              </w:rPr>
              <w:t>面积约</w:t>
            </w:r>
            <w:r>
              <w:rPr>
                <w:rFonts w:hint="eastAsia" w:cs="Times New Roman"/>
                <w:szCs w:val="24"/>
              </w:rPr>
              <w:t>10</w:t>
            </w:r>
            <w:r>
              <w:rPr>
                <w:rFonts w:cs="Times New Roman"/>
                <w:szCs w:val="24"/>
              </w:rPr>
              <w:t>m</w:t>
            </w:r>
            <w:r>
              <w:rPr>
                <w:rFonts w:hint="eastAsia" w:cs="Times New Roman"/>
                <w:szCs w:val="24"/>
                <w:vertAlign w:val="superscript"/>
              </w:rPr>
              <w:t>2</w:t>
            </w:r>
            <w:r>
              <w:rPr>
                <w:rFonts w:cs="Times New Roman"/>
                <w:szCs w:val="24"/>
              </w:rPr>
              <w:t>，用于储存</w:t>
            </w:r>
            <w:r>
              <w:rPr>
                <w:rFonts w:hint="eastAsia" w:cs="Times New Roman"/>
                <w:szCs w:val="24"/>
              </w:rPr>
              <w:t>废活性炭、废过滤棉、废油桶、废润滑油等危险废物</w:t>
            </w:r>
            <w:r>
              <w:rPr>
                <w:rFonts w:cs="Times New Roman"/>
                <w:szCs w:val="24"/>
              </w:rPr>
              <w:t>，危险废物暂存场所应按照《危险废物贮存污染控制标准》(GB18597-2023)中要求，设置防腐防渗等措施。</w:t>
            </w:r>
          </w:p>
          <w:p w14:paraId="637B40BF">
            <w:pPr>
              <w:ind w:firstLine="480"/>
              <w:jc w:val="both"/>
              <w:rPr>
                <w:rFonts w:cs="Times New Roman"/>
                <w:szCs w:val="24"/>
              </w:rPr>
            </w:pPr>
            <w:r>
              <w:rPr>
                <w:rFonts w:cs="Times New Roman"/>
                <w:szCs w:val="24"/>
              </w:rPr>
              <w:t>危废暂存场所应严格落实“四防”(防风、防雨、防晒、防渗漏)控制措施，危废暂存间储存液态危废量较少，设备用储存桶，各危险废物暂存过程中对区域地表水影响较小，对环境空气产生的影响较小，事故状态下的危险废物经收集后可得到有效处置，对地下水和土壤不会造成明显的不利影响。</w:t>
            </w:r>
          </w:p>
          <w:p w14:paraId="0A6FCB36">
            <w:pPr>
              <w:ind w:firstLine="480"/>
              <w:jc w:val="both"/>
              <w:rPr>
                <w:rFonts w:cs="Times New Roman"/>
                <w:szCs w:val="24"/>
              </w:rPr>
            </w:pPr>
            <w:r>
              <w:rPr>
                <w:rFonts w:cs="Times New Roman"/>
                <w:szCs w:val="24"/>
              </w:rPr>
              <w:t>II、运输过程的环境影响分析</w:t>
            </w:r>
          </w:p>
          <w:p w14:paraId="7DD398B3">
            <w:pPr>
              <w:ind w:firstLine="480"/>
              <w:jc w:val="both"/>
              <w:rPr>
                <w:rFonts w:cs="Times New Roman"/>
                <w:szCs w:val="24"/>
              </w:rPr>
            </w:pPr>
            <w:r>
              <w:rPr>
                <w:rFonts w:cs="Times New Roman"/>
                <w:szCs w:val="24"/>
              </w:rPr>
              <w:t>本项目危废收集时置于密闭桶内，确保车间转移至危废仓库时不会发生散落、泄漏等状况。</w:t>
            </w:r>
          </w:p>
          <w:p w14:paraId="3996132C">
            <w:pPr>
              <w:ind w:firstLine="480"/>
              <w:jc w:val="both"/>
              <w:rPr>
                <w:rFonts w:cs="Times New Roman"/>
                <w:szCs w:val="24"/>
              </w:rPr>
            </w:pPr>
            <w:r>
              <w:rPr>
                <w:rFonts w:cs="Times New Roman"/>
                <w:szCs w:val="24"/>
              </w:rPr>
              <w:t>III、委托处置的环境可行分析</w:t>
            </w:r>
          </w:p>
          <w:p w14:paraId="4D6A5A79">
            <w:pPr>
              <w:ind w:firstLine="480"/>
              <w:jc w:val="both"/>
              <w:rPr>
                <w:rFonts w:cs="Times New Roman"/>
                <w:szCs w:val="24"/>
              </w:rPr>
            </w:pPr>
            <w:r>
              <w:rPr>
                <w:rFonts w:cs="Times New Roman"/>
                <w:szCs w:val="24"/>
              </w:rPr>
              <w:t>针对于本项目的危险废物，根据《国家危险废物名录》，本项目的</w:t>
            </w:r>
            <w:r>
              <w:rPr>
                <w:rFonts w:hint="eastAsia" w:cs="Times New Roman"/>
                <w:szCs w:val="24"/>
              </w:rPr>
              <w:t>废活性炭、废过滤网、废油桶、废润滑油</w:t>
            </w:r>
            <w:r>
              <w:rPr>
                <w:rFonts w:cs="Times New Roman"/>
                <w:szCs w:val="24"/>
              </w:rPr>
              <w:t>属于危险废物，收集后暂存于危废库暂存，定期交由有危废处置资质的单位代为处理。</w:t>
            </w:r>
          </w:p>
          <w:p w14:paraId="041DA57C">
            <w:pPr>
              <w:ind w:firstLine="480"/>
              <w:jc w:val="both"/>
              <w:rPr>
                <w:rFonts w:cs="Times New Roman"/>
                <w:szCs w:val="24"/>
              </w:rPr>
            </w:pPr>
            <w:r>
              <w:rPr>
                <w:rFonts w:cs="Times New Roman"/>
                <w:szCs w:val="24"/>
              </w:rPr>
              <w:t>B、污染防治措施</w:t>
            </w:r>
          </w:p>
          <w:p w14:paraId="00622B24">
            <w:pPr>
              <w:ind w:firstLine="480"/>
              <w:jc w:val="both"/>
              <w:rPr>
                <w:rFonts w:cs="Times New Roman"/>
                <w:szCs w:val="24"/>
              </w:rPr>
            </w:pPr>
            <w:r>
              <w:rPr>
                <w:rFonts w:cs="Times New Roman"/>
                <w:szCs w:val="24"/>
              </w:rPr>
              <w:t>I、贮存场所(设施)</w:t>
            </w:r>
          </w:p>
          <w:p w14:paraId="511DB42E">
            <w:pPr>
              <w:ind w:firstLine="480"/>
              <w:jc w:val="both"/>
            </w:pPr>
            <w:r>
              <w:t>本项目危废暂存场所基本情况见下表。</w:t>
            </w:r>
          </w:p>
          <w:p w14:paraId="7B963A13">
            <w:pPr>
              <w:pStyle w:val="14"/>
              <w:numPr>
                <w:ilvl w:val="0"/>
                <w:numId w:val="9"/>
              </w:numPr>
              <w:tabs>
                <w:tab w:val="clear" w:pos="0"/>
              </w:tabs>
              <w:spacing w:before="156"/>
            </w:pPr>
            <w:r>
              <w:rPr>
                <w:rFonts w:hint="eastAsia"/>
              </w:rPr>
              <w:t xml:space="preserve">  本项目项目依托的危险废物贮存场所(设施)基本情况表</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3"/>
              <w:gridCol w:w="853"/>
              <w:gridCol w:w="959"/>
              <w:gridCol w:w="696"/>
              <w:gridCol w:w="1056"/>
              <w:gridCol w:w="719"/>
              <w:gridCol w:w="697"/>
              <w:gridCol w:w="755"/>
              <w:gridCol w:w="766"/>
              <w:gridCol w:w="756"/>
            </w:tblGrid>
            <w:tr w14:paraId="5CCB95F0">
              <w:trPr>
                <w:trHeight w:val="340" w:hRule="atLeast"/>
              </w:trPr>
              <w:tc>
                <w:tcPr>
                  <w:tcW w:w="342" w:type="pct"/>
                  <w:vAlign w:val="center"/>
                </w:tcPr>
                <w:p w14:paraId="4D3EF2AC">
                  <w:pPr>
                    <w:spacing w:line="240" w:lineRule="auto"/>
                    <w:ind w:firstLine="0" w:firstLineChars="0"/>
                    <w:jc w:val="center"/>
                    <w:rPr>
                      <w:rFonts w:cs="Times New Roman"/>
                      <w:kern w:val="0"/>
                      <w:sz w:val="18"/>
                    </w:rPr>
                  </w:pPr>
                  <w:r>
                    <w:rPr>
                      <w:rFonts w:cs="Times New Roman"/>
                      <w:kern w:val="0"/>
                      <w:sz w:val="18"/>
                    </w:rPr>
                    <w:t>序号</w:t>
                  </w:r>
                </w:p>
              </w:tc>
              <w:tc>
                <w:tcPr>
                  <w:tcW w:w="547" w:type="pct"/>
                  <w:vAlign w:val="center"/>
                </w:tcPr>
                <w:p w14:paraId="02F08F6C">
                  <w:pPr>
                    <w:spacing w:line="240" w:lineRule="auto"/>
                    <w:ind w:firstLine="0" w:firstLineChars="0"/>
                    <w:jc w:val="center"/>
                    <w:rPr>
                      <w:rFonts w:cs="Times New Roman"/>
                      <w:kern w:val="0"/>
                      <w:sz w:val="18"/>
                    </w:rPr>
                  </w:pPr>
                  <w:r>
                    <w:rPr>
                      <w:rFonts w:cs="Times New Roman"/>
                      <w:kern w:val="0"/>
                      <w:sz w:val="18"/>
                    </w:rPr>
                    <w:t>贮存场</w:t>
                  </w:r>
                </w:p>
                <w:p w14:paraId="61BADB07">
                  <w:pPr>
                    <w:spacing w:line="240" w:lineRule="auto"/>
                    <w:ind w:firstLine="0" w:firstLineChars="0"/>
                    <w:jc w:val="center"/>
                    <w:rPr>
                      <w:rFonts w:cs="Times New Roman"/>
                      <w:kern w:val="0"/>
                      <w:sz w:val="18"/>
                    </w:rPr>
                  </w:pPr>
                  <w:r>
                    <w:rPr>
                      <w:rFonts w:cs="Times New Roman"/>
                      <w:kern w:val="0"/>
                      <w:sz w:val="18"/>
                    </w:rPr>
                    <w:t>所名称</w:t>
                  </w:r>
                </w:p>
              </w:tc>
              <w:tc>
                <w:tcPr>
                  <w:tcW w:w="615" w:type="pct"/>
                  <w:vAlign w:val="center"/>
                </w:tcPr>
                <w:p w14:paraId="58718F9C">
                  <w:pPr>
                    <w:spacing w:line="240" w:lineRule="auto"/>
                    <w:ind w:firstLine="0" w:firstLineChars="0"/>
                    <w:jc w:val="center"/>
                    <w:rPr>
                      <w:rFonts w:cs="Times New Roman"/>
                      <w:kern w:val="0"/>
                      <w:sz w:val="18"/>
                    </w:rPr>
                  </w:pPr>
                  <w:r>
                    <w:rPr>
                      <w:rFonts w:cs="Times New Roman"/>
                      <w:kern w:val="0"/>
                      <w:sz w:val="18"/>
                    </w:rPr>
                    <w:t>危险废物名称</w:t>
                  </w:r>
                </w:p>
              </w:tc>
              <w:tc>
                <w:tcPr>
                  <w:tcW w:w="446" w:type="pct"/>
                  <w:vAlign w:val="center"/>
                </w:tcPr>
                <w:p w14:paraId="179F2C04">
                  <w:pPr>
                    <w:spacing w:line="240" w:lineRule="auto"/>
                    <w:ind w:firstLine="0" w:firstLineChars="0"/>
                    <w:jc w:val="center"/>
                    <w:rPr>
                      <w:rFonts w:cs="Times New Roman"/>
                      <w:kern w:val="0"/>
                      <w:sz w:val="18"/>
                    </w:rPr>
                  </w:pPr>
                  <w:r>
                    <w:rPr>
                      <w:rFonts w:cs="Times New Roman"/>
                      <w:kern w:val="0"/>
                      <w:sz w:val="18"/>
                    </w:rPr>
                    <w:t>危废</w:t>
                  </w:r>
                </w:p>
                <w:p w14:paraId="50684ED9">
                  <w:pPr>
                    <w:spacing w:line="240" w:lineRule="auto"/>
                    <w:ind w:firstLine="0" w:firstLineChars="0"/>
                    <w:jc w:val="center"/>
                    <w:rPr>
                      <w:rFonts w:cs="Times New Roman"/>
                      <w:kern w:val="0"/>
                      <w:sz w:val="18"/>
                    </w:rPr>
                  </w:pPr>
                  <w:r>
                    <w:rPr>
                      <w:rFonts w:cs="Times New Roman"/>
                      <w:kern w:val="0"/>
                      <w:sz w:val="18"/>
                    </w:rPr>
                    <w:t>类别</w:t>
                  </w:r>
                </w:p>
              </w:tc>
              <w:tc>
                <w:tcPr>
                  <w:tcW w:w="677" w:type="pct"/>
                  <w:vAlign w:val="center"/>
                </w:tcPr>
                <w:p w14:paraId="4CA5B9EA">
                  <w:pPr>
                    <w:spacing w:line="240" w:lineRule="auto"/>
                    <w:ind w:firstLine="0" w:firstLineChars="0"/>
                    <w:jc w:val="center"/>
                    <w:rPr>
                      <w:rFonts w:cs="Times New Roman"/>
                      <w:kern w:val="0"/>
                      <w:sz w:val="18"/>
                    </w:rPr>
                  </w:pPr>
                  <w:r>
                    <w:rPr>
                      <w:rFonts w:cs="Times New Roman"/>
                      <w:kern w:val="0"/>
                      <w:sz w:val="18"/>
                    </w:rPr>
                    <w:t>废物代码</w:t>
                  </w:r>
                </w:p>
              </w:tc>
              <w:tc>
                <w:tcPr>
                  <w:tcW w:w="461" w:type="pct"/>
                  <w:vAlign w:val="center"/>
                </w:tcPr>
                <w:p w14:paraId="0CDA331B">
                  <w:pPr>
                    <w:spacing w:line="240" w:lineRule="auto"/>
                    <w:ind w:firstLine="0" w:firstLineChars="0"/>
                    <w:jc w:val="center"/>
                    <w:rPr>
                      <w:rFonts w:cs="Times New Roman"/>
                      <w:kern w:val="0"/>
                      <w:sz w:val="18"/>
                    </w:rPr>
                  </w:pPr>
                  <w:r>
                    <w:rPr>
                      <w:rFonts w:cs="Times New Roman"/>
                      <w:kern w:val="0"/>
                      <w:sz w:val="18"/>
                    </w:rPr>
                    <w:t>位置</w:t>
                  </w:r>
                </w:p>
              </w:tc>
              <w:tc>
                <w:tcPr>
                  <w:tcW w:w="447" w:type="pct"/>
                  <w:vAlign w:val="center"/>
                </w:tcPr>
                <w:p w14:paraId="29E75845">
                  <w:pPr>
                    <w:spacing w:line="240" w:lineRule="auto"/>
                    <w:ind w:firstLine="0" w:firstLineChars="0"/>
                    <w:jc w:val="center"/>
                    <w:rPr>
                      <w:rFonts w:cs="Times New Roman"/>
                      <w:kern w:val="0"/>
                      <w:sz w:val="18"/>
                    </w:rPr>
                  </w:pPr>
                  <w:r>
                    <w:rPr>
                      <w:rFonts w:cs="Times New Roman"/>
                      <w:kern w:val="0"/>
                      <w:sz w:val="18"/>
                    </w:rPr>
                    <w:t>面积</w:t>
                  </w:r>
                </w:p>
              </w:tc>
              <w:tc>
                <w:tcPr>
                  <w:tcW w:w="484" w:type="pct"/>
                  <w:vAlign w:val="center"/>
                </w:tcPr>
                <w:p w14:paraId="2B321128">
                  <w:pPr>
                    <w:spacing w:line="240" w:lineRule="auto"/>
                    <w:ind w:firstLine="0" w:firstLineChars="0"/>
                    <w:jc w:val="center"/>
                    <w:rPr>
                      <w:rFonts w:cs="Times New Roman"/>
                      <w:kern w:val="0"/>
                      <w:sz w:val="18"/>
                    </w:rPr>
                  </w:pPr>
                  <w:r>
                    <w:rPr>
                      <w:rFonts w:cs="Times New Roman"/>
                      <w:kern w:val="0"/>
                      <w:sz w:val="18"/>
                    </w:rPr>
                    <w:t>贮存</w:t>
                  </w:r>
                </w:p>
                <w:p w14:paraId="3AC8E6F3">
                  <w:pPr>
                    <w:spacing w:line="240" w:lineRule="auto"/>
                    <w:ind w:firstLine="0" w:firstLineChars="0"/>
                    <w:jc w:val="center"/>
                    <w:rPr>
                      <w:rFonts w:cs="Times New Roman"/>
                      <w:kern w:val="0"/>
                      <w:sz w:val="18"/>
                    </w:rPr>
                  </w:pPr>
                  <w:r>
                    <w:rPr>
                      <w:rFonts w:cs="Times New Roman"/>
                      <w:kern w:val="0"/>
                      <w:sz w:val="18"/>
                    </w:rPr>
                    <w:t>方式</w:t>
                  </w:r>
                </w:p>
              </w:tc>
              <w:tc>
                <w:tcPr>
                  <w:tcW w:w="491" w:type="pct"/>
                  <w:vAlign w:val="center"/>
                </w:tcPr>
                <w:p w14:paraId="4850D3B1">
                  <w:pPr>
                    <w:spacing w:line="240" w:lineRule="auto"/>
                    <w:ind w:firstLine="0" w:firstLineChars="0"/>
                    <w:jc w:val="center"/>
                    <w:rPr>
                      <w:rFonts w:cs="Times New Roman"/>
                      <w:kern w:val="0"/>
                      <w:sz w:val="18"/>
                    </w:rPr>
                  </w:pPr>
                  <w:r>
                    <w:rPr>
                      <w:rFonts w:cs="Times New Roman"/>
                      <w:kern w:val="0"/>
                      <w:sz w:val="18"/>
                    </w:rPr>
                    <w:t>贮存</w:t>
                  </w:r>
                </w:p>
                <w:p w14:paraId="5FD5F7DA">
                  <w:pPr>
                    <w:spacing w:line="240" w:lineRule="auto"/>
                    <w:ind w:firstLine="0" w:firstLineChars="0"/>
                    <w:jc w:val="center"/>
                    <w:rPr>
                      <w:rFonts w:cs="Times New Roman"/>
                      <w:kern w:val="0"/>
                      <w:sz w:val="18"/>
                    </w:rPr>
                  </w:pPr>
                  <w:r>
                    <w:rPr>
                      <w:rFonts w:cs="Times New Roman"/>
                      <w:kern w:val="0"/>
                      <w:sz w:val="18"/>
                    </w:rPr>
                    <w:t>能力</w:t>
                  </w:r>
                </w:p>
              </w:tc>
              <w:tc>
                <w:tcPr>
                  <w:tcW w:w="484" w:type="pct"/>
                  <w:vAlign w:val="center"/>
                </w:tcPr>
                <w:p w14:paraId="2E925C22">
                  <w:pPr>
                    <w:spacing w:line="240" w:lineRule="auto"/>
                    <w:ind w:firstLine="0" w:firstLineChars="0"/>
                    <w:jc w:val="center"/>
                    <w:rPr>
                      <w:rFonts w:cs="Times New Roman"/>
                      <w:kern w:val="0"/>
                      <w:sz w:val="18"/>
                    </w:rPr>
                  </w:pPr>
                  <w:r>
                    <w:rPr>
                      <w:rFonts w:cs="Times New Roman"/>
                      <w:kern w:val="0"/>
                      <w:sz w:val="18"/>
                    </w:rPr>
                    <w:t>贮存</w:t>
                  </w:r>
                </w:p>
                <w:p w14:paraId="3FE55A72">
                  <w:pPr>
                    <w:spacing w:line="240" w:lineRule="auto"/>
                    <w:ind w:firstLine="0" w:firstLineChars="0"/>
                    <w:jc w:val="center"/>
                    <w:rPr>
                      <w:rFonts w:cs="Times New Roman"/>
                      <w:kern w:val="0"/>
                      <w:sz w:val="18"/>
                    </w:rPr>
                  </w:pPr>
                  <w:r>
                    <w:rPr>
                      <w:rFonts w:cs="Times New Roman"/>
                      <w:kern w:val="0"/>
                      <w:sz w:val="18"/>
                    </w:rPr>
                    <w:t>周期</w:t>
                  </w:r>
                </w:p>
              </w:tc>
            </w:tr>
            <w:tr w14:paraId="0A4E2DD7">
              <w:trPr>
                <w:trHeight w:val="340" w:hRule="atLeast"/>
              </w:trPr>
              <w:tc>
                <w:tcPr>
                  <w:tcW w:w="342" w:type="pct"/>
                  <w:vAlign w:val="center"/>
                </w:tcPr>
                <w:p w14:paraId="0943FFD1">
                  <w:pPr>
                    <w:spacing w:line="240" w:lineRule="auto"/>
                    <w:ind w:firstLine="0" w:firstLineChars="0"/>
                    <w:jc w:val="center"/>
                    <w:rPr>
                      <w:rFonts w:cs="Times New Roman"/>
                      <w:kern w:val="0"/>
                      <w:sz w:val="18"/>
                    </w:rPr>
                  </w:pPr>
                  <w:r>
                    <w:rPr>
                      <w:rFonts w:cs="Times New Roman"/>
                      <w:kern w:val="0"/>
                      <w:sz w:val="18"/>
                    </w:rPr>
                    <w:t>1</w:t>
                  </w:r>
                </w:p>
              </w:tc>
              <w:tc>
                <w:tcPr>
                  <w:tcW w:w="547" w:type="pct"/>
                  <w:vMerge w:val="restart"/>
                  <w:vAlign w:val="center"/>
                </w:tcPr>
                <w:p w14:paraId="10B9B06C">
                  <w:pPr>
                    <w:spacing w:line="240" w:lineRule="auto"/>
                    <w:ind w:firstLine="0" w:firstLineChars="0"/>
                    <w:jc w:val="center"/>
                    <w:rPr>
                      <w:rFonts w:cs="Times New Roman"/>
                      <w:kern w:val="0"/>
                      <w:sz w:val="18"/>
                    </w:rPr>
                  </w:pPr>
                  <w:r>
                    <w:rPr>
                      <w:rFonts w:cs="Times New Roman"/>
                      <w:kern w:val="0"/>
                      <w:sz w:val="18"/>
                    </w:rPr>
                    <w:t>危废暂存库</w:t>
                  </w:r>
                </w:p>
              </w:tc>
              <w:tc>
                <w:tcPr>
                  <w:tcW w:w="615" w:type="pct"/>
                  <w:vAlign w:val="center"/>
                </w:tcPr>
                <w:p w14:paraId="3EB1DB41">
                  <w:pPr>
                    <w:spacing w:line="240" w:lineRule="auto"/>
                    <w:ind w:firstLine="0" w:firstLineChars="0"/>
                    <w:jc w:val="center"/>
                    <w:rPr>
                      <w:rFonts w:cs="Times New Roman"/>
                      <w:kern w:val="0"/>
                      <w:sz w:val="18"/>
                    </w:rPr>
                  </w:pPr>
                  <w:r>
                    <w:rPr>
                      <w:rFonts w:hint="eastAsia" w:cs="Times New Roman"/>
                      <w:sz w:val="18"/>
                    </w:rPr>
                    <w:t>废活性炭</w:t>
                  </w:r>
                </w:p>
              </w:tc>
              <w:tc>
                <w:tcPr>
                  <w:tcW w:w="446" w:type="pct"/>
                  <w:vAlign w:val="center"/>
                </w:tcPr>
                <w:p w14:paraId="4835130C">
                  <w:pPr>
                    <w:spacing w:line="240" w:lineRule="auto"/>
                    <w:ind w:firstLine="0" w:firstLineChars="0"/>
                    <w:jc w:val="center"/>
                    <w:rPr>
                      <w:rFonts w:cs="Times New Roman"/>
                      <w:kern w:val="0"/>
                      <w:sz w:val="18"/>
                    </w:rPr>
                  </w:pPr>
                  <w:r>
                    <w:rPr>
                      <w:rFonts w:cs="Times New Roman"/>
                      <w:sz w:val="18"/>
                    </w:rPr>
                    <w:t>HW49</w:t>
                  </w:r>
                </w:p>
              </w:tc>
              <w:tc>
                <w:tcPr>
                  <w:tcW w:w="677" w:type="pct"/>
                  <w:vAlign w:val="center"/>
                </w:tcPr>
                <w:p w14:paraId="3728834F">
                  <w:pPr>
                    <w:spacing w:line="240" w:lineRule="auto"/>
                    <w:ind w:firstLine="0" w:firstLineChars="0"/>
                    <w:jc w:val="center"/>
                    <w:rPr>
                      <w:rFonts w:cs="Times New Roman"/>
                      <w:kern w:val="0"/>
                      <w:sz w:val="18"/>
                    </w:rPr>
                  </w:pPr>
                  <w:r>
                    <w:rPr>
                      <w:rFonts w:hint="eastAsia" w:cs="Times New Roman"/>
                      <w:sz w:val="18"/>
                    </w:rPr>
                    <w:t>9</w:t>
                  </w:r>
                  <w:r>
                    <w:rPr>
                      <w:rFonts w:cs="Times New Roman"/>
                      <w:sz w:val="18"/>
                    </w:rPr>
                    <w:t>00-039-49</w:t>
                  </w:r>
                </w:p>
              </w:tc>
              <w:tc>
                <w:tcPr>
                  <w:tcW w:w="461" w:type="pct"/>
                  <w:vMerge w:val="restart"/>
                  <w:vAlign w:val="center"/>
                </w:tcPr>
                <w:p w14:paraId="28424046">
                  <w:pPr>
                    <w:spacing w:line="240" w:lineRule="auto"/>
                    <w:ind w:firstLine="0" w:firstLineChars="0"/>
                    <w:jc w:val="center"/>
                    <w:rPr>
                      <w:rFonts w:cs="Times New Roman"/>
                      <w:kern w:val="0"/>
                      <w:sz w:val="18"/>
                    </w:rPr>
                  </w:pPr>
                  <w:r>
                    <w:rPr>
                      <w:rFonts w:hint="eastAsia" w:cs="Times New Roman"/>
                      <w:kern w:val="0"/>
                      <w:sz w:val="18"/>
                    </w:rPr>
                    <w:t>现有厂区</w:t>
                  </w:r>
                </w:p>
              </w:tc>
              <w:tc>
                <w:tcPr>
                  <w:tcW w:w="447" w:type="pct"/>
                  <w:vMerge w:val="restart"/>
                  <w:vAlign w:val="center"/>
                </w:tcPr>
                <w:p w14:paraId="10A8775A">
                  <w:pPr>
                    <w:spacing w:line="240" w:lineRule="auto"/>
                    <w:ind w:firstLine="0" w:firstLineChars="0"/>
                    <w:jc w:val="center"/>
                    <w:rPr>
                      <w:rFonts w:cs="Times New Roman"/>
                      <w:kern w:val="0"/>
                      <w:sz w:val="18"/>
                    </w:rPr>
                  </w:pPr>
                  <w:r>
                    <w:rPr>
                      <w:rFonts w:hint="eastAsia" w:cs="Times New Roman"/>
                      <w:kern w:val="0"/>
                      <w:sz w:val="18"/>
                    </w:rPr>
                    <w:t>10</w:t>
                  </w:r>
                  <w:r>
                    <w:rPr>
                      <w:rFonts w:cs="Times New Roman"/>
                      <w:kern w:val="0"/>
                      <w:sz w:val="18"/>
                    </w:rPr>
                    <w:t>m</w:t>
                  </w:r>
                  <w:r>
                    <w:rPr>
                      <w:rFonts w:cs="Times New Roman"/>
                      <w:kern w:val="0"/>
                      <w:sz w:val="18"/>
                      <w:vertAlign w:val="superscript"/>
                    </w:rPr>
                    <w:t>2</w:t>
                  </w:r>
                </w:p>
              </w:tc>
              <w:tc>
                <w:tcPr>
                  <w:tcW w:w="484" w:type="pct"/>
                  <w:vAlign w:val="center"/>
                </w:tcPr>
                <w:p w14:paraId="29F77AD5">
                  <w:pPr>
                    <w:spacing w:line="240" w:lineRule="auto"/>
                    <w:ind w:firstLine="0" w:firstLineChars="0"/>
                    <w:jc w:val="center"/>
                    <w:rPr>
                      <w:rFonts w:cs="Times New Roman"/>
                      <w:kern w:val="0"/>
                      <w:sz w:val="18"/>
                    </w:rPr>
                  </w:pPr>
                  <w:r>
                    <w:rPr>
                      <w:rFonts w:cs="Times New Roman"/>
                      <w:kern w:val="0"/>
                      <w:sz w:val="18"/>
                    </w:rPr>
                    <w:t>桶装</w:t>
                  </w:r>
                </w:p>
              </w:tc>
              <w:tc>
                <w:tcPr>
                  <w:tcW w:w="491" w:type="pct"/>
                  <w:vMerge w:val="restart"/>
                  <w:vAlign w:val="center"/>
                </w:tcPr>
                <w:p w14:paraId="16300DA1">
                  <w:pPr>
                    <w:spacing w:line="240" w:lineRule="auto"/>
                    <w:ind w:firstLine="0" w:firstLineChars="0"/>
                    <w:jc w:val="center"/>
                    <w:rPr>
                      <w:rFonts w:cs="Times New Roman"/>
                      <w:kern w:val="0"/>
                      <w:sz w:val="18"/>
                    </w:rPr>
                  </w:pPr>
                  <w:r>
                    <w:rPr>
                      <w:rFonts w:hint="eastAsia" w:cs="Times New Roman"/>
                      <w:kern w:val="0"/>
                      <w:sz w:val="18"/>
                    </w:rPr>
                    <w:t>5</w:t>
                  </w:r>
                  <w:r>
                    <w:rPr>
                      <w:rFonts w:cs="Times New Roman"/>
                      <w:kern w:val="0"/>
                      <w:sz w:val="18"/>
                    </w:rPr>
                    <w:t>t</w:t>
                  </w:r>
                </w:p>
              </w:tc>
              <w:tc>
                <w:tcPr>
                  <w:tcW w:w="484" w:type="pct"/>
                  <w:vMerge w:val="restart"/>
                  <w:vAlign w:val="center"/>
                </w:tcPr>
                <w:p w14:paraId="4C87A192">
                  <w:pPr>
                    <w:spacing w:line="240" w:lineRule="auto"/>
                    <w:ind w:firstLine="0" w:firstLineChars="0"/>
                    <w:jc w:val="center"/>
                    <w:rPr>
                      <w:rFonts w:cs="Times New Roman"/>
                      <w:kern w:val="0"/>
                      <w:sz w:val="18"/>
                    </w:rPr>
                  </w:pPr>
                  <w:r>
                    <w:rPr>
                      <w:rFonts w:hint="eastAsia" w:cs="Times New Roman"/>
                      <w:kern w:val="0"/>
                      <w:sz w:val="18"/>
                    </w:rPr>
                    <w:t>3个月</w:t>
                  </w:r>
                </w:p>
              </w:tc>
            </w:tr>
            <w:tr w14:paraId="64455F27">
              <w:trPr>
                <w:trHeight w:val="340" w:hRule="atLeast"/>
              </w:trPr>
              <w:tc>
                <w:tcPr>
                  <w:tcW w:w="342" w:type="pct"/>
                  <w:vAlign w:val="center"/>
                </w:tcPr>
                <w:p w14:paraId="744155BD">
                  <w:pPr>
                    <w:spacing w:line="240" w:lineRule="auto"/>
                    <w:ind w:firstLine="0" w:firstLineChars="0"/>
                    <w:jc w:val="center"/>
                    <w:rPr>
                      <w:rFonts w:cs="Times New Roman"/>
                      <w:kern w:val="0"/>
                      <w:sz w:val="18"/>
                    </w:rPr>
                  </w:pPr>
                  <w:r>
                    <w:rPr>
                      <w:rFonts w:hint="eastAsia" w:cs="Times New Roman"/>
                      <w:kern w:val="0"/>
                      <w:sz w:val="18"/>
                    </w:rPr>
                    <w:t>2</w:t>
                  </w:r>
                </w:p>
              </w:tc>
              <w:tc>
                <w:tcPr>
                  <w:tcW w:w="547" w:type="pct"/>
                  <w:vMerge w:val="continue"/>
                  <w:vAlign w:val="center"/>
                </w:tcPr>
                <w:p w14:paraId="09831C30">
                  <w:pPr>
                    <w:spacing w:line="240" w:lineRule="auto"/>
                    <w:ind w:firstLine="0" w:firstLineChars="0"/>
                    <w:jc w:val="center"/>
                    <w:rPr>
                      <w:rFonts w:cs="Times New Roman"/>
                      <w:kern w:val="0"/>
                      <w:sz w:val="18"/>
                    </w:rPr>
                  </w:pPr>
                </w:p>
              </w:tc>
              <w:tc>
                <w:tcPr>
                  <w:tcW w:w="615" w:type="pct"/>
                  <w:vAlign w:val="center"/>
                </w:tcPr>
                <w:p w14:paraId="05DD1FE7">
                  <w:pPr>
                    <w:spacing w:line="240" w:lineRule="auto"/>
                    <w:ind w:firstLine="0" w:firstLineChars="0"/>
                    <w:jc w:val="center"/>
                    <w:rPr>
                      <w:rFonts w:cs="Times New Roman"/>
                      <w:sz w:val="18"/>
                    </w:rPr>
                  </w:pPr>
                  <w:r>
                    <w:rPr>
                      <w:rFonts w:hint="eastAsia" w:cs="Times New Roman"/>
                      <w:sz w:val="18"/>
                    </w:rPr>
                    <w:t>废过滤网</w:t>
                  </w:r>
                </w:p>
              </w:tc>
              <w:tc>
                <w:tcPr>
                  <w:tcW w:w="446" w:type="pct"/>
                  <w:vAlign w:val="center"/>
                </w:tcPr>
                <w:p w14:paraId="0F1D98D1">
                  <w:pPr>
                    <w:spacing w:line="240" w:lineRule="auto"/>
                    <w:ind w:firstLine="0" w:firstLineChars="0"/>
                    <w:jc w:val="center"/>
                    <w:rPr>
                      <w:rFonts w:cs="Times New Roman"/>
                      <w:sz w:val="18"/>
                    </w:rPr>
                  </w:pPr>
                  <w:r>
                    <w:rPr>
                      <w:rFonts w:cs="Times New Roman"/>
                      <w:sz w:val="18"/>
                    </w:rPr>
                    <w:t>HW49</w:t>
                  </w:r>
                </w:p>
              </w:tc>
              <w:tc>
                <w:tcPr>
                  <w:tcW w:w="677" w:type="pct"/>
                  <w:vAlign w:val="center"/>
                </w:tcPr>
                <w:p w14:paraId="7D7C50BB">
                  <w:pPr>
                    <w:spacing w:line="240" w:lineRule="auto"/>
                    <w:ind w:firstLine="0" w:firstLineChars="0"/>
                    <w:jc w:val="center"/>
                    <w:rPr>
                      <w:rFonts w:cs="Times New Roman"/>
                      <w:sz w:val="18"/>
                    </w:rPr>
                  </w:pPr>
                  <w:r>
                    <w:rPr>
                      <w:rFonts w:hint="eastAsia" w:cs="Times New Roman"/>
                      <w:sz w:val="18"/>
                    </w:rPr>
                    <w:t>9</w:t>
                  </w:r>
                  <w:r>
                    <w:rPr>
                      <w:rFonts w:cs="Times New Roman"/>
                      <w:sz w:val="18"/>
                    </w:rPr>
                    <w:t>00-0</w:t>
                  </w:r>
                  <w:r>
                    <w:rPr>
                      <w:rFonts w:hint="eastAsia" w:cs="Times New Roman"/>
                      <w:sz w:val="18"/>
                    </w:rPr>
                    <w:t>41</w:t>
                  </w:r>
                  <w:r>
                    <w:rPr>
                      <w:rFonts w:cs="Times New Roman"/>
                      <w:sz w:val="18"/>
                    </w:rPr>
                    <w:t>-49</w:t>
                  </w:r>
                </w:p>
              </w:tc>
              <w:tc>
                <w:tcPr>
                  <w:tcW w:w="461" w:type="pct"/>
                  <w:vMerge w:val="continue"/>
                  <w:vAlign w:val="center"/>
                </w:tcPr>
                <w:p w14:paraId="253208BA">
                  <w:pPr>
                    <w:spacing w:line="240" w:lineRule="auto"/>
                    <w:ind w:firstLine="0" w:firstLineChars="0"/>
                    <w:jc w:val="center"/>
                    <w:rPr>
                      <w:rFonts w:cs="Times New Roman"/>
                      <w:kern w:val="0"/>
                      <w:sz w:val="18"/>
                    </w:rPr>
                  </w:pPr>
                </w:p>
              </w:tc>
              <w:tc>
                <w:tcPr>
                  <w:tcW w:w="447" w:type="pct"/>
                  <w:vMerge w:val="continue"/>
                  <w:vAlign w:val="center"/>
                </w:tcPr>
                <w:p w14:paraId="0B85858A">
                  <w:pPr>
                    <w:spacing w:line="240" w:lineRule="auto"/>
                    <w:ind w:firstLine="0" w:firstLineChars="0"/>
                    <w:jc w:val="center"/>
                    <w:rPr>
                      <w:rFonts w:cs="Times New Roman"/>
                      <w:kern w:val="0"/>
                      <w:sz w:val="18"/>
                    </w:rPr>
                  </w:pPr>
                </w:p>
              </w:tc>
              <w:tc>
                <w:tcPr>
                  <w:tcW w:w="484" w:type="pct"/>
                  <w:vAlign w:val="center"/>
                </w:tcPr>
                <w:p w14:paraId="1C60BAEE">
                  <w:pPr>
                    <w:spacing w:line="240" w:lineRule="auto"/>
                    <w:ind w:firstLine="0" w:firstLineChars="0"/>
                    <w:jc w:val="center"/>
                    <w:rPr>
                      <w:rFonts w:cs="Times New Roman"/>
                      <w:kern w:val="0"/>
                      <w:sz w:val="18"/>
                    </w:rPr>
                  </w:pPr>
                  <w:r>
                    <w:rPr>
                      <w:rFonts w:cs="Times New Roman"/>
                      <w:kern w:val="0"/>
                      <w:sz w:val="18"/>
                    </w:rPr>
                    <w:t>桶装</w:t>
                  </w:r>
                </w:p>
              </w:tc>
              <w:tc>
                <w:tcPr>
                  <w:tcW w:w="491" w:type="pct"/>
                  <w:vMerge w:val="continue"/>
                  <w:vAlign w:val="center"/>
                </w:tcPr>
                <w:p w14:paraId="45EFEDFD">
                  <w:pPr>
                    <w:spacing w:line="240" w:lineRule="auto"/>
                    <w:ind w:firstLine="0" w:firstLineChars="0"/>
                    <w:jc w:val="center"/>
                    <w:rPr>
                      <w:rFonts w:cs="Times New Roman"/>
                      <w:kern w:val="0"/>
                      <w:sz w:val="18"/>
                    </w:rPr>
                  </w:pPr>
                </w:p>
              </w:tc>
              <w:tc>
                <w:tcPr>
                  <w:tcW w:w="484" w:type="pct"/>
                  <w:vMerge w:val="continue"/>
                  <w:vAlign w:val="center"/>
                </w:tcPr>
                <w:p w14:paraId="2089DF39">
                  <w:pPr>
                    <w:spacing w:line="240" w:lineRule="auto"/>
                    <w:ind w:firstLine="0" w:firstLineChars="0"/>
                    <w:jc w:val="center"/>
                    <w:rPr>
                      <w:rFonts w:cs="Times New Roman"/>
                      <w:kern w:val="0"/>
                      <w:sz w:val="18"/>
                    </w:rPr>
                  </w:pPr>
                </w:p>
              </w:tc>
            </w:tr>
            <w:tr w14:paraId="6F369B5A">
              <w:trPr>
                <w:trHeight w:val="340" w:hRule="atLeast"/>
              </w:trPr>
              <w:tc>
                <w:tcPr>
                  <w:tcW w:w="342" w:type="pct"/>
                  <w:vAlign w:val="center"/>
                </w:tcPr>
                <w:p w14:paraId="54604604">
                  <w:pPr>
                    <w:spacing w:line="240" w:lineRule="auto"/>
                    <w:ind w:firstLine="0" w:firstLineChars="0"/>
                    <w:jc w:val="center"/>
                    <w:rPr>
                      <w:rFonts w:cs="Times New Roman"/>
                      <w:kern w:val="0"/>
                      <w:sz w:val="18"/>
                    </w:rPr>
                  </w:pPr>
                  <w:r>
                    <w:rPr>
                      <w:rFonts w:hint="eastAsia" w:cs="Times New Roman"/>
                      <w:kern w:val="0"/>
                      <w:sz w:val="18"/>
                    </w:rPr>
                    <w:t>3</w:t>
                  </w:r>
                </w:p>
              </w:tc>
              <w:tc>
                <w:tcPr>
                  <w:tcW w:w="547" w:type="pct"/>
                  <w:vMerge w:val="continue"/>
                  <w:vAlign w:val="center"/>
                </w:tcPr>
                <w:p w14:paraId="0C6AE20B">
                  <w:pPr>
                    <w:spacing w:line="240" w:lineRule="auto"/>
                    <w:ind w:firstLine="0" w:firstLineChars="0"/>
                    <w:jc w:val="center"/>
                    <w:rPr>
                      <w:rFonts w:cs="Times New Roman"/>
                      <w:kern w:val="0"/>
                      <w:sz w:val="18"/>
                    </w:rPr>
                  </w:pPr>
                </w:p>
              </w:tc>
              <w:tc>
                <w:tcPr>
                  <w:tcW w:w="615" w:type="pct"/>
                  <w:vAlign w:val="center"/>
                </w:tcPr>
                <w:p w14:paraId="7B6E8A9F">
                  <w:pPr>
                    <w:spacing w:line="240" w:lineRule="auto"/>
                    <w:ind w:firstLine="0" w:firstLineChars="0"/>
                    <w:jc w:val="center"/>
                    <w:rPr>
                      <w:rFonts w:cs="Times New Roman"/>
                      <w:sz w:val="18"/>
                    </w:rPr>
                  </w:pPr>
                  <w:r>
                    <w:rPr>
                      <w:rFonts w:hint="eastAsia" w:cs="Times New Roman"/>
                      <w:sz w:val="18"/>
                    </w:rPr>
                    <w:t>废油桶</w:t>
                  </w:r>
                </w:p>
              </w:tc>
              <w:tc>
                <w:tcPr>
                  <w:tcW w:w="446" w:type="pct"/>
                  <w:vAlign w:val="center"/>
                </w:tcPr>
                <w:p w14:paraId="5AC8F2AA">
                  <w:pPr>
                    <w:spacing w:line="240" w:lineRule="auto"/>
                    <w:ind w:firstLine="0" w:firstLineChars="0"/>
                    <w:jc w:val="center"/>
                    <w:rPr>
                      <w:rFonts w:cs="Times New Roman"/>
                      <w:sz w:val="18"/>
                    </w:rPr>
                  </w:pPr>
                  <w:r>
                    <w:rPr>
                      <w:rFonts w:cs="Times New Roman"/>
                      <w:sz w:val="18"/>
                    </w:rPr>
                    <w:t>HW08</w:t>
                  </w:r>
                </w:p>
              </w:tc>
              <w:tc>
                <w:tcPr>
                  <w:tcW w:w="677" w:type="pct"/>
                  <w:vAlign w:val="center"/>
                </w:tcPr>
                <w:p w14:paraId="6A125C2A">
                  <w:pPr>
                    <w:spacing w:line="240" w:lineRule="auto"/>
                    <w:ind w:firstLine="0" w:firstLineChars="0"/>
                    <w:jc w:val="center"/>
                    <w:rPr>
                      <w:rFonts w:cs="Times New Roman"/>
                      <w:sz w:val="18"/>
                    </w:rPr>
                  </w:pPr>
                  <w:r>
                    <w:rPr>
                      <w:rFonts w:hint="eastAsia" w:cs="Times New Roman"/>
                      <w:sz w:val="18"/>
                    </w:rPr>
                    <w:t>900-249-08</w:t>
                  </w:r>
                </w:p>
              </w:tc>
              <w:tc>
                <w:tcPr>
                  <w:tcW w:w="461" w:type="pct"/>
                  <w:vMerge w:val="continue"/>
                  <w:vAlign w:val="center"/>
                </w:tcPr>
                <w:p w14:paraId="5D66B37D">
                  <w:pPr>
                    <w:spacing w:line="240" w:lineRule="auto"/>
                    <w:ind w:firstLine="0" w:firstLineChars="0"/>
                    <w:jc w:val="center"/>
                    <w:rPr>
                      <w:rFonts w:cs="Times New Roman"/>
                      <w:kern w:val="0"/>
                      <w:sz w:val="18"/>
                    </w:rPr>
                  </w:pPr>
                </w:p>
              </w:tc>
              <w:tc>
                <w:tcPr>
                  <w:tcW w:w="447" w:type="pct"/>
                  <w:vMerge w:val="continue"/>
                  <w:vAlign w:val="center"/>
                </w:tcPr>
                <w:p w14:paraId="4800A265">
                  <w:pPr>
                    <w:spacing w:line="240" w:lineRule="auto"/>
                    <w:ind w:firstLine="0" w:firstLineChars="0"/>
                    <w:jc w:val="center"/>
                    <w:rPr>
                      <w:rFonts w:cs="Times New Roman"/>
                      <w:kern w:val="0"/>
                      <w:sz w:val="18"/>
                    </w:rPr>
                  </w:pPr>
                </w:p>
              </w:tc>
              <w:tc>
                <w:tcPr>
                  <w:tcW w:w="484" w:type="pct"/>
                  <w:vAlign w:val="center"/>
                </w:tcPr>
                <w:p w14:paraId="5B62CA51">
                  <w:pPr>
                    <w:spacing w:line="240" w:lineRule="auto"/>
                    <w:ind w:firstLine="0" w:firstLineChars="0"/>
                    <w:jc w:val="center"/>
                    <w:rPr>
                      <w:rFonts w:cs="Times New Roman"/>
                      <w:kern w:val="0"/>
                      <w:sz w:val="18"/>
                    </w:rPr>
                  </w:pPr>
                  <w:r>
                    <w:rPr>
                      <w:rFonts w:hint="eastAsia" w:cs="Times New Roman"/>
                      <w:kern w:val="0"/>
                      <w:sz w:val="18"/>
                    </w:rPr>
                    <w:t>/</w:t>
                  </w:r>
                </w:p>
              </w:tc>
              <w:tc>
                <w:tcPr>
                  <w:tcW w:w="491" w:type="pct"/>
                  <w:vMerge w:val="continue"/>
                  <w:vAlign w:val="center"/>
                </w:tcPr>
                <w:p w14:paraId="77F86628">
                  <w:pPr>
                    <w:spacing w:line="240" w:lineRule="auto"/>
                    <w:ind w:firstLine="0" w:firstLineChars="0"/>
                    <w:jc w:val="center"/>
                    <w:rPr>
                      <w:rFonts w:cs="Times New Roman"/>
                      <w:kern w:val="0"/>
                      <w:sz w:val="18"/>
                    </w:rPr>
                  </w:pPr>
                </w:p>
              </w:tc>
              <w:tc>
                <w:tcPr>
                  <w:tcW w:w="484" w:type="pct"/>
                  <w:vMerge w:val="continue"/>
                  <w:vAlign w:val="center"/>
                </w:tcPr>
                <w:p w14:paraId="0F73F97B">
                  <w:pPr>
                    <w:spacing w:line="240" w:lineRule="auto"/>
                    <w:ind w:firstLine="0" w:firstLineChars="0"/>
                    <w:jc w:val="center"/>
                    <w:rPr>
                      <w:rFonts w:cs="Times New Roman"/>
                      <w:kern w:val="0"/>
                      <w:sz w:val="18"/>
                    </w:rPr>
                  </w:pPr>
                </w:p>
              </w:tc>
            </w:tr>
            <w:tr w14:paraId="22033526">
              <w:trPr>
                <w:trHeight w:val="340" w:hRule="atLeast"/>
              </w:trPr>
              <w:tc>
                <w:tcPr>
                  <w:tcW w:w="342" w:type="pct"/>
                  <w:vAlign w:val="center"/>
                </w:tcPr>
                <w:p w14:paraId="1CF2CA54">
                  <w:pPr>
                    <w:spacing w:line="240" w:lineRule="auto"/>
                    <w:ind w:firstLine="0" w:firstLineChars="0"/>
                    <w:jc w:val="center"/>
                    <w:rPr>
                      <w:rFonts w:cs="Times New Roman"/>
                      <w:kern w:val="0"/>
                      <w:sz w:val="18"/>
                    </w:rPr>
                  </w:pPr>
                  <w:r>
                    <w:rPr>
                      <w:rFonts w:hint="eastAsia" w:cs="Times New Roman"/>
                      <w:kern w:val="0"/>
                      <w:sz w:val="18"/>
                    </w:rPr>
                    <w:t>4</w:t>
                  </w:r>
                </w:p>
              </w:tc>
              <w:tc>
                <w:tcPr>
                  <w:tcW w:w="547" w:type="pct"/>
                  <w:vMerge w:val="continue"/>
                  <w:vAlign w:val="center"/>
                </w:tcPr>
                <w:p w14:paraId="2948AB18">
                  <w:pPr>
                    <w:spacing w:line="240" w:lineRule="auto"/>
                    <w:ind w:firstLine="0" w:firstLineChars="0"/>
                    <w:jc w:val="center"/>
                    <w:rPr>
                      <w:rFonts w:cs="Times New Roman"/>
                      <w:kern w:val="0"/>
                      <w:sz w:val="18"/>
                    </w:rPr>
                  </w:pPr>
                </w:p>
              </w:tc>
              <w:tc>
                <w:tcPr>
                  <w:tcW w:w="615" w:type="pct"/>
                  <w:vAlign w:val="center"/>
                </w:tcPr>
                <w:p w14:paraId="63D8827F">
                  <w:pPr>
                    <w:spacing w:line="240" w:lineRule="auto"/>
                    <w:ind w:firstLine="0" w:firstLineChars="0"/>
                    <w:jc w:val="center"/>
                    <w:rPr>
                      <w:rFonts w:cs="Times New Roman"/>
                      <w:sz w:val="18"/>
                    </w:rPr>
                  </w:pPr>
                  <w:r>
                    <w:rPr>
                      <w:rFonts w:hint="eastAsia" w:cs="Times New Roman"/>
                      <w:sz w:val="18"/>
                    </w:rPr>
                    <w:t>废润滑油</w:t>
                  </w:r>
                </w:p>
              </w:tc>
              <w:tc>
                <w:tcPr>
                  <w:tcW w:w="446" w:type="pct"/>
                  <w:vAlign w:val="center"/>
                </w:tcPr>
                <w:p w14:paraId="0413269F">
                  <w:pPr>
                    <w:spacing w:line="240" w:lineRule="auto"/>
                    <w:ind w:firstLine="0" w:firstLineChars="0"/>
                    <w:jc w:val="center"/>
                    <w:rPr>
                      <w:rFonts w:cs="Times New Roman"/>
                      <w:sz w:val="18"/>
                    </w:rPr>
                  </w:pPr>
                  <w:r>
                    <w:rPr>
                      <w:rFonts w:cs="Times New Roman"/>
                      <w:sz w:val="18"/>
                    </w:rPr>
                    <w:t>HW08</w:t>
                  </w:r>
                </w:p>
              </w:tc>
              <w:tc>
                <w:tcPr>
                  <w:tcW w:w="677" w:type="pct"/>
                  <w:vAlign w:val="center"/>
                </w:tcPr>
                <w:p w14:paraId="6DBD4520">
                  <w:pPr>
                    <w:spacing w:line="240" w:lineRule="auto"/>
                    <w:ind w:firstLine="0" w:firstLineChars="0"/>
                    <w:jc w:val="center"/>
                    <w:rPr>
                      <w:rFonts w:cs="Times New Roman"/>
                      <w:sz w:val="18"/>
                    </w:rPr>
                  </w:pPr>
                  <w:r>
                    <w:rPr>
                      <w:rFonts w:hint="eastAsia" w:cs="Times New Roman"/>
                      <w:sz w:val="18"/>
                    </w:rPr>
                    <w:t>900-217-08</w:t>
                  </w:r>
                </w:p>
              </w:tc>
              <w:tc>
                <w:tcPr>
                  <w:tcW w:w="461" w:type="pct"/>
                  <w:vMerge w:val="continue"/>
                  <w:vAlign w:val="center"/>
                </w:tcPr>
                <w:p w14:paraId="1111D2A4">
                  <w:pPr>
                    <w:spacing w:line="240" w:lineRule="auto"/>
                    <w:ind w:firstLine="0" w:firstLineChars="0"/>
                    <w:jc w:val="center"/>
                    <w:rPr>
                      <w:rFonts w:cs="Times New Roman"/>
                      <w:kern w:val="0"/>
                      <w:sz w:val="18"/>
                    </w:rPr>
                  </w:pPr>
                </w:p>
              </w:tc>
              <w:tc>
                <w:tcPr>
                  <w:tcW w:w="447" w:type="pct"/>
                  <w:vMerge w:val="continue"/>
                  <w:vAlign w:val="center"/>
                </w:tcPr>
                <w:p w14:paraId="73CA9459">
                  <w:pPr>
                    <w:spacing w:line="240" w:lineRule="auto"/>
                    <w:ind w:firstLine="0" w:firstLineChars="0"/>
                    <w:jc w:val="center"/>
                    <w:rPr>
                      <w:rFonts w:cs="Times New Roman"/>
                      <w:kern w:val="0"/>
                      <w:sz w:val="18"/>
                    </w:rPr>
                  </w:pPr>
                </w:p>
              </w:tc>
              <w:tc>
                <w:tcPr>
                  <w:tcW w:w="484" w:type="pct"/>
                  <w:vAlign w:val="center"/>
                </w:tcPr>
                <w:p w14:paraId="3DAA1211">
                  <w:pPr>
                    <w:spacing w:line="240" w:lineRule="auto"/>
                    <w:ind w:firstLine="0" w:firstLineChars="0"/>
                    <w:jc w:val="center"/>
                    <w:rPr>
                      <w:rFonts w:cs="Times New Roman"/>
                      <w:kern w:val="0"/>
                      <w:sz w:val="18"/>
                    </w:rPr>
                  </w:pPr>
                  <w:r>
                    <w:rPr>
                      <w:rFonts w:cs="Times New Roman"/>
                      <w:kern w:val="0"/>
                      <w:sz w:val="18"/>
                    </w:rPr>
                    <w:t>桶装</w:t>
                  </w:r>
                </w:p>
              </w:tc>
              <w:tc>
                <w:tcPr>
                  <w:tcW w:w="491" w:type="pct"/>
                  <w:vMerge w:val="continue"/>
                  <w:vAlign w:val="center"/>
                </w:tcPr>
                <w:p w14:paraId="4083FA35">
                  <w:pPr>
                    <w:spacing w:line="240" w:lineRule="auto"/>
                    <w:ind w:firstLine="0" w:firstLineChars="0"/>
                    <w:jc w:val="center"/>
                    <w:rPr>
                      <w:rFonts w:cs="Times New Roman"/>
                      <w:kern w:val="0"/>
                      <w:sz w:val="18"/>
                    </w:rPr>
                  </w:pPr>
                </w:p>
              </w:tc>
              <w:tc>
                <w:tcPr>
                  <w:tcW w:w="484" w:type="pct"/>
                  <w:vMerge w:val="continue"/>
                  <w:vAlign w:val="center"/>
                </w:tcPr>
                <w:p w14:paraId="2222898A">
                  <w:pPr>
                    <w:spacing w:line="240" w:lineRule="auto"/>
                    <w:ind w:firstLine="0" w:firstLineChars="0"/>
                    <w:jc w:val="center"/>
                    <w:rPr>
                      <w:rFonts w:cs="Times New Roman"/>
                      <w:kern w:val="0"/>
                      <w:sz w:val="18"/>
                    </w:rPr>
                  </w:pPr>
                </w:p>
              </w:tc>
            </w:tr>
            <w:tr w14:paraId="348C43E5">
              <w:trPr>
                <w:trHeight w:val="340" w:hRule="atLeast"/>
              </w:trPr>
              <w:tc>
                <w:tcPr>
                  <w:tcW w:w="342" w:type="pct"/>
                  <w:vAlign w:val="center"/>
                </w:tcPr>
                <w:p w14:paraId="701AA740">
                  <w:pPr>
                    <w:spacing w:line="240" w:lineRule="auto"/>
                    <w:ind w:firstLine="0" w:firstLineChars="0"/>
                    <w:jc w:val="center"/>
                    <w:rPr>
                      <w:rFonts w:cs="Times New Roman"/>
                      <w:kern w:val="0"/>
                      <w:sz w:val="18"/>
                    </w:rPr>
                  </w:pPr>
                  <w:r>
                    <w:rPr>
                      <w:rFonts w:hint="eastAsia" w:cs="Times New Roman"/>
                      <w:kern w:val="0"/>
                      <w:sz w:val="18"/>
                    </w:rPr>
                    <w:t>5</w:t>
                  </w:r>
                </w:p>
              </w:tc>
              <w:tc>
                <w:tcPr>
                  <w:tcW w:w="547" w:type="pct"/>
                  <w:vMerge w:val="continue"/>
                  <w:vAlign w:val="center"/>
                </w:tcPr>
                <w:p w14:paraId="498F4826">
                  <w:pPr>
                    <w:spacing w:line="240" w:lineRule="auto"/>
                    <w:ind w:firstLine="0" w:firstLineChars="0"/>
                    <w:jc w:val="center"/>
                    <w:rPr>
                      <w:rFonts w:cs="Times New Roman"/>
                      <w:kern w:val="0"/>
                      <w:sz w:val="18"/>
                    </w:rPr>
                  </w:pPr>
                </w:p>
              </w:tc>
              <w:tc>
                <w:tcPr>
                  <w:tcW w:w="615" w:type="pct"/>
                  <w:vAlign w:val="center"/>
                </w:tcPr>
                <w:p w14:paraId="18CFA410">
                  <w:pPr>
                    <w:spacing w:line="240" w:lineRule="auto"/>
                    <w:ind w:firstLine="0" w:firstLineChars="0"/>
                    <w:jc w:val="center"/>
                    <w:rPr>
                      <w:rFonts w:cs="Times New Roman"/>
                      <w:sz w:val="18"/>
                    </w:rPr>
                  </w:pPr>
                  <w:r>
                    <w:rPr>
                      <w:rFonts w:hint="eastAsia" w:cs="Times New Roman"/>
                      <w:sz w:val="18"/>
                    </w:rPr>
                    <w:t>废劳保用品</w:t>
                  </w:r>
                </w:p>
              </w:tc>
              <w:tc>
                <w:tcPr>
                  <w:tcW w:w="446" w:type="pct"/>
                  <w:vAlign w:val="center"/>
                </w:tcPr>
                <w:p w14:paraId="70D5AD83">
                  <w:pPr>
                    <w:spacing w:line="240" w:lineRule="auto"/>
                    <w:ind w:firstLine="0" w:firstLineChars="0"/>
                    <w:jc w:val="center"/>
                    <w:rPr>
                      <w:rFonts w:cs="Times New Roman"/>
                      <w:sz w:val="18"/>
                    </w:rPr>
                  </w:pPr>
                  <w:r>
                    <w:rPr>
                      <w:rFonts w:cs="Times New Roman"/>
                      <w:sz w:val="18"/>
                    </w:rPr>
                    <w:t>HW49</w:t>
                  </w:r>
                </w:p>
              </w:tc>
              <w:tc>
                <w:tcPr>
                  <w:tcW w:w="677" w:type="pct"/>
                  <w:vAlign w:val="center"/>
                </w:tcPr>
                <w:p w14:paraId="506E612A">
                  <w:pPr>
                    <w:spacing w:line="240" w:lineRule="auto"/>
                    <w:ind w:firstLine="0" w:firstLineChars="0"/>
                    <w:jc w:val="center"/>
                    <w:rPr>
                      <w:rFonts w:cs="Times New Roman"/>
                      <w:sz w:val="18"/>
                    </w:rPr>
                  </w:pPr>
                  <w:r>
                    <w:rPr>
                      <w:rFonts w:hint="eastAsia" w:cs="Times New Roman"/>
                      <w:sz w:val="18"/>
                    </w:rPr>
                    <w:t>9</w:t>
                  </w:r>
                  <w:r>
                    <w:rPr>
                      <w:rFonts w:cs="Times New Roman"/>
                      <w:sz w:val="18"/>
                    </w:rPr>
                    <w:t>00-0</w:t>
                  </w:r>
                  <w:r>
                    <w:rPr>
                      <w:rFonts w:hint="eastAsia" w:cs="Times New Roman"/>
                      <w:sz w:val="18"/>
                    </w:rPr>
                    <w:t>41</w:t>
                  </w:r>
                  <w:r>
                    <w:rPr>
                      <w:rFonts w:cs="Times New Roman"/>
                      <w:sz w:val="18"/>
                    </w:rPr>
                    <w:t>-49</w:t>
                  </w:r>
                </w:p>
              </w:tc>
              <w:tc>
                <w:tcPr>
                  <w:tcW w:w="461" w:type="pct"/>
                  <w:vMerge w:val="continue"/>
                  <w:vAlign w:val="center"/>
                </w:tcPr>
                <w:p w14:paraId="35927BB9">
                  <w:pPr>
                    <w:spacing w:line="240" w:lineRule="auto"/>
                    <w:ind w:firstLine="0" w:firstLineChars="0"/>
                    <w:jc w:val="center"/>
                    <w:rPr>
                      <w:rFonts w:cs="Times New Roman"/>
                      <w:kern w:val="0"/>
                      <w:sz w:val="18"/>
                    </w:rPr>
                  </w:pPr>
                </w:p>
              </w:tc>
              <w:tc>
                <w:tcPr>
                  <w:tcW w:w="447" w:type="pct"/>
                  <w:vMerge w:val="continue"/>
                  <w:vAlign w:val="center"/>
                </w:tcPr>
                <w:p w14:paraId="4FA13E86">
                  <w:pPr>
                    <w:spacing w:line="240" w:lineRule="auto"/>
                    <w:ind w:firstLine="0" w:firstLineChars="0"/>
                    <w:jc w:val="center"/>
                    <w:rPr>
                      <w:rFonts w:cs="Times New Roman"/>
                      <w:kern w:val="0"/>
                      <w:sz w:val="18"/>
                    </w:rPr>
                  </w:pPr>
                </w:p>
              </w:tc>
              <w:tc>
                <w:tcPr>
                  <w:tcW w:w="484" w:type="pct"/>
                  <w:vAlign w:val="center"/>
                </w:tcPr>
                <w:p w14:paraId="77E87E1B">
                  <w:pPr>
                    <w:spacing w:line="240" w:lineRule="auto"/>
                    <w:ind w:firstLine="0" w:firstLineChars="0"/>
                    <w:jc w:val="center"/>
                    <w:rPr>
                      <w:rFonts w:cs="Times New Roman"/>
                      <w:kern w:val="0"/>
                      <w:sz w:val="18"/>
                    </w:rPr>
                  </w:pPr>
                  <w:r>
                    <w:rPr>
                      <w:rFonts w:cs="Times New Roman"/>
                      <w:kern w:val="0"/>
                      <w:sz w:val="18"/>
                    </w:rPr>
                    <w:t>桶装</w:t>
                  </w:r>
                </w:p>
              </w:tc>
              <w:tc>
                <w:tcPr>
                  <w:tcW w:w="491" w:type="pct"/>
                  <w:vMerge w:val="continue"/>
                  <w:vAlign w:val="center"/>
                </w:tcPr>
                <w:p w14:paraId="2D3AD370">
                  <w:pPr>
                    <w:spacing w:line="240" w:lineRule="auto"/>
                    <w:ind w:firstLine="0" w:firstLineChars="0"/>
                    <w:jc w:val="center"/>
                    <w:rPr>
                      <w:rFonts w:cs="Times New Roman"/>
                      <w:kern w:val="0"/>
                      <w:sz w:val="18"/>
                    </w:rPr>
                  </w:pPr>
                </w:p>
              </w:tc>
              <w:tc>
                <w:tcPr>
                  <w:tcW w:w="484" w:type="pct"/>
                  <w:vMerge w:val="continue"/>
                  <w:vAlign w:val="center"/>
                </w:tcPr>
                <w:p w14:paraId="44CE2C74">
                  <w:pPr>
                    <w:spacing w:line="240" w:lineRule="auto"/>
                    <w:ind w:firstLine="0" w:firstLineChars="0"/>
                    <w:jc w:val="center"/>
                    <w:rPr>
                      <w:rFonts w:cs="Times New Roman"/>
                      <w:kern w:val="0"/>
                      <w:sz w:val="18"/>
                    </w:rPr>
                  </w:pPr>
                </w:p>
              </w:tc>
            </w:tr>
          </w:tbl>
          <w:p w14:paraId="0415754C">
            <w:pPr>
              <w:ind w:firstLine="480"/>
              <w:jc w:val="both"/>
              <w:rPr>
                <w:rFonts w:cs="Times New Roman"/>
                <w:szCs w:val="24"/>
              </w:rPr>
            </w:pPr>
            <w:r>
              <w:rPr>
                <w:rFonts w:cs="Times New Roman"/>
                <w:szCs w:val="24"/>
              </w:rPr>
              <w:t>危废库设置要求</w:t>
            </w:r>
            <w:r>
              <w:rPr>
                <w:rFonts w:hint="eastAsia" w:cs="Times New Roman"/>
                <w:szCs w:val="24"/>
              </w:rPr>
              <w:t>：</w:t>
            </w:r>
          </w:p>
          <w:p w14:paraId="46419490">
            <w:pPr>
              <w:ind w:firstLine="480"/>
              <w:jc w:val="both"/>
              <w:rPr>
                <w:rFonts w:cs="Times New Roman"/>
                <w:szCs w:val="24"/>
              </w:rPr>
            </w:pPr>
            <w:r>
              <w:rPr>
                <w:rFonts w:cs="Times New Roman"/>
                <w:szCs w:val="24"/>
              </w:rPr>
              <w:t>根据《危险废物贮存污染控制标准》(GB18597-2023)，建设单位对危险固废暂存场所应做到以下几点</w:t>
            </w:r>
            <w:r>
              <w:rPr>
                <w:rFonts w:hint="eastAsia" w:cs="Times New Roman"/>
                <w:szCs w:val="24"/>
              </w:rPr>
              <w:t>：</w:t>
            </w:r>
          </w:p>
          <w:p w14:paraId="5CED3BBE">
            <w:pPr>
              <w:ind w:firstLine="480"/>
              <w:jc w:val="both"/>
              <w:rPr>
                <w:rFonts w:cs="Times New Roman"/>
                <w:szCs w:val="24"/>
              </w:rPr>
            </w:pPr>
            <w:r>
              <w:rPr>
                <w:rFonts w:hint="eastAsia" w:ascii="宋体" w:hAnsi="宋体" w:cs="宋体"/>
                <w:szCs w:val="24"/>
              </w:rPr>
              <w:t>①</w:t>
            </w:r>
            <w:r>
              <w:rPr>
                <w:rFonts w:hint="eastAsia" w:cs="Times New Roman"/>
                <w:szCs w:val="24"/>
              </w:rPr>
              <w:t>贮存危险废物应根据危险废物的类别、形态、物理化学性质和污染防治要求进行分类贮存，且应避免危险废物与不相容的物质或材料接触</w:t>
            </w:r>
            <w:r>
              <w:rPr>
                <w:rFonts w:cs="Times New Roman"/>
                <w:szCs w:val="24"/>
              </w:rPr>
              <w:t>。</w:t>
            </w:r>
          </w:p>
          <w:p w14:paraId="1419C34A">
            <w:pPr>
              <w:ind w:firstLine="480"/>
              <w:jc w:val="both"/>
              <w:rPr>
                <w:rFonts w:cs="Times New Roman"/>
                <w:szCs w:val="24"/>
              </w:rPr>
            </w:pPr>
            <w:r>
              <w:rPr>
                <w:rFonts w:hint="eastAsia" w:ascii="宋体" w:hAnsi="宋体" w:cs="宋体"/>
                <w:szCs w:val="24"/>
              </w:rPr>
              <w:t>②</w:t>
            </w:r>
            <w:r>
              <w:rPr>
                <w:rFonts w:hint="eastAsia" w:cs="Times New Roman"/>
                <w:szCs w:val="24"/>
              </w:rPr>
              <w:t>贮存危险废物应根据危险废物的形态、物理化学性质、包装形式和污染物迁移途径，采取措施减少渗滤液及其衍生废物、渗漏的液态废物〈简称渗漏液）、粉尘、</w:t>
            </w:r>
            <w:r>
              <w:rPr>
                <w:rFonts w:cs="Times New Roman"/>
                <w:szCs w:val="24"/>
              </w:rPr>
              <w:t>VOCs、酸雾、有毒有害大气污染物和刺激性气味气体等污染物的产生，防止其污染环境。</w:t>
            </w:r>
          </w:p>
          <w:p w14:paraId="3B65AA80">
            <w:pPr>
              <w:ind w:firstLine="480"/>
              <w:jc w:val="both"/>
              <w:rPr>
                <w:rFonts w:cs="Times New Roman"/>
                <w:szCs w:val="24"/>
              </w:rPr>
            </w:pPr>
            <w:r>
              <w:rPr>
                <w:rFonts w:hint="eastAsia" w:ascii="宋体" w:hAnsi="宋体" w:cs="宋体"/>
                <w:szCs w:val="24"/>
              </w:rPr>
              <w:t>③</w:t>
            </w:r>
            <w:r>
              <w:rPr>
                <w:rFonts w:hint="eastAsia" w:cs="Times New Roman"/>
                <w:szCs w:val="24"/>
              </w:rPr>
              <w:t>危险废物贮存过程产生的液态废物和固态废物应分类收集，按其环境管理要求妥善处理。</w:t>
            </w:r>
          </w:p>
          <w:p w14:paraId="464AC851">
            <w:pPr>
              <w:ind w:firstLine="480"/>
              <w:jc w:val="both"/>
              <w:rPr>
                <w:rFonts w:cs="Times New Roman"/>
                <w:szCs w:val="24"/>
              </w:rPr>
            </w:pPr>
            <w:r>
              <w:rPr>
                <w:rFonts w:hint="eastAsia" w:ascii="宋体" w:hAnsi="宋体" w:cs="宋体"/>
                <w:szCs w:val="24"/>
              </w:rPr>
              <w:t>④</w:t>
            </w:r>
            <w:r>
              <w:rPr>
                <w:rFonts w:hint="eastAsia" w:cs="Times New Roman"/>
                <w:szCs w:val="24"/>
              </w:rPr>
              <w:t>贮存设施或场所、容器和包装物应按《危险废物识别标志设置技术规范》</w:t>
            </w:r>
            <w:r>
              <w:rPr>
                <w:rFonts w:cs="Times New Roman"/>
                <w:szCs w:val="24"/>
              </w:rPr>
              <w:t>(HJ 1276-2022)的要求设置危险废物贮存设施或场所标志、危险废物贮存分区标志和危险废物标签等危险废物识别标志。</w:t>
            </w:r>
          </w:p>
          <w:p w14:paraId="3DF3A0C5">
            <w:pPr>
              <w:ind w:firstLine="480"/>
              <w:jc w:val="both"/>
              <w:rPr>
                <w:rFonts w:cs="Times New Roman"/>
                <w:szCs w:val="24"/>
              </w:rPr>
            </w:pPr>
            <w:r>
              <w:rPr>
                <w:rFonts w:hint="eastAsia" w:ascii="宋体" w:hAnsi="宋体" w:cs="宋体"/>
                <w:szCs w:val="24"/>
              </w:rPr>
              <w:t>⑤</w:t>
            </w:r>
            <w:r>
              <w:rPr>
                <w:rFonts w:hint="eastAsia" w:cs="Times New Roman"/>
                <w:szCs w:val="24"/>
              </w:rPr>
              <w:t>危险废物环境重点监管单位，应采用电子地磅、电子标签、电子管理台账等技术手段对危险废物贮存过程进行信息化管理，确保数据完整、真实、准确；采用视频监控的应确保监控画面清晰，视频记录保存时间至少为</w:t>
            </w:r>
            <w:r>
              <w:rPr>
                <w:rFonts w:cs="Times New Roman"/>
                <w:szCs w:val="24"/>
              </w:rPr>
              <w:t>3个月。</w:t>
            </w:r>
          </w:p>
          <w:p w14:paraId="466B7B22">
            <w:pPr>
              <w:ind w:firstLine="480"/>
              <w:jc w:val="both"/>
              <w:rPr>
                <w:rFonts w:cs="Times New Roman"/>
                <w:szCs w:val="24"/>
              </w:rPr>
            </w:pPr>
            <w:r>
              <w:rPr>
                <w:rFonts w:hint="eastAsia" w:ascii="宋体" w:hAnsi="宋体" w:cs="宋体"/>
                <w:szCs w:val="24"/>
              </w:rPr>
              <w:t>⑥</w:t>
            </w:r>
            <w:r>
              <w:rPr>
                <w:rFonts w:hint="eastAsia" w:cs="Times New Roman"/>
                <w:szCs w:val="24"/>
              </w:rPr>
              <w:t>贮存设施退役时，所有者或运营者应依法履行环境保护责任，退役前应妥善处理处置贮存设施内剩余的危险废物，并对贮存设施进行清理，消除污染</w:t>
            </w:r>
            <w:r>
              <w:rPr>
                <w:rFonts w:cs="Times New Roman"/>
                <w:szCs w:val="24"/>
              </w:rPr>
              <w:t>;还应依据土壤污染防治相关法律法规履行场地环境风险防控责任。</w:t>
            </w:r>
          </w:p>
          <w:p w14:paraId="245FB1D4">
            <w:pPr>
              <w:ind w:firstLine="480"/>
              <w:jc w:val="both"/>
              <w:rPr>
                <w:rFonts w:cs="Times New Roman"/>
                <w:szCs w:val="24"/>
              </w:rPr>
            </w:pPr>
            <w:r>
              <w:rPr>
                <w:rFonts w:hint="eastAsia" w:ascii="宋体" w:hAnsi="宋体" w:cs="宋体"/>
                <w:szCs w:val="24"/>
              </w:rPr>
              <w:t>⑦</w:t>
            </w:r>
            <w:r>
              <w:rPr>
                <w:rFonts w:hint="eastAsia" w:cs="Times New Roman"/>
                <w:szCs w:val="24"/>
              </w:rPr>
              <w:t>在常温常压下易爆、易燃及排出有毒气体的危险废物应进行预处理，使之稳定后贮存，否则应按易爆、易燃危险品贮存</w:t>
            </w:r>
            <w:r>
              <w:rPr>
                <w:rFonts w:cs="Times New Roman"/>
                <w:szCs w:val="24"/>
              </w:rPr>
              <w:t>。</w:t>
            </w:r>
          </w:p>
          <w:p w14:paraId="0635C9C4">
            <w:pPr>
              <w:ind w:firstLine="480"/>
              <w:jc w:val="both"/>
              <w:rPr>
                <w:rFonts w:cs="Times New Roman"/>
                <w:szCs w:val="24"/>
              </w:rPr>
            </w:pPr>
            <w:r>
              <w:rPr>
                <w:rFonts w:cs="Times New Roman"/>
                <w:szCs w:val="24"/>
              </w:rPr>
              <w:t>II运输过程的污染防治措施</w:t>
            </w:r>
          </w:p>
          <w:p w14:paraId="588A1D13">
            <w:pPr>
              <w:ind w:firstLine="480"/>
              <w:jc w:val="both"/>
              <w:rPr>
                <w:rFonts w:cs="Times New Roman"/>
                <w:szCs w:val="24"/>
              </w:rPr>
            </w:pPr>
            <w:r>
              <w:rPr>
                <w:rFonts w:hint="eastAsia" w:cs="Times New Roman"/>
                <w:szCs w:val="24"/>
              </w:rPr>
              <w:t>根据</w:t>
            </w:r>
            <w:r>
              <w:rPr>
                <w:rFonts w:cs="Times New Roman"/>
                <w:szCs w:val="24"/>
              </w:rPr>
              <w:t>《危险废物转移管理办法》</w:t>
            </w:r>
            <w:r>
              <w:rPr>
                <w:rFonts w:hint="eastAsia" w:cs="Times New Roman"/>
                <w:szCs w:val="24"/>
              </w:rPr>
              <w:t>《浙江省工业固体废物电子转移联单管理办法（试行）》有关规定，</w:t>
            </w:r>
            <w:r>
              <w:rPr>
                <w:rFonts w:cs="Times New Roman"/>
                <w:szCs w:val="24"/>
              </w:rPr>
              <w:t>本项目危险废物委托资质单位进行运输，在运输过程中要采用专用的车辆，密闭运输，严格禁止“跑、冒、滴、漏”，杜绝在运输过程中造成环境的二次污染。</w:t>
            </w:r>
          </w:p>
          <w:p w14:paraId="458A3692">
            <w:pPr>
              <w:ind w:firstLine="480"/>
              <w:jc w:val="both"/>
            </w:pPr>
            <w:r>
              <w:rPr>
                <w:rFonts w:hint="eastAsia" w:ascii="宋体" w:hAnsi="宋体" w:cs="宋体"/>
                <w:szCs w:val="24"/>
              </w:rPr>
              <w:t>①</w:t>
            </w:r>
            <w:r>
              <w:rPr>
                <w:rFonts w:hint="eastAsia"/>
              </w:rPr>
              <w:t>转移危险废物的，应当执行危险废物转移联单制度；</w:t>
            </w:r>
          </w:p>
          <w:p w14:paraId="625C629E">
            <w:pPr>
              <w:ind w:firstLine="480"/>
              <w:jc w:val="both"/>
              <w:rPr>
                <w:rFonts w:hint="eastAsia" w:ascii="宋体" w:hAnsi="宋体" w:cs="宋体"/>
                <w:szCs w:val="24"/>
              </w:rPr>
            </w:pPr>
            <w:r>
              <w:rPr>
                <w:rFonts w:hint="eastAsia" w:ascii="宋体" w:hAnsi="宋体" w:cs="宋体"/>
                <w:szCs w:val="24"/>
              </w:rPr>
              <w:t>②转移危险废物的，应当通过国家危险废物信息管理系统（以下简称信息系统）填写、运行危险废物电子转移联单，并依照国家有关规定公开危险废物转移相关污染环境防治信息；</w:t>
            </w:r>
          </w:p>
          <w:p w14:paraId="0D40309A">
            <w:pPr>
              <w:ind w:firstLine="480"/>
              <w:jc w:val="both"/>
            </w:pPr>
            <w:r>
              <w:rPr>
                <w:rFonts w:hint="eastAsia"/>
              </w:rPr>
              <w:t>③运输危险废物的，应当遵守国家有关危险货物运输管理的规定。</w:t>
            </w:r>
          </w:p>
          <w:p w14:paraId="72953851">
            <w:pPr>
              <w:ind w:firstLine="480"/>
              <w:jc w:val="both"/>
            </w:pPr>
            <w:r>
              <w:rPr>
                <w:rFonts w:hint="eastAsia"/>
              </w:rPr>
              <w:t>建设单位在危险废物转移过程中，还应履行以下义务：</w:t>
            </w:r>
          </w:p>
          <w:p w14:paraId="619E7A5A">
            <w:pPr>
              <w:ind w:firstLine="480"/>
              <w:jc w:val="both"/>
            </w:pPr>
            <w:r>
              <w:rPr>
                <w:rFonts w:hint="eastAsia" w:ascii="宋体" w:hAnsi="宋体" w:cs="宋体"/>
                <w:szCs w:val="24"/>
              </w:rPr>
              <w:t>①</w:t>
            </w:r>
            <w:r>
              <w:t>对承运人或者接受人的主体资格和技术能力进行核实，依法签订书面合同，并在合同中约定运输、贮存、利用、处置危险废物的污染防治要求及相关责任</w:t>
            </w:r>
            <w:r>
              <w:rPr>
                <w:rFonts w:hint="eastAsia"/>
              </w:rPr>
              <w:t>；</w:t>
            </w:r>
          </w:p>
          <w:p w14:paraId="17C8C383">
            <w:pPr>
              <w:ind w:firstLine="480"/>
              <w:jc w:val="both"/>
            </w:pPr>
            <w:r>
              <w:rPr>
                <w:rFonts w:hint="eastAsia"/>
              </w:rPr>
              <w:t>②</w:t>
            </w:r>
            <w:r>
              <w:t>制定危险废物管理计划，明确拟转移危险废物的种类、重量（数量）和流向等信息</w:t>
            </w:r>
            <w:r>
              <w:rPr>
                <w:rFonts w:hint="eastAsia"/>
              </w:rPr>
              <w:t>；</w:t>
            </w:r>
          </w:p>
          <w:p w14:paraId="0C0132E3">
            <w:pPr>
              <w:ind w:firstLine="480"/>
              <w:jc w:val="both"/>
            </w:pPr>
            <w:r>
              <w:rPr>
                <w:rFonts w:hint="eastAsia"/>
              </w:rPr>
              <w:t>③</w:t>
            </w:r>
            <w:r>
              <w:t>建立危险废物管理台账，对转移的危险废物进行计量称重，如实记录、妥善保管转移危险废物的种类、重量（数量）和接受人等相关信息</w:t>
            </w:r>
            <w:r>
              <w:rPr>
                <w:rFonts w:hint="eastAsia"/>
              </w:rPr>
              <w:t>；</w:t>
            </w:r>
          </w:p>
          <w:p w14:paraId="2509EE15">
            <w:pPr>
              <w:ind w:firstLine="480"/>
              <w:jc w:val="both"/>
            </w:pPr>
            <w:r>
              <w:rPr>
                <w:rFonts w:hint="eastAsia"/>
              </w:rPr>
              <w:t>④</w:t>
            </w:r>
            <w:r>
              <w:t>填写、运行危险废物转移联单，在危险废物转移联单中如实填写移出人、承运人、接受人信息，转移危险废物的种类、重量（数量）、危险特性等信息，以及突发环境事件的防范措施等</w:t>
            </w:r>
            <w:r>
              <w:rPr>
                <w:rFonts w:hint="eastAsia"/>
              </w:rPr>
              <w:t>；</w:t>
            </w:r>
          </w:p>
          <w:p w14:paraId="08FF5747">
            <w:pPr>
              <w:ind w:firstLine="480"/>
              <w:jc w:val="both"/>
            </w:pPr>
            <w:r>
              <w:rPr>
                <w:rFonts w:hint="eastAsia"/>
              </w:rPr>
              <w:t>⑤</w:t>
            </w:r>
            <w:r>
              <w:t>及时核实接受人贮存、利用或者处置相关危险废物情况</w:t>
            </w:r>
            <w:r>
              <w:rPr>
                <w:rFonts w:hint="eastAsia"/>
              </w:rPr>
              <w:t>。</w:t>
            </w:r>
          </w:p>
          <w:p w14:paraId="46C3E262">
            <w:pPr>
              <w:ind w:firstLine="480"/>
              <w:jc w:val="both"/>
              <w:rPr>
                <w:rFonts w:cs="Times New Roman"/>
                <w:szCs w:val="24"/>
              </w:rPr>
            </w:pPr>
            <w:r>
              <w:rPr>
                <w:rFonts w:hint="eastAsia" w:cs="Times New Roman"/>
                <w:szCs w:val="24"/>
              </w:rPr>
              <w:t>3、</w:t>
            </w:r>
            <w:r>
              <w:rPr>
                <w:rFonts w:cs="Times New Roman"/>
                <w:szCs w:val="24"/>
              </w:rPr>
              <w:t>环境管理要求</w:t>
            </w:r>
          </w:p>
          <w:p w14:paraId="63D0AE27">
            <w:pPr>
              <w:ind w:firstLine="480"/>
              <w:jc w:val="both"/>
              <w:rPr>
                <w:rFonts w:cs="Times New Roman"/>
                <w:szCs w:val="24"/>
              </w:rPr>
            </w:pPr>
            <w:r>
              <w:rPr>
                <w:rFonts w:cs="Times New Roman"/>
                <w:szCs w:val="24"/>
              </w:rPr>
              <w:t>针对本项且正常运行</w:t>
            </w:r>
            <w:r>
              <w:rPr>
                <w:rFonts w:hint="eastAsia" w:cs="Times New Roman"/>
                <w:szCs w:val="24"/>
              </w:rPr>
              <w:t>阶</w:t>
            </w:r>
            <w:r>
              <w:rPr>
                <w:rFonts w:cs="Times New Roman"/>
                <w:szCs w:val="24"/>
              </w:rPr>
              <w:t>段所产生的危险废物的日常管理提出要求：履行申报登记制度；建立台账管理制度，企业须做好危险废物情况的记录，记录上需注明危险废物的名称、来源、数量、特性和包装容器的类别；委托处置应执行报批和转移联单等制度；定期对暂存的危险废物包装容器及贮存设施进行检查，及早发现破损，及时采取措施清理更换；直接从事收集、贮存、输、利用、处置危险废物的人员，应当接受专业培训，经考核合格，方可从事该项工作。</w:t>
            </w:r>
          </w:p>
          <w:p w14:paraId="57B6053A">
            <w:pPr>
              <w:ind w:firstLine="480"/>
              <w:jc w:val="both"/>
            </w:pPr>
            <w:r>
              <w:rPr>
                <w:rFonts w:cs="Times New Roman"/>
                <w:szCs w:val="24"/>
              </w:rPr>
              <w:t>固废贮存(处置)场所规范化设置，固体废物贮存(处置)场所应在醒目处设置标志牌。采取上述治理措施后，各类固废均能得到合理处置。</w:t>
            </w:r>
          </w:p>
          <w:p w14:paraId="7CF373F5">
            <w:pPr>
              <w:ind w:firstLine="480"/>
              <w:jc w:val="both"/>
            </w:pPr>
            <w:r>
              <w:rPr>
                <w:rFonts w:hint="eastAsia"/>
              </w:rPr>
              <w:t>五、地下水</w:t>
            </w:r>
          </w:p>
          <w:p w14:paraId="22B481CE">
            <w:pPr>
              <w:ind w:firstLine="480"/>
              <w:jc w:val="both"/>
              <w:rPr>
                <w:rFonts w:cs="Times New Roman"/>
              </w:rPr>
            </w:pPr>
            <w:r>
              <w:rPr>
                <w:rFonts w:hint="eastAsia" w:cs="Times New Roman"/>
              </w:rPr>
              <w:t>1、</w:t>
            </w:r>
            <w:r>
              <w:rPr>
                <w:rFonts w:cs="Times New Roman"/>
              </w:rPr>
              <w:t>地下水环境影响分析</w:t>
            </w:r>
          </w:p>
          <w:p w14:paraId="01E482CC">
            <w:pPr>
              <w:ind w:firstLine="480"/>
              <w:jc w:val="both"/>
              <w:rPr>
                <w:rFonts w:cs="Times New Roman"/>
              </w:rPr>
            </w:pPr>
            <w:r>
              <w:rPr>
                <w:rFonts w:cs="Times New Roman"/>
              </w:rPr>
              <w:t>拟建项目按照规范和要求对危废库采取有效的防雨、防渗漏、防溢流措施，并加强对固体废物和危险化学品的管理，运营期正常状况下项目不会对地下水造成较大的不利影响。</w:t>
            </w:r>
          </w:p>
          <w:p w14:paraId="367A801C">
            <w:pPr>
              <w:ind w:firstLine="480"/>
              <w:jc w:val="both"/>
              <w:rPr>
                <w:rFonts w:cs="Times New Roman"/>
              </w:rPr>
            </w:pPr>
            <w:r>
              <w:rPr>
                <w:rFonts w:cs="Times New Roman"/>
              </w:rPr>
              <w:t>但在非正常状况或事故状态下，如危险废物管理不善或危险废物暂存场所发生泄漏等情况下，污染物会渗入地下对地下水造成影响。</w:t>
            </w:r>
          </w:p>
          <w:p w14:paraId="14918E44">
            <w:pPr>
              <w:ind w:firstLine="480"/>
              <w:jc w:val="both"/>
              <w:rPr>
                <w:rFonts w:cs="Times New Roman"/>
              </w:rPr>
            </w:pPr>
            <w:r>
              <w:rPr>
                <w:rFonts w:hint="eastAsia" w:cs="Times New Roman"/>
              </w:rPr>
              <w:t>2、</w:t>
            </w:r>
            <w:r>
              <w:rPr>
                <w:rFonts w:cs="Times New Roman"/>
              </w:rPr>
              <w:t>地下水环境保护措施</w:t>
            </w:r>
          </w:p>
          <w:p w14:paraId="2F0B73E3">
            <w:pPr>
              <w:ind w:firstLine="480"/>
              <w:jc w:val="both"/>
              <w:rPr>
                <w:rFonts w:cs="Times New Roman"/>
              </w:rPr>
            </w:pPr>
            <w:r>
              <w:rPr>
                <w:rFonts w:cs="Times New Roman"/>
              </w:rPr>
              <w:t>针对可能发生的地下水污染，项目营运期地下水污染防治措施应按照“源头控制、分区防治、污染监控、应急响应”相结合的原则，从污染物的产生、入渗、扩散、应急响应全方位进行防控。</w:t>
            </w:r>
          </w:p>
          <w:p w14:paraId="6569933F">
            <w:pPr>
              <w:ind w:firstLine="480"/>
              <w:jc w:val="both"/>
              <w:rPr>
                <w:rFonts w:cs="Times New Roman"/>
              </w:rPr>
            </w:pPr>
            <w:r>
              <w:rPr>
                <w:rFonts w:hint="eastAsia" w:cs="Times New Roman"/>
              </w:rPr>
              <w:t>2.1、</w:t>
            </w:r>
            <w:r>
              <w:rPr>
                <w:rFonts w:cs="Times New Roman"/>
              </w:rPr>
              <w:t>源头控制</w:t>
            </w:r>
          </w:p>
          <w:p w14:paraId="1E42B22D">
            <w:pPr>
              <w:ind w:firstLine="480"/>
              <w:jc w:val="both"/>
              <w:rPr>
                <w:rFonts w:cs="Times New Roman"/>
              </w:rPr>
            </w:pPr>
            <w:r>
              <w:rPr>
                <w:rFonts w:cs="Times New Roman"/>
              </w:rPr>
              <w:t>项目实施期间应从以下几个角度开展地下水的源头控制：</w:t>
            </w:r>
          </w:p>
          <w:p w14:paraId="7FBA3D76">
            <w:pPr>
              <w:ind w:firstLine="480"/>
              <w:jc w:val="both"/>
              <w:rPr>
                <w:rFonts w:cs="Times New Roman"/>
              </w:rPr>
            </w:pPr>
            <w:r>
              <w:rPr>
                <w:rFonts w:cs="Times New Roman"/>
              </w:rPr>
              <w:fldChar w:fldCharType="begin"/>
            </w:r>
            <w:r>
              <w:rPr>
                <w:rFonts w:cs="Times New Roman"/>
              </w:rPr>
              <w:instrText xml:space="preserve"> = 1 \* GB3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优先选择先进、成熟、可靠的工艺技术和较清洁的原辅材料</w:t>
            </w:r>
            <w:r>
              <w:rPr>
                <w:rFonts w:hint="eastAsia" w:cs="Times New Roman"/>
              </w:rPr>
              <w:t>，</w:t>
            </w:r>
            <w:r>
              <w:rPr>
                <w:rFonts w:cs="Times New Roman"/>
              </w:rPr>
              <w:t>并对产生的各类废物进行合理的回用和治理，尽可能从源头上减少污染物的产生和排放。</w:t>
            </w:r>
          </w:p>
          <w:p w14:paraId="26D4E542">
            <w:pPr>
              <w:ind w:firstLine="480"/>
              <w:jc w:val="both"/>
              <w:rPr>
                <w:rFonts w:cs="Times New Roman"/>
              </w:rPr>
            </w:pP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严格按照国家相关规范要求，对工艺、管道、设备、仓库、污水储存和处理构筑物采取相应措施，防止和降低污染物的跑、冒、滴、漏，将污染物泄漏的环境风险降到最低程度。</w:t>
            </w:r>
          </w:p>
          <w:p w14:paraId="506BE586">
            <w:pPr>
              <w:ind w:firstLine="480"/>
              <w:jc w:val="both"/>
              <w:rPr>
                <w:rFonts w:cs="Times New Roman"/>
              </w:rPr>
            </w:pPr>
            <w:r>
              <w:rPr>
                <w:rFonts w:cs="Times New Roman"/>
              </w:rPr>
              <w:fldChar w:fldCharType="begin"/>
            </w:r>
            <w:r>
              <w:rPr>
                <w:rFonts w:cs="Times New Roman"/>
              </w:rPr>
              <w:instrText xml:space="preserve"> = 3 \* GB3 </w:instrText>
            </w:r>
            <w:r>
              <w:rPr>
                <w:rFonts w:cs="Times New Roman"/>
              </w:rPr>
              <w:fldChar w:fldCharType="separate"/>
            </w:r>
            <w:r>
              <w:rPr>
                <w:rFonts w:hint="eastAsia" w:ascii="宋体" w:hAnsi="宋体" w:cs="宋体"/>
              </w:rPr>
              <w:t>③</w:t>
            </w:r>
            <w:r>
              <w:rPr>
                <w:rFonts w:cs="Times New Roman"/>
              </w:rPr>
              <w:fldChar w:fldCharType="end"/>
            </w:r>
            <w:r>
              <w:rPr>
                <w:rFonts w:cs="Times New Roman"/>
              </w:rPr>
              <w:t>危险废物临时存放场所要按照国家相关规范要求，采取严格的防泄漏、防溢流、防腐蚀等措施，严格危险化学品和危险废物的管理。</w:t>
            </w:r>
          </w:p>
          <w:p w14:paraId="565129A2">
            <w:pPr>
              <w:ind w:firstLine="480"/>
              <w:jc w:val="both"/>
              <w:rPr>
                <w:rFonts w:cs="Times New Roman"/>
              </w:rPr>
            </w:pPr>
            <w:r>
              <w:rPr>
                <w:rFonts w:cs="Times New Roman"/>
              </w:rPr>
              <w:fldChar w:fldCharType="begin"/>
            </w:r>
            <w:r>
              <w:rPr>
                <w:rFonts w:cs="Times New Roman"/>
              </w:rPr>
              <w:instrText xml:space="preserve"> = 4 \* GB3 </w:instrText>
            </w:r>
            <w:r>
              <w:rPr>
                <w:rFonts w:cs="Times New Roman"/>
              </w:rPr>
              <w:fldChar w:fldCharType="separate"/>
            </w:r>
            <w:r>
              <w:rPr>
                <w:rFonts w:hint="eastAsia" w:ascii="宋体" w:hAnsi="宋体" w:cs="宋体"/>
              </w:rPr>
              <w:t>④</w:t>
            </w:r>
            <w:r>
              <w:rPr>
                <w:rFonts w:cs="Times New Roman"/>
              </w:rPr>
              <w:fldChar w:fldCharType="end"/>
            </w:r>
            <w:r>
              <w:rPr>
                <w:rFonts w:cs="Times New Roman"/>
              </w:rPr>
              <w:t>对可能泄漏有害介质和污染物的设备和管道铺设尽量采用“可视化”原则，即管道尽可能地上铺设，做到污染物“早发现、早处理”，以减少由于埋地管道泄漏而可能造成的地下水污染。</w:t>
            </w:r>
          </w:p>
          <w:p w14:paraId="02B71189">
            <w:pPr>
              <w:ind w:firstLine="480"/>
              <w:jc w:val="both"/>
              <w:rPr>
                <w:rFonts w:cs="Times New Roman"/>
              </w:rPr>
            </w:pPr>
            <w:r>
              <w:rPr>
                <w:rFonts w:hint="eastAsia" w:cs="Times New Roman"/>
              </w:rPr>
              <w:t>2.2、</w:t>
            </w:r>
            <w:r>
              <w:rPr>
                <w:rFonts w:cs="Times New Roman"/>
              </w:rPr>
              <w:t>分区</w:t>
            </w:r>
            <w:r>
              <w:rPr>
                <w:rFonts w:hint="eastAsia" w:cs="Times New Roman"/>
              </w:rPr>
              <w:t>防渗</w:t>
            </w:r>
            <w:r>
              <w:rPr>
                <w:rFonts w:cs="Times New Roman"/>
              </w:rPr>
              <w:t>措施</w:t>
            </w:r>
          </w:p>
          <w:p w14:paraId="4428548A">
            <w:pPr>
              <w:ind w:firstLine="480"/>
              <w:jc w:val="both"/>
              <w:rPr>
                <w:rFonts w:cs="Times New Roman"/>
              </w:rPr>
            </w:pPr>
            <w:r>
              <w:rPr>
                <w:rFonts w:hint="eastAsia" w:cs="Times New Roman"/>
              </w:rPr>
              <w:t>本项目已按照不同防渗要求进行分区防渗</w:t>
            </w:r>
            <w:r>
              <w:rPr>
                <w:rFonts w:cs="Times New Roman"/>
              </w:rPr>
              <w:t>。</w:t>
            </w:r>
            <w:r>
              <w:rPr>
                <w:rFonts w:hint="eastAsia" w:cs="Times New Roman"/>
              </w:rPr>
              <w:t>其中危废库采用重点防渗措施，包装区、原料暂存区、成品暂存区等采用一般防渗措施，车间办公室采用简单防渗措施，相关措施技术指标如下：</w:t>
            </w:r>
          </w:p>
          <w:p w14:paraId="5A400C93">
            <w:pPr>
              <w:autoSpaceDE w:val="0"/>
              <w:autoSpaceDN w:val="0"/>
              <w:ind w:firstLine="482"/>
              <w:jc w:val="both"/>
              <w:rPr>
                <w:rFonts w:cs="Times New Roman"/>
              </w:rPr>
            </w:pPr>
            <w:r>
              <w:rPr>
                <w:rFonts w:cs="Times New Roman"/>
                <w:b/>
                <w:bCs/>
                <w:kern w:val="24"/>
              </w:rPr>
              <w:t>重点防渗区：</w:t>
            </w:r>
            <w:r>
              <w:rPr>
                <w:rFonts w:cs="Times New Roman"/>
                <w:kern w:val="24"/>
              </w:rPr>
              <w:t>防渗技术要求等效黏土防渗层Mb≥6.0m，K≤≤10</w:t>
            </w:r>
            <w:r>
              <w:rPr>
                <w:rFonts w:cs="Times New Roman"/>
                <w:kern w:val="24"/>
                <w:vertAlign w:val="superscript"/>
              </w:rPr>
              <w:t>-7</w:t>
            </w:r>
            <w:r>
              <w:rPr>
                <w:rFonts w:cs="Times New Roman"/>
                <w:kern w:val="24"/>
              </w:rPr>
              <w:t>cm/s</w:t>
            </w:r>
            <w:r>
              <w:rPr>
                <w:rFonts w:cs="Times New Roman"/>
              </w:rPr>
              <w:t>。其中危废暂存区间还需要满足《危险废物贮存污染控制标准》（GB18597-2023）中防渗要求：</w:t>
            </w:r>
            <w:r>
              <w:rPr>
                <w:rFonts w:hint="eastAsia" w:cs="Times New Roman"/>
              </w:rPr>
              <w:t>表面防渗材料应与所接触的物料或污染物相容，可采用抗渗混凝土、高密度聚乙烯膜、钠基膨润土防水毯或其他防渗性能等效的材料。贮存的危险废物直接接触地面的，还应进行基础防渗，防渗层为至少</w:t>
            </w:r>
            <w:r>
              <w:rPr>
                <w:rFonts w:cs="Times New Roman"/>
              </w:rPr>
              <w:t>1m厚黏土层（渗透系数不大于10</w:t>
            </w:r>
            <w:r>
              <w:rPr>
                <w:rFonts w:cs="Times New Roman"/>
                <w:vertAlign w:val="superscript"/>
              </w:rPr>
              <w:t>-7</w:t>
            </w:r>
            <w:r>
              <w:rPr>
                <w:rFonts w:cs="Times New Roman"/>
              </w:rPr>
              <w:t>cm/s)，或至少2 mm厚高密度聚乙烯膜等人工防渗材料（渗透系数不大于10</w:t>
            </w:r>
            <w:r>
              <w:rPr>
                <w:rFonts w:cs="Times New Roman"/>
                <w:vertAlign w:val="superscript"/>
              </w:rPr>
              <w:t>-10</w:t>
            </w:r>
            <w:r>
              <w:rPr>
                <w:rFonts w:cs="Times New Roman"/>
              </w:rPr>
              <w:t>cm/s)，或其他防渗性能等效的材料。</w:t>
            </w:r>
          </w:p>
          <w:p w14:paraId="662F3718">
            <w:pPr>
              <w:autoSpaceDE w:val="0"/>
              <w:autoSpaceDN w:val="0"/>
              <w:ind w:firstLine="482"/>
              <w:jc w:val="both"/>
              <w:rPr>
                <w:rFonts w:cs="Times New Roman"/>
              </w:rPr>
            </w:pPr>
            <w:r>
              <w:rPr>
                <w:rFonts w:cs="Times New Roman"/>
                <w:b/>
                <w:bCs/>
                <w:kern w:val="24"/>
              </w:rPr>
              <w:t>一般防渗区：</w:t>
            </w:r>
            <w:r>
              <w:rPr>
                <w:rFonts w:cs="Times New Roman"/>
                <w:kern w:val="24"/>
              </w:rPr>
              <w:t>防渗技术</w:t>
            </w:r>
            <w:r>
              <w:rPr>
                <w:rFonts w:cs="Times New Roman"/>
              </w:rPr>
              <w:t>要求等效黏土防渗层Mb≥1.5m，K≤≤10</w:t>
            </w:r>
            <w:r>
              <w:rPr>
                <w:rFonts w:cs="Times New Roman"/>
                <w:vertAlign w:val="superscript"/>
              </w:rPr>
              <w:t>-7</w:t>
            </w:r>
            <w:r>
              <w:rPr>
                <w:rFonts w:cs="Times New Roman"/>
              </w:rPr>
              <w:t>cm/s。</w:t>
            </w:r>
          </w:p>
          <w:p w14:paraId="3C618FCD">
            <w:pPr>
              <w:ind w:firstLine="482"/>
              <w:jc w:val="both"/>
              <w:rPr>
                <w:rFonts w:cs="Times New Roman"/>
              </w:rPr>
            </w:pPr>
            <w:r>
              <w:rPr>
                <w:rFonts w:cs="Times New Roman"/>
                <w:b/>
                <w:bCs/>
                <w:kern w:val="24"/>
              </w:rPr>
              <w:t>简单防渗区：</w:t>
            </w:r>
            <w:r>
              <w:rPr>
                <w:rFonts w:cs="Times New Roman"/>
              </w:rPr>
              <w:t>地面硬化。</w:t>
            </w:r>
          </w:p>
          <w:p w14:paraId="05D67D86">
            <w:pPr>
              <w:pStyle w:val="14"/>
              <w:numPr>
                <w:ilvl w:val="0"/>
                <w:numId w:val="9"/>
              </w:numPr>
              <w:tabs>
                <w:tab w:val="clear" w:pos="0"/>
              </w:tabs>
              <w:spacing w:before="156"/>
            </w:pPr>
            <w:r>
              <w:rPr>
                <w:rFonts w:hint="eastAsia"/>
              </w:rPr>
              <w:t xml:space="preserve">  本项目现有分区防渗情况一览表</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1198"/>
              <w:gridCol w:w="1080"/>
              <w:gridCol w:w="960"/>
              <w:gridCol w:w="2160"/>
              <w:gridCol w:w="1840"/>
            </w:tblGrid>
            <w:tr w14:paraId="014E8CF8">
              <w:trPr>
                <w:trHeight w:val="340" w:hRule="atLeast"/>
              </w:trPr>
              <w:tc>
                <w:tcPr>
                  <w:tcW w:w="352" w:type="pct"/>
                  <w:vAlign w:val="center"/>
                </w:tcPr>
                <w:p w14:paraId="109A2D30">
                  <w:pPr>
                    <w:spacing w:line="240" w:lineRule="auto"/>
                    <w:ind w:firstLine="0" w:firstLineChars="0"/>
                    <w:jc w:val="center"/>
                    <w:rPr>
                      <w:rFonts w:cs="Times New Roman"/>
                      <w:sz w:val="18"/>
                    </w:rPr>
                  </w:pPr>
                  <w:r>
                    <w:rPr>
                      <w:rFonts w:cs="Times New Roman"/>
                      <w:sz w:val="18"/>
                    </w:rPr>
                    <w:t>序号</w:t>
                  </w:r>
                </w:p>
              </w:tc>
              <w:tc>
                <w:tcPr>
                  <w:tcW w:w="769" w:type="pct"/>
                  <w:vAlign w:val="center"/>
                </w:tcPr>
                <w:p w14:paraId="05C44410">
                  <w:pPr>
                    <w:spacing w:line="240" w:lineRule="auto"/>
                    <w:ind w:firstLine="0" w:firstLineChars="0"/>
                    <w:jc w:val="center"/>
                    <w:rPr>
                      <w:rFonts w:cs="Times New Roman"/>
                      <w:sz w:val="18"/>
                    </w:rPr>
                  </w:pPr>
                  <w:r>
                    <w:rPr>
                      <w:rFonts w:cs="Times New Roman"/>
                      <w:sz w:val="18"/>
                    </w:rPr>
                    <w:t>单元名称</w:t>
                  </w:r>
                </w:p>
              </w:tc>
              <w:tc>
                <w:tcPr>
                  <w:tcW w:w="693" w:type="pct"/>
                  <w:vAlign w:val="center"/>
                </w:tcPr>
                <w:p w14:paraId="5573C113">
                  <w:pPr>
                    <w:spacing w:line="240" w:lineRule="auto"/>
                    <w:ind w:firstLine="0" w:firstLineChars="0"/>
                    <w:jc w:val="center"/>
                    <w:rPr>
                      <w:rFonts w:cs="Times New Roman"/>
                      <w:sz w:val="18"/>
                    </w:rPr>
                  </w:pPr>
                  <w:r>
                    <w:rPr>
                      <w:rFonts w:cs="Times New Roman"/>
                      <w:sz w:val="18"/>
                    </w:rPr>
                    <w:t>污染控制难易程度</w:t>
                  </w:r>
                </w:p>
              </w:tc>
              <w:tc>
                <w:tcPr>
                  <w:tcW w:w="616" w:type="pct"/>
                  <w:vAlign w:val="center"/>
                </w:tcPr>
                <w:p w14:paraId="54C2D6A2">
                  <w:pPr>
                    <w:spacing w:line="240" w:lineRule="auto"/>
                    <w:ind w:firstLine="0" w:firstLineChars="0"/>
                    <w:jc w:val="center"/>
                    <w:rPr>
                      <w:rFonts w:cs="Times New Roman"/>
                      <w:sz w:val="18"/>
                    </w:rPr>
                  </w:pPr>
                  <w:r>
                    <w:rPr>
                      <w:rFonts w:cs="Times New Roman"/>
                      <w:sz w:val="18"/>
                    </w:rPr>
                    <w:t>类别</w:t>
                  </w:r>
                </w:p>
              </w:tc>
              <w:tc>
                <w:tcPr>
                  <w:tcW w:w="1386" w:type="pct"/>
                  <w:vAlign w:val="center"/>
                </w:tcPr>
                <w:p w14:paraId="51B0F1CC">
                  <w:pPr>
                    <w:spacing w:line="240" w:lineRule="auto"/>
                    <w:ind w:firstLine="0" w:firstLineChars="0"/>
                    <w:jc w:val="center"/>
                    <w:rPr>
                      <w:rFonts w:cs="Times New Roman"/>
                      <w:sz w:val="18"/>
                    </w:rPr>
                  </w:pPr>
                  <w:r>
                    <w:rPr>
                      <w:rFonts w:cs="Times New Roman"/>
                      <w:sz w:val="18"/>
                    </w:rPr>
                    <w:t>防渗系数要求</w:t>
                  </w:r>
                </w:p>
              </w:tc>
              <w:tc>
                <w:tcPr>
                  <w:tcW w:w="1181" w:type="pct"/>
                  <w:vAlign w:val="center"/>
                </w:tcPr>
                <w:p w14:paraId="0C38FCFF">
                  <w:pPr>
                    <w:spacing w:line="240" w:lineRule="auto"/>
                    <w:ind w:firstLine="0" w:firstLineChars="0"/>
                    <w:jc w:val="center"/>
                    <w:rPr>
                      <w:rFonts w:cs="Times New Roman"/>
                      <w:sz w:val="18"/>
                    </w:rPr>
                  </w:pPr>
                  <w:r>
                    <w:rPr>
                      <w:rFonts w:hint="eastAsia" w:cs="Times New Roman"/>
                      <w:sz w:val="18"/>
                    </w:rPr>
                    <w:t>已采取的</w:t>
                  </w:r>
                  <w:r>
                    <w:rPr>
                      <w:rFonts w:cs="Times New Roman"/>
                      <w:sz w:val="18"/>
                    </w:rPr>
                    <w:t>防渗措施</w:t>
                  </w:r>
                </w:p>
              </w:tc>
            </w:tr>
            <w:tr w14:paraId="43208DCA">
              <w:trPr>
                <w:trHeight w:val="340" w:hRule="atLeast"/>
              </w:trPr>
              <w:tc>
                <w:tcPr>
                  <w:tcW w:w="352" w:type="pct"/>
                  <w:vAlign w:val="center"/>
                </w:tcPr>
                <w:p w14:paraId="3D82C0C3">
                  <w:pPr>
                    <w:spacing w:line="240" w:lineRule="auto"/>
                    <w:ind w:firstLine="0" w:firstLineChars="0"/>
                    <w:jc w:val="center"/>
                    <w:rPr>
                      <w:rFonts w:cs="Times New Roman"/>
                      <w:sz w:val="18"/>
                    </w:rPr>
                  </w:pPr>
                  <w:r>
                    <w:rPr>
                      <w:rFonts w:hint="eastAsia" w:cs="Times New Roman"/>
                      <w:sz w:val="18"/>
                    </w:rPr>
                    <w:t>1</w:t>
                  </w:r>
                </w:p>
              </w:tc>
              <w:tc>
                <w:tcPr>
                  <w:tcW w:w="769" w:type="pct"/>
                  <w:vAlign w:val="center"/>
                </w:tcPr>
                <w:p w14:paraId="5C29DB4C">
                  <w:pPr>
                    <w:spacing w:line="240" w:lineRule="auto"/>
                    <w:ind w:firstLine="0" w:firstLineChars="0"/>
                    <w:jc w:val="center"/>
                    <w:rPr>
                      <w:rFonts w:cs="Times New Roman"/>
                      <w:sz w:val="18"/>
                    </w:rPr>
                  </w:pPr>
                  <w:r>
                    <w:rPr>
                      <w:rFonts w:hint="eastAsia" w:cs="Times New Roman"/>
                      <w:sz w:val="18"/>
                    </w:rPr>
                    <w:t>生产车间</w:t>
                  </w:r>
                  <w:r>
                    <w:rPr>
                      <w:rFonts w:cs="Times New Roman"/>
                      <w:sz w:val="18"/>
                    </w:rPr>
                    <w:t>等</w:t>
                  </w:r>
                </w:p>
              </w:tc>
              <w:tc>
                <w:tcPr>
                  <w:tcW w:w="693" w:type="pct"/>
                  <w:vAlign w:val="center"/>
                </w:tcPr>
                <w:p w14:paraId="4CCECB79">
                  <w:pPr>
                    <w:spacing w:line="240" w:lineRule="auto"/>
                    <w:ind w:firstLine="0" w:firstLineChars="0"/>
                    <w:jc w:val="center"/>
                    <w:rPr>
                      <w:rFonts w:cs="Times New Roman"/>
                      <w:sz w:val="18"/>
                    </w:rPr>
                  </w:pPr>
                  <w:r>
                    <w:rPr>
                      <w:rFonts w:cs="Times New Roman"/>
                      <w:sz w:val="18"/>
                    </w:rPr>
                    <w:t>易</w:t>
                  </w:r>
                </w:p>
              </w:tc>
              <w:tc>
                <w:tcPr>
                  <w:tcW w:w="616" w:type="pct"/>
                  <w:vAlign w:val="center"/>
                </w:tcPr>
                <w:p w14:paraId="3460CB22">
                  <w:pPr>
                    <w:spacing w:line="240" w:lineRule="auto"/>
                    <w:ind w:firstLine="0" w:firstLineChars="0"/>
                    <w:jc w:val="center"/>
                    <w:rPr>
                      <w:rFonts w:cs="Times New Roman"/>
                      <w:sz w:val="18"/>
                    </w:rPr>
                  </w:pPr>
                  <w:r>
                    <w:rPr>
                      <w:rFonts w:cs="Times New Roman"/>
                      <w:sz w:val="18"/>
                    </w:rPr>
                    <w:t>一般防渗</w:t>
                  </w:r>
                </w:p>
              </w:tc>
              <w:tc>
                <w:tcPr>
                  <w:tcW w:w="1386" w:type="pct"/>
                  <w:vAlign w:val="center"/>
                </w:tcPr>
                <w:p w14:paraId="005D9998">
                  <w:pPr>
                    <w:spacing w:line="240" w:lineRule="auto"/>
                    <w:ind w:firstLine="0" w:firstLineChars="0"/>
                    <w:jc w:val="center"/>
                    <w:rPr>
                      <w:rFonts w:cs="Times New Roman"/>
                      <w:sz w:val="18"/>
                    </w:rPr>
                  </w:pPr>
                  <w:r>
                    <w:rPr>
                      <w:rFonts w:cs="Times New Roman"/>
                      <w:sz w:val="18"/>
                    </w:rPr>
                    <w:t>等效黏土防渗层Mb</w:t>
                  </w:r>
                  <w:r>
                    <w:rPr>
                      <w:rFonts w:hint="eastAsia" w:ascii="宋体" w:hAnsi="宋体" w:cs="宋体"/>
                      <w:sz w:val="18"/>
                    </w:rPr>
                    <w:t>≧</w:t>
                  </w:r>
                  <w:r>
                    <w:rPr>
                      <w:rFonts w:cs="Times New Roman"/>
                      <w:sz w:val="18"/>
                    </w:rPr>
                    <w:t>1.5m，K</w:t>
                  </w:r>
                  <w:r>
                    <w:rPr>
                      <w:rFonts w:hint="eastAsia" w:ascii="宋体" w:hAnsi="宋体" w:cs="宋体"/>
                      <w:sz w:val="18"/>
                    </w:rPr>
                    <w:t>≦</w:t>
                  </w:r>
                  <w:r>
                    <w:rPr>
                      <w:rFonts w:cs="Times New Roman"/>
                      <w:sz w:val="18"/>
                    </w:rPr>
                    <w:t>1*10</w:t>
                  </w:r>
                  <w:r>
                    <w:rPr>
                      <w:rFonts w:cs="Times New Roman"/>
                      <w:sz w:val="18"/>
                      <w:vertAlign w:val="superscript"/>
                    </w:rPr>
                    <w:t>-7</w:t>
                  </w:r>
                  <w:r>
                    <w:rPr>
                      <w:rFonts w:cs="Times New Roman"/>
                      <w:sz w:val="18"/>
                    </w:rPr>
                    <w:t>cm/s，或参照GB16889执行</w:t>
                  </w:r>
                </w:p>
              </w:tc>
              <w:tc>
                <w:tcPr>
                  <w:tcW w:w="1181" w:type="pct"/>
                  <w:vMerge w:val="restart"/>
                  <w:vAlign w:val="center"/>
                </w:tcPr>
                <w:p w14:paraId="21D9FF36">
                  <w:pPr>
                    <w:spacing w:line="240" w:lineRule="auto"/>
                    <w:ind w:firstLine="0" w:firstLineChars="0"/>
                    <w:jc w:val="center"/>
                    <w:rPr>
                      <w:rFonts w:cs="Times New Roman"/>
                      <w:sz w:val="18"/>
                    </w:rPr>
                  </w:pPr>
                  <w:r>
                    <w:rPr>
                      <w:rFonts w:hint="eastAsia" w:cs="Times New Roman"/>
                      <w:sz w:val="18"/>
                    </w:rPr>
                    <w:t>本项目已采取</w:t>
                  </w:r>
                  <w:r>
                    <w:rPr>
                      <w:rFonts w:cs="Times New Roman"/>
                      <w:sz w:val="18"/>
                    </w:rPr>
                    <w:t>采取粘土铺底，再在上层铺10~15cm的水泥进行硬化</w:t>
                  </w:r>
                  <w:r>
                    <w:rPr>
                      <w:rFonts w:hint="eastAsia" w:cs="Times New Roman"/>
                      <w:sz w:val="18"/>
                    </w:rPr>
                    <w:t>，采用高密度聚乙烯膜，已按照GB18597-2023中相关要求建设。</w:t>
                  </w:r>
                </w:p>
              </w:tc>
            </w:tr>
            <w:tr w14:paraId="19C70176">
              <w:trPr>
                <w:trHeight w:val="340" w:hRule="atLeast"/>
              </w:trPr>
              <w:tc>
                <w:tcPr>
                  <w:tcW w:w="352" w:type="pct"/>
                  <w:vAlign w:val="center"/>
                </w:tcPr>
                <w:p w14:paraId="52EC5812">
                  <w:pPr>
                    <w:spacing w:line="240" w:lineRule="auto"/>
                    <w:ind w:firstLine="0" w:firstLineChars="0"/>
                    <w:jc w:val="center"/>
                    <w:rPr>
                      <w:rFonts w:cs="Times New Roman"/>
                      <w:sz w:val="18"/>
                    </w:rPr>
                  </w:pPr>
                  <w:r>
                    <w:rPr>
                      <w:rFonts w:hint="eastAsia" w:cs="Times New Roman"/>
                      <w:sz w:val="18"/>
                    </w:rPr>
                    <w:t>2</w:t>
                  </w:r>
                </w:p>
              </w:tc>
              <w:tc>
                <w:tcPr>
                  <w:tcW w:w="769" w:type="pct"/>
                  <w:vAlign w:val="center"/>
                </w:tcPr>
                <w:p w14:paraId="4FFB94A3">
                  <w:pPr>
                    <w:spacing w:line="240" w:lineRule="auto"/>
                    <w:ind w:firstLine="0" w:firstLineChars="0"/>
                    <w:jc w:val="center"/>
                    <w:rPr>
                      <w:rFonts w:cs="Times New Roman"/>
                      <w:sz w:val="18"/>
                    </w:rPr>
                  </w:pPr>
                  <w:r>
                    <w:rPr>
                      <w:rFonts w:cs="Times New Roman"/>
                      <w:sz w:val="18"/>
                    </w:rPr>
                    <w:t>办公等</w:t>
                  </w:r>
                </w:p>
              </w:tc>
              <w:tc>
                <w:tcPr>
                  <w:tcW w:w="693" w:type="pct"/>
                  <w:vAlign w:val="center"/>
                </w:tcPr>
                <w:p w14:paraId="018212DA">
                  <w:pPr>
                    <w:spacing w:line="240" w:lineRule="auto"/>
                    <w:ind w:firstLine="0" w:firstLineChars="0"/>
                    <w:jc w:val="center"/>
                    <w:rPr>
                      <w:rFonts w:cs="Times New Roman"/>
                      <w:sz w:val="18"/>
                    </w:rPr>
                  </w:pPr>
                  <w:r>
                    <w:rPr>
                      <w:rFonts w:cs="Times New Roman"/>
                      <w:sz w:val="18"/>
                    </w:rPr>
                    <w:t>易</w:t>
                  </w:r>
                </w:p>
              </w:tc>
              <w:tc>
                <w:tcPr>
                  <w:tcW w:w="616" w:type="pct"/>
                  <w:vAlign w:val="center"/>
                </w:tcPr>
                <w:p w14:paraId="7619DC4E">
                  <w:pPr>
                    <w:spacing w:line="240" w:lineRule="auto"/>
                    <w:ind w:firstLine="0" w:firstLineChars="0"/>
                    <w:jc w:val="center"/>
                    <w:rPr>
                      <w:rFonts w:cs="Times New Roman"/>
                      <w:sz w:val="18"/>
                    </w:rPr>
                  </w:pPr>
                  <w:r>
                    <w:rPr>
                      <w:rFonts w:cs="Times New Roman"/>
                      <w:sz w:val="18"/>
                    </w:rPr>
                    <w:t>简单防渗</w:t>
                  </w:r>
                </w:p>
              </w:tc>
              <w:tc>
                <w:tcPr>
                  <w:tcW w:w="1386" w:type="pct"/>
                  <w:vAlign w:val="center"/>
                </w:tcPr>
                <w:p w14:paraId="5925957F">
                  <w:pPr>
                    <w:spacing w:line="240" w:lineRule="auto"/>
                    <w:ind w:firstLine="0" w:firstLineChars="0"/>
                    <w:jc w:val="center"/>
                    <w:rPr>
                      <w:rFonts w:cs="Times New Roman"/>
                      <w:sz w:val="18"/>
                    </w:rPr>
                  </w:pPr>
                  <w:r>
                    <w:rPr>
                      <w:rFonts w:cs="Times New Roman"/>
                      <w:sz w:val="18"/>
                    </w:rPr>
                    <w:t>＜10</w:t>
                  </w:r>
                  <w:r>
                    <w:rPr>
                      <w:rFonts w:cs="Times New Roman"/>
                      <w:sz w:val="18"/>
                      <w:vertAlign w:val="superscript"/>
                    </w:rPr>
                    <w:t>-5</w:t>
                  </w:r>
                  <w:r>
                    <w:rPr>
                      <w:rFonts w:cs="Times New Roman"/>
                      <w:sz w:val="18"/>
                    </w:rPr>
                    <w:t>cm/s</w:t>
                  </w:r>
                </w:p>
              </w:tc>
              <w:tc>
                <w:tcPr>
                  <w:tcW w:w="1181" w:type="pct"/>
                  <w:vMerge w:val="continue"/>
                  <w:vAlign w:val="center"/>
                </w:tcPr>
                <w:p w14:paraId="11E50394">
                  <w:pPr>
                    <w:spacing w:line="240" w:lineRule="auto"/>
                    <w:ind w:firstLine="0" w:firstLineChars="0"/>
                    <w:jc w:val="center"/>
                    <w:rPr>
                      <w:rFonts w:cs="Times New Roman"/>
                      <w:sz w:val="18"/>
                    </w:rPr>
                  </w:pPr>
                </w:p>
              </w:tc>
            </w:tr>
            <w:tr w14:paraId="6FE9F048">
              <w:trPr>
                <w:trHeight w:val="340" w:hRule="atLeast"/>
              </w:trPr>
              <w:tc>
                <w:tcPr>
                  <w:tcW w:w="352" w:type="pct"/>
                  <w:vAlign w:val="center"/>
                </w:tcPr>
                <w:p w14:paraId="028FC44B">
                  <w:pPr>
                    <w:spacing w:line="240" w:lineRule="auto"/>
                    <w:ind w:firstLine="0" w:firstLineChars="0"/>
                    <w:jc w:val="center"/>
                    <w:rPr>
                      <w:rFonts w:cs="Times New Roman"/>
                      <w:sz w:val="18"/>
                    </w:rPr>
                  </w:pPr>
                  <w:r>
                    <w:rPr>
                      <w:rFonts w:hint="eastAsia" w:cs="Times New Roman"/>
                      <w:sz w:val="18"/>
                    </w:rPr>
                    <w:t>3</w:t>
                  </w:r>
                </w:p>
              </w:tc>
              <w:tc>
                <w:tcPr>
                  <w:tcW w:w="769" w:type="pct"/>
                  <w:vAlign w:val="center"/>
                </w:tcPr>
                <w:p w14:paraId="606A1C1A">
                  <w:pPr>
                    <w:spacing w:line="240" w:lineRule="auto"/>
                    <w:ind w:firstLine="0" w:firstLineChars="0"/>
                    <w:jc w:val="center"/>
                    <w:rPr>
                      <w:rFonts w:cs="Times New Roman"/>
                      <w:sz w:val="18"/>
                    </w:rPr>
                  </w:pPr>
                  <w:r>
                    <w:rPr>
                      <w:rFonts w:hint="eastAsia" w:cs="Times New Roman"/>
                      <w:sz w:val="18"/>
                    </w:rPr>
                    <w:t>危废间等</w:t>
                  </w:r>
                </w:p>
              </w:tc>
              <w:tc>
                <w:tcPr>
                  <w:tcW w:w="693" w:type="pct"/>
                  <w:vAlign w:val="center"/>
                </w:tcPr>
                <w:p w14:paraId="61C50DC0">
                  <w:pPr>
                    <w:spacing w:line="240" w:lineRule="auto"/>
                    <w:ind w:firstLine="0" w:firstLineChars="0"/>
                    <w:jc w:val="center"/>
                    <w:rPr>
                      <w:rFonts w:cs="Times New Roman"/>
                      <w:sz w:val="18"/>
                    </w:rPr>
                  </w:pPr>
                  <w:r>
                    <w:rPr>
                      <w:rFonts w:hint="eastAsia" w:cs="Times New Roman"/>
                      <w:sz w:val="18"/>
                    </w:rPr>
                    <w:t>难</w:t>
                  </w:r>
                </w:p>
              </w:tc>
              <w:tc>
                <w:tcPr>
                  <w:tcW w:w="616" w:type="pct"/>
                  <w:vAlign w:val="center"/>
                </w:tcPr>
                <w:p w14:paraId="5FAD7CB4">
                  <w:pPr>
                    <w:spacing w:line="240" w:lineRule="auto"/>
                    <w:ind w:firstLine="0" w:firstLineChars="0"/>
                    <w:jc w:val="center"/>
                    <w:rPr>
                      <w:rFonts w:cs="Times New Roman"/>
                      <w:sz w:val="18"/>
                    </w:rPr>
                  </w:pPr>
                  <w:r>
                    <w:rPr>
                      <w:rFonts w:hint="eastAsia" w:cs="Times New Roman"/>
                      <w:sz w:val="18"/>
                    </w:rPr>
                    <w:t>重点防渗</w:t>
                  </w:r>
                </w:p>
              </w:tc>
              <w:tc>
                <w:tcPr>
                  <w:tcW w:w="1386" w:type="pct"/>
                  <w:vAlign w:val="center"/>
                </w:tcPr>
                <w:p w14:paraId="1D95EC32">
                  <w:pPr>
                    <w:spacing w:line="240" w:lineRule="auto"/>
                    <w:ind w:firstLine="0" w:firstLineChars="0"/>
                    <w:jc w:val="center"/>
                    <w:rPr>
                      <w:rFonts w:cs="Times New Roman"/>
                      <w:sz w:val="18"/>
                    </w:rPr>
                  </w:pPr>
                  <w:r>
                    <w:rPr>
                      <w:rFonts w:hint="eastAsia" w:cs="Times New Roman"/>
                      <w:sz w:val="18"/>
                    </w:rPr>
                    <w:t>等效黏土防渗层 Mb≥6.0m，K≤≤10</w:t>
                  </w:r>
                  <w:r>
                    <w:rPr>
                      <w:rFonts w:hint="eastAsia" w:cs="Times New Roman"/>
                      <w:sz w:val="18"/>
                      <w:vertAlign w:val="superscript"/>
                    </w:rPr>
                    <w:t>-7</w:t>
                  </w:r>
                  <w:r>
                    <w:rPr>
                      <w:rFonts w:hint="eastAsia" w:cs="Times New Roman"/>
                      <w:sz w:val="18"/>
                    </w:rPr>
                    <w:t>cm/s、GB18597相关要求</w:t>
                  </w:r>
                </w:p>
              </w:tc>
              <w:tc>
                <w:tcPr>
                  <w:tcW w:w="1181" w:type="pct"/>
                  <w:vMerge w:val="continue"/>
                  <w:vAlign w:val="center"/>
                </w:tcPr>
                <w:p w14:paraId="1B92F5BC">
                  <w:pPr>
                    <w:spacing w:line="240" w:lineRule="auto"/>
                    <w:ind w:firstLine="0" w:firstLineChars="0"/>
                    <w:jc w:val="center"/>
                    <w:rPr>
                      <w:rFonts w:cs="Times New Roman"/>
                      <w:sz w:val="18"/>
                    </w:rPr>
                  </w:pPr>
                </w:p>
              </w:tc>
            </w:tr>
          </w:tbl>
          <w:p w14:paraId="7CB3E2D4">
            <w:pPr>
              <w:ind w:firstLine="480"/>
              <w:jc w:val="both"/>
            </w:pPr>
            <w:r>
              <w:rPr>
                <w:rFonts w:hint="eastAsia"/>
              </w:rPr>
              <w:t>六、土壤</w:t>
            </w:r>
          </w:p>
          <w:p w14:paraId="1C11D5C8">
            <w:pPr>
              <w:ind w:firstLine="480"/>
              <w:jc w:val="both"/>
              <w:rPr>
                <w:rFonts w:cs="Times New Roman"/>
              </w:rPr>
            </w:pPr>
            <w:r>
              <w:rPr>
                <w:rFonts w:hint="eastAsia" w:cs="Times New Roman"/>
              </w:rPr>
              <w:t>1、</w:t>
            </w:r>
            <w:r>
              <w:rPr>
                <w:rFonts w:cs="Times New Roman"/>
              </w:rPr>
              <w:t>土壤环境影响分析</w:t>
            </w:r>
          </w:p>
          <w:p w14:paraId="73430962">
            <w:pPr>
              <w:ind w:firstLine="480"/>
              <w:jc w:val="both"/>
              <w:rPr>
                <w:rFonts w:cs="Times New Roman"/>
              </w:rPr>
            </w:pPr>
            <w:r>
              <w:rPr>
                <w:rFonts w:cs="Times New Roman"/>
              </w:rPr>
              <w:t>拟建项目运营期产生的各类危险废物采用相应包装容器密闭暂存于危险废物暂存库，各类危险废物等能得到妥善处置，不外排，因此不会受到雨水淋溶或风力作用而进入外环境。</w:t>
            </w:r>
          </w:p>
          <w:p w14:paraId="6DCBE97D">
            <w:pPr>
              <w:ind w:firstLine="480"/>
              <w:jc w:val="both"/>
              <w:rPr>
                <w:rFonts w:cs="Times New Roman"/>
              </w:rPr>
            </w:pPr>
            <w:r>
              <w:rPr>
                <w:rFonts w:hint="eastAsia" w:cs="Times New Roman"/>
              </w:rPr>
              <w:t>2、</w:t>
            </w:r>
            <w:r>
              <w:rPr>
                <w:rFonts w:cs="Times New Roman"/>
              </w:rPr>
              <w:t>土壤环境保护措施</w:t>
            </w:r>
          </w:p>
          <w:p w14:paraId="42C94809">
            <w:pPr>
              <w:ind w:firstLine="480"/>
              <w:jc w:val="both"/>
              <w:rPr>
                <w:rFonts w:cs="Times New Roman"/>
              </w:rPr>
            </w:pPr>
            <w:r>
              <w:rPr>
                <w:rFonts w:hint="eastAsia" w:cs="Times New Roman"/>
              </w:rPr>
              <w:t>一、</w:t>
            </w:r>
            <w:r>
              <w:rPr>
                <w:rFonts w:cs="Times New Roman"/>
              </w:rPr>
              <w:t>源头控制措施</w:t>
            </w:r>
          </w:p>
          <w:p w14:paraId="3EDD6334">
            <w:pPr>
              <w:ind w:firstLine="480"/>
              <w:jc w:val="both"/>
              <w:rPr>
                <w:rFonts w:cs="Times New Roman"/>
              </w:rPr>
            </w:pPr>
            <w:r>
              <w:rPr>
                <w:rFonts w:cs="Times New Roman"/>
              </w:rPr>
              <w:fldChar w:fldCharType="begin"/>
            </w:r>
            <w:r>
              <w:rPr>
                <w:rFonts w:cs="Times New Roman"/>
              </w:rPr>
              <w:instrText xml:space="preserve"> = 1 \* GB3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项目应选择新技术、新工艺，尽可能从源头上减少污染物的产生和排放；</w:t>
            </w:r>
          </w:p>
          <w:p w14:paraId="4E3384E0">
            <w:pPr>
              <w:ind w:firstLine="480"/>
              <w:jc w:val="both"/>
              <w:rPr>
                <w:rFonts w:cs="Times New Roman"/>
              </w:rPr>
            </w:pP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企业在废水收集处理和治理过程中应从严要求，管道尽量采用材质较好的管道，从源头控制废水下渗污染土壤。</w:t>
            </w:r>
          </w:p>
          <w:p w14:paraId="297D6E0D">
            <w:pPr>
              <w:ind w:firstLine="480"/>
              <w:jc w:val="both"/>
              <w:rPr>
                <w:rFonts w:cs="Times New Roman"/>
              </w:rPr>
            </w:pPr>
            <w:r>
              <w:rPr>
                <w:rFonts w:hint="eastAsia" w:cs="Times New Roman"/>
              </w:rPr>
              <w:t>二、</w:t>
            </w:r>
            <w:r>
              <w:rPr>
                <w:rFonts w:cs="Times New Roman"/>
              </w:rPr>
              <w:t>过程防控措施</w:t>
            </w:r>
          </w:p>
          <w:p w14:paraId="4BF3B90C">
            <w:pPr>
              <w:ind w:firstLine="480"/>
              <w:jc w:val="both"/>
              <w:rPr>
                <w:rFonts w:cs="Times New Roman"/>
              </w:rPr>
            </w:pPr>
            <w:r>
              <w:rPr>
                <w:rFonts w:cs="Times New Roman"/>
              </w:rPr>
              <w:fldChar w:fldCharType="begin"/>
            </w:r>
            <w:r>
              <w:rPr>
                <w:rFonts w:cs="Times New Roman"/>
              </w:rPr>
              <w:instrText xml:space="preserve"> = 1 \* GB3 </w:instrText>
            </w:r>
            <w:r>
              <w:rPr>
                <w:rFonts w:cs="Times New Roman"/>
              </w:rPr>
              <w:fldChar w:fldCharType="separate"/>
            </w:r>
            <w:r>
              <w:rPr>
                <w:rFonts w:hint="eastAsia" w:ascii="宋体" w:hAnsi="宋体" w:cs="宋体"/>
              </w:rPr>
              <w:t>①</w:t>
            </w:r>
            <w:r>
              <w:rPr>
                <w:rFonts w:cs="Times New Roman"/>
              </w:rPr>
              <w:fldChar w:fldCharType="end"/>
            </w:r>
            <w:r>
              <w:rPr>
                <w:rFonts w:cs="Times New Roman"/>
              </w:rPr>
              <w:t>厂区内应加大绿化措施，种植具有较强吸附能力的植物为主；</w:t>
            </w:r>
          </w:p>
          <w:p w14:paraId="600ED068">
            <w:pPr>
              <w:ind w:firstLine="480"/>
              <w:jc w:val="both"/>
              <w:rPr>
                <w:rFonts w:cs="Times New Roman"/>
              </w:rPr>
            </w:pPr>
            <w:r>
              <w:rPr>
                <w:rFonts w:cs="Times New Roman"/>
              </w:rPr>
              <w:fldChar w:fldCharType="begin"/>
            </w:r>
            <w:r>
              <w:rPr>
                <w:rFonts w:cs="Times New Roman"/>
              </w:rPr>
              <w:instrText xml:space="preserve"> = 2 \* GB3 </w:instrText>
            </w:r>
            <w:r>
              <w:rPr>
                <w:rFonts w:cs="Times New Roman"/>
              </w:rPr>
              <w:fldChar w:fldCharType="separate"/>
            </w:r>
            <w:r>
              <w:rPr>
                <w:rFonts w:hint="eastAsia" w:ascii="宋体" w:hAnsi="宋体" w:cs="宋体"/>
              </w:rPr>
              <w:t>②</w:t>
            </w:r>
            <w:r>
              <w:rPr>
                <w:rFonts w:cs="Times New Roman"/>
              </w:rPr>
              <w:fldChar w:fldCharType="end"/>
            </w:r>
            <w:r>
              <w:rPr>
                <w:rFonts w:cs="Times New Roman"/>
              </w:rPr>
              <w:t>根据地形特点，优化地面布局，以防止土壤环境污染；</w:t>
            </w:r>
          </w:p>
          <w:p w14:paraId="335E17D3">
            <w:pPr>
              <w:ind w:firstLine="480"/>
              <w:jc w:val="both"/>
              <w:rPr>
                <w:rFonts w:cs="Times New Roman"/>
              </w:rPr>
            </w:pPr>
            <w:r>
              <w:rPr>
                <w:rFonts w:cs="Times New Roman"/>
              </w:rPr>
              <w:fldChar w:fldCharType="begin"/>
            </w:r>
            <w:r>
              <w:rPr>
                <w:rFonts w:cs="Times New Roman"/>
              </w:rPr>
              <w:instrText xml:space="preserve"> = 3 \* GB3 </w:instrText>
            </w:r>
            <w:r>
              <w:rPr>
                <w:rFonts w:cs="Times New Roman"/>
              </w:rPr>
              <w:fldChar w:fldCharType="separate"/>
            </w:r>
            <w:r>
              <w:rPr>
                <w:rFonts w:hint="eastAsia" w:ascii="宋体" w:hAnsi="宋体" w:cs="宋体"/>
              </w:rPr>
              <w:t>③</w:t>
            </w:r>
            <w:r>
              <w:rPr>
                <w:rFonts w:cs="Times New Roman"/>
              </w:rPr>
              <w:fldChar w:fldCharType="end"/>
            </w:r>
            <w:r>
              <w:rPr>
                <w:rFonts w:cs="Times New Roman"/>
              </w:rPr>
              <w:t>严格按照国家相关规范要求，对工艺、管道、设备、仓库和处理构筑物采取相应防腐、防渗措施，防止废水渗漏到地下污染土壤。</w:t>
            </w:r>
          </w:p>
          <w:p w14:paraId="3BC4BEA9">
            <w:pPr>
              <w:ind w:firstLine="480"/>
              <w:jc w:val="both"/>
              <w:rPr>
                <w:rFonts w:cs="Times New Roman"/>
              </w:rPr>
            </w:pPr>
            <w:r>
              <w:rPr>
                <w:rFonts w:cs="Times New Roman"/>
              </w:rPr>
              <w:fldChar w:fldCharType="begin"/>
            </w:r>
            <w:r>
              <w:rPr>
                <w:rFonts w:cs="Times New Roman"/>
              </w:rPr>
              <w:instrText xml:space="preserve"> = 4 \* GB3 </w:instrText>
            </w:r>
            <w:r>
              <w:rPr>
                <w:rFonts w:cs="Times New Roman"/>
              </w:rPr>
              <w:fldChar w:fldCharType="separate"/>
            </w:r>
            <w:r>
              <w:rPr>
                <w:rFonts w:hint="eastAsia" w:ascii="宋体" w:hAnsi="宋体" w:cs="宋体"/>
              </w:rPr>
              <w:t>④</w:t>
            </w:r>
            <w:r>
              <w:rPr>
                <w:rFonts w:cs="Times New Roman"/>
              </w:rPr>
              <w:fldChar w:fldCharType="end"/>
            </w:r>
            <w:r>
              <w:rPr>
                <w:rFonts w:cs="Times New Roman"/>
              </w:rPr>
              <w:t>危险废物临时存放场所要按照国家相关规范要求，采取严格的防泄漏、防溢流、防腐蚀、防雨淋等措施，严防污染物下渗到土壤中污染土壤。</w:t>
            </w:r>
          </w:p>
          <w:p w14:paraId="05D33E67">
            <w:pPr>
              <w:ind w:firstLine="480"/>
              <w:jc w:val="both"/>
              <w:rPr>
                <w:rFonts w:cs="Times New Roman"/>
              </w:rPr>
            </w:pPr>
            <w:r>
              <w:rPr>
                <w:rFonts w:cs="Times New Roman"/>
              </w:rPr>
              <w:fldChar w:fldCharType="begin"/>
            </w:r>
            <w:r>
              <w:rPr>
                <w:rFonts w:cs="Times New Roman"/>
              </w:rPr>
              <w:instrText xml:space="preserve"> = 5 \* GB3 </w:instrText>
            </w:r>
            <w:r>
              <w:rPr>
                <w:rFonts w:cs="Times New Roman"/>
              </w:rPr>
              <w:fldChar w:fldCharType="separate"/>
            </w:r>
            <w:r>
              <w:rPr>
                <w:rFonts w:hint="eastAsia" w:ascii="宋体" w:hAnsi="宋体" w:cs="宋体"/>
              </w:rPr>
              <w:t>⑤</w:t>
            </w:r>
            <w:r>
              <w:rPr>
                <w:rFonts w:cs="Times New Roman"/>
              </w:rPr>
              <w:fldChar w:fldCharType="end"/>
            </w:r>
            <w:r>
              <w:rPr>
                <w:rFonts w:cs="Times New Roman"/>
              </w:rPr>
              <w:t>固废不得露天堆放，危险废物暂存库需设置防雨措施，防治雨水冲刷过程将有毒有害污染物带入土壤中而污染环境。</w:t>
            </w:r>
          </w:p>
          <w:p w14:paraId="140DA334">
            <w:pPr>
              <w:ind w:firstLine="480"/>
              <w:jc w:val="both"/>
              <w:rPr>
                <w:rFonts w:cs="Times New Roman"/>
                <w:szCs w:val="24"/>
              </w:rPr>
            </w:pPr>
            <w:r>
              <w:rPr>
                <w:rFonts w:cs="Times New Roman"/>
                <w:szCs w:val="24"/>
              </w:rPr>
              <w:t>7、生态环境</w:t>
            </w:r>
          </w:p>
          <w:p w14:paraId="6A3AB4B1">
            <w:pPr>
              <w:ind w:firstLine="480"/>
              <w:jc w:val="both"/>
              <w:rPr>
                <w:rFonts w:cs="Times New Roman"/>
                <w:szCs w:val="24"/>
              </w:rPr>
            </w:pPr>
            <w:r>
              <w:rPr>
                <w:rFonts w:cs="Times New Roman"/>
                <w:szCs w:val="24"/>
              </w:rPr>
              <w:t>本项目位于</w:t>
            </w:r>
            <w:r>
              <w:rPr>
                <w:rFonts w:hint="eastAsia" w:cs="Times New Roman"/>
                <w:szCs w:val="24"/>
              </w:rPr>
              <w:t>浙江省杭州市余杭区仁和街道三星路4号</w:t>
            </w:r>
            <w:r>
              <w:rPr>
                <w:rFonts w:cs="Times New Roman"/>
                <w:szCs w:val="24"/>
              </w:rPr>
              <w:t>，用地范围内无生态环境保护目标。</w:t>
            </w:r>
          </w:p>
          <w:p w14:paraId="6932C9FB">
            <w:pPr>
              <w:ind w:firstLine="480"/>
              <w:jc w:val="both"/>
              <w:rPr>
                <w:rFonts w:cs="Times New Roman"/>
                <w:szCs w:val="24"/>
              </w:rPr>
            </w:pPr>
            <w:r>
              <w:rPr>
                <w:rFonts w:cs="Times New Roman"/>
                <w:szCs w:val="24"/>
              </w:rPr>
              <w:t>8、环境风险分析</w:t>
            </w:r>
          </w:p>
          <w:p w14:paraId="5C7BA0A9">
            <w:pPr>
              <w:ind w:firstLine="480"/>
              <w:jc w:val="both"/>
              <w:rPr>
                <w:rFonts w:cs="Times New Roman"/>
                <w:szCs w:val="24"/>
              </w:rPr>
            </w:pPr>
            <w:r>
              <w:rPr>
                <w:rFonts w:cs="Times New Roman"/>
                <w:szCs w:val="24"/>
              </w:rPr>
              <w:t>环境风险评价的目的是分析和预测项目存在的潜在危险、有害因素，项目建设和运行期间可能发生的突发性事件或事故，引起有毒有害和易燃易爆等物质泄漏及所造成的人身安全与环境影响和损害程度，提出合理可行的防范、应急与减缓措施，以使建设项目事故率、损失和环境影响达到可接受水平。</w:t>
            </w:r>
          </w:p>
          <w:p w14:paraId="0DCF649D">
            <w:pPr>
              <w:ind w:firstLine="480"/>
              <w:jc w:val="both"/>
              <w:rPr>
                <w:rFonts w:cs="Times New Roman"/>
              </w:rPr>
            </w:pPr>
            <w:r>
              <w:rPr>
                <w:rFonts w:hint="eastAsia" w:cs="Times New Roman"/>
              </w:rPr>
              <w:t>1、</w:t>
            </w:r>
            <w:r>
              <w:rPr>
                <w:rFonts w:cs="Times New Roman"/>
              </w:rPr>
              <w:t>结合风险物质调查及识别过程结果，</w:t>
            </w:r>
            <w:r>
              <w:rPr>
                <w:rFonts w:hint="eastAsia" w:cs="Times New Roman"/>
              </w:rPr>
              <w:t>本</w:t>
            </w:r>
            <w:r>
              <w:rPr>
                <w:rFonts w:cs="Times New Roman"/>
              </w:rPr>
              <w:t>项目</w:t>
            </w:r>
            <w:r>
              <w:rPr>
                <w:rFonts w:hint="eastAsia" w:cs="Times New Roman"/>
              </w:rPr>
              <w:t>建成后全厂</w:t>
            </w:r>
            <w:r>
              <w:rPr>
                <w:rFonts w:cs="Times New Roman"/>
              </w:rPr>
              <w:t>危险物质数量与临界量比值Q值为0.317，Q＜1。具体判定结果见下表。</w:t>
            </w:r>
          </w:p>
          <w:p w14:paraId="6853A01E">
            <w:pPr>
              <w:pStyle w:val="14"/>
              <w:numPr>
                <w:ilvl w:val="0"/>
                <w:numId w:val="9"/>
              </w:numPr>
              <w:tabs>
                <w:tab w:val="clear" w:pos="0"/>
              </w:tabs>
              <w:spacing w:before="156"/>
            </w:pPr>
            <w:r>
              <w:rPr>
                <w:rFonts w:hint="eastAsia"/>
              </w:rPr>
              <w:t xml:space="preserve">  本项目全厂Q值确定表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4"/>
              <w:gridCol w:w="1054"/>
              <w:gridCol w:w="1160"/>
              <w:gridCol w:w="1140"/>
              <w:gridCol w:w="1115"/>
              <w:gridCol w:w="1103"/>
              <w:gridCol w:w="1164"/>
            </w:tblGrid>
            <w:tr w14:paraId="50A7DF4D">
              <w:trPr>
                <w:trHeight w:val="340" w:hRule="atLeast"/>
              </w:trPr>
              <w:tc>
                <w:tcPr>
                  <w:tcW w:w="1054" w:type="dxa"/>
                  <w:vAlign w:val="center"/>
                </w:tcPr>
                <w:p w14:paraId="6B328ADE">
                  <w:pPr>
                    <w:pStyle w:val="13"/>
                    <w:jc w:val="center"/>
                  </w:pPr>
                  <w:r>
                    <w:t>序号</w:t>
                  </w:r>
                </w:p>
              </w:tc>
              <w:tc>
                <w:tcPr>
                  <w:tcW w:w="1054" w:type="dxa"/>
                  <w:vAlign w:val="center"/>
                </w:tcPr>
                <w:p w14:paraId="0D065D0A">
                  <w:pPr>
                    <w:pStyle w:val="13"/>
                    <w:jc w:val="center"/>
                  </w:pPr>
                  <w:r>
                    <w:t>化学品名称</w:t>
                  </w:r>
                </w:p>
              </w:tc>
              <w:tc>
                <w:tcPr>
                  <w:tcW w:w="1160" w:type="dxa"/>
                  <w:vAlign w:val="center"/>
                </w:tcPr>
                <w:p w14:paraId="482BFBCF">
                  <w:pPr>
                    <w:pStyle w:val="13"/>
                    <w:jc w:val="center"/>
                  </w:pPr>
                  <w:r>
                    <w:t>CAS号</w:t>
                  </w:r>
                </w:p>
              </w:tc>
              <w:tc>
                <w:tcPr>
                  <w:tcW w:w="1140" w:type="dxa"/>
                  <w:vAlign w:val="center"/>
                </w:tcPr>
                <w:p w14:paraId="5A68105C">
                  <w:pPr>
                    <w:pStyle w:val="13"/>
                    <w:jc w:val="center"/>
                  </w:pPr>
                  <w:r>
                    <w:t>储存量qn/t</w:t>
                  </w:r>
                </w:p>
              </w:tc>
              <w:tc>
                <w:tcPr>
                  <w:tcW w:w="1115" w:type="dxa"/>
                  <w:vAlign w:val="center"/>
                </w:tcPr>
                <w:p w14:paraId="6548834B">
                  <w:pPr>
                    <w:pStyle w:val="13"/>
                    <w:jc w:val="center"/>
                  </w:pPr>
                  <w:r>
                    <w:t>在线量qn/t</w:t>
                  </w:r>
                </w:p>
              </w:tc>
              <w:tc>
                <w:tcPr>
                  <w:tcW w:w="1103" w:type="dxa"/>
                  <w:vAlign w:val="center"/>
                </w:tcPr>
                <w:p w14:paraId="29E1C756">
                  <w:pPr>
                    <w:pStyle w:val="13"/>
                    <w:jc w:val="center"/>
                  </w:pPr>
                  <w:r>
                    <w:t>临界量Qn/t</w:t>
                  </w:r>
                </w:p>
              </w:tc>
              <w:tc>
                <w:tcPr>
                  <w:tcW w:w="1164" w:type="dxa"/>
                  <w:vAlign w:val="center"/>
                </w:tcPr>
                <w:p w14:paraId="55A90815">
                  <w:pPr>
                    <w:pStyle w:val="13"/>
                    <w:jc w:val="center"/>
                  </w:pPr>
                  <w:r>
                    <w:t>折算后Q值</w:t>
                  </w:r>
                </w:p>
              </w:tc>
            </w:tr>
            <w:tr w14:paraId="741ABF00">
              <w:trPr>
                <w:trHeight w:val="340" w:hRule="atLeast"/>
              </w:trPr>
              <w:tc>
                <w:tcPr>
                  <w:tcW w:w="1054" w:type="dxa"/>
                  <w:vAlign w:val="center"/>
                </w:tcPr>
                <w:p w14:paraId="532E665C">
                  <w:pPr>
                    <w:pStyle w:val="13"/>
                    <w:jc w:val="center"/>
                  </w:pPr>
                  <w:r>
                    <w:rPr>
                      <w:rFonts w:hint="eastAsia"/>
                    </w:rPr>
                    <w:t>1</w:t>
                  </w:r>
                </w:p>
              </w:tc>
              <w:tc>
                <w:tcPr>
                  <w:tcW w:w="1054" w:type="dxa"/>
                  <w:vAlign w:val="center"/>
                </w:tcPr>
                <w:p w14:paraId="3619CC03">
                  <w:pPr>
                    <w:pStyle w:val="13"/>
                    <w:jc w:val="center"/>
                  </w:pPr>
                  <w:r>
                    <w:rPr>
                      <w:rFonts w:hint="eastAsia"/>
                    </w:rPr>
                    <w:t>油类物质</w:t>
                  </w:r>
                </w:p>
              </w:tc>
              <w:tc>
                <w:tcPr>
                  <w:tcW w:w="1160" w:type="dxa"/>
                  <w:vAlign w:val="center"/>
                </w:tcPr>
                <w:p w14:paraId="16B45AD8">
                  <w:pPr>
                    <w:pStyle w:val="13"/>
                    <w:jc w:val="center"/>
                  </w:pPr>
                  <w:r>
                    <w:rPr>
                      <w:rFonts w:hint="eastAsia"/>
                    </w:rPr>
                    <w:t>/</w:t>
                  </w:r>
                </w:p>
              </w:tc>
              <w:tc>
                <w:tcPr>
                  <w:tcW w:w="1140" w:type="dxa"/>
                  <w:vAlign w:val="center"/>
                </w:tcPr>
                <w:p w14:paraId="200DDC73">
                  <w:pPr>
                    <w:pStyle w:val="13"/>
                    <w:jc w:val="center"/>
                  </w:pPr>
                  <w:r>
                    <w:rPr>
                      <w:rFonts w:hint="eastAsia"/>
                    </w:rPr>
                    <w:t>0.1</w:t>
                  </w:r>
                </w:p>
              </w:tc>
              <w:tc>
                <w:tcPr>
                  <w:tcW w:w="1115" w:type="dxa"/>
                  <w:vAlign w:val="center"/>
                </w:tcPr>
                <w:p w14:paraId="4ECEE24C">
                  <w:pPr>
                    <w:pStyle w:val="13"/>
                    <w:jc w:val="center"/>
                  </w:pPr>
                  <w:r>
                    <w:rPr>
                      <w:rFonts w:hint="eastAsia"/>
                    </w:rPr>
                    <w:t>/</w:t>
                  </w:r>
                </w:p>
              </w:tc>
              <w:tc>
                <w:tcPr>
                  <w:tcW w:w="1103" w:type="dxa"/>
                  <w:vAlign w:val="center"/>
                </w:tcPr>
                <w:p w14:paraId="71CC5220">
                  <w:pPr>
                    <w:pStyle w:val="13"/>
                    <w:jc w:val="center"/>
                  </w:pPr>
                  <w:r>
                    <w:rPr>
                      <w:rFonts w:hint="eastAsia"/>
                    </w:rPr>
                    <w:t>2500</w:t>
                  </w:r>
                </w:p>
              </w:tc>
              <w:tc>
                <w:tcPr>
                  <w:tcW w:w="1164" w:type="dxa"/>
                  <w:vAlign w:val="center"/>
                </w:tcPr>
                <w:p w14:paraId="467791A2">
                  <w:pPr>
                    <w:pStyle w:val="13"/>
                    <w:jc w:val="center"/>
                  </w:pPr>
                  <w:r>
                    <w:rPr>
                      <w:rFonts w:hint="eastAsia"/>
                    </w:rPr>
                    <w:t>0.00004</w:t>
                  </w:r>
                </w:p>
              </w:tc>
            </w:tr>
            <w:tr w14:paraId="510608AD">
              <w:trPr>
                <w:trHeight w:val="340" w:hRule="atLeast"/>
              </w:trPr>
              <w:tc>
                <w:tcPr>
                  <w:tcW w:w="1054" w:type="dxa"/>
                  <w:vAlign w:val="center"/>
                </w:tcPr>
                <w:p w14:paraId="411E6A52">
                  <w:pPr>
                    <w:pStyle w:val="13"/>
                    <w:jc w:val="center"/>
                  </w:pPr>
                  <w:r>
                    <w:rPr>
                      <w:rFonts w:hint="eastAsia"/>
                    </w:rPr>
                    <w:t>2</w:t>
                  </w:r>
                </w:p>
              </w:tc>
              <w:tc>
                <w:tcPr>
                  <w:tcW w:w="1054" w:type="dxa"/>
                  <w:vAlign w:val="center"/>
                </w:tcPr>
                <w:p w14:paraId="46E1A76D">
                  <w:pPr>
                    <w:pStyle w:val="13"/>
                    <w:jc w:val="center"/>
                  </w:pPr>
                  <w:r>
                    <w:rPr>
                      <w:rFonts w:hint="eastAsia"/>
                    </w:rPr>
                    <w:t>危险废物</w:t>
                  </w:r>
                </w:p>
              </w:tc>
              <w:tc>
                <w:tcPr>
                  <w:tcW w:w="1160" w:type="dxa"/>
                  <w:vAlign w:val="center"/>
                </w:tcPr>
                <w:p w14:paraId="59E0E00E">
                  <w:pPr>
                    <w:pStyle w:val="13"/>
                    <w:jc w:val="center"/>
                  </w:pPr>
                  <w:r>
                    <w:rPr>
                      <w:rFonts w:hint="eastAsia"/>
                    </w:rPr>
                    <w:t>/</w:t>
                  </w:r>
                </w:p>
              </w:tc>
              <w:tc>
                <w:tcPr>
                  <w:tcW w:w="1140" w:type="dxa"/>
                  <w:vAlign w:val="center"/>
                </w:tcPr>
                <w:p w14:paraId="230062A9">
                  <w:pPr>
                    <w:pStyle w:val="13"/>
                    <w:jc w:val="center"/>
                  </w:pPr>
                  <w:r>
                    <w:rPr>
                      <w:rFonts w:hint="eastAsia"/>
                    </w:rPr>
                    <w:t>15.842</w:t>
                  </w:r>
                </w:p>
              </w:tc>
              <w:tc>
                <w:tcPr>
                  <w:tcW w:w="1115" w:type="dxa"/>
                  <w:vAlign w:val="center"/>
                </w:tcPr>
                <w:p w14:paraId="60D5C49C">
                  <w:pPr>
                    <w:pStyle w:val="13"/>
                    <w:jc w:val="center"/>
                  </w:pPr>
                  <w:r>
                    <w:rPr>
                      <w:rFonts w:hint="eastAsia"/>
                    </w:rPr>
                    <w:t>/</w:t>
                  </w:r>
                </w:p>
              </w:tc>
              <w:tc>
                <w:tcPr>
                  <w:tcW w:w="1103" w:type="dxa"/>
                  <w:vAlign w:val="center"/>
                </w:tcPr>
                <w:p w14:paraId="03E47F00">
                  <w:pPr>
                    <w:pStyle w:val="13"/>
                    <w:jc w:val="center"/>
                  </w:pPr>
                  <w:r>
                    <w:rPr>
                      <w:rFonts w:hint="eastAsia"/>
                    </w:rPr>
                    <w:t>50</w:t>
                  </w:r>
                </w:p>
              </w:tc>
              <w:tc>
                <w:tcPr>
                  <w:tcW w:w="1164" w:type="dxa"/>
                  <w:vAlign w:val="center"/>
                </w:tcPr>
                <w:p w14:paraId="6FE8CCCF">
                  <w:pPr>
                    <w:pStyle w:val="13"/>
                    <w:jc w:val="center"/>
                  </w:pPr>
                  <w:r>
                    <w:rPr>
                      <w:rFonts w:hint="eastAsia"/>
                    </w:rPr>
                    <w:t>0.317</w:t>
                  </w:r>
                </w:p>
              </w:tc>
            </w:tr>
            <w:tr w14:paraId="3F306197">
              <w:trPr>
                <w:trHeight w:val="340" w:hRule="atLeast"/>
              </w:trPr>
              <w:tc>
                <w:tcPr>
                  <w:tcW w:w="6626" w:type="dxa"/>
                  <w:gridSpan w:val="6"/>
                  <w:vAlign w:val="center"/>
                </w:tcPr>
                <w:p w14:paraId="6F87A8D7">
                  <w:pPr>
                    <w:pStyle w:val="13"/>
                    <w:jc w:val="center"/>
                  </w:pPr>
                  <w:r>
                    <w:t>项目Q值∑</w:t>
                  </w:r>
                </w:p>
              </w:tc>
              <w:tc>
                <w:tcPr>
                  <w:tcW w:w="1164" w:type="dxa"/>
                  <w:vAlign w:val="center"/>
                </w:tcPr>
                <w:p w14:paraId="426531B2">
                  <w:pPr>
                    <w:pStyle w:val="13"/>
                    <w:jc w:val="center"/>
                  </w:pPr>
                  <w:r>
                    <w:rPr>
                      <w:rFonts w:hint="eastAsia"/>
                    </w:rPr>
                    <w:t>0.317</w:t>
                  </w:r>
                </w:p>
              </w:tc>
            </w:tr>
            <w:tr w14:paraId="6E611D9A">
              <w:trPr>
                <w:trHeight w:val="340" w:hRule="atLeast"/>
              </w:trPr>
              <w:tc>
                <w:tcPr>
                  <w:tcW w:w="7790" w:type="dxa"/>
                  <w:gridSpan w:val="7"/>
                  <w:vAlign w:val="center"/>
                </w:tcPr>
                <w:p w14:paraId="3E1CB539">
                  <w:pPr>
                    <w:pStyle w:val="13"/>
                    <w:jc w:val="both"/>
                  </w:pPr>
                  <w:r>
                    <w:rPr>
                      <w:rFonts w:hint="eastAsia"/>
                    </w:rPr>
                    <w:t>备注：参照《浙江省企业环境风险评估技术指南（修订版）》，将储存的危险废物作为环境风险物质考虑，贮存周期</w:t>
                  </w:r>
                  <w:r>
                    <w:t>为1年的危险废物最大存在量按其年产生量考虑，贮存周期少于1年的危险废物最大存在量按危废仓库最大贮存规模考虑，详见表4-1</w:t>
                  </w:r>
                  <w:r>
                    <w:rPr>
                      <w:rFonts w:hint="eastAsia"/>
                    </w:rPr>
                    <w:t>3，本次计算按照全厂危险废物暂存能力情况核算。</w:t>
                  </w:r>
                </w:p>
              </w:tc>
            </w:tr>
          </w:tbl>
          <w:p w14:paraId="1EB98B3E">
            <w:pPr>
              <w:spacing w:before="156" w:beforeLines="50"/>
              <w:ind w:firstLine="480"/>
              <w:jc w:val="both"/>
              <w:rPr>
                <w:rFonts w:cs="Times New Roman"/>
              </w:rPr>
            </w:pPr>
            <w:r>
              <w:rPr>
                <w:rFonts w:hint="eastAsia" w:cs="Times New Roman"/>
              </w:rPr>
              <w:t>2、</w:t>
            </w:r>
            <w:r>
              <w:rPr>
                <w:rFonts w:cs="Times New Roman"/>
              </w:rPr>
              <w:t>危险物质及风险源分布情况</w:t>
            </w:r>
          </w:p>
          <w:p w14:paraId="4F1F8B63">
            <w:pPr>
              <w:ind w:firstLine="451" w:firstLineChars="188"/>
              <w:jc w:val="both"/>
              <w:rPr>
                <w:rFonts w:cs="Times New Roman"/>
              </w:rPr>
            </w:pPr>
            <w:r>
              <w:rPr>
                <w:rFonts w:cs="Times New Roman"/>
              </w:rPr>
              <w:t>本项目危险物质主要为</w:t>
            </w:r>
            <w:r>
              <w:rPr>
                <w:rFonts w:hint="eastAsia" w:cs="Times New Roman"/>
              </w:rPr>
              <w:t>厂区暂存的危险废物</w:t>
            </w:r>
            <w:r>
              <w:rPr>
                <w:rFonts w:cs="Times New Roman"/>
              </w:rPr>
              <w:t>，其中</w:t>
            </w:r>
            <w:r>
              <w:rPr>
                <w:rFonts w:hint="eastAsia" w:cs="Times New Roman"/>
              </w:rPr>
              <w:t>油类物质来源于设备维护</w:t>
            </w:r>
            <w:r>
              <w:rPr>
                <w:rFonts w:cs="Times New Roman"/>
              </w:rPr>
              <w:t>。</w:t>
            </w:r>
          </w:p>
          <w:p w14:paraId="083321D8">
            <w:pPr>
              <w:ind w:firstLine="451" w:firstLineChars="188"/>
              <w:jc w:val="both"/>
              <w:rPr>
                <w:rFonts w:cs="Times New Roman"/>
              </w:rPr>
            </w:pPr>
            <w:r>
              <w:rPr>
                <w:rFonts w:hint="eastAsia" w:cs="Times New Roman"/>
              </w:rPr>
              <w:t>3、</w:t>
            </w:r>
            <w:r>
              <w:rPr>
                <w:rFonts w:cs="Times New Roman"/>
              </w:rPr>
              <w:t>可能影响途径</w:t>
            </w:r>
          </w:p>
          <w:p w14:paraId="2CA61CE2">
            <w:pPr>
              <w:ind w:firstLine="480"/>
              <w:jc w:val="both"/>
              <w:rPr>
                <w:rFonts w:cs="Times New Roman"/>
                <w:lang w:val="zh-CN"/>
              </w:rPr>
            </w:pPr>
            <w:r>
              <w:rPr>
                <w:rFonts w:cs="Times New Roman"/>
                <w:lang w:val="zh-CN"/>
              </w:rPr>
              <w:t>环境风险识别结果应包括危险单元、风险源、主要危险物质、环境风险类型、环境影响途径、可能受影响的环境敏感目标。</w:t>
            </w:r>
          </w:p>
          <w:p w14:paraId="7BAED387">
            <w:pPr>
              <w:ind w:firstLine="480"/>
              <w:jc w:val="both"/>
            </w:pPr>
            <w:r>
              <w:rPr>
                <w:rFonts w:cs="Times New Roman"/>
                <w:lang w:val="zh-CN"/>
              </w:rPr>
              <w:t>综上所述，通过物质危险性识别、生产系统危险性识别和环境风险类型识别，汇总拟建项目环境风险识别结果见下表所示。</w:t>
            </w:r>
          </w:p>
          <w:p w14:paraId="7CF5E28B">
            <w:pPr>
              <w:pStyle w:val="14"/>
              <w:numPr>
                <w:ilvl w:val="0"/>
                <w:numId w:val="9"/>
              </w:numPr>
              <w:tabs>
                <w:tab w:val="clear" w:pos="0"/>
              </w:tabs>
              <w:spacing w:before="156"/>
            </w:pPr>
            <w:r>
              <w:rPr>
                <w:rFonts w:hint="eastAsia"/>
              </w:rPr>
              <w:t xml:space="preserve">  本项目环境风险识别表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19"/>
              <w:gridCol w:w="1001"/>
              <w:gridCol w:w="1175"/>
              <w:gridCol w:w="1091"/>
              <w:gridCol w:w="1497"/>
              <w:gridCol w:w="1907"/>
            </w:tblGrid>
            <w:tr w14:paraId="000089A4">
              <w:trPr>
                <w:trHeight w:val="340" w:hRule="atLeast"/>
                <w:jc w:val="center"/>
              </w:trPr>
              <w:tc>
                <w:tcPr>
                  <w:tcW w:w="718" w:type="pct"/>
                  <w:tcBorders>
                    <w:top w:val="single" w:color="auto" w:sz="4" w:space="0"/>
                    <w:left w:val="single" w:color="auto" w:sz="4" w:space="0"/>
                    <w:bottom w:val="single" w:color="auto" w:sz="4" w:space="0"/>
                    <w:right w:val="single" w:color="auto" w:sz="4" w:space="0"/>
                  </w:tcBorders>
                  <w:vAlign w:val="center"/>
                </w:tcPr>
                <w:p w14:paraId="0000DC1F">
                  <w:pPr>
                    <w:widowControl/>
                    <w:spacing w:line="240" w:lineRule="auto"/>
                    <w:ind w:firstLine="0" w:firstLineChars="0"/>
                    <w:jc w:val="center"/>
                    <w:rPr>
                      <w:kern w:val="0"/>
                      <w:sz w:val="18"/>
                    </w:rPr>
                  </w:pPr>
                  <w:r>
                    <w:rPr>
                      <w:rFonts w:hint="eastAsia" w:cs="宋体"/>
                      <w:kern w:val="0"/>
                      <w:sz w:val="18"/>
                      <w:lang w:bidi="ar"/>
                    </w:rPr>
                    <w:t>危险单元</w:t>
                  </w:r>
                </w:p>
              </w:tc>
              <w:tc>
                <w:tcPr>
                  <w:tcW w:w="642" w:type="pct"/>
                  <w:tcBorders>
                    <w:top w:val="single" w:color="auto" w:sz="4" w:space="0"/>
                    <w:left w:val="single" w:color="auto" w:sz="4" w:space="0"/>
                    <w:bottom w:val="single" w:color="auto" w:sz="4" w:space="0"/>
                    <w:right w:val="single" w:color="auto" w:sz="4" w:space="0"/>
                  </w:tcBorders>
                  <w:vAlign w:val="center"/>
                </w:tcPr>
                <w:p w14:paraId="3C093AD9">
                  <w:pPr>
                    <w:widowControl/>
                    <w:spacing w:line="240" w:lineRule="auto"/>
                    <w:ind w:firstLine="0" w:firstLineChars="0"/>
                    <w:jc w:val="center"/>
                    <w:rPr>
                      <w:kern w:val="0"/>
                      <w:sz w:val="18"/>
                    </w:rPr>
                  </w:pPr>
                  <w:r>
                    <w:rPr>
                      <w:rFonts w:hint="eastAsia" w:cs="宋体"/>
                      <w:kern w:val="0"/>
                      <w:sz w:val="18"/>
                      <w:lang w:bidi="ar"/>
                    </w:rPr>
                    <w:t>风险源</w:t>
                  </w:r>
                </w:p>
              </w:tc>
              <w:tc>
                <w:tcPr>
                  <w:tcW w:w="754" w:type="pct"/>
                  <w:tcBorders>
                    <w:top w:val="single" w:color="auto" w:sz="4" w:space="0"/>
                    <w:left w:val="single" w:color="auto" w:sz="4" w:space="0"/>
                    <w:bottom w:val="single" w:color="auto" w:sz="4" w:space="0"/>
                    <w:right w:val="single" w:color="auto" w:sz="4" w:space="0"/>
                  </w:tcBorders>
                  <w:vAlign w:val="center"/>
                </w:tcPr>
                <w:p w14:paraId="49236967">
                  <w:pPr>
                    <w:spacing w:line="240" w:lineRule="auto"/>
                    <w:ind w:firstLine="0" w:firstLineChars="0"/>
                    <w:jc w:val="center"/>
                    <w:rPr>
                      <w:sz w:val="18"/>
                    </w:rPr>
                  </w:pPr>
                  <w:r>
                    <w:rPr>
                      <w:rFonts w:hint="eastAsia" w:cs="宋体"/>
                      <w:sz w:val="18"/>
                      <w:lang w:bidi="ar"/>
                    </w:rPr>
                    <w:t>主要危险物质</w:t>
                  </w:r>
                </w:p>
              </w:tc>
              <w:tc>
                <w:tcPr>
                  <w:tcW w:w="700" w:type="pct"/>
                  <w:tcBorders>
                    <w:top w:val="single" w:color="auto" w:sz="4" w:space="0"/>
                    <w:left w:val="single" w:color="auto" w:sz="4" w:space="0"/>
                    <w:bottom w:val="single" w:color="auto" w:sz="4" w:space="0"/>
                    <w:right w:val="single" w:color="auto" w:sz="4" w:space="0"/>
                  </w:tcBorders>
                  <w:vAlign w:val="center"/>
                </w:tcPr>
                <w:p w14:paraId="6E8F827C">
                  <w:pPr>
                    <w:spacing w:line="240" w:lineRule="auto"/>
                    <w:ind w:firstLine="0" w:firstLineChars="0"/>
                    <w:jc w:val="center"/>
                    <w:rPr>
                      <w:sz w:val="18"/>
                    </w:rPr>
                  </w:pPr>
                  <w:r>
                    <w:rPr>
                      <w:rFonts w:hint="eastAsia" w:cs="宋体"/>
                      <w:sz w:val="18"/>
                      <w:lang w:bidi="ar"/>
                    </w:rPr>
                    <w:t>环境风险类型</w:t>
                  </w:r>
                </w:p>
              </w:tc>
              <w:tc>
                <w:tcPr>
                  <w:tcW w:w="960" w:type="pct"/>
                  <w:tcBorders>
                    <w:top w:val="single" w:color="auto" w:sz="4" w:space="0"/>
                    <w:left w:val="single" w:color="auto" w:sz="4" w:space="0"/>
                    <w:bottom w:val="single" w:color="auto" w:sz="4" w:space="0"/>
                    <w:right w:val="single" w:color="auto" w:sz="4" w:space="0"/>
                  </w:tcBorders>
                  <w:vAlign w:val="center"/>
                </w:tcPr>
                <w:p w14:paraId="128DC8BC">
                  <w:pPr>
                    <w:spacing w:line="240" w:lineRule="auto"/>
                    <w:ind w:firstLine="0" w:firstLineChars="0"/>
                    <w:jc w:val="center"/>
                    <w:rPr>
                      <w:sz w:val="18"/>
                    </w:rPr>
                  </w:pPr>
                  <w:r>
                    <w:rPr>
                      <w:rFonts w:hint="eastAsia" w:cs="宋体"/>
                      <w:sz w:val="18"/>
                      <w:lang w:bidi="ar"/>
                    </w:rPr>
                    <w:t>环境影响途径</w:t>
                  </w:r>
                </w:p>
              </w:tc>
              <w:tc>
                <w:tcPr>
                  <w:tcW w:w="1223" w:type="pct"/>
                  <w:tcBorders>
                    <w:top w:val="single" w:color="auto" w:sz="4" w:space="0"/>
                    <w:left w:val="single" w:color="auto" w:sz="4" w:space="0"/>
                    <w:bottom w:val="single" w:color="auto" w:sz="4" w:space="0"/>
                    <w:right w:val="single" w:color="auto" w:sz="4" w:space="0"/>
                  </w:tcBorders>
                  <w:vAlign w:val="center"/>
                </w:tcPr>
                <w:p w14:paraId="645A872C">
                  <w:pPr>
                    <w:spacing w:line="240" w:lineRule="auto"/>
                    <w:ind w:firstLine="0" w:firstLineChars="0"/>
                    <w:jc w:val="center"/>
                    <w:rPr>
                      <w:sz w:val="18"/>
                    </w:rPr>
                  </w:pPr>
                  <w:r>
                    <w:rPr>
                      <w:rFonts w:hint="eastAsia" w:cs="宋体"/>
                      <w:sz w:val="18"/>
                      <w:lang w:bidi="ar"/>
                    </w:rPr>
                    <w:t>可能受影响的敏感目标</w:t>
                  </w:r>
                </w:p>
              </w:tc>
            </w:tr>
            <w:tr w14:paraId="1C12D576">
              <w:trPr>
                <w:trHeight w:val="340" w:hRule="atLeast"/>
                <w:jc w:val="center"/>
              </w:trPr>
              <w:tc>
                <w:tcPr>
                  <w:tcW w:w="718" w:type="pct"/>
                  <w:tcBorders>
                    <w:top w:val="single" w:color="auto" w:sz="4" w:space="0"/>
                    <w:left w:val="single" w:color="auto" w:sz="4" w:space="0"/>
                    <w:bottom w:val="single" w:color="auto" w:sz="4" w:space="0"/>
                    <w:right w:val="single" w:color="auto" w:sz="4" w:space="0"/>
                  </w:tcBorders>
                  <w:vAlign w:val="center"/>
                </w:tcPr>
                <w:p w14:paraId="2FAD0636">
                  <w:pPr>
                    <w:widowControl/>
                    <w:spacing w:line="240" w:lineRule="auto"/>
                    <w:ind w:firstLine="0" w:firstLineChars="0"/>
                    <w:jc w:val="center"/>
                    <w:rPr>
                      <w:kern w:val="0"/>
                      <w:sz w:val="18"/>
                    </w:rPr>
                  </w:pPr>
                  <w:r>
                    <w:rPr>
                      <w:rFonts w:hint="eastAsia" w:cs="宋体"/>
                      <w:kern w:val="0"/>
                      <w:sz w:val="18"/>
                      <w:lang w:bidi="ar"/>
                    </w:rPr>
                    <w:t>原料暂存区、成品暂存区</w:t>
                  </w:r>
                </w:p>
              </w:tc>
              <w:tc>
                <w:tcPr>
                  <w:tcW w:w="642" w:type="pct"/>
                  <w:tcBorders>
                    <w:top w:val="single" w:color="auto" w:sz="4" w:space="0"/>
                    <w:left w:val="single" w:color="auto" w:sz="4" w:space="0"/>
                    <w:bottom w:val="single" w:color="auto" w:sz="4" w:space="0"/>
                    <w:right w:val="single" w:color="auto" w:sz="4" w:space="0"/>
                  </w:tcBorders>
                  <w:vAlign w:val="center"/>
                </w:tcPr>
                <w:p w14:paraId="1BD410D9">
                  <w:pPr>
                    <w:widowControl/>
                    <w:spacing w:line="240" w:lineRule="auto"/>
                    <w:ind w:firstLine="0" w:firstLineChars="0"/>
                    <w:jc w:val="center"/>
                    <w:rPr>
                      <w:kern w:val="0"/>
                      <w:sz w:val="18"/>
                    </w:rPr>
                  </w:pPr>
                  <w:r>
                    <w:rPr>
                      <w:rFonts w:hint="eastAsia" w:cs="宋体"/>
                      <w:kern w:val="0"/>
                      <w:sz w:val="18"/>
                      <w:lang w:bidi="ar"/>
                    </w:rPr>
                    <w:t>原料、成品</w:t>
                  </w:r>
                </w:p>
              </w:tc>
              <w:tc>
                <w:tcPr>
                  <w:tcW w:w="754" w:type="pct"/>
                  <w:tcBorders>
                    <w:top w:val="single" w:color="auto" w:sz="4" w:space="0"/>
                    <w:left w:val="single" w:color="auto" w:sz="4" w:space="0"/>
                    <w:bottom w:val="single" w:color="auto" w:sz="4" w:space="0"/>
                    <w:right w:val="single" w:color="auto" w:sz="4" w:space="0"/>
                  </w:tcBorders>
                  <w:vAlign w:val="center"/>
                </w:tcPr>
                <w:p w14:paraId="3197242F">
                  <w:pPr>
                    <w:spacing w:line="240" w:lineRule="auto"/>
                    <w:ind w:firstLine="0" w:firstLineChars="0"/>
                    <w:jc w:val="center"/>
                    <w:rPr>
                      <w:sz w:val="18"/>
                    </w:rPr>
                  </w:pPr>
                  <w:r>
                    <w:rPr>
                      <w:rFonts w:hint="eastAsia"/>
                      <w:kern w:val="0"/>
                      <w:sz w:val="18"/>
                    </w:rPr>
                    <w:t>塑料制品</w:t>
                  </w:r>
                </w:p>
              </w:tc>
              <w:tc>
                <w:tcPr>
                  <w:tcW w:w="700" w:type="pct"/>
                  <w:tcBorders>
                    <w:top w:val="single" w:color="auto" w:sz="4" w:space="0"/>
                    <w:left w:val="single" w:color="auto" w:sz="4" w:space="0"/>
                    <w:bottom w:val="single" w:color="auto" w:sz="4" w:space="0"/>
                    <w:right w:val="single" w:color="auto" w:sz="4" w:space="0"/>
                  </w:tcBorders>
                  <w:vAlign w:val="center"/>
                </w:tcPr>
                <w:p w14:paraId="0E53E044">
                  <w:pPr>
                    <w:widowControl/>
                    <w:spacing w:line="240" w:lineRule="auto"/>
                    <w:ind w:firstLine="0" w:firstLineChars="0"/>
                    <w:jc w:val="center"/>
                    <w:rPr>
                      <w:kern w:val="0"/>
                      <w:sz w:val="18"/>
                    </w:rPr>
                  </w:pPr>
                  <w:r>
                    <w:rPr>
                      <w:rFonts w:hint="eastAsia" w:cs="宋体"/>
                      <w:kern w:val="0"/>
                      <w:sz w:val="18"/>
                      <w:lang w:bidi="ar"/>
                    </w:rPr>
                    <w:t>火灾</w:t>
                  </w:r>
                </w:p>
              </w:tc>
              <w:tc>
                <w:tcPr>
                  <w:tcW w:w="960" w:type="pct"/>
                  <w:tcBorders>
                    <w:top w:val="single" w:color="auto" w:sz="4" w:space="0"/>
                    <w:left w:val="single" w:color="auto" w:sz="4" w:space="0"/>
                    <w:bottom w:val="single" w:color="auto" w:sz="4" w:space="0"/>
                    <w:right w:val="single" w:color="auto" w:sz="4" w:space="0"/>
                  </w:tcBorders>
                  <w:vAlign w:val="center"/>
                </w:tcPr>
                <w:p w14:paraId="42CF453A">
                  <w:pPr>
                    <w:widowControl/>
                    <w:spacing w:line="240" w:lineRule="auto"/>
                    <w:ind w:firstLine="0" w:firstLineChars="0"/>
                    <w:jc w:val="center"/>
                    <w:rPr>
                      <w:kern w:val="0"/>
                      <w:sz w:val="18"/>
                    </w:rPr>
                  </w:pPr>
                  <w:r>
                    <w:rPr>
                      <w:rFonts w:hint="eastAsia" w:cs="宋体"/>
                      <w:kern w:val="0"/>
                      <w:sz w:val="18"/>
                      <w:lang w:bidi="ar"/>
                    </w:rPr>
                    <w:t>次生污染</w:t>
                  </w:r>
                </w:p>
              </w:tc>
              <w:tc>
                <w:tcPr>
                  <w:tcW w:w="1223" w:type="pct"/>
                  <w:vMerge w:val="restart"/>
                  <w:tcBorders>
                    <w:top w:val="single" w:color="auto" w:sz="4" w:space="0"/>
                    <w:left w:val="single" w:color="auto" w:sz="4" w:space="0"/>
                    <w:bottom w:val="single" w:color="auto" w:sz="4" w:space="0"/>
                    <w:right w:val="single" w:color="auto" w:sz="4" w:space="0"/>
                  </w:tcBorders>
                  <w:vAlign w:val="center"/>
                </w:tcPr>
                <w:p w14:paraId="249FA893">
                  <w:pPr>
                    <w:spacing w:line="240" w:lineRule="auto"/>
                    <w:ind w:firstLine="0" w:firstLineChars="0"/>
                    <w:jc w:val="center"/>
                    <w:rPr>
                      <w:kern w:val="0"/>
                      <w:sz w:val="18"/>
                    </w:rPr>
                  </w:pPr>
                  <w:r>
                    <w:rPr>
                      <w:rFonts w:hint="eastAsia" w:cs="宋体"/>
                      <w:kern w:val="0"/>
                      <w:sz w:val="18"/>
                      <w:lang w:bidi="ar"/>
                    </w:rPr>
                    <w:t>废气超标排放和火灾等可能会对区域环境空气造成污染。</w:t>
                  </w:r>
                </w:p>
              </w:tc>
            </w:tr>
            <w:tr w14:paraId="224D1DCB">
              <w:trPr>
                <w:trHeight w:val="340" w:hRule="atLeast"/>
                <w:jc w:val="center"/>
              </w:trPr>
              <w:tc>
                <w:tcPr>
                  <w:tcW w:w="718" w:type="pct"/>
                  <w:tcBorders>
                    <w:top w:val="single" w:color="auto" w:sz="4" w:space="0"/>
                    <w:left w:val="single" w:color="auto" w:sz="4" w:space="0"/>
                    <w:bottom w:val="single" w:color="auto" w:sz="4" w:space="0"/>
                    <w:right w:val="single" w:color="auto" w:sz="4" w:space="0"/>
                  </w:tcBorders>
                  <w:vAlign w:val="center"/>
                </w:tcPr>
                <w:p w14:paraId="1993E357">
                  <w:pPr>
                    <w:widowControl/>
                    <w:spacing w:line="240" w:lineRule="auto"/>
                    <w:ind w:firstLine="0" w:firstLineChars="0"/>
                    <w:jc w:val="center"/>
                    <w:rPr>
                      <w:kern w:val="0"/>
                      <w:sz w:val="18"/>
                    </w:rPr>
                  </w:pPr>
                  <w:r>
                    <w:rPr>
                      <w:rFonts w:hint="eastAsia" w:cs="宋体"/>
                      <w:kern w:val="0"/>
                      <w:sz w:val="18"/>
                      <w:lang w:bidi="ar"/>
                    </w:rPr>
                    <w:t>危废仓库</w:t>
                  </w:r>
                </w:p>
              </w:tc>
              <w:tc>
                <w:tcPr>
                  <w:tcW w:w="642" w:type="pct"/>
                  <w:tcBorders>
                    <w:top w:val="single" w:color="auto" w:sz="4" w:space="0"/>
                    <w:left w:val="single" w:color="auto" w:sz="4" w:space="0"/>
                    <w:bottom w:val="single" w:color="auto" w:sz="4" w:space="0"/>
                    <w:right w:val="single" w:color="auto" w:sz="4" w:space="0"/>
                  </w:tcBorders>
                  <w:vAlign w:val="center"/>
                </w:tcPr>
                <w:p w14:paraId="5985416B">
                  <w:pPr>
                    <w:widowControl/>
                    <w:spacing w:line="240" w:lineRule="auto"/>
                    <w:ind w:firstLine="0" w:firstLineChars="0"/>
                    <w:jc w:val="center"/>
                    <w:rPr>
                      <w:kern w:val="0"/>
                      <w:sz w:val="18"/>
                    </w:rPr>
                  </w:pPr>
                  <w:r>
                    <w:rPr>
                      <w:rFonts w:hint="eastAsia" w:cs="宋体"/>
                      <w:sz w:val="18"/>
                      <w:lang w:bidi="ar"/>
                    </w:rPr>
                    <w:t>危险废物</w:t>
                  </w:r>
                </w:p>
              </w:tc>
              <w:tc>
                <w:tcPr>
                  <w:tcW w:w="754" w:type="pct"/>
                  <w:tcBorders>
                    <w:top w:val="single" w:color="auto" w:sz="4" w:space="0"/>
                    <w:left w:val="single" w:color="auto" w:sz="4" w:space="0"/>
                    <w:bottom w:val="single" w:color="auto" w:sz="4" w:space="0"/>
                    <w:right w:val="single" w:color="auto" w:sz="4" w:space="0"/>
                  </w:tcBorders>
                  <w:vAlign w:val="center"/>
                </w:tcPr>
                <w:p w14:paraId="682B8447">
                  <w:pPr>
                    <w:spacing w:line="240" w:lineRule="auto"/>
                    <w:ind w:firstLine="0" w:firstLineChars="0"/>
                    <w:jc w:val="center"/>
                    <w:rPr>
                      <w:sz w:val="18"/>
                    </w:rPr>
                  </w:pPr>
                  <w:r>
                    <w:rPr>
                      <w:rFonts w:hint="eastAsia" w:cs="宋体"/>
                      <w:sz w:val="18"/>
                      <w:lang w:bidi="ar"/>
                    </w:rPr>
                    <w:t>危险废物</w:t>
                  </w:r>
                </w:p>
              </w:tc>
              <w:tc>
                <w:tcPr>
                  <w:tcW w:w="700" w:type="pct"/>
                  <w:tcBorders>
                    <w:top w:val="single" w:color="auto" w:sz="4" w:space="0"/>
                    <w:left w:val="single" w:color="auto" w:sz="4" w:space="0"/>
                    <w:bottom w:val="single" w:color="auto" w:sz="4" w:space="0"/>
                    <w:right w:val="single" w:color="auto" w:sz="4" w:space="0"/>
                  </w:tcBorders>
                  <w:vAlign w:val="center"/>
                </w:tcPr>
                <w:p w14:paraId="687E92E6">
                  <w:pPr>
                    <w:widowControl/>
                    <w:spacing w:line="240" w:lineRule="auto"/>
                    <w:ind w:firstLine="0" w:firstLineChars="0"/>
                    <w:jc w:val="center"/>
                    <w:rPr>
                      <w:kern w:val="0"/>
                      <w:sz w:val="18"/>
                    </w:rPr>
                  </w:pPr>
                  <w:r>
                    <w:rPr>
                      <w:rFonts w:hint="eastAsia" w:cs="宋体"/>
                      <w:kern w:val="0"/>
                      <w:sz w:val="18"/>
                      <w:lang w:bidi="ar"/>
                    </w:rPr>
                    <w:t>泄漏</w:t>
                  </w:r>
                  <w:r>
                    <w:rPr>
                      <w:rFonts w:cs="Times New Roman"/>
                      <w:kern w:val="0"/>
                      <w:sz w:val="18"/>
                      <w:lang w:bidi="ar"/>
                    </w:rPr>
                    <w:t>/</w:t>
                  </w:r>
                  <w:r>
                    <w:rPr>
                      <w:rFonts w:hint="eastAsia" w:cs="宋体"/>
                      <w:kern w:val="0"/>
                      <w:sz w:val="18"/>
                      <w:lang w:bidi="ar"/>
                    </w:rPr>
                    <w:t>火灾</w:t>
                  </w:r>
                </w:p>
              </w:tc>
              <w:tc>
                <w:tcPr>
                  <w:tcW w:w="960" w:type="pct"/>
                  <w:tcBorders>
                    <w:top w:val="single" w:color="auto" w:sz="4" w:space="0"/>
                    <w:left w:val="single" w:color="auto" w:sz="4" w:space="0"/>
                    <w:bottom w:val="single" w:color="auto" w:sz="4" w:space="0"/>
                    <w:right w:val="single" w:color="auto" w:sz="4" w:space="0"/>
                  </w:tcBorders>
                  <w:vAlign w:val="center"/>
                </w:tcPr>
                <w:p w14:paraId="5AD66C1A">
                  <w:pPr>
                    <w:widowControl/>
                    <w:spacing w:line="240" w:lineRule="auto"/>
                    <w:ind w:firstLine="0" w:firstLineChars="0"/>
                    <w:jc w:val="center"/>
                    <w:rPr>
                      <w:kern w:val="0"/>
                      <w:sz w:val="18"/>
                    </w:rPr>
                  </w:pPr>
                  <w:r>
                    <w:rPr>
                      <w:rFonts w:hint="eastAsia" w:cs="宋体"/>
                      <w:kern w:val="0"/>
                      <w:sz w:val="18"/>
                      <w:lang w:bidi="ar"/>
                    </w:rPr>
                    <w:t>进入地表水、地下水</w:t>
                  </w:r>
                  <w:r>
                    <w:rPr>
                      <w:rFonts w:cs="Times New Roman"/>
                      <w:kern w:val="0"/>
                      <w:sz w:val="18"/>
                      <w:lang w:bidi="ar"/>
                    </w:rPr>
                    <w:t>/</w:t>
                  </w:r>
                  <w:r>
                    <w:rPr>
                      <w:rFonts w:hint="eastAsia" w:cs="宋体"/>
                      <w:kern w:val="0"/>
                      <w:sz w:val="18"/>
                      <w:lang w:bidi="ar"/>
                    </w:rPr>
                    <w:t>次生污染</w:t>
                  </w:r>
                </w:p>
              </w:tc>
              <w:tc>
                <w:tcPr>
                  <w:tcW w:w="1223" w:type="pct"/>
                  <w:vMerge w:val="continue"/>
                  <w:tcBorders>
                    <w:top w:val="single" w:color="auto" w:sz="4" w:space="0"/>
                    <w:left w:val="single" w:color="auto" w:sz="4" w:space="0"/>
                    <w:bottom w:val="single" w:color="auto" w:sz="4" w:space="0"/>
                    <w:right w:val="single" w:color="auto" w:sz="4" w:space="0"/>
                  </w:tcBorders>
                  <w:vAlign w:val="center"/>
                </w:tcPr>
                <w:p w14:paraId="6EFE0685">
                  <w:pPr>
                    <w:spacing w:line="240" w:lineRule="auto"/>
                    <w:ind w:firstLine="0" w:firstLineChars="0"/>
                    <w:jc w:val="center"/>
                    <w:rPr>
                      <w:rFonts w:cs="Times New Roman"/>
                      <w:sz w:val="18"/>
                    </w:rPr>
                  </w:pPr>
                </w:p>
              </w:tc>
            </w:tr>
          </w:tbl>
          <w:p w14:paraId="037CC9CB">
            <w:pPr>
              <w:ind w:firstLine="451" w:firstLineChars="188"/>
              <w:jc w:val="both"/>
              <w:rPr>
                <w:rFonts w:cs="Times New Roman"/>
              </w:rPr>
            </w:pPr>
            <w:r>
              <w:rPr>
                <w:rFonts w:hint="eastAsia" w:cs="Times New Roman"/>
              </w:rPr>
              <w:t>4、</w:t>
            </w:r>
            <w:r>
              <w:rPr>
                <w:rFonts w:cs="Times New Roman"/>
              </w:rPr>
              <w:t>环境风险防范措施</w:t>
            </w:r>
          </w:p>
          <w:p w14:paraId="65562A70">
            <w:pPr>
              <w:pStyle w:val="16"/>
              <w:spacing w:line="360" w:lineRule="auto"/>
              <w:ind w:firstLine="480"/>
              <w:jc w:val="both"/>
              <w:rPr>
                <w:rFonts w:ascii="Times New Roman" w:hAnsi="Times New Roman"/>
                <w:color w:val="auto"/>
              </w:rPr>
            </w:pPr>
            <w:r>
              <w:rPr>
                <w:rFonts w:hint="eastAsia" w:hAnsi="宋体" w:cs="宋体"/>
                <w:color w:val="auto"/>
              </w:rPr>
              <w:t>①</w:t>
            </w:r>
            <w:r>
              <w:rPr>
                <w:rFonts w:ascii="Times New Roman" w:hAnsi="Times New Roman"/>
                <w:color w:val="auto"/>
              </w:rPr>
              <w:t>储存防范措施</w:t>
            </w:r>
          </w:p>
          <w:p w14:paraId="35A705A5">
            <w:pPr>
              <w:pStyle w:val="16"/>
              <w:spacing w:line="360" w:lineRule="auto"/>
              <w:ind w:firstLine="480"/>
              <w:jc w:val="both"/>
              <w:rPr>
                <w:rFonts w:ascii="Times New Roman" w:hAnsi="Times New Roman"/>
                <w:color w:val="auto"/>
              </w:rPr>
            </w:pPr>
            <w:r>
              <w:rPr>
                <w:rFonts w:ascii="Times New Roman" w:hAnsi="Times New Roman"/>
                <w:color w:val="auto"/>
              </w:rPr>
              <w:t>A、建立严格的出入库管理制度（如收发手续、装卸规定等），物品入库时，严格检查其数量、包装情况，发现包装破损泄漏的立即处理。</w:t>
            </w:r>
          </w:p>
          <w:p w14:paraId="6390678D">
            <w:pPr>
              <w:pStyle w:val="16"/>
              <w:spacing w:line="360" w:lineRule="auto"/>
              <w:ind w:firstLine="480"/>
              <w:jc w:val="both"/>
              <w:rPr>
                <w:rFonts w:ascii="Times New Roman" w:hAnsi="Times New Roman"/>
                <w:color w:val="auto"/>
              </w:rPr>
            </w:pPr>
            <w:r>
              <w:rPr>
                <w:rFonts w:ascii="Times New Roman" w:hAnsi="Times New Roman"/>
                <w:color w:val="auto"/>
              </w:rPr>
              <w:t>B、按物料理化特性，合理贮存，仓库内保持安全通道畅通。</w:t>
            </w:r>
          </w:p>
          <w:p w14:paraId="35E1798B">
            <w:pPr>
              <w:pStyle w:val="16"/>
              <w:spacing w:line="360" w:lineRule="auto"/>
              <w:ind w:firstLine="480"/>
              <w:jc w:val="both"/>
              <w:rPr>
                <w:rFonts w:ascii="Times New Roman" w:hAnsi="Times New Roman"/>
                <w:color w:val="auto"/>
              </w:rPr>
            </w:pPr>
            <w:r>
              <w:rPr>
                <w:rFonts w:ascii="Times New Roman" w:hAnsi="Times New Roman"/>
                <w:color w:val="auto"/>
              </w:rPr>
              <w:t>C、保证仓库通风、换气正常运行，仓库运作做好通风、防尘措施。</w:t>
            </w:r>
          </w:p>
          <w:p w14:paraId="2600A3DD">
            <w:pPr>
              <w:pStyle w:val="16"/>
              <w:spacing w:line="360" w:lineRule="auto"/>
              <w:ind w:firstLine="480"/>
              <w:jc w:val="both"/>
              <w:rPr>
                <w:rFonts w:ascii="Times New Roman" w:hAnsi="Times New Roman"/>
                <w:color w:val="auto"/>
              </w:rPr>
            </w:pPr>
            <w:r>
              <w:rPr>
                <w:rFonts w:ascii="Times New Roman" w:hAnsi="Times New Roman"/>
                <w:color w:val="auto"/>
              </w:rPr>
              <w:t>D、装卸、搬运做到轻装、轻卸。严禁摔、碰、撞、击、拖拉、倾斜和滚动，防止包装物、容器破损致物品外泄。</w:t>
            </w:r>
          </w:p>
          <w:p w14:paraId="019B0B03">
            <w:pPr>
              <w:pStyle w:val="16"/>
              <w:spacing w:line="360" w:lineRule="auto"/>
              <w:ind w:firstLine="480"/>
              <w:jc w:val="both"/>
              <w:rPr>
                <w:rFonts w:ascii="Times New Roman" w:hAnsi="Times New Roman"/>
                <w:color w:val="auto"/>
              </w:rPr>
            </w:pPr>
            <w:r>
              <w:rPr>
                <w:rFonts w:hint="eastAsia" w:hAnsi="宋体" w:cs="宋体"/>
                <w:color w:val="auto"/>
              </w:rPr>
              <w:t>②</w:t>
            </w:r>
            <w:r>
              <w:rPr>
                <w:rFonts w:ascii="Times New Roman" w:hAnsi="Times New Roman"/>
                <w:color w:val="auto"/>
              </w:rPr>
              <w:t>物料泄漏事故的防范措施</w:t>
            </w:r>
          </w:p>
          <w:p w14:paraId="34022EA2">
            <w:pPr>
              <w:pStyle w:val="16"/>
              <w:spacing w:line="360" w:lineRule="auto"/>
              <w:ind w:firstLine="480"/>
              <w:jc w:val="both"/>
              <w:rPr>
                <w:rFonts w:ascii="Times New Roman" w:hAnsi="Times New Roman"/>
                <w:color w:val="auto"/>
              </w:rPr>
            </w:pPr>
            <w:r>
              <w:rPr>
                <w:rFonts w:ascii="Times New Roman" w:hAnsi="Times New Roman"/>
                <w:color w:val="auto"/>
              </w:rPr>
              <w:t>泄漏事故的预防是生产和储运过程中最重要的环节，发生泄漏事故可能引起火灾和爆炸等一系列重大事故。经验表明：设备失灵和人为的操作失误是引发泄漏的主要原因。因此选用较好的设备、精心设计、认真的管理和操作人员的责任心是减少泄漏事故的关键。本项目主要采取以下物料泄漏事故的预防：</w:t>
            </w:r>
          </w:p>
          <w:p w14:paraId="52C3CDB3">
            <w:pPr>
              <w:pStyle w:val="16"/>
              <w:spacing w:line="360" w:lineRule="auto"/>
              <w:ind w:firstLine="480"/>
              <w:jc w:val="both"/>
              <w:rPr>
                <w:rFonts w:ascii="Times New Roman" w:hAnsi="Times New Roman"/>
                <w:color w:val="auto"/>
              </w:rPr>
            </w:pPr>
            <w:r>
              <w:rPr>
                <w:rFonts w:ascii="Times New Roman" w:hAnsi="Times New Roman"/>
                <w:color w:val="auto"/>
              </w:rPr>
              <w:t>A、</w:t>
            </w:r>
            <w:r>
              <w:rPr>
                <w:rFonts w:hint="eastAsia" w:ascii="Times New Roman" w:hAnsi="Times New Roman"/>
                <w:color w:val="auto"/>
              </w:rPr>
              <w:t>危废储存区域</w:t>
            </w:r>
            <w:r>
              <w:rPr>
                <w:rFonts w:ascii="Times New Roman" w:hAnsi="Times New Roman"/>
                <w:color w:val="auto"/>
              </w:rPr>
              <w:t>采用</w:t>
            </w:r>
            <w:r>
              <w:rPr>
                <w:rFonts w:hint="eastAsia" w:ascii="Times New Roman" w:hAnsi="Times New Roman"/>
                <w:color w:val="auto"/>
              </w:rPr>
              <w:t>重点</w:t>
            </w:r>
            <w:r>
              <w:rPr>
                <w:rFonts w:ascii="Times New Roman" w:hAnsi="Times New Roman"/>
                <w:color w:val="auto"/>
              </w:rPr>
              <w:t>防渗措施，避免物料泄漏。</w:t>
            </w:r>
          </w:p>
          <w:p w14:paraId="3CB730FE">
            <w:pPr>
              <w:pStyle w:val="16"/>
              <w:spacing w:line="360" w:lineRule="auto"/>
              <w:ind w:firstLine="480"/>
              <w:jc w:val="both"/>
              <w:rPr>
                <w:rFonts w:ascii="Times New Roman" w:hAnsi="Times New Roman"/>
                <w:color w:val="auto"/>
              </w:rPr>
            </w:pPr>
            <w:r>
              <w:rPr>
                <w:rFonts w:ascii="Times New Roman" w:hAnsi="Times New Roman"/>
                <w:color w:val="auto"/>
              </w:rPr>
              <w:t>B、严格执行安全和消防规范。厂房内设置人行通道，以利于消防和疏散。</w:t>
            </w:r>
          </w:p>
          <w:p w14:paraId="5ADF6414">
            <w:pPr>
              <w:pStyle w:val="16"/>
              <w:spacing w:line="360" w:lineRule="auto"/>
              <w:ind w:firstLine="480"/>
              <w:jc w:val="both"/>
              <w:rPr>
                <w:rFonts w:ascii="Times New Roman" w:hAnsi="Times New Roman"/>
                <w:color w:val="auto"/>
              </w:rPr>
            </w:pPr>
            <w:r>
              <w:rPr>
                <w:rFonts w:ascii="Times New Roman" w:hAnsi="Times New Roman"/>
                <w:color w:val="auto"/>
              </w:rPr>
              <w:t>C、所有废水管线集中收集，并妥善处理，防止随意流散。</w:t>
            </w:r>
          </w:p>
          <w:p w14:paraId="470F2B02">
            <w:pPr>
              <w:pStyle w:val="16"/>
              <w:spacing w:line="360" w:lineRule="auto"/>
              <w:ind w:firstLine="480"/>
              <w:jc w:val="both"/>
              <w:rPr>
                <w:rFonts w:ascii="Times New Roman" w:hAnsi="Times New Roman"/>
                <w:color w:val="auto"/>
              </w:rPr>
            </w:pPr>
            <w:r>
              <w:rPr>
                <w:rFonts w:hint="eastAsia" w:ascii="Times New Roman" w:hAnsi="Times New Roman"/>
                <w:color w:val="auto"/>
              </w:rPr>
              <w:t>D</w:t>
            </w:r>
            <w:r>
              <w:rPr>
                <w:rFonts w:ascii="Times New Roman" w:hAnsi="Times New Roman"/>
                <w:color w:val="auto"/>
              </w:rPr>
              <w:t>、对操作人员进行系统教育，严格按操作规程进行操作，严禁违章作业。</w:t>
            </w:r>
          </w:p>
          <w:p w14:paraId="2BF1BA1A">
            <w:pPr>
              <w:pStyle w:val="16"/>
              <w:spacing w:line="360" w:lineRule="auto"/>
              <w:ind w:firstLine="480"/>
              <w:jc w:val="both"/>
              <w:rPr>
                <w:rFonts w:ascii="Times New Roman" w:hAnsi="Times New Roman"/>
                <w:color w:val="auto"/>
              </w:rPr>
            </w:pPr>
            <w:r>
              <w:rPr>
                <w:rFonts w:hint="eastAsia" w:hAnsi="宋体" w:cs="宋体"/>
                <w:color w:val="auto"/>
              </w:rPr>
              <w:t>③</w:t>
            </w:r>
            <w:r>
              <w:rPr>
                <w:rFonts w:ascii="Times New Roman" w:hAnsi="Times New Roman"/>
                <w:color w:val="auto"/>
              </w:rPr>
              <w:t>火灾和爆炸事故的防范措施</w:t>
            </w:r>
          </w:p>
          <w:p w14:paraId="737D5122">
            <w:pPr>
              <w:pStyle w:val="16"/>
              <w:spacing w:line="360" w:lineRule="auto"/>
              <w:ind w:firstLine="480"/>
              <w:jc w:val="both"/>
              <w:rPr>
                <w:rFonts w:ascii="Times New Roman" w:hAnsi="Times New Roman"/>
                <w:color w:val="auto"/>
              </w:rPr>
            </w:pPr>
            <w:r>
              <w:rPr>
                <w:rFonts w:ascii="Times New Roman" w:hAnsi="Times New Roman"/>
                <w:color w:val="auto"/>
              </w:rPr>
              <w:t>A、设备的安全管理：定期对设备进行安全检测，检测内容、时间、人员应有记录保存。安全检测应根据设备的安全性、危险性设定检测频次。</w:t>
            </w:r>
          </w:p>
          <w:p w14:paraId="299E6F74">
            <w:pPr>
              <w:ind w:firstLine="480"/>
              <w:jc w:val="both"/>
              <w:rPr>
                <w:rFonts w:cs="Times New Roman"/>
              </w:rPr>
            </w:pPr>
            <w:r>
              <w:rPr>
                <w:rFonts w:cs="Times New Roman"/>
              </w:rPr>
              <w:t>B、生产车间内严格禁止明火产生，对</w:t>
            </w:r>
            <w:r>
              <w:rPr>
                <w:rFonts w:hint="eastAsia" w:cs="Times New Roman"/>
              </w:rPr>
              <w:t>主要</w:t>
            </w:r>
            <w:r>
              <w:rPr>
                <w:rFonts w:cs="Times New Roman"/>
              </w:rPr>
              <w:t>原料进行分区存放，各库</w:t>
            </w:r>
            <w:r>
              <w:rPr>
                <w:rFonts w:hint="eastAsia" w:cs="Times New Roman"/>
              </w:rPr>
              <w:t>房</w:t>
            </w:r>
            <w:r>
              <w:rPr>
                <w:rFonts w:cs="Times New Roman"/>
              </w:rPr>
              <w:t>进行良好通风、换气，配置安全、消防措施，杜绝火灾和爆炸事故的发生。</w:t>
            </w:r>
          </w:p>
          <w:p w14:paraId="3E267069">
            <w:pPr>
              <w:ind w:firstLine="451" w:firstLineChars="188"/>
              <w:jc w:val="both"/>
              <w:rPr>
                <w:rFonts w:cs="Times New Roman"/>
              </w:rPr>
            </w:pPr>
            <w:r>
              <w:rPr>
                <w:rFonts w:hint="eastAsia" w:cs="Times New Roman"/>
              </w:rPr>
              <w:t>5、其他环境管理</w:t>
            </w:r>
            <w:r>
              <w:rPr>
                <w:rFonts w:cs="Times New Roman"/>
              </w:rPr>
              <w:t>措施</w:t>
            </w:r>
          </w:p>
          <w:p w14:paraId="63B3399E">
            <w:pPr>
              <w:ind w:firstLine="480"/>
              <w:jc w:val="both"/>
            </w:pPr>
            <w:r>
              <w:rPr>
                <w:rFonts w:hint="eastAsia"/>
              </w:rPr>
              <w:t>根据《浙江省应急管理厅  浙江省生态环境厅关于加强工业企业环保设施安全生产工作的指导意见》浙应急基础〔2022〕143号文中相关规定，本评价要求建设单位应委托有相应资质的设计单位对本项目环保设施进行设计，落实安全生产相关技术要求。</w:t>
            </w:r>
          </w:p>
          <w:p w14:paraId="6DB65B8E">
            <w:pPr>
              <w:ind w:firstLine="480"/>
              <w:jc w:val="both"/>
            </w:pPr>
            <w:r>
              <w:rPr>
                <w:rFonts w:hint="eastAsia"/>
              </w:rPr>
              <w:t>根据省安委会印发的《浙江省安全生产委员会成员单位安全生产工作任务分工》（浙安委〔2024〕20号）中相关要求：在环评工作中提醒督促企业委托有相应资质的设计单位对建设项目重点环保设施进行设计、自行（或委托）开展安全风险评估。</w:t>
            </w:r>
          </w:p>
          <w:p w14:paraId="07E34BC7">
            <w:pPr>
              <w:ind w:firstLine="480"/>
              <w:jc w:val="both"/>
            </w:pPr>
            <w:r>
              <w:rPr>
                <w:rFonts w:hint="eastAsia"/>
              </w:rPr>
              <w:t>本项目依托现有工程的重点环保设施主要有废气处理设施。建设单位应确保重点环保设施运行过程安全。</w:t>
            </w:r>
          </w:p>
          <w:p w14:paraId="35DEC811">
            <w:pPr>
              <w:ind w:firstLine="480"/>
              <w:jc w:val="both"/>
            </w:pPr>
            <w:r>
              <w:rPr>
                <w:rFonts w:hint="eastAsia"/>
              </w:rPr>
              <w:t>企业需建立环保设施台账和维护管理制度，对环保设施操作、危险作业等相关岗位人员开展操作规程、风险管控、应急处置等专项安全培训教育。依法依规开展环保设施安全风险辨识管控和隐患排查治理，定期进行安全可靠性鉴定，设置必要的安全监测监控系统和联锁保护，严格日常安全检查，配置应急处置装备，确保环保设施安全、稳定、有效的运行。</w:t>
            </w:r>
          </w:p>
          <w:p w14:paraId="3EAE058C">
            <w:pPr>
              <w:pStyle w:val="2"/>
              <w:jc w:val="both"/>
            </w:pPr>
          </w:p>
          <w:p w14:paraId="3517AFBD">
            <w:pPr>
              <w:pStyle w:val="2"/>
              <w:jc w:val="both"/>
            </w:pPr>
          </w:p>
          <w:p w14:paraId="68BDC45E">
            <w:pPr>
              <w:pStyle w:val="2"/>
              <w:jc w:val="both"/>
              <w:rPr>
                <w:rFonts w:cs="Times New Roman"/>
              </w:rPr>
            </w:pPr>
          </w:p>
        </w:tc>
      </w:tr>
    </w:tbl>
    <w:p w14:paraId="09924B45">
      <w:pPr>
        <w:pStyle w:val="2"/>
        <w:sectPr>
          <w:pgSz w:w="11906" w:h="16838"/>
          <w:pgMar w:top="1440" w:right="1800" w:bottom="1440" w:left="1800" w:header="851" w:footer="992" w:gutter="0"/>
          <w:cols w:space="425" w:num="1"/>
          <w:docGrid w:type="lines" w:linePitch="312" w:charSpace="0"/>
        </w:sectPr>
      </w:pPr>
    </w:p>
    <w:p w14:paraId="4C5E5648">
      <w:pPr>
        <w:pStyle w:val="3"/>
        <w:numPr>
          <w:ilvl w:val="0"/>
          <w:numId w:val="2"/>
        </w:numPr>
      </w:pPr>
      <w:bookmarkStart w:id="8" w:name="_Toc25495"/>
      <w:r>
        <w:rPr>
          <w:rFonts w:hint="eastAsia"/>
        </w:rPr>
        <w:t>环境保护措施监督检查清单</w:t>
      </w:r>
      <w:bookmarkEnd w:id="8"/>
    </w:p>
    <w:tbl>
      <w:tblPr>
        <w:tblStyle w:val="9"/>
        <w:tblW w:w="5000" w:type="pct"/>
        <w:tblInd w:w="0" w:type="dxa"/>
        <w:tblLayout w:type="autofit"/>
        <w:tblCellMar>
          <w:top w:w="0" w:type="dxa"/>
          <w:left w:w="108" w:type="dxa"/>
          <w:bottom w:w="0" w:type="dxa"/>
          <w:right w:w="108" w:type="dxa"/>
        </w:tblCellMar>
      </w:tblPr>
      <w:tblGrid>
        <w:gridCol w:w="1352"/>
        <w:gridCol w:w="1132"/>
        <w:gridCol w:w="1154"/>
        <w:gridCol w:w="2482"/>
        <w:gridCol w:w="2402"/>
      </w:tblGrid>
      <w:tr w14:paraId="1746EFBD">
        <w:trPr>
          <w:trHeight w:val="340" w:hRule="atLeast"/>
        </w:trPr>
        <w:tc>
          <w:tcPr>
            <w:tcW w:w="793" w:type="pct"/>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14:paraId="5A20D52E">
            <w:pPr>
              <w:widowControl/>
              <w:spacing w:line="240" w:lineRule="auto"/>
              <w:ind w:firstLine="0" w:firstLineChars="0"/>
              <w:jc w:val="center"/>
              <w:rPr>
                <w:rFonts w:cs="Times New Roman"/>
                <w:kern w:val="0"/>
                <w:sz w:val="18"/>
              </w:rPr>
            </w:pPr>
            <w:r>
              <w:rPr>
                <w:rFonts w:cs="Times New Roman"/>
                <w:kern w:val="0"/>
                <w:sz w:val="18"/>
              </w:rPr>
              <w:t xml:space="preserve">       内容</w:t>
            </w:r>
          </w:p>
          <w:p w14:paraId="389F3B6D">
            <w:pPr>
              <w:widowControl/>
              <w:spacing w:line="240" w:lineRule="auto"/>
              <w:ind w:firstLine="0" w:firstLineChars="0"/>
              <w:rPr>
                <w:rFonts w:cs="Times New Roman"/>
                <w:kern w:val="0"/>
                <w:sz w:val="18"/>
              </w:rPr>
            </w:pPr>
            <w:r>
              <w:rPr>
                <w:rFonts w:cs="Times New Roman"/>
                <w:kern w:val="0"/>
                <w:sz w:val="18"/>
              </w:rPr>
              <w:t>要素</w:t>
            </w:r>
          </w:p>
        </w:tc>
        <w:tc>
          <w:tcPr>
            <w:tcW w:w="664" w:type="pct"/>
            <w:vMerge w:val="restart"/>
            <w:tcBorders>
              <w:top w:val="single" w:color="auto" w:sz="4" w:space="0"/>
              <w:left w:val="single" w:color="auto" w:sz="4" w:space="0"/>
              <w:bottom w:val="single" w:color="auto" w:sz="4" w:space="0"/>
              <w:right w:val="single" w:color="auto" w:sz="4" w:space="0"/>
            </w:tcBorders>
            <w:vAlign w:val="center"/>
          </w:tcPr>
          <w:p w14:paraId="4FB785C9">
            <w:pPr>
              <w:widowControl/>
              <w:spacing w:line="240" w:lineRule="auto"/>
              <w:ind w:firstLine="0" w:firstLineChars="0"/>
              <w:jc w:val="center"/>
              <w:rPr>
                <w:rFonts w:cs="Times New Roman"/>
                <w:kern w:val="0"/>
                <w:sz w:val="18"/>
              </w:rPr>
            </w:pPr>
            <w:r>
              <w:rPr>
                <w:rFonts w:cs="Times New Roman"/>
                <w:kern w:val="0"/>
                <w:sz w:val="18"/>
              </w:rPr>
              <w:t>排放口(编号、名称)/污染源</w:t>
            </w:r>
          </w:p>
        </w:tc>
        <w:tc>
          <w:tcPr>
            <w:tcW w:w="677" w:type="pct"/>
            <w:vMerge w:val="restart"/>
            <w:tcBorders>
              <w:top w:val="single" w:color="auto" w:sz="4" w:space="0"/>
              <w:left w:val="single" w:color="auto" w:sz="4" w:space="0"/>
              <w:bottom w:val="single" w:color="auto" w:sz="4" w:space="0"/>
              <w:right w:val="single" w:color="auto" w:sz="4" w:space="0"/>
            </w:tcBorders>
            <w:vAlign w:val="center"/>
          </w:tcPr>
          <w:p w14:paraId="4E944AE8">
            <w:pPr>
              <w:widowControl/>
              <w:spacing w:line="240" w:lineRule="auto"/>
              <w:ind w:firstLine="0" w:firstLineChars="0"/>
              <w:jc w:val="center"/>
              <w:rPr>
                <w:rFonts w:cs="Times New Roman"/>
                <w:kern w:val="0"/>
                <w:sz w:val="18"/>
              </w:rPr>
            </w:pPr>
            <w:r>
              <w:rPr>
                <w:rFonts w:cs="Times New Roman"/>
                <w:kern w:val="0"/>
                <w:sz w:val="18"/>
              </w:rPr>
              <w:t>污染物项目</w:t>
            </w:r>
          </w:p>
        </w:tc>
        <w:tc>
          <w:tcPr>
            <w:tcW w:w="1456" w:type="pct"/>
            <w:vMerge w:val="restart"/>
            <w:tcBorders>
              <w:top w:val="single" w:color="auto" w:sz="4" w:space="0"/>
              <w:left w:val="single" w:color="auto" w:sz="4" w:space="0"/>
              <w:bottom w:val="single" w:color="auto" w:sz="4" w:space="0"/>
              <w:right w:val="single" w:color="auto" w:sz="4" w:space="0"/>
            </w:tcBorders>
            <w:vAlign w:val="center"/>
          </w:tcPr>
          <w:p w14:paraId="2A0A8CC9">
            <w:pPr>
              <w:widowControl/>
              <w:spacing w:line="240" w:lineRule="auto"/>
              <w:ind w:firstLine="0" w:firstLineChars="0"/>
              <w:jc w:val="center"/>
              <w:rPr>
                <w:rFonts w:cs="Times New Roman"/>
                <w:kern w:val="0"/>
                <w:sz w:val="18"/>
              </w:rPr>
            </w:pPr>
            <w:r>
              <w:rPr>
                <w:rFonts w:cs="Times New Roman"/>
                <w:kern w:val="0"/>
                <w:sz w:val="18"/>
              </w:rPr>
              <w:t>环境保护措施</w:t>
            </w:r>
          </w:p>
        </w:tc>
        <w:tc>
          <w:tcPr>
            <w:tcW w:w="1409" w:type="pct"/>
            <w:vMerge w:val="restart"/>
            <w:tcBorders>
              <w:top w:val="single" w:color="auto" w:sz="4" w:space="0"/>
              <w:left w:val="single" w:color="auto" w:sz="4" w:space="0"/>
              <w:bottom w:val="single" w:color="auto" w:sz="4" w:space="0"/>
              <w:right w:val="single" w:color="auto" w:sz="4" w:space="0"/>
            </w:tcBorders>
            <w:vAlign w:val="center"/>
          </w:tcPr>
          <w:p w14:paraId="71C7C113">
            <w:pPr>
              <w:widowControl/>
              <w:spacing w:line="240" w:lineRule="auto"/>
              <w:ind w:firstLine="0" w:firstLineChars="0"/>
              <w:jc w:val="center"/>
              <w:rPr>
                <w:rFonts w:cs="Times New Roman"/>
                <w:kern w:val="0"/>
                <w:sz w:val="18"/>
              </w:rPr>
            </w:pPr>
            <w:r>
              <w:rPr>
                <w:rFonts w:cs="Times New Roman"/>
                <w:kern w:val="0"/>
                <w:sz w:val="18"/>
              </w:rPr>
              <w:t>执行标准</w:t>
            </w:r>
          </w:p>
        </w:tc>
      </w:tr>
      <w:tr w14:paraId="2CA6B991">
        <w:trPr>
          <w:trHeight w:val="340" w:hRule="atLeast"/>
        </w:trPr>
        <w:tc>
          <w:tcPr>
            <w:tcW w:w="793" w:type="pct"/>
            <w:vMerge w:val="continue"/>
            <w:tcBorders>
              <w:top w:val="single" w:color="auto" w:sz="4" w:space="0"/>
              <w:left w:val="single" w:color="auto" w:sz="4" w:space="0"/>
              <w:bottom w:val="single" w:color="auto" w:sz="4" w:space="0"/>
              <w:right w:val="single" w:color="auto" w:sz="4" w:space="0"/>
            </w:tcBorders>
            <w:vAlign w:val="center"/>
          </w:tcPr>
          <w:p w14:paraId="1767E6A0">
            <w:pPr>
              <w:widowControl/>
              <w:spacing w:line="240" w:lineRule="auto"/>
              <w:ind w:firstLine="0" w:firstLineChars="0"/>
              <w:jc w:val="center"/>
              <w:rPr>
                <w:rFonts w:cs="Times New Roman"/>
                <w:kern w:val="0"/>
                <w:sz w:val="18"/>
              </w:rPr>
            </w:pPr>
          </w:p>
        </w:tc>
        <w:tc>
          <w:tcPr>
            <w:tcW w:w="664" w:type="pct"/>
            <w:vMerge w:val="continue"/>
            <w:tcBorders>
              <w:top w:val="single" w:color="auto" w:sz="4" w:space="0"/>
              <w:left w:val="single" w:color="auto" w:sz="4" w:space="0"/>
              <w:bottom w:val="single" w:color="auto" w:sz="4" w:space="0"/>
              <w:right w:val="single" w:color="auto" w:sz="4" w:space="0"/>
            </w:tcBorders>
            <w:vAlign w:val="center"/>
          </w:tcPr>
          <w:p w14:paraId="08074E1D">
            <w:pPr>
              <w:widowControl/>
              <w:spacing w:line="240" w:lineRule="auto"/>
              <w:ind w:firstLine="0" w:firstLineChars="0"/>
              <w:jc w:val="center"/>
              <w:rPr>
                <w:rFonts w:cs="Times New Roman"/>
                <w:kern w:val="0"/>
                <w:sz w:val="18"/>
              </w:rPr>
            </w:pPr>
          </w:p>
        </w:tc>
        <w:tc>
          <w:tcPr>
            <w:tcW w:w="677" w:type="pct"/>
            <w:vMerge w:val="continue"/>
            <w:tcBorders>
              <w:top w:val="single" w:color="auto" w:sz="4" w:space="0"/>
              <w:left w:val="single" w:color="auto" w:sz="4" w:space="0"/>
              <w:bottom w:val="single" w:color="auto" w:sz="4" w:space="0"/>
              <w:right w:val="single" w:color="auto" w:sz="4" w:space="0"/>
            </w:tcBorders>
            <w:vAlign w:val="center"/>
          </w:tcPr>
          <w:p w14:paraId="1B4C54AD">
            <w:pPr>
              <w:widowControl/>
              <w:spacing w:line="240" w:lineRule="auto"/>
              <w:ind w:firstLine="0" w:firstLineChars="0"/>
              <w:jc w:val="center"/>
              <w:rPr>
                <w:rFonts w:cs="Times New Roman"/>
                <w:kern w:val="0"/>
                <w:sz w:val="18"/>
              </w:rPr>
            </w:pPr>
          </w:p>
        </w:tc>
        <w:tc>
          <w:tcPr>
            <w:tcW w:w="1456" w:type="pct"/>
            <w:vMerge w:val="continue"/>
            <w:tcBorders>
              <w:top w:val="single" w:color="auto" w:sz="4" w:space="0"/>
              <w:left w:val="single" w:color="auto" w:sz="4" w:space="0"/>
              <w:bottom w:val="single" w:color="auto" w:sz="4" w:space="0"/>
              <w:right w:val="single" w:color="auto" w:sz="4" w:space="0"/>
            </w:tcBorders>
            <w:vAlign w:val="center"/>
          </w:tcPr>
          <w:p w14:paraId="5A5935C8">
            <w:pPr>
              <w:widowControl/>
              <w:spacing w:line="240" w:lineRule="auto"/>
              <w:ind w:firstLine="0" w:firstLineChars="0"/>
              <w:jc w:val="center"/>
              <w:rPr>
                <w:rFonts w:cs="Times New Roman"/>
                <w:kern w:val="0"/>
                <w:sz w:val="18"/>
              </w:rPr>
            </w:pPr>
          </w:p>
        </w:tc>
        <w:tc>
          <w:tcPr>
            <w:tcW w:w="1409" w:type="pct"/>
            <w:vMerge w:val="continue"/>
            <w:tcBorders>
              <w:top w:val="single" w:color="auto" w:sz="4" w:space="0"/>
              <w:left w:val="single" w:color="auto" w:sz="4" w:space="0"/>
              <w:bottom w:val="single" w:color="auto" w:sz="4" w:space="0"/>
              <w:right w:val="single" w:color="auto" w:sz="4" w:space="0"/>
            </w:tcBorders>
            <w:vAlign w:val="center"/>
          </w:tcPr>
          <w:p w14:paraId="2B7117B1">
            <w:pPr>
              <w:widowControl/>
              <w:spacing w:line="240" w:lineRule="auto"/>
              <w:ind w:firstLine="0" w:firstLineChars="0"/>
              <w:jc w:val="center"/>
              <w:rPr>
                <w:rFonts w:cs="Times New Roman"/>
                <w:kern w:val="0"/>
                <w:sz w:val="18"/>
              </w:rPr>
            </w:pPr>
          </w:p>
        </w:tc>
      </w:tr>
      <w:tr w14:paraId="5128CB97">
        <w:trPr>
          <w:trHeight w:val="340" w:hRule="atLeast"/>
        </w:trPr>
        <w:tc>
          <w:tcPr>
            <w:tcW w:w="793" w:type="pct"/>
            <w:vMerge w:val="restart"/>
            <w:tcBorders>
              <w:top w:val="single" w:color="auto" w:sz="4" w:space="0"/>
              <w:left w:val="single" w:color="auto" w:sz="4" w:space="0"/>
              <w:right w:val="single" w:color="auto" w:sz="4" w:space="0"/>
            </w:tcBorders>
            <w:vAlign w:val="center"/>
          </w:tcPr>
          <w:p w14:paraId="1329C878">
            <w:pPr>
              <w:spacing w:line="240" w:lineRule="auto"/>
              <w:ind w:firstLine="0" w:firstLineChars="0"/>
              <w:jc w:val="center"/>
              <w:rPr>
                <w:rFonts w:cs="Times New Roman"/>
                <w:kern w:val="0"/>
                <w:sz w:val="18"/>
              </w:rPr>
            </w:pPr>
            <w:r>
              <w:rPr>
                <w:rFonts w:cs="Times New Roman"/>
                <w:kern w:val="0"/>
                <w:sz w:val="18"/>
              </w:rPr>
              <w:t>大气环境</w:t>
            </w:r>
          </w:p>
        </w:tc>
        <w:tc>
          <w:tcPr>
            <w:tcW w:w="664" w:type="pct"/>
            <w:tcBorders>
              <w:top w:val="single" w:color="auto" w:sz="4" w:space="0"/>
              <w:left w:val="single" w:color="auto" w:sz="4" w:space="0"/>
              <w:bottom w:val="single" w:color="auto" w:sz="4" w:space="0"/>
              <w:right w:val="single" w:color="auto" w:sz="4" w:space="0"/>
            </w:tcBorders>
            <w:vAlign w:val="center"/>
          </w:tcPr>
          <w:p w14:paraId="44FC6070">
            <w:pPr>
              <w:widowControl/>
              <w:spacing w:line="240" w:lineRule="auto"/>
              <w:ind w:firstLine="0" w:firstLineChars="0"/>
              <w:jc w:val="center"/>
              <w:rPr>
                <w:rFonts w:cs="Times New Roman"/>
                <w:kern w:val="0"/>
                <w:sz w:val="18"/>
              </w:rPr>
            </w:pPr>
            <w:r>
              <w:rPr>
                <w:rFonts w:hint="eastAsia" w:cs="Times New Roman"/>
                <w:kern w:val="0"/>
                <w:sz w:val="18"/>
              </w:rPr>
              <w:t>DA002</w:t>
            </w:r>
          </w:p>
        </w:tc>
        <w:tc>
          <w:tcPr>
            <w:tcW w:w="677" w:type="pct"/>
            <w:tcBorders>
              <w:top w:val="single" w:color="auto" w:sz="4" w:space="0"/>
              <w:left w:val="single" w:color="auto" w:sz="4" w:space="0"/>
              <w:bottom w:val="single" w:color="auto" w:sz="4" w:space="0"/>
              <w:right w:val="single" w:color="auto" w:sz="4" w:space="0"/>
            </w:tcBorders>
            <w:vAlign w:val="center"/>
          </w:tcPr>
          <w:p w14:paraId="210C6F0C">
            <w:pPr>
              <w:widowControl/>
              <w:spacing w:line="240" w:lineRule="auto"/>
              <w:ind w:firstLine="0" w:firstLineChars="0"/>
              <w:jc w:val="center"/>
              <w:rPr>
                <w:rFonts w:cs="Times New Roman"/>
                <w:kern w:val="0"/>
                <w:sz w:val="18"/>
              </w:rPr>
            </w:pPr>
            <w:r>
              <w:rPr>
                <w:rFonts w:hint="eastAsia" w:cs="Times New Roman"/>
                <w:kern w:val="0"/>
                <w:sz w:val="18"/>
              </w:rPr>
              <w:t>颗粒物</w:t>
            </w:r>
          </w:p>
        </w:tc>
        <w:tc>
          <w:tcPr>
            <w:tcW w:w="1456" w:type="pct"/>
            <w:tcBorders>
              <w:top w:val="single" w:color="auto" w:sz="4" w:space="0"/>
              <w:left w:val="single" w:color="auto" w:sz="4" w:space="0"/>
              <w:bottom w:val="single" w:color="auto" w:sz="4" w:space="0"/>
              <w:right w:val="single" w:color="auto" w:sz="4" w:space="0"/>
            </w:tcBorders>
            <w:vAlign w:val="center"/>
          </w:tcPr>
          <w:p w14:paraId="750CE856">
            <w:pPr>
              <w:widowControl/>
              <w:spacing w:line="240" w:lineRule="auto"/>
              <w:ind w:firstLine="0" w:firstLineChars="0"/>
              <w:jc w:val="center"/>
              <w:rPr>
                <w:rFonts w:cs="Times New Roman"/>
                <w:kern w:val="0"/>
                <w:sz w:val="18"/>
              </w:rPr>
            </w:pPr>
            <w:r>
              <w:rPr>
                <w:rFonts w:hint="eastAsia" w:cs="Times New Roman"/>
                <w:kern w:val="0"/>
                <w:sz w:val="18"/>
              </w:rPr>
              <w:t>脉冲滤筒除尘器</w:t>
            </w:r>
          </w:p>
        </w:tc>
        <w:tc>
          <w:tcPr>
            <w:tcW w:w="1409" w:type="pct"/>
            <w:vMerge w:val="restart"/>
            <w:tcBorders>
              <w:top w:val="single" w:color="auto" w:sz="4" w:space="0"/>
              <w:left w:val="single" w:color="auto" w:sz="4" w:space="0"/>
              <w:right w:val="single" w:color="auto" w:sz="4" w:space="0"/>
            </w:tcBorders>
            <w:vAlign w:val="center"/>
          </w:tcPr>
          <w:p w14:paraId="0B3A284D">
            <w:pPr>
              <w:spacing w:line="240" w:lineRule="auto"/>
              <w:ind w:firstLine="0" w:firstLineChars="0"/>
              <w:jc w:val="center"/>
              <w:rPr>
                <w:rFonts w:cs="Times New Roman"/>
                <w:kern w:val="0"/>
                <w:sz w:val="18"/>
              </w:rPr>
            </w:pPr>
            <w:r>
              <w:rPr>
                <w:rFonts w:cs="Times New Roman"/>
                <w:kern w:val="0"/>
                <w:sz w:val="18"/>
              </w:rPr>
              <w:t>《合成树脂工业污染物排放标准》（GB 31572-2015，含2024年修改单）表5大气污染物特别排放限值</w:t>
            </w:r>
          </w:p>
        </w:tc>
      </w:tr>
      <w:tr w14:paraId="5EA32D03">
        <w:trPr>
          <w:trHeight w:val="340" w:hRule="atLeast"/>
        </w:trPr>
        <w:tc>
          <w:tcPr>
            <w:tcW w:w="793" w:type="pct"/>
            <w:vMerge w:val="continue"/>
            <w:tcBorders>
              <w:left w:val="single" w:color="auto" w:sz="4" w:space="0"/>
              <w:right w:val="single" w:color="auto" w:sz="4" w:space="0"/>
            </w:tcBorders>
            <w:vAlign w:val="center"/>
          </w:tcPr>
          <w:p w14:paraId="251753D9">
            <w:pPr>
              <w:spacing w:line="240" w:lineRule="auto"/>
              <w:ind w:firstLine="0" w:firstLineChars="0"/>
              <w:jc w:val="center"/>
              <w:rPr>
                <w:rFonts w:cs="Times New Roman"/>
                <w:kern w:val="0"/>
                <w:sz w:val="18"/>
              </w:rPr>
            </w:pPr>
          </w:p>
        </w:tc>
        <w:tc>
          <w:tcPr>
            <w:tcW w:w="664" w:type="pct"/>
            <w:vMerge w:val="restart"/>
            <w:tcBorders>
              <w:top w:val="single" w:color="auto" w:sz="4" w:space="0"/>
              <w:left w:val="single" w:color="auto" w:sz="4" w:space="0"/>
              <w:right w:val="single" w:color="auto" w:sz="4" w:space="0"/>
            </w:tcBorders>
            <w:vAlign w:val="center"/>
          </w:tcPr>
          <w:p w14:paraId="0AF86634">
            <w:pPr>
              <w:widowControl/>
              <w:spacing w:line="240" w:lineRule="auto"/>
              <w:ind w:firstLine="0" w:firstLineChars="0"/>
              <w:jc w:val="center"/>
              <w:rPr>
                <w:rFonts w:cs="Times New Roman"/>
                <w:kern w:val="0"/>
                <w:sz w:val="18"/>
              </w:rPr>
            </w:pPr>
            <w:r>
              <w:rPr>
                <w:rFonts w:hint="eastAsia" w:cs="Times New Roman"/>
                <w:kern w:val="0"/>
                <w:sz w:val="18"/>
              </w:rPr>
              <w:t>DA001</w:t>
            </w:r>
          </w:p>
        </w:tc>
        <w:tc>
          <w:tcPr>
            <w:tcW w:w="677" w:type="pct"/>
            <w:tcBorders>
              <w:top w:val="single" w:color="auto" w:sz="4" w:space="0"/>
              <w:left w:val="single" w:color="auto" w:sz="4" w:space="0"/>
              <w:bottom w:val="single" w:color="auto" w:sz="4" w:space="0"/>
              <w:right w:val="single" w:color="auto" w:sz="4" w:space="0"/>
            </w:tcBorders>
            <w:vAlign w:val="center"/>
          </w:tcPr>
          <w:p w14:paraId="76759F78">
            <w:pPr>
              <w:widowControl/>
              <w:spacing w:line="240" w:lineRule="auto"/>
              <w:ind w:firstLine="0" w:firstLineChars="0"/>
              <w:jc w:val="center"/>
              <w:rPr>
                <w:rFonts w:cs="Times New Roman"/>
                <w:kern w:val="0"/>
                <w:sz w:val="18"/>
              </w:rPr>
            </w:pPr>
            <w:r>
              <w:rPr>
                <w:rFonts w:hint="eastAsia" w:cs="Times New Roman"/>
                <w:kern w:val="0"/>
                <w:sz w:val="18"/>
              </w:rPr>
              <w:t>非甲烷总烃</w:t>
            </w:r>
          </w:p>
        </w:tc>
        <w:tc>
          <w:tcPr>
            <w:tcW w:w="1456" w:type="pct"/>
            <w:vMerge w:val="restart"/>
            <w:tcBorders>
              <w:top w:val="single" w:color="auto" w:sz="4" w:space="0"/>
              <w:left w:val="single" w:color="auto" w:sz="4" w:space="0"/>
              <w:right w:val="single" w:color="auto" w:sz="4" w:space="0"/>
            </w:tcBorders>
            <w:vAlign w:val="center"/>
          </w:tcPr>
          <w:p w14:paraId="1973C2D8">
            <w:pPr>
              <w:widowControl/>
              <w:spacing w:line="240" w:lineRule="auto"/>
              <w:ind w:firstLine="0" w:firstLineChars="0"/>
              <w:jc w:val="center"/>
              <w:rPr>
                <w:rFonts w:cs="Times New Roman"/>
                <w:kern w:val="0"/>
                <w:sz w:val="18"/>
              </w:rPr>
            </w:pPr>
            <w:r>
              <w:rPr>
                <w:rFonts w:hint="eastAsia" w:cs="Times New Roman"/>
                <w:kern w:val="0"/>
                <w:sz w:val="18"/>
              </w:rPr>
              <w:t>水喷淋+水雾过滤器+活性炭吸附</w:t>
            </w:r>
          </w:p>
        </w:tc>
        <w:tc>
          <w:tcPr>
            <w:tcW w:w="1409" w:type="pct"/>
            <w:vMerge w:val="continue"/>
            <w:tcBorders>
              <w:left w:val="single" w:color="auto" w:sz="4" w:space="0"/>
              <w:right w:val="single" w:color="auto" w:sz="4" w:space="0"/>
            </w:tcBorders>
            <w:vAlign w:val="center"/>
          </w:tcPr>
          <w:p w14:paraId="0906A2E0">
            <w:pPr>
              <w:spacing w:line="240" w:lineRule="auto"/>
              <w:ind w:firstLine="0" w:firstLineChars="0"/>
              <w:jc w:val="center"/>
              <w:rPr>
                <w:rFonts w:cs="Times New Roman"/>
                <w:kern w:val="0"/>
                <w:sz w:val="18"/>
              </w:rPr>
            </w:pPr>
          </w:p>
        </w:tc>
      </w:tr>
      <w:tr w14:paraId="106608BB">
        <w:trPr>
          <w:trHeight w:val="340" w:hRule="atLeast"/>
        </w:trPr>
        <w:tc>
          <w:tcPr>
            <w:tcW w:w="793" w:type="pct"/>
            <w:vMerge w:val="continue"/>
            <w:tcBorders>
              <w:left w:val="single" w:color="auto" w:sz="4" w:space="0"/>
              <w:right w:val="single" w:color="auto" w:sz="4" w:space="0"/>
            </w:tcBorders>
            <w:vAlign w:val="center"/>
          </w:tcPr>
          <w:p w14:paraId="3502AA6D">
            <w:pPr>
              <w:spacing w:line="240" w:lineRule="auto"/>
              <w:ind w:firstLine="0" w:firstLineChars="0"/>
              <w:jc w:val="center"/>
              <w:rPr>
                <w:rFonts w:cs="Times New Roman"/>
                <w:kern w:val="0"/>
                <w:sz w:val="18"/>
              </w:rPr>
            </w:pPr>
          </w:p>
        </w:tc>
        <w:tc>
          <w:tcPr>
            <w:tcW w:w="664" w:type="pct"/>
            <w:vMerge w:val="continue"/>
            <w:tcBorders>
              <w:left w:val="single" w:color="auto" w:sz="4" w:space="0"/>
              <w:bottom w:val="single" w:color="auto" w:sz="4" w:space="0"/>
              <w:right w:val="single" w:color="auto" w:sz="4" w:space="0"/>
            </w:tcBorders>
            <w:vAlign w:val="center"/>
          </w:tcPr>
          <w:p w14:paraId="4250E560">
            <w:pPr>
              <w:widowControl/>
              <w:spacing w:line="240" w:lineRule="auto"/>
              <w:ind w:firstLine="0" w:firstLineChars="0"/>
              <w:jc w:val="center"/>
              <w:rPr>
                <w:rFonts w:cs="Times New Roman"/>
                <w:kern w:val="0"/>
                <w:sz w:val="18"/>
              </w:rPr>
            </w:pPr>
          </w:p>
        </w:tc>
        <w:tc>
          <w:tcPr>
            <w:tcW w:w="677" w:type="pct"/>
            <w:tcBorders>
              <w:top w:val="single" w:color="auto" w:sz="4" w:space="0"/>
              <w:left w:val="single" w:color="auto" w:sz="4" w:space="0"/>
              <w:bottom w:val="single" w:color="auto" w:sz="4" w:space="0"/>
              <w:right w:val="single" w:color="auto" w:sz="4" w:space="0"/>
            </w:tcBorders>
            <w:vAlign w:val="center"/>
          </w:tcPr>
          <w:p w14:paraId="347C5C2F">
            <w:pPr>
              <w:widowControl/>
              <w:spacing w:line="240" w:lineRule="auto"/>
              <w:ind w:firstLine="0" w:firstLineChars="0"/>
              <w:jc w:val="center"/>
              <w:rPr>
                <w:rFonts w:cs="Times New Roman"/>
                <w:kern w:val="0"/>
                <w:sz w:val="18"/>
              </w:rPr>
            </w:pPr>
            <w:r>
              <w:rPr>
                <w:rFonts w:hint="eastAsia" w:cs="Times New Roman"/>
                <w:kern w:val="0"/>
                <w:sz w:val="18"/>
              </w:rPr>
              <w:t>臭气浓度</w:t>
            </w:r>
          </w:p>
        </w:tc>
        <w:tc>
          <w:tcPr>
            <w:tcW w:w="1456" w:type="pct"/>
            <w:vMerge w:val="continue"/>
            <w:tcBorders>
              <w:left w:val="single" w:color="auto" w:sz="4" w:space="0"/>
              <w:bottom w:val="single" w:color="auto" w:sz="4" w:space="0"/>
              <w:right w:val="single" w:color="auto" w:sz="4" w:space="0"/>
            </w:tcBorders>
            <w:vAlign w:val="center"/>
          </w:tcPr>
          <w:p w14:paraId="21E9356B">
            <w:pPr>
              <w:widowControl/>
              <w:spacing w:line="240" w:lineRule="auto"/>
              <w:ind w:firstLine="0" w:firstLineChars="0"/>
              <w:jc w:val="center"/>
              <w:rPr>
                <w:rFonts w:cs="Times New Roman"/>
                <w:kern w:val="0"/>
                <w:sz w:val="18"/>
              </w:rPr>
            </w:pPr>
          </w:p>
        </w:tc>
        <w:tc>
          <w:tcPr>
            <w:tcW w:w="1409" w:type="pct"/>
            <w:tcBorders>
              <w:top w:val="single" w:color="auto" w:sz="4" w:space="0"/>
              <w:left w:val="single" w:color="auto" w:sz="4" w:space="0"/>
              <w:right w:val="single" w:color="auto" w:sz="4" w:space="0"/>
            </w:tcBorders>
            <w:vAlign w:val="center"/>
          </w:tcPr>
          <w:p w14:paraId="0AB30225">
            <w:pPr>
              <w:spacing w:line="240" w:lineRule="auto"/>
              <w:ind w:firstLine="0" w:firstLineChars="0"/>
              <w:jc w:val="center"/>
              <w:rPr>
                <w:rFonts w:cs="Times New Roman"/>
                <w:kern w:val="0"/>
                <w:sz w:val="18"/>
              </w:rPr>
            </w:pPr>
            <w:r>
              <w:rPr>
                <w:rFonts w:hint="eastAsia" w:cs="Times New Roman"/>
                <w:kern w:val="0"/>
                <w:sz w:val="18"/>
              </w:rPr>
              <w:t>《恶臭污染物排放标准》(GB14554-93)中表2</w:t>
            </w:r>
          </w:p>
        </w:tc>
      </w:tr>
      <w:tr w14:paraId="2838A7C9">
        <w:trPr>
          <w:trHeight w:val="340" w:hRule="atLeast"/>
        </w:trPr>
        <w:tc>
          <w:tcPr>
            <w:tcW w:w="793" w:type="pct"/>
            <w:vMerge w:val="continue"/>
            <w:tcBorders>
              <w:left w:val="single" w:color="auto" w:sz="4" w:space="0"/>
              <w:right w:val="single" w:color="auto" w:sz="4" w:space="0"/>
            </w:tcBorders>
            <w:vAlign w:val="center"/>
          </w:tcPr>
          <w:p w14:paraId="3569A5C2">
            <w:pPr>
              <w:widowControl/>
              <w:spacing w:line="240" w:lineRule="auto"/>
              <w:ind w:firstLine="0" w:firstLineChars="0"/>
              <w:jc w:val="center"/>
              <w:rPr>
                <w:rFonts w:cs="Times New Roman"/>
                <w:kern w:val="0"/>
                <w:sz w:val="18"/>
              </w:rPr>
            </w:pPr>
          </w:p>
        </w:tc>
        <w:tc>
          <w:tcPr>
            <w:tcW w:w="664" w:type="pct"/>
            <w:vMerge w:val="restart"/>
            <w:tcBorders>
              <w:top w:val="single" w:color="auto" w:sz="4" w:space="0"/>
              <w:left w:val="single" w:color="auto" w:sz="4" w:space="0"/>
              <w:right w:val="single" w:color="auto" w:sz="4" w:space="0"/>
            </w:tcBorders>
            <w:vAlign w:val="center"/>
          </w:tcPr>
          <w:p w14:paraId="3108C351">
            <w:pPr>
              <w:widowControl/>
              <w:spacing w:line="240" w:lineRule="auto"/>
              <w:ind w:firstLine="0" w:firstLineChars="0"/>
              <w:jc w:val="center"/>
              <w:rPr>
                <w:rFonts w:cs="Times New Roman"/>
                <w:kern w:val="0"/>
                <w:sz w:val="18"/>
              </w:rPr>
            </w:pPr>
            <w:r>
              <w:rPr>
                <w:rFonts w:cs="Times New Roman"/>
                <w:kern w:val="0"/>
                <w:sz w:val="18"/>
              </w:rPr>
              <w:t>无组织</w:t>
            </w:r>
          </w:p>
        </w:tc>
        <w:tc>
          <w:tcPr>
            <w:tcW w:w="677" w:type="pct"/>
            <w:tcBorders>
              <w:top w:val="single" w:color="auto" w:sz="4" w:space="0"/>
              <w:left w:val="nil"/>
              <w:bottom w:val="single" w:color="auto" w:sz="4" w:space="0"/>
              <w:right w:val="single" w:color="auto" w:sz="4" w:space="0"/>
            </w:tcBorders>
            <w:vAlign w:val="center"/>
          </w:tcPr>
          <w:p w14:paraId="3839CAF9">
            <w:pPr>
              <w:widowControl/>
              <w:spacing w:line="240" w:lineRule="auto"/>
              <w:ind w:firstLine="0" w:firstLineChars="0"/>
              <w:jc w:val="center"/>
              <w:rPr>
                <w:rFonts w:cs="Times New Roman"/>
                <w:kern w:val="0"/>
                <w:sz w:val="18"/>
              </w:rPr>
            </w:pPr>
            <w:r>
              <w:rPr>
                <w:rFonts w:cs="Times New Roman"/>
                <w:kern w:val="0"/>
                <w:sz w:val="18"/>
              </w:rPr>
              <w:t>颗粒物</w:t>
            </w:r>
            <w:r>
              <w:rPr>
                <w:rFonts w:hint="eastAsia" w:cs="Times New Roman"/>
                <w:kern w:val="0"/>
                <w:sz w:val="18"/>
              </w:rPr>
              <w:t>、非甲烷总烃等</w:t>
            </w:r>
          </w:p>
        </w:tc>
        <w:tc>
          <w:tcPr>
            <w:tcW w:w="1456" w:type="pct"/>
            <w:vMerge w:val="restart"/>
            <w:tcBorders>
              <w:top w:val="single" w:color="auto" w:sz="4" w:space="0"/>
              <w:left w:val="single" w:color="auto" w:sz="4" w:space="0"/>
              <w:right w:val="single" w:color="auto" w:sz="4" w:space="0"/>
            </w:tcBorders>
            <w:vAlign w:val="center"/>
          </w:tcPr>
          <w:p w14:paraId="1C2C966A">
            <w:pPr>
              <w:widowControl/>
              <w:spacing w:line="240" w:lineRule="auto"/>
              <w:ind w:firstLine="0" w:firstLineChars="0"/>
              <w:jc w:val="center"/>
              <w:rPr>
                <w:rFonts w:cs="Times New Roman"/>
                <w:kern w:val="0"/>
                <w:sz w:val="18"/>
              </w:rPr>
            </w:pPr>
            <w:r>
              <w:rPr>
                <w:rFonts w:hint="eastAsia" w:cs="Times New Roman"/>
                <w:kern w:val="0"/>
                <w:sz w:val="18"/>
              </w:rPr>
              <w:t>加强车间密闭，设置集中通排风</w:t>
            </w:r>
          </w:p>
        </w:tc>
        <w:tc>
          <w:tcPr>
            <w:tcW w:w="1409" w:type="pct"/>
            <w:tcBorders>
              <w:top w:val="single" w:color="auto" w:sz="4" w:space="0"/>
              <w:left w:val="single" w:color="auto" w:sz="4" w:space="0"/>
              <w:right w:val="single" w:color="auto" w:sz="4" w:space="0"/>
            </w:tcBorders>
            <w:vAlign w:val="center"/>
          </w:tcPr>
          <w:p w14:paraId="75931FD2">
            <w:pPr>
              <w:widowControl/>
              <w:spacing w:line="240" w:lineRule="auto"/>
              <w:ind w:firstLine="0" w:firstLineChars="0"/>
              <w:jc w:val="center"/>
              <w:rPr>
                <w:rFonts w:cs="Times New Roman"/>
                <w:kern w:val="0"/>
                <w:sz w:val="18"/>
              </w:rPr>
            </w:pPr>
            <w:r>
              <w:rPr>
                <w:rFonts w:hint="eastAsia" w:cs="Times New Roman"/>
                <w:kern w:val="0"/>
                <w:sz w:val="18"/>
              </w:rPr>
              <w:t>《合成树脂工业污染物排放标准》（GB 31572-2015，含2024年修改单）表9</w:t>
            </w:r>
          </w:p>
        </w:tc>
      </w:tr>
      <w:tr w14:paraId="0FD84F02">
        <w:trPr>
          <w:trHeight w:val="340" w:hRule="atLeast"/>
        </w:trPr>
        <w:tc>
          <w:tcPr>
            <w:tcW w:w="793" w:type="pct"/>
            <w:vMerge w:val="continue"/>
            <w:tcBorders>
              <w:left w:val="single" w:color="auto" w:sz="4" w:space="0"/>
              <w:right w:val="single" w:color="auto" w:sz="4" w:space="0"/>
            </w:tcBorders>
            <w:vAlign w:val="center"/>
          </w:tcPr>
          <w:p w14:paraId="2089A476">
            <w:pPr>
              <w:widowControl/>
              <w:spacing w:line="240" w:lineRule="auto"/>
              <w:ind w:firstLine="0" w:firstLineChars="0"/>
              <w:jc w:val="center"/>
              <w:rPr>
                <w:rFonts w:cs="Times New Roman"/>
                <w:kern w:val="0"/>
                <w:sz w:val="18"/>
              </w:rPr>
            </w:pPr>
          </w:p>
        </w:tc>
        <w:tc>
          <w:tcPr>
            <w:tcW w:w="664" w:type="pct"/>
            <w:vMerge w:val="continue"/>
            <w:tcBorders>
              <w:left w:val="single" w:color="auto" w:sz="4" w:space="0"/>
              <w:right w:val="single" w:color="auto" w:sz="4" w:space="0"/>
            </w:tcBorders>
            <w:vAlign w:val="center"/>
          </w:tcPr>
          <w:p w14:paraId="5B76FF8F">
            <w:pPr>
              <w:widowControl/>
              <w:spacing w:line="240" w:lineRule="auto"/>
              <w:ind w:firstLine="0" w:firstLineChars="0"/>
              <w:jc w:val="center"/>
              <w:rPr>
                <w:rFonts w:cs="Times New Roman"/>
                <w:kern w:val="0"/>
                <w:sz w:val="18"/>
              </w:rPr>
            </w:pPr>
          </w:p>
        </w:tc>
        <w:tc>
          <w:tcPr>
            <w:tcW w:w="677" w:type="pct"/>
            <w:tcBorders>
              <w:top w:val="single" w:color="auto" w:sz="4" w:space="0"/>
              <w:left w:val="nil"/>
              <w:bottom w:val="single" w:color="auto" w:sz="4" w:space="0"/>
              <w:right w:val="single" w:color="auto" w:sz="4" w:space="0"/>
            </w:tcBorders>
            <w:vAlign w:val="center"/>
          </w:tcPr>
          <w:p w14:paraId="7F36EFBB">
            <w:pPr>
              <w:widowControl/>
              <w:spacing w:line="240" w:lineRule="auto"/>
              <w:ind w:firstLine="0" w:firstLineChars="0"/>
              <w:jc w:val="center"/>
              <w:rPr>
                <w:rFonts w:cs="Times New Roman"/>
                <w:kern w:val="0"/>
                <w:sz w:val="18"/>
              </w:rPr>
            </w:pPr>
            <w:r>
              <w:rPr>
                <w:rFonts w:hint="eastAsia" w:cs="Times New Roman"/>
                <w:kern w:val="0"/>
                <w:sz w:val="18"/>
              </w:rPr>
              <w:t>臭气浓度</w:t>
            </w:r>
          </w:p>
        </w:tc>
        <w:tc>
          <w:tcPr>
            <w:tcW w:w="1456" w:type="pct"/>
            <w:vMerge w:val="continue"/>
            <w:tcBorders>
              <w:left w:val="single" w:color="auto" w:sz="4" w:space="0"/>
              <w:right w:val="single" w:color="auto" w:sz="4" w:space="0"/>
            </w:tcBorders>
            <w:vAlign w:val="center"/>
          </w:tcPr>
          <w:p w14:paraId="7997D084">
            <w:pPr>
              <w:widowControl/>
              <w:spacing w:line="240" w:lineRule="auto"/>
              <w:ind w:firstLine="0" w:firstLineChars="0"/>
              <w:jc w:val="center"/>
              <w:rPr>
                <w:rFonts w:cs="Times New Roman"/>
                <w:kern w:val="0"/>
                <w:sz w:val="18"/>
              </w:rPr>
            </w:pPr>
          </w:p>
        </w:tc>
        <w:tc>
          <w:tcPr>
            <w:tcW w:w="1409" w:type="pct"/>
            <w:tcBorders>
              <w:top w:val="single" w:color="auto" w:sz="4" w:space="0"/>
              <w:left w:val="single" w:color="auto" w:sz="4" w:space="0"/>
              <w:right w:val="single" w:color="auto" w:sz="4" w:space="0"/>
            </w:tcBorders>
            <w:vAlign w:val="center"/>
          </w:tcPr>
          <w:p w14:paraId="50275442">
            <w:pPr>
              <w:widowControl/>
              <w:spacing w:line="240" w:lineRule="auto"/>
              <w:ind w:firstLine="0" w:firstLineChars="0"/>
              <w:jc w:val="center"/>
              <w:rPr>
                <w:rFonts w:cs="Times New Roman"/>
                <w:kern w:val="0"/>
                <w:sz w:val="18"/>
              </w:rPr>
            </w:pPr>
            <w:r>
              <w:rPr>
                <w:rFonts w:hint="eastAsia" w:cs="Times New Roman"/>
                <w:kern w:val="0"/>
                <w:sz w:val="18"/>
              </w:rPr>
              <w:t>《恶臭污染物排放标准》(GB14554-93)中表1</w:t>
            </w:r>
          </w:p>
        </w:tc>
      </w:tr>
      <w:tr w14:paraId="3AD71AEF">
        <w:trPr>
          <w:trHeight w:val="340" w:hRule="atLeast"/>
        </w:trPr>
        <w:tc>
          <w:tcPr>
            <w:tcW w:w="793" w:type="pct"/>
            <w:vMerge w:val="restart"/>
            <w:tcBorders>
              <w:top w:val="single" w:color="auto" w:sz="4" w:space="0"/>
              <w:left w:val="single" w:color="auto" w:sz="4" w:space="0"/>
              <w:right w:val="single" w:color="auto" w:sz="4" w:space="0"/>
            </w:tcBorders>
            <w:vAlign w:val="center"/>
          </w:tcPr>
          <w:p w14:paraId="785BA9D5">
            <w:pPr>
              <w:widowControl/>
              <w:spacing w:line="240" w:lineRule="auto"/>
              <w:ind w:firstLine="0" w:firstLineChars="0"/>
              <w:jc w:val="center"/>
              <w:rPr>
                <w:rFonts w:cs="Times New Roman"/>
                <w:kern w:val="0"/>
                <w:sz w:val="18"/>
              </w:rPr>
            </w:pPr>
            <w:r>
              <w:rPr>
                <w:rFonts w:cs="Times New Roman"/>
                <w:kern w:val="0"/>
                <w:sz w:val="18"/>
              </w:rPr>
              <w:t>地表水环境</w:t>
            </w:r>
          </w:p>
        </w:tc>
        <w:tc>
          <w:tcPr>
            <w:tcW w:w="664" w:type="pct"/>
            <w:vMerge w:val="restart"/>
            <w:tcBorders>
              <w:top w:val="single" w:color="auto" w:sz="4" w:space="0"/>
              <w:left w:val="single" w:color="auto" w:sz="4" w:space="0"/>
              <w:bottom w:val="single" w:color="auto" w:sz="4" w:space="0"/>
              <w:right w:val="single" w:color="auto" w:sz="4" w:space="0"/>
            </w:tcBorders>
            <w:vAlign w:val="center"/>
          </w:tcPr>
          <w:p w14:paraId="6F8F53BA">
            <w:pPr>
              <w:widowControl/>
              <w:spacing w:line="240" w:lineRule="auto"/>
              <w:ind w:firstLine="0" w:firstLineChars="0"/>
              <w:jc w:val="center"/>
              <w:rPr>
                <w:rFonts w:cs="Times New Roman"/>
                <w:kern w:val="0"/>
                <w:sz w:val="18"/>
              </w:rPr>
            </w:pPr>
            <w:r>
              <w:rPr>
                <w:rFonts w:cs="Times New Roman"/>
                <w:kern w:val="0"/>
                <w:sz w:val="18"/>
              </w:rPr>
              <w:t>生活污水</w:t>
            </w:r>
          </w:p>
        </w:tc>
        <w:tc>
          <w:tcPr>
            <w:tcW w:w="677" w:type="pct"/>
            <w:tcBorders>
              <w:top w:val="single" w:color="auto" w:sz="4" w:space="0"/>
              <w:left w:val="nil"/>
              <w:bottom w:val="single" w:color="auto" w:sz="4" w:space="0"/>
              <w:right w:val="single" w:color="auto" w:sz="4" w:space="0"/>
            </w:tcBorders>
            <w:vAlign w:val="center"/>
          </w:tcPr>
          <w:p w14:paraId="688BF071">
            <w:pPr>
              <w:widowControl/>
              <w:spacing w:line="240" w:lineRule="auto"/>
              <w:ind w:firstLine="0" w:firstLineChars="0"/>
              <w:jc w:val="center"/>
              <w:rPr>
                <w:rFonts w:cs="Times New Roman"/>
                <w:kern w:val="0"/>
                <w:sz w:val="18"/>
              </w:rPr>
            </w:pPr>
            <w:r>
              <w:rPr>
                <w:rFonts w:eastAsia="等线" w:cs="Times New Roman"/>
                <w:kern w:val="0"/>
                <w:sz w:val="18"/>
              </w:rPr>
              <w:t>COD</w:t>
            </w:r>
          </w:p>
        </w:tc>
        <w:tc>
          <w:tcPr>
            <w:tcW w:w="1456" w:type="pct"/>
            <w:vMerge w:val="restart"/>
            <w:tcBorders>
              <w:top w:val="single" w:color="auto" w:sz="4" w:space="0"/>
              <w:left w:val="single" w:color="auto" w:sz="4" w:space="0"/>
              <w:bottom w:val="single" w:color="auto" w:sz="4" w:space="0"/>
              <w:right w:val="single" w:color="auto" w:sz="4" w:space="0"/>
            </w:tcBorders>
            <w:vAlign w:val="center"/>
          </w:tcPr>
          <w:p w14:paraId="5B941237">
            <w:pPr>
              <w:widowControl/>
              <w:spacing w:line="240" w:lineRule="auto"/>
              <w:ind w:firstLine="0" w:firstLineChars="0"/>
              <w:jc w:val="center"/>
              <w:rPr>
                <w:rFonts w:cs="Times New Roman"/>
                <w:kern w:val="0"/>
                <w:sz w:val="18"/>
              </w:rPr>
            </w:pPr>
            <w:r>
              <w:rPr>
                <w:rFonts w:hint="eastAsia" w:cs="Times New Roman"/>
                <w:kern w:val="0"/>
                <w:sz w:val="18"/>
              </w:rPr>
              <w:t>经化粪池、隔油池处理后进入良渚污水处理厂处理</w:t>
            </w:r>
          </w:p>
        </w:tc>
        <w:tc>
          <w:tcPr>
            <w:tcW w:w="1409" w:type="pct"/>
            <w:vMerge w:val="restart"/>
            <w:tcBorders>
              <w:top w:val="single" w:color="auto" w:sz="4" w:space="0"/>
              <w:left w:val="single" w:color="auto" w:sz="4" w:space="0"/>
              <w:bottom w:val="single" w:color="auto" w:sz="4" w:space="0"/>
              <w:right w:val="single" w:color="auto" w:sz="4" w:space="0"/>
            </w:tcBorders>
            <w:vAlign w:val="center"/>
          </w:tcPr>
          <w:p w14:paraId="5A8BA8C9">
            <w:pPr>
              <w:widowControl/>
              <w:spacing w:line="240" w:lineRule="auto"/>
              <w:ind w:firstLine="0" w:firstLineChars="0"/>
              <w:jc w:val="center"/>
              <w:rPr>
                <w:rFonts w:cs="Times New Roman"/>
                <w:kern w:val="0"/>
                <w:sz w:val="18"/>
              </w:rPr>
            </w:pPr>
            <w:r>
              <w:rPr>
                <w:rFonts w:hint="eastAsia" w:cs="Times New Roman"/>
                <w:kern w:val="0"/>
                <w:sz w:val="18"/>
              </w:rPr>
              <w:t>《污水综合排放标准》(GB8978-1996)表4中三级标准限值，其中氨氮执行《工业企业废水氮、磷污染物间接排放限值》（DB33/887-2013）中排放限值</w:t>
            </w:r>
          </w:p>
        </w:tc>
      </w:tr>
      <w:tr w14:paraId="2E08F35A">
        <w:trPr>
          <w:trHeight w:val="340" w:hRule="atLeast"/>
        </w:trPr>
        <w:tc>
          <w:tcPr>
            <w:tcW w:w="793" w:type="pct"/>
            <w:vMerge w:val="continue"/>
            <w:tcBorders>
              <w:left w:val="single" w:color="auto" w:sz="4" w:space="0"/>
              <w:right w:val="single" w:color="auto" w:sz="4" w:space="0"/>
            </w:tcBorders>
            <w:vAlign w:val="center"/>
          </w:tcPr>
          <w:p w14:paraId="69311C96">
            <w:pPr>
              <w:widowControl/>
              <w:spacing w:line="240" w:lineRule="auto"/>
              <w:ind w:firstLine="0" w:firstLineChars="0"/>
              <w:jc w:val="center"/>
              <w:rPr>
                <w:rFonts w:cs="Times New Roman"/>
                <w:kern w:val="0"/>
                <w:sz w:val="18"/>
              </w:rPr>
            </w:pPr>
          </w:p>
        </w:tc>
        <w:tc>
          <w:tcPr>
            <w:tcW w:w="664" w:type="pct"/>
            <w:vMerge w:val="continue"/>
            <w:tcBorders>
              <w:top w:val="single" w:color="auto" w:sz="4" w:space="0"/>
              <w:left w:val="single" w:color="auto" w:sz="4" w:space="0"/>
              <w:bottom w:val="single" w:color="auto" w:sz="4" w:space="0"/>
              <w:right w:val="single" w:color="auto" w:sz="4" w:space="0"/>
            </w:tcBorders>
            <w:vAlign w:val="center"/>
          </w:tcPr>
          <w:p w14:paraId="1C229790">
            <w:pPr>
              <w:widowControl/>
              <w:spacing w:line="240" w:lineRule="auto"/>
              <w:ind w:firstLine="0" w:firstLineChars="0"/>
              <w:jc w:val="center"/>
              <w:rPr>
                <w:rFonts w:cs="Times New Roman"/>
                <w:kern w:val="0"/>
                <w:sz w:val="18"/>
              </w:rPr>
            </w:pPr>
          </w:p>
        </w:tc>
        <w:tc>
          <w:tcPr>
            <w:tcW w:w="677" w:type="pct"/>
            <w:tcBorders>
              <w:top w:val="single" w:color="auto" w:sz="4" w:space="0"/>
              <w:left w:val="nil"/>
              <w:bottom w:val="single" w:color="auto" w:sz="4" w:space="0"/>
              <w:right w:val="single" w:color="auto" w:sz="4" w:space="0"/>
            </w:tcBorders>
            <w:vAlign w:val="center"/>
          </w:tcPr>
          <w:p w14:paraId="761D2675">
            <w:pPr>
              <w:widowControl/>
              <w:spacing w:line="240" w:lineRule="auto"/>
              <w:ind w:firstLine="0" w:firstLineChars="0"/>
              <w:jc w:val="center"/>
              <w:rPr>
                <w:rFonts w:cs="Times New Roman"/>
                <w:kern w:val="0"/>
                <w:sz w:val="18"/>
              </w:rPr>
            </w:pPr>
            <w:r>
              <w:rPr>
                <w:rFonts w:eastAsia="等线" w:cs="Times New Roman"/>
                <w:kern w:val="0"/>
                <w:sz w:val="18"/>
              </w:rPr>
              <w:t>BOD</w:t>
            </w:r>
            <w:r>
              <w:rPr>
                <w:rFonts w:eastAsia="等线" w:cs="Times New Roman"/>
                <w:kern w:val="0"/>
                <w:sz w:val="18"/>
                <w:vertAlign w:val="subscript"/>
              </w:rPr>
              <w:t>5</w:t>
            </w:r>
          </w:p>
        </w:tc>
        <w:tc>
          <w:tcPr>
            <w:tcW w:w="1456" w:type="pct"/>
            <w:vMerge w:val="continue"/>
            <w:tcBorders>
              <w:top w:val="single" w:color="auto" w:sz="4" w:space="0"/>
              <w:left w:val="single" w:color="auto" w:sz="4" w:space="0"/>
              <w:bottom w:val="single" w:color="auto" w:sz="4" w:space="0"/>
              <w:right w:val="single" w:color="auto" w:sz="4" w:space="0"/>
            </w:tcBorders>
            <w:vAlign w:val="center"/>
          </w:tcPr>
          <w:p w14:paraId="57594AB7">
            <w:pPr>
              <w:widowControl/>
              <w:spacing w:line="240" w:lineRule="auto"/>
              <w:ind w:firstLine="0" w:firstLineChars="0"/>
              <w:jc w:val="center"/>
              <w:rPr>
                <w:rFonts w:cs="Times New Roman"/>
                <w:kern w:val="0"/>
                <w:sz w:val="18"/>
              </w:rPr>
            </w:pPr>
          </w:p>
        </w:tc>
        <w:tc>
          <w:tcPr>
            <w:tcW w:w="1409" w:type="pct"/>
            <w:vMerge w:val="continue"/>
            <w:tcBorders>
              <w:top w:val="single" w:color="auto" w:sz="4" w:space="0"/>
              <w:left w:val="single" w:color="auto" w:sz="4" w:space="0"/>
              <w:bottom w:val="single" w:color="auto" w:sz="4" w:space="0"/>
              <w:right w:val="single" w:color="auto" w:sz="4" w:space="0"/>
            </w:tcBorders>
            <w:vAlign w:val="center"/>
          </w:tcPr>
          <w:p w14:paraId="17944432">
            <w:pPr>
              <w:widowControl/>
              <w:spacing w:line="240" w:lineRule="auto"/>
              <w:ind w:firstLine="0" w:firstLineChars="0"/>
              <w:jc w:val="center"/>
              <w:rPr>
                <w:rFonts w:cs="Times New Roman"/>
                <w:kern w:val="0"/>
                <w:sz w:val="18"/>
              </w:rPr>
            </w:pPr>
          </w:p>
        </w:tc>
      </w:tr>
      <w:tr w14:paraId="5F501D24">
        <w:trPr>
          <w:trHeight w:val="340" w:hRule="atLeast"/>
        </w:trPr>
        <w:tc>
          <w:tcPr>
            <w:tcW w:w="793" w:type="pct"/>
            <w:vMerge w:val="continue"/>
            <w:tcBorders>
              <w:left w:val="single" w:color="auto" w:sz="4" w:space="0"/>
              <w:right w:val="single" w:color="auto" w:sz="4" w:space="0"/>
            </w:tcBorders>
            <w:vAlign w:val="center"/>
          </w:tcPr>
          <w:p w14:paraId="286C9E96">
            <w:pPr>
              <w:widowControl/>
              <w:spacing w:line="240" w:lineRule="auto"/>
              <w:ind w:firstLine="0" w:firstLineChars="0"/>
              <w:jc w:val="center"/>
              <w:rPr>
                <w:rFonts w:cs="Times New Roman"/>
                <w:kern w:val="0"/>
                <w:sz w:val="18"/>
              </w:rPr>
            </w:pPr>
          </w:p>
        </w:tc>
        <w:tc>
          <w:tcPr>
            <w:tcW w:w="664" w:type="pct"/>
            <w:vMerge w:val="continue"/>
            <w:tcBorders>
              <w:top w:val="single" w:color="auto" w:sz="4" w:space="0"/>
              <w:left w:val="single" w:color="auto" w:sz="4" w:space="0"/>
              <w:bottom w:val="single" w:color="auto" w:sz="4" w:space="0"/>
              <w:right w:val="single" w:color="auto" w:sz="4" w:space="0"/>
            </w:tcBorders>
            <w:vAlign w:val="center"/>
          </w:tcPr>
          <w:p w14:paraId="6A0CA0A1">
            <w:pPr>
              <w:widowControl/>
              <w:spacing w:line="240" w:lineRule="auto"/>
              <w:ind w:firstLine="0" w:firstLineChars="0"/>
              <w:jc w:val="center"/>
              <w:rPr>
                <w:rFonts w:cs="Times New Roman"/>
                <w:kern w:val="0"/>
                <w:sz w:val="18"/>
              </w:rPr>
            </w:pPr>
          </w:p>
        </w:tc>
        <w:tc>
          <w:tcPr>
            <w:tcW w:w="677" w:type="pct"/>
            <w:tcBorders>
              <w:top w:val="single" w:color="auto" w:sz="4" w:space="0"/>
              <w:left w:val="nil"/>
              <w:bottom w:val="single" w:color="auto" w:sz="4" w:space="0"/>
              <w:right w:val="single" w:color="auto" w:sz="4" w:space="0"/>
            </w:tcBorders>
            <w:noWrap/>
            <w:vAlign w:val="center"/>
          </w:tcPr>
          <w:p w14:paraId="017B2CEA">
            <w:pPr>
              <w:widowControl/>
              <w:spacing w:line="240" w:lineRule="auto"/>
              <w:ind w:firstLine="0" w:firstLineChars="0"/>
              <w:jc w:val="center"/>
              <w:rPr>
                <w:rFonts w:cs="Times New Roman"/>
                <w:kern w:val="0"/>
                <w:sz w:val="18"/>
              </w:rPr>
            </w:pPr>
            <w:r>
              <w:rPr>
                <w:rFonts w:eastAsia="等线" w:cs="Times New Roman"/>
                <w:kern w:val="0"/>
                <w:sz w:val="18"/>
              </w:rPr>
              <w:t>SS</w:t>
            </w:r>
          </w:p>
        </w:tc>
        <w:tc>
          <w:tcPr>
            <w:tcW w:w="1456" w:type="pct"/>
            <w:vMerge w:val="continue"/>
            <w:tcBorders>
              <w:top w:val="single" w:color="auto" w:sz="4" w:space="0"/>
              <w:left w:val="single" w:color="auto" w:sz="4" w:space="0"/>
              <w:bottom w:val="single" w:color="auto" w:sz="4" w:space="0"/>
              <w:right w:val="single" w:color="auto" w:sz="4" w:space="0"/>
            </w:tcBorders>
            <w:vAlign w:val="center"/>
          </w:tcPr>
          <w:p w14:paraId="6D76BA1D">
            <w:pPr>
              <w:widowControl/>
              <w:spacing w:line="240" w:lineRule="auto"/>
              <w:ind w:firstLine="0" w:firstLineChars="0"/>
              <w:jc w:val="center"/>
              <w:rPr>
                <w:rFonts w:cs="Times New Roman"/>
                <w:kern w:val="0"/>
                <w:sz w:val="18"/>
              </w:rPr>
            </w:pPr>
          </w:p>
        </w:tc>
        <w:tc>
          <w:tcPr>
            <w:tcW w:w="1409" w:type="pct"/>
            <w:vMerge w:val="continue"/>
            <w:tcBorders>
              <w:top w:val="single" w:color="auto" w:sz="4" w:space="0"/>
              <w:left w:val="single" w:color="auto" w:sz="4" w:space="0"/>
              <w:bottom w:val="single" w:color="auto" w:sz="4" w:space="0"/>
              <w:right w:val="single" w:color="auto" w:sz="4" w:space="0"/>
            </w:tcBorders>
            <w:vAlign w:val="center"/>
          </w:tcPr>
          <w:p w14:paraId="7ECED1B6">
            <w:pPr>
              <w:widowControl/>
              <w:spacing w:line="240" w:lineRule="auto"/>
              <w:ind w:firstLine="0" w:firstLineChars="0"/>
              <w:jc w:val="center"/>
              <w:rPr>
                <w:rFonts w:cs="Times New Roman"/>
                <w:kern w:val="0"/>
                <w:sz w:val="18"/>
              </w:rPr>
            </w:pPr>
          </w:p>
        </w:tc>
      </w:tr>
      <w:tr w14:paraId="1E5CC071">
        <w:trPr>
          <w:trHeight w:val="340" w:hRule="atLeast"/>
        </w:trPr>
        <w:tc>
          <w:tcPr>
            <w:tcW w:w="793" w:type="pct"/>
            <w:vMerge w:val="continue"/>
            <w:tcBorders>
              <w:left w:val="single" w:color="auto" w:sz="4" w:space="0"/>
              <w:right w:val="single" w:color="auto" w:sz="4" w:space="0"/>
            </w:tcBorders>
            <w:vAlign w:val="center"/>
          </w:tcPr>
          <w:p w14:paraId="1F7AC8D2">
            <w:pPr>
              <w:widowControl/>
              <w:spacing w:line="240" w:lineRule="auto"/>
              <w:ind w:firstLine="0" w:firstLineChars="0"/>
              <w:jc w:val="center"/>
              <w:rPr>
                <w:rFonts w:cs="Times New Roman"/>
                <w:kern w:val="0"/>
                <w:sz w:val="18"/>
              </w:rPr>
            </w:pPr>
          </w:p>
        </w:tc>
        <w:tc>
          <w:tcPr>
            <w:tcW w:w="664" w:type="pct"/>
            <w:vMerge w:val="continue"/>
            <w:tcBorders>
              <w:top w:val="single" w:color="auto" w:sz="4" w:space="0"/>
              <w:left w:val="single" w:color="auto" w:sz="4" w:space="0"/>
              <w:bottom w:val="single" w:color="auto" w:sz="4" w:space="0"/>
              <w:right w:val="single" w:color="auto" w:sz="4" w:space="0"/>
            </w:tcBorders>
            <w:vAlign w:val="center"/>
          </w:tcPr>
          <w:p w14:paraId="4476D27E">
            <w:pPr>
              <w:widowControl/>
              <w:spacing w:line="240" w:lineRule="auto"/>
              <w:ind w:firstLine="0" w:firstLineChars="0"/>
              <w:jc w:val="center"/>
              <w:rPr>
                <w:rFonts w:cs="Times New Roman"/>
                <w:kern w:val="0"/>
                <w:sz w:val="18"/>
              </w:rPr>
            </w:pPr>
          </w:p>
        </w:tc>
        <w:tc>
          <w:tcPr>
            <w:tcW w:w="677" w:type="pct"/>
            <w:tcBorders>
              <w:top w:val="single" w:color="auto" w:sz="4" w:space="0"/>
              <w:left w:val="nil"/>
              <w:bottom w:val="single" w:color="auto" w:sz="4" w:space="0"/>
              <w:right w:val="single" w:color="auto" w:sz="4" w:space="0"/>
            </w:tcBorders>
            <w:noWrap/>
            <w:vAlign w:val="center"/>
          </w:tcPr>
          <w:p w14:paraId="1D75FA13">
            <w:pPr>
              <w:widowControl/>
              <w:spacing w:line="240" w:lineRule="auto"/>
              <w:ind w:firstLine="0" w:firstLineChars="0"/>
              <w:jc w:val="center"/>
              <w:rPr>
                <w:rFonts w:eastAsia="等线" w:cs="Times New Roman"/>
                <w:kern w:val="0"/>
                <w:sz w:val="18"/>
              </w:rPr>
            </w:pPr>
            <w:r>
              <w:rPr>
                <w:rFonts w:hint="eastAsia" w:cs="Times New Roman"/>
                <w:kern w:val="0"/>
                <w:sz w:val="18"/>
              </w:rPr>
              <w:t>动植物油</w:t>
            </w:r>
          </w:p>
        </w:tc>
        <w:tc>
          <w:tcPr>
            <w:tcW w:w="1456" w:type="pct"/>
            <w:vMerge w:val="continue"/>
            <w:tcBorders>
              <w:top w:val="single" w:color="auto" w:sz="4" w:space="0"/>
              <w:left w:val="single" w:color="auto" w:sz="4" w:space="0"/>
              <w:bottom w:val="single" w:color="auto" w:sz="4" w:space="0"/>
              <w:right w:val="single" w:color="auto" w:sz="4" w:space="0"/>
            </w:tcBorders>
            <w:vAlign w:val="center"/>
          </w:tcPr>
          <w:p w14:paraId="52077D9F">
            <w:pPr>
              <w:widowControl/>
              <w:spacing w:line="240" w:lineRule="auto"/>
              <w:ind w:firstLine="0" w:firstLineChars="0"/>
              <w:jc w:val="center"/>
              <w:rPr>
                <w:rFonts w:cs="Times New Roman"/>
                <w:kern w:val="0"/>
                <w:sz w:val="18"/>
              </w:rPr>
            </w:pPr>
          </w:p>
        </w:tc>
        <w:tc>
          <w:tcPr>
            <w:tcW w:w="1409" w:type="pct"/>
            <w:vMerge w:val="continue"/>
            <w:tcBorders>
              <w:top w:val="single" w:color="auto" w:sz="4" w:space="0"/>
              <w:left w:val="single" w:color="auto" w:sz="4" w:space="0"/>
              <w:bottom w:val="single" w:color="auto" w:sz="4" w:space="0"/>
              <w:right w:val="single" w:color="auto" w:sz="4" w:space="0"/>
            </w:tcBorders>
            <w:vAlign w:val="center"/>
          </w:tcPr>
          <w:p w14:paraId="046B2AFC">
            <w:pPr>
              <w:widowControl/>
              <w:spacing w:line="240" w:lineRule="auto"/>
              <w:ind w:firstLine="0" w:firstLineChars="0"/>
              <w:jc w:val="center"/>
              <w:rPr>
                <w:rFonts w:cs="Times New Roman"/>
                <w:kern w:val="0"/>
                <w:sz w:val="18"/>
              </w:rPr>
            </w:pPr>
          </w:p>
        </w:tc>
      </w:tr>
      <w:tr w14:paraId="68A392F5">
        <w:trPr>
          <w:trHeight w:val="340" w:hRule="atLeast"/>
        </w:trPr>
        <w:tc>
          <w:tcPr>
            <w:tcW w:w="793" w:type="pct"/>
            <w:vMerge w:val="continue"/>
            <w:tcBorders>
              <w:left w:val="single" w:color="auto" w:sz="4" w:space="0"/>
              <w:right w:val="single" w:color="auto" w:sz="4" w:space="0"/>
            </w:tcBorders>
            <w:vAlign w:val="center"/>
          </w:tcPr>
          <w:p w14:paraId="674F800C">
            <w:pPr>
              <w:widowControl/>
              <w:spacing w:line="240" w:lineRule="auto"/>
              <w:ind w:firstLine="0" w:firstLineChars="0"/>
              <w:jc w:val="center"/>
              <w:rPr>
                <w:rFonts w:cs="Times New Roman"/>
                <w:kern w:val="0"/>
                <w:sz w:val="18"/>
              </w:rPr>
            </w:pPr>
          </w:p>
        </w:tc>
        <w:tc>
          <w:tcPr>
            <w:tcW w:w="664" w:type="pct"/>
            <w:vMerge w:val="continue"/>
            <w:tcBorders>
              <w:top w:val="single" w:color="auto" w:sz="4" w:space="0"/>
              <w:left w:val="single" w:color="auto" w:sz="4" w:space="0"/>
              <w:bottom w:val="single" w:color="auto" w:sz="4" w:space="0"/>
              <w:right w:val="single" w:color="auto" w:sz="4" w:space="0"/>
            </w:tcBorders>
            <w:vAlign w:val="center"/>
          </w:tcPr>
          <w:p w14:paraId="6FF033C2">
            <w:pPr>
              <w:widowControl/>
              <w:spacing w:line="240" w:lineRule="auto"/>
              <w:ind w:firstLine="0" w:firstLineChars="0"/>
              <w:jc w:val="center"/>
              <w:rPr>
                <w:rFonts w:cs="Times New Roman"/>
                <w:kern w:val="0"/>
                <w:sz w:val="18"/>
              </w:rPr>
            </w:pPr>
          </w:p>
        </w:tc>
        <w:tc>
          <w:tcPr>
            <w:tcW w:w="677" w:type="pct"/>
            <w:tcBorders>
              <w:top w:val="single" w:color="auto" w:sz="4" w:space="0"/>
              <w:left w:val="nil"/>
              <w:bottom w:val="single" w:color="auto" w:sz="4" w:space="0"/>
              <w:right w:val="single" w:color="auto" w:sz="4" w:space="0"/>
            </w:tcBorders>
            <w:noWrap/>
            <w:vAlign w:val="center"/>
          </w:tcPr>
          <w:p w14:paraId="6CFE8CCA">
            <w:pPr>
              <w:widowControl/>
              <w:spacing w:line="240" w:lineRule="auto"/>
              <w:ind w:firstLine="0" w:firstLineChars="0"/>
              <w:jc w:val="center"/>
              <w:rPr>
                <w:rFonts w:cs="Times New Roman"/>
                <w:kern w:val="0"/>
                <w:sz w:val="18"/>
              </w:rPr>
            </w:pPr>
            <w:r>
              <w:rPr>
                <w:rFonts w:eastAsia="等线" w:cs="Times New Roman"/>
                <w:kern w:val="0"/>
                <w:sz w:val="18"/>
              </w:rPr>
              <w:t>NH</w:t>
            </w:r>
            <w:r>
              <w:rPr>
                <w:rFonts w:eastAsia="等线" w:cs="Times New Roman"/>
                <w:kern w:val="0"/>
                <w:sz w:val="18"/>
                <w:vertAlign w:val="subscript"/>
              </w:rPr>
              <w:t>3</w:t>
            </w:r>
            <w:r>
              <w:rPr>
                <w:rFonts w:eastAsia="等线" w:cs="Times New Roman"/>
                <w:kern w:val="0"/>
                <w:sz w:val="18"/>
              </w:rPr>
              <w:t>-N</w:t>
            </w:r>
          </w:p>
        </w:tc>
        <w:tc>
          <w:tcPr>
            <w:tcW w:w="1456" w:type="pct"/>
            <w:vMerge w:val="continue"/>
            <w:tcBorders>
              <w:top w:val="single" w:color="auto" w:sz="4" w:space="0"/>
              <w:left w:val="single" w:color="auto" w:sz="4" w:space="0"/>
              <w:bottom w:val="single" w:color="auto" w:sz="4" w:space="0"/>
              <w:right w:val="single" w:color="auto" w:sz="4" w:space="0"/>
            </w:tcBorders>
            <w:vAlign w:val="center"/>
          </w:tcPr>
          <w:p w14:paraId="7C6C1033">
            <w:pPr>
              <w:widowControl/>
              <w:spacing w:line="240" w:lineRule="auto"/>
              <w:ind w:firstLine="0" w:firstLineChars="0"/>
              <w:jc w:val="center"/>
              <w:rPr>
                <w:rFonts w:cs="Times New Roman"/>
                <w:kern w:val="0"/>
                <w:sz w:val="18"/>
              </w:rPr>
            </w:pPr>
          </w:p>
        </w:tc>
        <w:tc>
          <w:tcPr>
            <w:tcW w:w="1409" w:type="pct"/>
            <w:vMerge w:val="continue"/>
            <w:tcBorders>
              <w:top w:val="single" w:color="auto" w:sz="4" w:space="0"/>
              <w:left w:val="single" w:color="auto" w:sz="4" w:space="0"/>
              <w:bottom w:val="single" w:color="auto" w:sz="4" w:space="0"/>
              <w:right w:val="single" w:color="auto" w:sz="4" w:space="0"/>
            </w:tcBorders>
            <w:vAlign w:val="center"/>
          </w:tcPr>
          <w:p w14:paraId="58B6673E">
            <w:pPr>
              <w:widowControl/>
              <w:spacing w:line="240" w:lineRule="auto"/>
              <w:ind w:firstLine="0" w:firstLineChars="0"/>
              <w:jc w:val="center"/>
              <w:rPr>
                <w:rFonts w:cs="Times New Roman"/>
                <w:kern w:val="0"/>
                <w:sz w:val="18"/>
              </w:rPr>
            </w:pPr>
          </w:p>
        </w:tc>
      </w:tr>
      <w:tr w14:paraId="737C9FE3">
        <w:trPr>
          <w:trHeight w:val="340" w:hRule="atLeast"/>
        </w:trPr>
        <w:tc>
          <w:tcPr>
            <w:tcW w:w="793" w:type="pct"/>
            <w:tcBorders>
              <w:top w:val="single" w:color="auto" w:sz="4" w:space="0"/>
              <w:left w:val="single" w:color="auto" w:sz="4" w:space="0"/>
              <w:bottom w:val="single" w:color="auto" w:sz="4" w:space="0"/>
              <w:right w:val="single" w:color="auto" w:sz="4" w:space="0"/>
            </w:tcBorders>
            <w:vAlign w:val="center"/>
          </w:tcPr>
          <w:p w14:paraId="6649AE3F">
            <w:pPr>
              <w:widowControl/>
              <w:spacing w:line="240" w:lineRule="auto"/>
              <w:ind w:firstLine="0" w:firstLineChars="0"/>
              <w:jc w:val="center"/>
              <w:rPr>
                <w:rFonts w:cs="Times New Roman"/>
                <w:kern w:val="0"/>
                <w:sz w:val="18"/>
              </w:rPr>
            </w:pPr>
            <w:r>
              <w:rPr>
                <w:rFonts w:cs="Times New Roman"/>
                <w:kern w:val="0"/>
                <w:sz w:val="18"/>
              </w:rPr>
              <w:t>声环境</w:t>
            </w:r>
          </w:p>
        </w:tc>
        <w:tc>
          <w:tcPr>
            <w:tcW w:w="664" w:type="pct"/>
            <w:tcBorders>
              <w:top w:val="single" w:color="auto" w:sz="4" w:space="0"/>
              <w:left w:val="nil"/>
              <w:bottom w:val="single" w:color="auto" w:sz="4" w:space="0"/>
              <w:right w:val="single" w:color="auto" w:sz="4" w:space="0"/>
            </w:tcBorders>
            <w:vAlign w:val="center"/>
          </w:tcPr>
          <w:p w14:paraId="33AEA0A5">
            <w:pPr>
              <w:widowControl/>
              <w:spacing w:line="240" w:lineRule="auto"/>
              <w:ind w:firstLine="0" w:firstLineChars="0"/>
              <w:jc w:val="center"/>
              <w:rPr>
                <w:rFonts w:cs="Times New Roman"/>
                <w:kern w:val="0"/>
                <w:sz w:val="18"/>
              </w:rPr>
            </w:pPr>
            <w:r>
              <w:rPr>
                <w:rFonts w:cs="Times New Roman"/>
                <w:kern w:val="0"/>
                <w:sz w:val="18"/>
              </w:rPr>
              <w:t>厂区生产设备</w:t>
            </w:r>
          </w:p>
        </w:tc>
        <w:tc>
          <w:tcPr>
            <w:tcW w:w="677" w:type="pct"/>
            <w:tcBorders>
              <w:top w:val="single" w:color="auto" w:sz="4" w:space="0"/>
              <w:left w:val="nil"/>
              <w:bottom w:val="single" w:color="auto" w:sz="4" w:space="0"/>
              <w:right w:val="single" w:color="auto" w:sz="4" w:space="0"/>
            </w:tcBorders>
            <w:vAlign w:val="center"/>
          </w:tcPr>
          <w:p w14:paraId="4D55BA26">
            <w:pPr>
              <w:widowControl/>
              <w:spacing w:line="240" w:lineRule="auto"/>
              <w:ind w:firstLine="0" w:firstLineChars="0"/>
              <w:jc w:val="center"/>
              <w:rPr>
                <w:rFonts w:cs="Times New Roman"/>
                <w:kern w:val="0"/>
                <w:sz w:val="18"/>
              </w:rPr>
            </w:pPr>
            <w:r>
              <w:rPr>
                <w:rFonts w:cs="Times New Roman"/>
                <w:kern w:val="0"/>
                <w:sz w:val="18"/>
              </w:rPr>
              <w:t>噪声</w:t>
            </w:r>
          </w:p>
        </w:tc>
        <w:tc>
          <w:tcPr>
            <w:tcW w:w="1456" w:type="pct"/>
            <w:tcBorders>
              <w:top w:val="single" w:color="auto" w:sz="4" w:space="0"/>
              <w:left w:val="nil"/>
              <w:bottom w:val="single" w:color="auto" w:sz="4" w:space="0"/>
              <w:right w:val="single" w:color="auto" w:sz="4" w:space="0"/>
            </w:tcBorders>
            <w:vAlign w:val="center"/>
          </w:tcPr>
          <w:p w14:paraId="6CD32655">
            <w:pPr>
              <w:widowControl/>
              <w:spacing w:line="240" w:lineRule="auto"/>
              <w:ind w:firstLine="0" w:firstLineChars="0"/>
              <w:jc w:val="center"/>
              <w:rPr>
                <w:rFonts w:cs="Times New Roman"/>
                <w:kern w:val="0"/>
                <w:sz w:val="18"/>
              </w:rPr>
            </w:pPr>
            <w:r>
              <w:rPr>
                <w:rFonts w:cs="Times New Roman"/>
                <w:kern w:val="0"/>
                <w:sz w:val="18"/>
              </w:rPr>
              <w:t>减振、隔声</w:t>
            </w:r>
          </w:p>
        </w:tc>
        <w:tc>
          <w:tcPr>
            <w:tcW w:w="1409" w:type="pct"/>
            <w:tcBorders>
              <w:top w:val="single" w:color="auto" w:sz="4" w:space="0"/>
              <w:left w:val="nil"/>
              <w:bottom w:val="single" w:color="auto" w:sz="4" w:space="0"/>
              <w:right w:val="single" w:color="auto" w:sz="4" w:space="0"/>
            </w:tcBorders>
            <w:vAlign w:val="center"/>
          </w:tcPr>
          <w:p w14:paraId="7B72859C">
            <w:pPr>
              <w:widowControl/>
              <w:spacing w:line="240" w:lineRule="auto"/>
              <w:ind w:firstLine="0" w:firstLineChars="0"/>
              <w:jc w:val="center"/>
              <w:rPr>
                <w:rFonts w:cs="Times New Roman"/>
                <w:kern w:val="0"/>
                <w:sz w:val="18"/>
              </w:rPr>
            </w:pPr>
            <w:r>
              <w:rPr>
                <w:rFonts w:cs="Times New Roman"/>
                <w:kern w:val="0"/>
                <w:sz w:val="18"/>
              </w:rPr>
              <w:t>《工业企业厂界环境噪声排放标准》（GB12348-2008）中</w:t>
            </w:r>
            <w:r>
              <w:rPr>
                <w:rFonts w:hint="eastAsia" w:cs="Times New Roman"/>
                <w:kern w:val="0"/>
                <w:sz w:val="18"/>
              </w:rPr>
              <w:t>3</w:t>
            </w:r>
            <w:r>
              <w:rPr>
                <w:rFonts w:cs="Times New Roman"/>
                <w:kern w:val="0"/>
                <w:sz w:val="18"/>
              </w:rPr>
              <w:t>类</w:t>
            </w:r>
            <w:r>
              <w:rPr>
                <w:rFonts w:hint="eastAsia" w:cs="Times New Roman"/>
                <w:kern w:val="0"/>
                <w:sz w:val="18"/>
              </w:rPr>
              <w:t>标准，其中东厂界执行4类</w:t>
            </w:r>
            <w:r>
              <w:rPr>
                <w:rFonts w:cs="Times New Roman"/>
                <w:kern w:val="0"/>
                <w:sz w:val="18"/>
              </w:rPr>
              <w:t>标准</w:t>
            </w:r>
          </w:p>
        </w:tc>
      </w:tr>
      <w:tr w14:paraId="187C3C46">
        <w:trPr>
          <w:trHeight w:val="340" w:hRule="atLeast"/>
        </w:trPr>
        <w:tc>
          <w:tcPr>
            <w:tcW w:w="793" w:type="pct"/>
            <w:tcBorders>
              <w:top w:val="single" w:color="auto" w:sz="4" w:space="0"/>
              <w:left w:val="single" w:color="auto" w:sz="4" w:space="0"/>
              <w:bottom w:val="single" w:color="auto" w:sz="4" w:space="0"/>
              <w:right w:val="single" w:color="auto" w:sz="4" w:space="0"/>
            </w:tcBorders>
            <w:vAlign w:val="center"/>
          </w:tcPr>
          <w:p w14:paraId="0F0ECF2A">
            <w:pPr>
              <w:widowControl/>
              <w:spacing w:line="240" w:lineRule="auto"/>
              <w:ind w:firstLine="0" w:firstLineChars="0"/>
              <w:jc w:val="center"/>
              <w:rPr>
                <w:rFonts w:cs="Times New Roman"/>
                <w:kern w:val="0"/>
                <w:sz w:val="18"/>
              </w:rPr>
            </w:pPr>
            <w:r>
              <w:rPr>
                <w:rFonts w:cs="Times New Roman"/>
                <w:kern w:val="0"/>
                <w:sz w:val="18"/>
              </w:rPr>
              <w:t>电磁辐射</w:t>
            </w:r>
          </w:p>
        </w:tc>
        <w:tc>
          <w:tcPr>
            <w:tcW w:w="664" w:type="pct"/>
            <w:tcBorders>
              <w:top w:val="single" w:color="auto" w:sz="4" w:space="0"/>
              <w:left w:val="nil"/>
              <w:bottom w:val="single" w:color="auto" w:sz="4" w:space="0"/>
              <w:right w:val="single" w:color="auto" w:sz="4" w:space="0"/>
            </w:tcBorders>
            <w:vAlign w:val="center"/>
          </w:tcPr>
          <w:p w14:paraId="462E2FEF">
            <w:pPr>
              <w:widowControl/>
              <w:spacing w:line="240" w:lineRule="auto"/>
              <w:ind w:firstLine="0" w:firstLineChars="0"/>
              <w:jc w:val="center"/>
              <w:rPr>
                <w:rFonts w:cs="Times New Roman"/>
                <w:kern w:val="0"/>
                <w:sz w:val="18"/>
              </w:rPr>
            </w:pPr>
            <w:r>
              <w:rPr>
                <w:rFonts w:cs="Times New Roman"/>
                <w:kern w:val="0"/>
                <w:sz w:val="18"/>
              </w:rPr>
              <w:t>/</w:t>
            </w:r>
          </w:p>
        </w:tc>
        <w:tc>
          <w:tcPr>
            <w:tcW w:w="677" w:type="pct"/>
            <w:tcBorders>
              <w:top w:val="single" w:color="auto" w:sz="4" w:space="0"/>
              <w:left w:val="nil"/>
              <w:bottom w:val="single" w:color="auto" w:sz="4" w:space="0"/>
              <w:right w:val="single" w:color="auto" w:sz="4" w:space="0"/>
            </w:tcBorders>
            <w:vAlign w:val="center"/>
          </w:tcPr>
          <w:p w14:paraId="74F1CE12">
            <w:pPr>
              <w:widowControl/>
              <w:spacing w:line="240" w:lineRule="auto"/>
              <w:ind w:firstLine="0" w:firstLineChars="0"/>
              <w:jc w:val="center"/>
              <w:rPr>
                <w:rFonts w:cs="Times New Roman"/>
                <w:kern w:val="0"/>
                <w:sz w:val="18"/>
              </w:rPr>
            </w:pPr>
            <w:r>
              <w:rPr>
                <w:rFonts w:cs="Times New Roman"/>
                <w:kern w:val="0"/>
                <w:sz w:val="18"/>
              </w:rPr>
              <w:t>/</w:t>
            </w:r>
          </w:p>
        </w:tc>
        <w:tc>
          <w:tcPr>
            <w:tcW w:w="1456" w:type="pct"/>
            <w:tcBorders>
              <w:top w:val="single" w:color="auto" w:sz="4" w:space="0"/>
              <w:left w:val="nil"/>
              <w:bottom w:val="single" w:color="auto" w:sz="4" w:space="0"/>
              <w:right w:val="single" w:color="auto" w:sz="4" w:space="0"/>
            </w:tcBorders>
            <w:vAlign w:val="center"/>
          </w:tcPr>
          <w:p w14:paraId="7B7B781B">
            <w:pPr>
              <w:widowControl/>
              <w:spacing w:line="240" w:lineRule="auto"/>
              <w:ind w:firstLine="0" w:firstLineChars="0"/>
              <w:jc w:val="center"/>
              <w:rPr>
                <w:rFonts w:cs="Times New Roman"/>
                <w:kern w:val="0"/>
                <w:sz w:val="18"/>
              </w:rPr>
            </w:pPr>
            <w:r>
              <w:rPr>
                <w:rFonts w:cs="Times New Roman"/>
                <w:kern w:val="0"/>
                <w:sz w:val="18"/>
              </w:rPr>
              <w:t>/</w:t>
            </w:r>
          </w:p>
        </w:tc>
        <w:tc>
          <w:tcPr>
            <w:tcW w:w="1409" w:type="pct"/>
            <w:tcBorders>
              <w:top w:val="single" w:color="auto" w:sz="4" w:space="0"/>
              <w:left w:val="nil"/>
              <w:bottom w:val="single" w:color="auto" w:sz="4" w:space="0"/>
              <w:right w:val="single" w:color="auto" w:sz="4" w:space="0"/>
            </w:tcBorders>
            <w:vAlign w:val="center"/>
          </w:tcPr>
          <w:p w14:paraId="4ABB8F7B">
            <w:pPr>
              <w:widowControl/>
              <w:spacing w:line="240" w:lineRule="auto"/>
              <w:ind w:firstLine="0" w:firstLineChars="0"/>
              <w:jc w:val="center"/>
              <w:rPr>
                <w:rFonts w:cs="Times New Roman"/>
                <w:kern w:val="0"/>
                <w:sz w:val="18"/>
              </w:rPr>
            </w:pPr>
            <w:r>
              <w:rPr>
                <w:rFonts w:cs="Times New Roman"/>
                <w:kern w:val="0"/>
                <w:sz w:val="18"/>
              </w:rPr>
              <w:t>/</w:t>
            </w:r>
          </w:p>
        </w:tc>
      </w:tr>
      <w:tr w14:paraId="016E7F05">
        <w:trPr>
          <w:trHeight w:val="340" w:hRule="atLeast"/>
        </w:trPr>
        <w:tc>
          <w:tcPr>
            <w:tcW w:w="793" w:type="pct"/>
            <w:tcBorders>
              <w:top w:val="single" w:color="auto" w:sz="4" w:space="0"/>
              <w:left w:val="single" w:color="auto" w:sz="4" w:space="0"/>
              <w:bottom w:val="single" w:color="auto" w:sz="4" w:space="0"/>
              <w:right w:val="single" w:color="auto" w:sz="4" w:space="0"/>
            </w:tcBorders>
            <w:vAlign w:val="center"/>
          </w:tcPr>
          <w:p w14:paraId="7121140E">
            <w:pPr>
              <w:widowControl/>
              <w:spacing w:line="240" w:lineRule="auto"/>
              <w:ind w:firstLine="0" w:firstLineChars="0"/>
              <w:jc w:val="center"/>
              <w:rPr>
                <w:rFonts w:cs="Times New Roman"/>
                <w:kern w:val="0"/>
                <w:sz w:val="18"/>
              </w:rPr>
            </w:pPr>
            <w:r>
              <w:rPr>
                <w:rFonts w:cs="Times New Roman"/>
                <w:kern w:val="0"/>
                <w:sz w:val="18"/>
              </w:rPr>
              <w:t>固体废物</w:t>
            </w:r>
          </w:p>
        </w:tc>
        <w:tc>
          <w:tcPr>
            <w:tcW w:w="4206" w:type="pct"/>
            <w:gridSpan w:val="4"/>
            <w:tcBorders>
              <w:top w:val="single" w:color="auto" w:sz="4" w:space="0"/>
              <w:left w:val="nil"/>
              <w:bottom w:val="single" w:color="auto" w:sz="4" w:space="0"/>
              <w:right w:val="single" w:color="auto" w:sz="4" w:space="0"/>
            </w:tcBorders>
            <w:vAlign w:val="center"/>
          </w:tcPr>
          <w:p w14:paraId="1D0B59FE">
            <w:pPr>
              <w:widowControl/>
              <w:spacing w:line="240" w:lineRule="auto"/>
              <w:ind w:firstLine="0" w:firstLineChars="0"/>
              <w:rPr>
                <w:rFonts w:cs="Times New Roman"/>
                <w:kern w:val="0"/>
                <w:sz w:val="18"/>
              </w:rPr>
            </w:pPr>
            <w:r>
              <w:rPr>
                <w:rFonts w:hint="eastAsia" w:cs="Times New Roman"/>
                <w:kern w:val="0"/>
                <w:sz w:val="18"/>
              </w:rPr>
              <w:t>一般工业固废</w:t>
            </w:r>
            <w:r>
              <w:rPr>
                <w:rFonts w:cs="Times New Roman"/>
                <w:kern w:val="0"/>
                <w:sz w:val="18"/>
              </w:rPr>
              <w:t>收集后进行综合利用。</w:t>
            </w:r>
          </w:p>
          <w:p w14:paraId="57883752">
            <w:pPr>
              <w:widowControl/>
              <w:spacing w:line="240" w:lineRule="auto"/>
              <w:ind w:firstLine="0" w:firstLineChars="0"/>
              <w:rPr>
                <w:rFonts w:cs="Times New Roman"/>
                <w:kern w:val="0"/>
                <w:sz w:val="18"/>
              </w:rPr>
            </w:pPr>
            <w:r>
              <w:rPr>
                <w:rFonts w:hint="eastAsia" w:cs="Times New Roman"/>
                <w:kern w:val="0"/>
                <w:sz w:val="18"/>
              </w:rPr>
              <w:t>危险废物</w:t>
            </w:r>
            <w:r>
              <w:rPr>
                <w:rFonts w:cs="Times New Roman"/>
                <w:kern w:val="0"/>
                <w:sz w:val="18"/>
              </w:rPr>
              <w:t>收集后厂内危废库暂存，委托资质单位进行处置；</w:t>
            </w:r>
          </w:p>
          <w:p w14:paraId="1FBF1AA9">
            <w:pPr>
              <w:widowControl/>
              <w:spacing w:line="240" w:lineRule="auto"/>
              <w:ind w:firstLine="0" w:firstLineChars="0"/>
              <w:rPr>
                <w:rFonts w:cs="Times New Roman"/>
                <w:kern w:val="0"/>
                <w:sz w:val="18"/>
              </w:rPr>
            </w:pPr>
            <w:r>
              <w:rPr>
                <w:rFonts w:cs="Times New Roman"/>
                <w:kern w:val="0"/>
                <w:sz w:val="18"/>
              </w:rPr>
              <w:t>生活垃圾收集后由环卫部门统一处置。</w:t>
            </w:r>
          </w:p>
        </w:tc>
      </w:tr>
      <w:tr w14:paraId="4E028C15">
        <w:trPr>
          <w:trHeight w:val="340" w:hRule="atLeast"/>
        </w:trPr>
        <w:tc>
          <w:tcPr>
            <w:tcW w:w="793" w:type="pct"/>
            <w:vMerge w:val="restart"/>
            <w:tcBorders>
              <w:top w:val="single" w:color="auto" w:sz="4" w:space="0"/>
              <w:left w:val="single" w:color="auto" w:sz="4" w:space="0"/>
              <w:bottom w:val="single" w:color="auto" w:sz="4" w:space="0"/>
              <w:right w:val="single" w:color="auto" w:sz="4" w:space="0"/>
            </w:tcBorders>
            <w:vAlign w:val="center"/>
          </w:tcPr>
          <w:p w14:paraId="070B8A15">
            <w:pPr>
              <w:widowControl/>
              <w:spacing w:line="240" w:lineRule="auto"/>
              <w:ind w:firstLine="0" w:firstLineChars="0"/>
              <w:jc w:val="center"/>
              <w:rPr>
                <w:rFonts w:cs="Times New Roman"/>
                <w:kern w:val="0"/>
                <w:sz w:val="18"/>
              </w:rPr>
            </w:pPr>
            <w:r>
              <w:rPr>
                <w:rFonts w:cs="Times New Roman"/>
                <w:kern w:val="0"/>
                <w:sz w:val="18"/>
              </w:rPr>
              <w:t>土壤及地下水污染防治措施</w:t>
            </w:r>
          </w:p>
        </w:tc>
        <w:tc>
          <w:tcPr>
            <w:tcW w:w="4206" w:type="pct"/>
            <w:gridSpan w:val="4"/>
            <w:vMerge w:val="restart"/>
            <w:tcBorders>
              <w:top w:val="single" w:color="auto" w:sz="4" w:space="0"/>
              <w:left w:val="single" w:color="auto" w:sz="4" w:space="0"/>
              <w:bottom w:val="single" w:color="auto" w:sz="4" w:space="0"/>
              <w:right w:val="single" w:color="auto" w:sz="4" w:space="0"/>
            </w:tcBorders>
            <w:vAlign w:val="center"/>
          </w:tcPr>
          <w:p w14:paraId="60BD01FF">
            <w:pPr>
              <w:widowControl/>
              <w:spacing w:line="240" w:lineRule="auto"/>
              <w:ind w:firstLine="0" w:firstLineChars="0"/>
              <w:jc w:val="center"/>
              <w:rPr>
                <w:rFonts w:cs="Times New Roman"/>
                <w:kern w:val="0"/>
                <w:sz w:val="18"/>
              </w:rPr>
            </w:pPr>
            <w:r>
              <w:rPr>
                <w:rFonts w:hint="eastAsia" w:cs="Times New Roman"/>
                <w:kern w:val="0"/>
                <w:sz w:val="18"/>
              </w:rPr>
              <w:t>分区防渗</w:t>
            </w:r>
          </w:p>
        </w:tc>
      </w:tr>
      <w:tr w14:paraId="017174DF">
        <w:trPr>
          <w:trHeight w:val="340" w:hRule="atLeast"/>
        </w:trPr>
        <w:tc>
          <w:tcPr>
            <w:tcW w:w="793" w:type="pct"/>
            <w:vMerge w:val="continue"/>
            <w:tcBorders>
              <w:top w:val="single" w:color="auto" w:sz="4" w:space="0"/>
              <w:left w:val="single" w:color="auto" w:sz="4" w:space="0"/>
              <w:bottom w:val="single" w:color="auto" w:sz="4" w:space="0"/>
              <w:right w:val="single" w:color="auto" w:sz="4" w:space="0"/>
            </w:tcBorders>
            <w:vAlign w:val="center"/>
          </w:tcPr>
          <w:p w14:paraId="52C4EE20">
            <w:pPr>
              <w:widowControl/>
              <w:spacing w:line="240" w:lineRule="auto"/>
              <w:ind w:firstLine="0" w:firstLineChars="0"/>
              <w:jc w:val="center"/>
              <w:rPr>
                <w:rFonts w:cs="Times New Roman"/>
                <w:kern w:val="0"/>
                <w:sz w:val="18"/>
              </w:rPr>
            </w:pPr>
          </w:p>
        </w:tc>
        <w:tc>
          <w:tcPr>
            <w:tcW w:w="4206" w:type="pct"/>
            <w:gridSpan w:val="4"/>
            <w:vMerge w:val="continue"/>
            <w:tcBorders>
              <w:top w:val="single" w:color="auto" w:sz="4" w:space="0"/>
              <w:left w:val="single" w:color="auto" w:sz="4" w:space="0"/>
              <w:bottom w:val="single" w:color="auto" w:sz="4" w:space="0"/>
              <w:right w:val="single" w:color="auto" w:sz="4" w:space="0"/>
            </w:tcBorders>
            <w:vAlign w:val="center"/>
          </w:tcPr>
          <w:p w14:paraId="67F01C10">
            <w:pPr>
              <w:widowControl/>
              <w:spacing w:line="240" w:lineRule="auto"/>
              <w:ind w:firstLine="0" w:firstLineChars="0"/>
              <w:jc w:val="center"/>
              <w:rPr>
                <w:rFonts w:cs="Times New Roman"/>
                <w:kern w:val="0"/>
                <w:sz w:val="18"/>
              </w:rPr>
            </w:pPr>
          </w:p>
        </w:tc>
      </w:tr>
      <w:tr w14:paraId="1DCE6258">
        <w:trPr>
          <w:trHeight w:val="340" w:hRule="atLeast"/>
        </w:trPr>
        <w:tc>
          <w:tcPr>
            <w:tcW w:w="793" w:type="pct"/>
            <w:tcBorders>
              <w:top w:val="single" w:color="auto" w:sz="4" w:space="0"/>
              <w:left w:val="single" w:color="auto" w:sz="4" w:space="0"/>
              <w:bottom w:val="single" w:color="auto" w:sz="4" w:space="0"/>
              <w:right w:val="single" w:color="auto" w:sz="4" w:space="0"/>
            </w:tcBorders>
            <w:vAlign w:val="center"/>
          </w:tcPr>
          <w:p w14:paraId="789D476E">
            <w:pPr>
              <w:widowControl/>
              <w:spacing w:line="240" w:lineRule="auto"/>
              <w:ind w:firstLine="0" w:firstLineChars="0"/>
              <w:jc w:val="center"/>
              <w:rPr>
                <w:rFonts w:cs="Times New Roman"/>
                <w:kern w:val="0"/>
                <w:sz w:val="18"/>
              </w:rPr>
            </w:pPr>
            <w:r>
              <w:rPr>
                <w:rFonts w:cs="Times New Roman"/>
                <w:kern w:val="0"/>
                <w:sz w:val="18"/>
              </w:rPr>
              <w:t>生态保护措施</w:t>
            </w:r>
          </w:p>
        </w:tc>
        <w:tc>
          <w:tcPr>
            <w:tcW w:w="4206" w:type="pct"/>
            <w:gridSpan w:val="4"/>
            <w:tcBorders>
              <w:top w:val="single" w:color="auto" w:sz="4" w:space="0"/>
              <w:left w:val="nil"/>
              <w:bottom w:val="single" w:color="auto" w:sz="4" w:space="0"/>
              <w:right w:val="single" w:color="auto" w:sz="4" w:space="0"/>
            </w:tcBorders>
            <w:vAlign w:val="center"/>
          </w:tcPr>
          <w:p w14:paraId="44CA3E8C">
            <w:pPr>
              <w:widowControl/>
              <w:spacing w:line="240" w:lineRule="auto"/>
              <w:ind w:firstLine="0" w:firstLineChars="0"/>
              <w:jc w:val="center"/>
              <w:rPr>
                <w:rFonts w:cs="Times New Roman"/>
                <w:kern w:val="0"/>
                <w:sz w:val="18"/>
              </w:rPr>
            </w:pPr>
            <w:r>
              <w:rPr>
                <w:rFonts w:cs="Times New Roman"/>
                <w:kern w:val="0"/>
                <w:sz w:val="18"/>
              </w:rPr>
              <w:t>/</w:t>
            </w:r>
          </w:p>
        </w:tc>
      </w:tr>
      <w:tr w14:paraId="0BEEE37C">
        <w:trPr>
          <w:trHeight w:val="340" w:hRule="atLeast"/>
        </w:trPr>
        <w:tc>
          <w:tcPr>
            <w:tcW w:w="793" w:type="pct"/>
            <w:vMerge w:val="restart"/>
            <w:tcBorders>
              <w:top w:val="single" w:color="auto" w:sz="4" w:space="0"/>
              <w:left w:val="single" w:color="auto" w:sz="4" w:space="0"/>
              <w:bottom w:val="single" w:color="auto" w:sz="4" w:space="0"/>
              <w:right w:val="single" w:color="auto" w:sz="4" w:space="0"/>
            </w:tcBorders>
            <w:vAlign w:val="center"/>
          </w:tcPr>
          <w:p w14:paraId="119F8983">
            <w:pPr>
              <w:widowControl/>
              <w:spacing w:line="240" w:lineRule="auto"/>
              <w:ind w:firstLine="0" w:firstLineChars="0"/>
              <w:jc w:val="center"/>
              <w:rPr>
                <w:rFonts w:cs="Times New Roman"/>
                <w:kern w:val="0"/>
                <w:sz w:val="18"/>
              </w:rPr>
            </w:pPr>
            <w:r>
              <w:rPr>
                <w:rFonts w:cs="Times New Roman"/>
                <w:kern w:val="0"/>
                <w:sz w:val="18"/>
              </w:rPr>
              <w:t>环境风险防范措施</w:t>
            </w:r>
          </w:p>
        </w:tc>
        <w:tc>
          <w:tcPr>
            <w:tcW w:w="4206" w:type="pct"/>
            <w:gridSpan w:val="4"/>
            <w:vMerge w:val="restart"/>
            <w:tcBorders>
              <w:top w:val="single" w:color="auto" w:sz="4" w:space="0"/>
              <w:left w:val="single" w:color="auto" w:sz="4" w:space="0"/>
              <w:bottom w:val="single" w:color="auto" w:sz="4" w:space="0"/>
              <w:right w:val="single" w:color="auto" w:sz="4" w:space="0"/>
            </w:tcBorders>
            <w:vAlign w:val="center"/>
          </w:tcPr>
          <w:p w14:paraId="306B1B44">
            <w:pPr>
              <w:widowControl/>
              <w:spacing w:line="240" w:lineRule="auto"/>
              <w:ind w:firstLine="0" w:firstLineChars="0"/>
              <w:rPr>
                <w:rFonts w:cs="Times New Roman"/>
                <w:kern w:val="0"/>
                <w:sz w:val="18"/>
              </w:rPr>
            </w:pPr>
            <w:r>
              <w:rPr>
                <w:rFonts w:cs="Times New Roman"/>
                <w:kern w:val="0"/>
                <w:sz w:val="18"/>
              </w:rPr>
              <w:t>①管道施工时应对施工材料加强质量检查，严禁使用不合格产品。对焊接质量严格检验，防止焊接缺陷造成泄漏事故的发生。</w:t>
            </w:r>
          </w:p>
          <w:p w14:paraId="1801CDC8">
            <w:pPr>
              <w:widowControl/>
              <w:spacing w:line="240" w:lineRule="auto"/>
              <w:ind w:firstLine="0" w:firstLineChars="0"/>
              <w:rPr>
                <w:rFonts w:cs="Times New Roman"/>
                <w:kern w:val="0"/>
                <w:sz w:val="18"/>
              </w:rPr>
            </w:pPr>
            <w:r>
              <w:rPr>
                <w:rFonts w:cs="Times New Roman"/>
                <w:kern w:val="0"/>
                <w:sz w:val="18"/>
              </w:rPr>
              <w:t>②按规定进行设备维修、保养、更换易损及老化部件。</w:t>
            </w:r>
          </w:p>
          <w:p w14:paraId="18402F7A">
            <w:pPr>
              <w:widowControl/>
              <w:spacing w:line="240" w:lineRule="auto"/>
              <w:ind w:firstLine="0" w:firstLineChars="0"/>
              <w:rPr>
                <w:rFonts w:cs="Times New Roman"/>
                <w:kern w:val="0"/>
                <w:sz w:val="18"/>
              </w:rPr>
            </w:pPr>
            <w:r>
              <w:rPr>
                <w:rFonts w:cs="Times New Roman"/>
                <w:kern w:val="0"/>
                <w:sz w:val="18"/>
              </w:rPr>
              <w:t>③加强对管线阀门、泄漏检测报警系统检修维护保养工作，确保阀门、泄漏检测报警系统正常运行。</w:t>
            </w:r>
          </w:p>
          <w:p w14:paraId="716A092C">
            <w:pPr>
              <w:widowControl/>
              <w:spacing w:line="240" w:lineRule="auto"/>
              <w:ind w:firstLine="0" w:firstLineChars="0"/>
              <w:rPr>
                <w:rFonts w:cs="Times New Roman"/>
                <w:kern w:val="0"/>
                <w:sz w:val="18"/>
              </w:rPr>
            </w:pPr>
            <w:r>
              <w:rPr>
                <w:rFonts w:cs="Times New Roman"/>
                <w:kern w:val="0"/>
                <w:sz w:val="18"/>
              </w:rPr>
              <w:t>④加强防火安全管理：杜绝明火，需动用电焊、气焊作业时，严格根据动火审批程序办事，采取一切必要的预防措施，施工作业时车间专职安全员和主要领导要在现场监护，房内禁止堆放任何易燃物品和杂物。</w:t>
            </w:r>
          </w:p>
        </w:tc>
      </w:tr>
      <w:tr w14:paraId="4085C876">
        <w:trPr>
          <w:trHeight w:val="340" w:hRule="atLeast"/>
        </w:trPr>
        <w:tc>
          <w:tcPr>
            <w:tcW w:w="793" w:type="pct"/>
            <w:vMerge w:val="continue"/>
            <w:tcBorders>
              <w:top w:val="single" w:color="auto" w:sz="4" w:space="0"/>
              <w:left w:val="single" w:color="auto" w:sz="4" w:space="0"/>
              <w:bottom w:val="single" w:color="auto" w:sz="4" w:space="0"/>
              <w:right w:val="single" w:color="auto" w:sz="4" w:space="0"/>
            </w:tcBorders>
            <w:vAlign w:val="center"/>
          </w:tcPr>
          <w:p w14:paraId="6699C152">
            <w:pPr>
              <w:widowControl/>
              <w:spacing w:line="240" w:lineRule="auto"/>
              <w:ind w:firstLine="0" w:firstLineChars="0"/>
              <w:jc w:val="center"/>
              <w:rPr>
                <w:rFonts w:cs="Times New Roman"/>
                <w:kern w:val="0"/>
                <w:sz w:val="18"/>
              </w:rPr>
            </w:pPr>
          </w:p>
        </w:tc>
        <w:tc>
          <w:tcPr>
            <w:tcW w:w="4206" w:type="pct"/>
            <w:gridSpan w:val="4"/>
            <w:vMerge w:val="continue"/>
            <w:tcBorders>
              <w:top w:val="single" w:color="auto" w:sz="4" w:space="0"/>
              <w:left w:val="single" w:color="auto" w:sz="4" w:space="0"/>
              <w:bottom w:val="single" w:color="auto" w:sz="4" w:space="0"/>
              <w:right w:val="single" w:color="auto" w:sz="4" w:space="0"/>
            </w:tcBorders>
            <w:vAlign w:val="center"/>
          </w:tcPr>
          <w:p w14:paraId="339A4640">
            <w:pPr>
              <w:widowControl/>
              <w:spacing w:line="240" w:lineRule="auto"/>
              <w:ind w:firstLine="0" w:firstLineChars="0"/>
              <w:rPr>
                <w:rFonts w:cs="Times New Roman"/>
                <w:kern w:val="0"/>
                <w:sz w:val="18"/>
              </w:rPr>
            </w:pPr>
          </w:p>
        </w:tc>
      </w:tr>
      <w:tr w14:paraId="3A60B8BF">
        <w:trPr>
          <w:trHeight w:val="340" w:hRule="atLeast"/>
        </w:trPr>
        <w:tc>
          <w:tcPr>
            <w:tcW w:w="793" w:type="pct"/>
            <w:vMerge w:val="restart"/>
            <w:tcBorders>
              <w:top w:val="single" w:color="auto" w:sz="4" w:space="0"/>
              <w:left w:val="single" w:color="auto" w:sz="4" w:space="0"/>
              <w:bottom w:val="single" w:color="auto" w:sz="4" w:space="0"/>
              <w:right w:val="single" w:color="auto" w:sz="4" w:space="0"/>
            </w:tcBorders>
            <w:vAlign w:val="center"/>
          </w:tcPr>
          <w:p w14:paraId="67682E15">
            <w:pPr>
              <w:widowControl/>
              <w:spacing w:line="240" w:lineRule="auto"/>
              <w:ind w:firstLine="0" w:firstLineChars="0"/>
              <w:jc w:val="center"/>
              <w:rPr>
                <w:rFonts w:cs="Times New Roman"/>
                <w:kern w:val="0"/>
                <w:sz w:val="18"/>
              </w:rPr>
            </w:pPr>
            <w:r>
              <w:rPr>
                <w:rFonts w:cs="Times New Roman"/>
                <w:kern w:val="0"/>
                <w:sz w:val="18"/>
              </w:rPr>
              <w:t>其他环境管理要求</w:t>
            </w:r>
          </w:p>
        </w:tc>
        <w:tc>
          <w:tcPr>
            <w:tcW w:w="4206" w:type="pct"/>
            <w:gridSpan w:val="4"/>
            <w:vMerge w:val="restart"/>
            <w:tcBorders>
              <w:top w:val="single" w:color="auto" w:sz="4" w:space="0"/>
              <w:left w:val="single" w:color="auto" w:sz="4" w:space="0"/>
              <w:bottom w:val="single" w:color="auto" w:sz="4" w:space="0"/>
              <w:right w:val="single" w:color="auto" w:sz="4" w:space="0"/>
            </w:tcBorders>
            <w:vAlign w:val="center"/>
          </w:tcPr>
          <w:p w14:paraId="22BCC5F4">
            <w:pPr>
              <w:widowControl/>
              <w:spacing w:line="240" w:lineRule="auto"/>
              <w:ind w:firstLine="360"/>
              <w:rPr>
                <w:rFonts w:cs="Times New Roman"/>
                <w:kern w:val="0"/>
                <w:sz w:val="18"/>
              </w:rPr>
            </w:pPr>
            <w:r>
              <w:rPr>
                <w:rFonts w:hint="eastAsia" w:cs="Times New Roman"/>
                <w:kern w:val="0"/>
                <w:sz w:val="18"/>
              </w:rPr>
              <w:t>1、项目环境管理要求</w:t>
            </w:r>
          </w:p>
          <w:p w14:paraId="3F02F1D0">
            <w:pPr>
              <w:widowControl/>
              <w:spacing w:line="240" w:lineRule="auto"/>
              <w:ind w:firstLine="360"/>
              <w:rPr>
                <w:rFonts w:cs="Times New Roman"/>
                <w:kern w:val="0"/>
                <w:sz w:val="18"/>
              </w:rPr>
            </w:pPr>
            <w:r>
              <w:rPr>
                <w:rFonts w:cs="Times New Roman"/>
                <w:kern w:val="0"/>
                <w:sz w:val="18"/>
              </w:rPr>
              <w:t>建设项目的环境管理工作应由专人负责，为加强环境管理提供组织保证，配合环境保护主管部门依法对企业进行环境监督、管理、考核，以及接受生态环境分局在具体业务上给予技术指导。环境管理机构主要职责如下：</w:t>
            </w:r>
          </w:p>
          <w:p w14:paraId="6F03A009">
            <w:pPr>
              <w:widowControl/>
              <w:spacing w:line="240" w:lineRule="auto"/>
              <w:ind w:firstLine="360"/>
              <w:rPr>
                <w:rFonts w:cs="Times New Roman"/>
                <w:kern w:val="0"/>
                <w:sz w:val="18"/>
              </w:rPr>
            </w:pPr>
            <w:r>
              <w:rPr>
                <w:rFonts w:cs="Times New Roman"/>
                <w:kern w:val="0"/>
                <w:sz w:val="18"/>
              </w:rPr>
              <w:t>（1）根据公司规模、性质、特点和国家法律、法规，制定全公司环保规划和环境方针，并负责以多种形式向相关方面宣传；</w:t>
            </w:r>
          </w:p>
          <w:p w14:paraId="791F738D">
            <w:pPr>
              <w:widowControl/>
              <w:spacing w:line="240" w:lineRule="auto"/>
              <w:ind w:firstLine="360"/>
              <w:rPr>
                <w:rFonts w:cs="Times New Roman"/>
                <w:kern w:val="0"/>
                <w:sz w:val="18"/>
              </w:rPr>
            </w:pPr>
            <w:r>
              <w:rPr>
                <w:rFonts w:cs="Times New Roman"/>
                <w:kern w:val="0"/>
                <w:sz w:val="18"/>
              </w:rPr>
              <w:t>（2）负责获取、更新使用于本企业的与环境相关的法律、法规，负责把适用的法律、法规发放到相关部门；</w:t>
            </w:r>
          </w:p>
          <w:p w14:paraId="46A0D2D8">
            <w:pPr>
              <w:widowControl/>
              <w:spacing w:line="240" w:lineRule="auto"/>
              <w:ind w:firstLine="360"/>
              <w:rPr>
                <w:rFonts w:cs="Times New Roman"/>
                <w:kern w:val="0"/>
                <w:sz w:val="18"/>
              </w:rPr>
            </w:pPr>
            <w:r>
              <w:rPr>
                <w:rFonts w:cs="Times New Roman"/>
                <w:kern w:val="0"/>
                <w:sz w:val="18"/>
              </w:rPr>
              <w:t>（3）协助各车间制定车间的环保规划，并协调和监督各单位具体实施；</w:t>
            </w:r>
          </w:p>
          <w:p w14:paraId="22C59498">
            <w:pPr>
              <w:widowControl/>
              <w:spacing w:line="240" w:lineRule="auto"/>
              <w:ind w:firstLine="360"/>
              <w:rPr>
                <w:rFonts w:cs="Times New Roman"/>
                <w:kern w:val="0"/>
                <w:sz w:val="18"/>
              </w:rPr>
            </w:pPr>
            <w:r>
              <w:rPr>
                <w:rFonts w:cs="Times New Roman"/>
                <w:kern w:val="0"/>
                <w:sz w:val="18"/>
              </w:rPr>
              <w:t>（4）负责制定和实施公司的年度环保培训计划；</w:t>
            </w:r>
          </w:p>
          <w:p w14:paraId="10E242D2">
            <w:pPr>
              <w:widowControl/>
              <w:spacing w:line="240" w:lineRule="auto"/>
              <w:ind w:firstLine="360"/>
              <w:rPr>
                <w:rFonts w:cs="Times New Roman"/>
                <w:kern w:val="0"/>
                <w:sz w:val="18"/>
              </w:rPr>
            </w:pPr>
            <w:r>
              <w:rPr>
                <w:rFonts w:cs="Times New Roman"/>
                <w:kern w:val="0"/>
                <w:sz w:val="18"/>
              </w:rPr>
              <w:t>（5）负责公司内外部的环境工作信息交流；</w:t>
            </w:r>
          </w:p>
          <w:p w14:paraId="532A1D39">
            <w:pPr>
              <w:widowControl/>
              <w:spacing w:line="240" w:lineRule="auto"/>
              <w:ind w:firstLine="360"/>
              <w:rPr>
                <w:rFonts w:cs="Times New Roman"/>
                <w:kern w:val="0"/>
                <w:sz w:val="18"/>
              </w:rPr>
            </w:pPr>
            <w:r>
              <w:rPr>
                <w:rFonts w:cs="Times New Roman"/>
                <w:kern w:val="0"/>
                <w:sz w:val="18"/>
              </w:rPr>
              <w:t>（6）监督检查各部门环保设施的运行管理，尤其是了解污染治理设备的运行状况以及治理效率；</w:t>
            </w:r>
          </w:p>
          <w:p w14:paraId="11AFF09F">
            <w:pPr>
              <w:widowControl/>
              <w:spacing w:line="240" w:lineRule="auto"/>
              <w:ind w:firstLine="360"/>
              <w:rPr>
                <w:rFonts w:cs="Times New Roman"/>
                <w:kern w:val="0"/>
                <w:sz w:val="18"/>
              </w:rPr>
            </w:pPr>
            <w:r>
              <w:rPr>
                <w:rFonts w:cs="Times New Roman"/>
                <w:kern w:val="0"/>
                <w:sz w:val="18"/>
              </w:rPr>
              <w:t>（7）监督检查各生产工艺设备的运行情况，确保无非正常工况生产事故的发生；</w:t>
            </w:r>
          </w:p>
          <w:p w14:paraId="25AEC03B">
            <w:pPr>
              <w:widowControl/>
              <w:spacing w:line="240" w:lineRule="auto"/>
              <w:ind w:firstLine="360"/>
              <w:rPr>
                <w:rFonts w:cs="Times New Roman"/>
                <w:kern w:val="0"/>
                <w:sz w:val="18"/>
              </w:rPr>
            </w:pPr>
            <w:r>
              <w:rPr>
                <w:rFonts w:cs="Times New Roman"/>
                <w:kern w:val="0"/>
                <w:sz w:val="18"/>
              </w:rPr>
              <w:t>（8）负责对新、改、扩建项目环保工程及其“三同时”执行情况进行环境监测、数据分析、验收评估；</w:t>
            </w:r>
          </w:p>
          <w:p w14:paraId="3C116150">
            <w:pPr>
              <w:widowControl/>
              <w:spacing w:line="240" w:lineRule="auto"/>
              <w:ind w:firstLine="360"/>
              <w:rPr>
                <w:rFonts w:cs="Times New Roman"/>
                <w:kern w:val="0"/>
                <w:sz w:val="18"/>
              </w:rPr>
            </w:pPr>
            <w:r>
              <w:rPr>
                <w:rFonts w:cs="Times New Roman"/>
                <w:kern w:val="0"/>
                <w:sz w:val="18"/>
              </w:rPr>
              <w:t>（9）负责应急计划的监督、检查；负责应急事故的协调处理；指导各单位对环保设施的管理；指导各单位应急与预防工作；对公司范围内重点危险区域部署监控措施；</w:t>
            </w:r>
          </w:p>
          <w:p w14:paraId="01CF17A7">
            <w:pPr>
              <w:widowControl/>
              <w:spacing w:line="240" w:lineRule="auto"/>
              <w:ind w:firstLine="360"/>
              <w:rPr>
                <w:rFonts w:cs="Times New Roman"/>
                <w:kern w:val="0"/>
                <w:sz w:val="18"/>
              </w:rPr>
            </w:pPr>
            <w:r>
              <w:rPr>
                <w:rFonts w:cs="Times New Roman"/>
                <w:kern w:val="0"/>
                <w:sz w:val="18"/>
              </w:rPr>
              <w:t>（10）负责公司环境监测技术数据统计管理；</w:t>
            </w:r>
          </w:p>
          <w:p w14:paraId="00CB1021">
            <w:pPr>
              <w:widowControl/>
              <w:spacing w:line="240" w:lineRule="auto"/>
              <w:ind w:firstLine="360"/>
              <w:rPr>
                <w:rFonts w:cs="Times New Roman"/>
                <w:kern w:val="0"/>
                <w:sz w:val="18"/>
              </w:rPr>
            </w:pPr>
            <w:r>
              <w:rPr>
                <w:rFonts w:cs="Times New Roman"/>
                <w:kern w:val="0"/>
                <w:sz w:val="18"/>
              </w:rPr>
              <w:t>（11）负责全公司环保管理工作的监督和检查；组织实施全公司环境年度评审工作；</w:t>
            </w:r>
          </w:p>
          <w:p w14:paraId="093666C9">
            <w:pPr>
              <w:widowControl/>
              <w:spacing w:line="240" w:lineRule="auto"/>
              <w:ind w:firstLine="360"/>
              <w:rPr>
                <w:rFonts w:cs="Times New Roman"/>
                <w:kern w:val="0"/>
                <w:sz w:val="18"/>
              </w:rPr>
            </w:pPr>
            <w:r>
              <w:rPr>
                <w:rFonts w:cs="Times New Roman"/>
                <w:kern w:val="0"/>
                <w:sz w:val="18"/>
              </w:rPr>
              <w:t>（12）负责公司的环境教育、培训、宣传，让环境保护意识深入职工心中。</w:t>
            </w:r>
          </w:p>
          <w:p w14:paraId="0711D840">
            <w:pPr>
              <w:widowControl/>
              <w:spacing w:line="240" w:lineRule="auto"/>
              <w:ind w:firstLine="360"/>
              <w:rPr>
                <w:rFonts w:cs="Times New Roman"/>
                <w:kern w:val="0"/>
                <w:sz w:val="18"/>
              </w:rPr>
            </w:pPr>
            <w:r>
              <w:rPr>
                <w:rFonts w:cs="Times New Roman"/>
                <w:kern w:val="0"/>
                <w:sz w:val="18"/>
              </w:rPr>
              <w:t>根据《排污单位自行监测技术指南 总则》（HJ 819-2017），建设单位应查清所有污染源，确定主要污染源及主要监测指标，编制监测方案。监测方案内容主要包括：单位基本情况、监测点位及示意图、监测指标、执行标准及其限值、监测频次、采样和样品保存方法、监测分析方法和仪器、质量保证与质量控制等。建设单位应当在投入生产并产生实际排污行为之前完成自行监测方案的编制。</w:t>
            </w:r>
          </w:p>
          <w:p w14:paraId="52A1CE8B">
            <w:pPr>
              <w:widowControl/>
              <w:spacing w:line="240" w:lineRule="auto"/>
              <w:ind w:firstLine="360"/>
              <w:rPr>
                <w:rFonts w:cs="Times New Roman"/>
                <w:kern w:val="0"/>
                <w:sz w:val="18"/>
              </w:rPr>
            </w:pPr>
            <w:r>
              <w:rPr>
                <w:rFonts w:hint="eastAsia" w:cs="Times New Roman"/>
                <w:kern w:val="0"/>
                <w:sz w:val="18"/>
              </w:rPr>
              <w:t>2、项目排污管理类别分析</w:t>
            </w:r>
          </w:p>
          <w:p w14:paraId="247D9ED8">
            <w:pPr>
              <w:widowControl/>
              <w:spacing w:line="240" w:lineRule="auto"/>
              <w:ind w:firstLine="360"/>
              <w:rPr>
                <w:rFonts w:cs="Times New Roman"/>
                <w:kern w:val="0"/>
                <w:sz w:val="18"/>
              </w:rPr>
            </w:pPr>
            <w:r>
              <w:rPr>
                <w:rFonts w:hint="eastAsia" w:cs="Times New Roman"/>
                <w:kern w:val="0"/>
                <w:sz w:val="18"/>
              </w:rPr>
              <w:t>(1)国民经济行业类别判定</w:t>
            </w:r>
          </w:p>
          <w:p w14:paraId="02438330">
            <w:pPr>
              <w:widowControl/>
              <w:spacing w:line="240" w:lineRule="auto"/>
              <w:ind w:firstLine="360"/>
              <w:rPr>
                <w:rFonts w:cs="Times New Roman"/>
                <w:kern w:val="0"/>
                <w:sz w:val="18"/>
              </w:rPr>
            </w:pPr>
            <w:r>
              <w:rPr>
                <w:rFonts w:hint="eastAsia" w:cs="Times New Roman"/>
                <w:kern w:val="0"/>
                <w:sz w:val="18"/>
              </w:rPr>
              <w:t>根据《国民经济行业分类》（GB/T4754-2017），公司所属行业为“C2929 塑料零件及其他塑料制品制造”。</w:t>
            </w:r>
          </w:p>
          <w:p w14:paraId="730C7D2F">
            <w:pPr>
              <w:widowControl/>
              <w:spacing w:line="240" w:lineRule="auto"/>
              <w:ind w:firstLine="360"/>
              <w:rPr>
                <w:rFonts w:cs="Times New Roman"/>
                <w:kern w:val="0"/>
                <w:sz w:val="18"/>
              </w:rPr>
            </w:pPr>
            <w:r>
              <w:rPr>
                <w:rFonts w:hint="eastAsia" w:cs="Times New Roman"/>
                <w:kern w:val="0"/>
                <w:sz w:val="18"/>
              </w:rPr>
              <w:t>(2)排污许可管理类别判定</w:t>
            </w:r>
          </w:p>
          <w:p w14:paraId="412B6F7C">
            <w:pPr>
              <w:widowControl/>
              <w:spacing w:line="240" w:lineRule="auto"/>
              <w:ind w:firstLine="360"/>
              <w:rPr>
                <w:rFonts w:cs="Times New Roman"/>
                <w:kern w:val="0"/>
                <w:sz w:val="18"/>
              </w:rPr>
            </w:pPr>
            <w:r>
              <w:rPr>
                <w:rFonts w:hint="eastAsia" w:cs="Times New Roman"/>
                <w:kern w:val="0"/>
                <w:sz w:val="18"/>
              </w:rPr>
              <w:t>根据项目的国民经济行业类别C2929，按《固定污染源排污许可分类管理名录(2019年版)》进行判定，可知：本项目属于固定污染源排污许可分类管理名录表中的“二十四、橡胶和塑料制品业29”中的“62 塑料制品业292”。按照排污许可填报“管理类别”应为“登记管理”；本项目不涉及通用工序，故本项目排污许可填报“管理类别”应为“登记管理”。</w:t>
            </w:r>
          </w:p>
        </w:tc>
      </w:tr>
      <w:tr w14:paraId="7145244B">
        <w:trPr>
          <w:trHeight w:val="340" w:hRule="atLeast"/>
        </w:trPr>
        <w:tc>
          <w:tcPr>
            <w:tcW w:w="793" w:type="pct"/>
            <w:vMerge w:val="continue"/>
            <w:tcBorders>
              <w:top w:val="single" w:color="auto" w:sz="4" w:space="0"/>
              <w:left w:val="single" w:color="auto" w:sz="4" w:space="0"/>
              <w:bottom w:val="single" w:color="auto" w:sz="4" w:space="0"/>
              <w:right w:val="single" w:color="auto" w:sz="4" w:space="0"/>
            </w:tcBorders>
            <w:vAlign w:val="center"/>
          </w:tcPr>
          <w:p w14:paraId="2B9C42EA">
            <w:pPr>
              <w:widowControl/>
              <w:spacing w:line="240" w:lineRule="auto"/>
              <w:ind w:firstLine="0" w:firstLineChars="0"/>
              <w:jc w:val="center"/>
              <w:rPr>
                <w:rFonts w:cs="Times New Roman"/>
                <w:kern w:val="0"/>
                <w:sz w:val="18"/>
              </w:rPr>
            </w:pPr>
          </w:p>
        </w:tc>
        <w:tc>
          <w:tcPr>
            <w:tcW w:w="4206" w:type="pct"/>
            <w:gridSpan w:val="4"/>
            <w:vMerge w:val="continue"/>
            <w:tcBorders>
              <w:top w:val="single" w:color="auto" w:sz="4" w:space="0"/>
              <w:left w:val="single" w:color="auto" w:sz="4" w:space="0"/>
              <w:bottom w:val="single" w:color="auto" w:sz="4" w:space="0"/>
              <w:right w:val="single" w:color="auto" w:sz="4" w:space="0"/>
            </w:tcBorders>
            <w:vAlign w:val="center"/>
          </w:tcPr>
          <w:p w14:paraId="24BFE872">
            <w:pPr>
              <w:widowControl/>
              <w:spacing w:line="240" w:lineRule="auto"/>
              <w:ind w:firstLine="0" w:firstLineChars="0"/>
              <w:jc w:val="center"/>
              <w:rPr>
                <w:rFonts w:cs="Times New Roman"/>
                <w:kern w:val="0"/>
                <w:sz w:val="18"/>
              </w:rPr>
            </w:pPr>
          </w:p>
        </w:tc>
      </w:tr>
    </w:tbl>
    <w:p w14:paraId="048E4B02">
      <w:pPr>
        <w:pStyle w:val="2"/>
        <w:sectPr>
          <w:pgSz w:w="11906" w:h="16838"/>
          <w:pgMar w:top="1440" w:right="1800" w:bottom="1440" w:left="1800" w:header="851" w:footer="992" w:gutter="0"/>
          <w:cols w:space="425" w:num="1"/>
          <w:docGrid w:type="lines" w:linePitch="312" w:charSpace="0"/>
        </w:sectPr>
      </w:pPr>
    </w:p>
    <w:p w14:paraId="61E045A5">
      <w:pPr>
        <w:pStyle w:val="3"/>
        <w:numPr>
          <w:ilvl w:val="0"/>
          <w:numId w:val="2"/>
        </w:numPr>
      </w:pPr>
      <w:bookmarkStart w:id="9" w:name="_Toc10584"/>
      <w:r>
        <w:rPr>
          <w:rFonts w:hint="eastAsia"/>
        </w:rPr>
        <w:t>结论</w:t>
      </w:r>
      <w:bookmarkEnd w:id="9"/>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C610DD4">
        <w:trPr>
          <w:trHeight w:val="12951" w:hRule="atLeast"/>
        </w:trPr>
        <w:tc>
          <w:tcPr>
            <w:tcW w:w="8522" w:type="dxa"/>
          </w:tcPr>
          <w:p w14:paraId="73DCB470">
            <w:pPr>
              <w:ind w:firstLine="480"/>
              <w:jc w:val="both"/>
              <w:rPr>
                <w:rFonts w:cs="Times New Roman"/>
                <w:kern w:val="0"/>
                <w:szCs w:val="24"/>
              </w:rPr>
            </w:pPr>
            <w:r>
              <w:rPr>
                <w:rFonts w:hint="eastAsia" w:cs="Times New Roman"/>
                <w:kern w:val="0"/>
                <w:szCs w:val="24"/>
              </w:rPr>
              <w:t>浙江三基色新材料有限公司新增注塑设备打样测试技改项目位于浙江省杭州市余杭区仁和街道三星路4号。</w:t>
            </w:r>
          </w:p>
          <w:p w14:paraId="7503234C">
            <w:pPr>
              <w:ind w:firstLine="480"/>
              <w:jc w:val="both"/>
              <w:rPr>
                <w:rFonts w:cs="Times New Roman"/>
                <w:kern w:val="0"/>
                <w:szCs w:val="24"/>
              </w:rPr>
            </w:pPr>
            <w:r>
              <w:rPr>
                <w:rFonts w:hint="eastAsia" w:cs="Times New Roman"/>
                <w:kern w:val="0"/>
                <w:szCs w:val="24"/>
              </w:rPr>
              <w:t>项目选址符合杭州市生态环境分区管控动态更新方案要求；项目经采取环评提出的各项环保措施后，排放的污染物符合国家、省规定的污染物排放标准，符合总量控制要求；符合国家和地方产业政策以及区域规划等要求。企业采取必要的风险防范对策和应急措施后，项目环境风险能够控制在可接受范围内。</w:t>
            </w:r>
          </w:p>
          <w:p w14:paraId="146E0922">
            <w:pPr>
              <w:ind w:firstLine="480"/>
              <w:jc w:val="both"/>
            </w:pPr>
            <w:r>
              <w:rPr>
                <w:rFonts w:cs="Times New Roman"/>
                <w:kern w:val="0"/>
                <w:szCs w:val="24"/>
              </w:rPr>
              <w:t>从环境保护角度，项目建设是可行的。</w:t>
            </w:r>
          </w:p>
        </w:tc>
      </w:tr>
    </w:tbl>
    <w:p w14:paraId="125C6BDD">
      <w:pPr>
        <w:pStyle w:val="2"/>
        <w:sectPr>
          <w:pgSz w:w="11906" w:h="16838"/>
          <w:pgMar w:top="1440" w:right="1800" w:bottom="1440" w:left="1800" w:header="851" w:footer="992" w:gutter="0"/>
          <w:cols w:space="425" w:num="1"/>
          <w:docGrid w:type="lines" w:linePitch="312" w:charSpace="0"/>
        </w:sectPr>
      </w:pPr>
    </w:p>
    <w:p w14:paraId="7EA2BBB2">
      <w:pPr>
        <w:pStyle w:val="3"/>
        <w:jc w:val="left"/>
      </w:pPr>
      <w:bookmarkStart w:id="10" w:name="_Toc28457"/>
      <w:bookmarkStart w:id="12" w:name="_GoBack"/>
      <w:bookmarkEnd w:id="12"/>
      <w:r>
        <w:rPr>
          <w:rFonts w:hint="eastAsia"/>
        </w:rPr>
        <w:t>附表</w:t>
      </w:r>
      <w:bookmarkEnd w:id="10"/>
    </w:p>
    <w:p w14:paraId="4407A7A1">
      <w:pPr>
        <w:pStyle w:val="2"/>
        <w:jc w:val="center"/>
        <w:rPr>
          <w:rFonts w:eastAsia="方正小标宋_GBK" w:cs="Times New Roman"/>
          <w:kern w:val="0"/>
          <w:sz w:val="38"/>
          <w:szCs w:val="38"/>
        </w:rPr>
      </w:pPr>
      <w:bookmarkStart w:id="11" w:name="_Toc13522"/>
      <w:r>
        <w:rPr>
          <w:rFonts w:eastAsia="方正小标宋_GBK" w:cs="Times New Roman"/>
          <w:kern w:val="0"/>
          <w:sz w:val="38"/>
          <w:szCs w:val="38"/>
        </w:rPr>
        <w:t>建设项目污染物排放量汇总表</w:t>
      </w:r>
      <w:bookmarkEnd w:id="11"/>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3"/>
        <w:gridCol w:w="1702"/>
        <w:gridCol w:w="1535"/>
        <w:gridCol w:w="1454"/>
        <w:gridCol w:w="1428"/>
        <w:gridCol w:w="1441"/>
        <w:gridCol w:w="1694"/>
        <w:gridCol w:w="1732"/>
        <w:gridCol w:w="995"/>
      </w:tblGrid>
      <w:tr w14:paraId="6E6984B6">
        <w:trPr>
          <w:trHeight w:val="340" w:hRule="atLeast"/>
        </w:trPr>
        <w:tc>
          <w:tcPr>
            <w:tcW w:w="547" w:type="pct"/>
            <w:vMerge w:val="restart"/>
            <w:tcBorders>
              <w:tl2br w:val="single" w:color="auto" w:sz="4" w:space="0"/>
            </w:tcBorders>
            <w:vAlign w:val="center"/>
          </w:tcPr>
          <w:p w14:paraId="74B6B103">
            <w:pPr>
              <w:widowControl/>
              <w:spacing w:line="240" w:lineRule="auto"/>
              <w:ind w:firstLine="0" w:firstLineChars="0"/>
              <w:jc w:val="right"/>
              <w:rPr>
                <w:rFonts w:cs="Times New Roman"/>
                <w:kern w:val="0"/>
                <w:sz w:val="18"/>
              </w:rPr>
            </w:pPr>
            <w:r>
              <w:rPr>
                <w:rFonts w:cs="Times New Roman"/>
                <w:kern w:val="0"/>
                <w:sz w:val="18"/>
              </w:rPr>
              <w:t>项目</w:t>
            </w:r>
          </w:p>
          <w:p w14:paraId="1FB1C504">
            <w:pPr>
              <w:widowControl/>
              <w:spacing w:line="240" w:lineRule="auto"/>
              <w:ind w:firstLine="0" w:firstLineChars="0"/>
              <w:jc w:val="center"/>
              <w:rPr>
                <w:rFonts w:cs="Times New Roman"/>
                <w:kern w:val="0"/>
                <w:sz w:val="18"/>
              </w:rPr>
            </w:pPr>
          </w:p>
          <w:p w14:paraId="01DFE6ED">
            <w:pPr>
              <w:widowControl/>
              <w:spacing w:line="240" w:lineRule="auto"/>
              <w:ind w:firstLine="0" w:firstLineChars="0"/>
              <w:rPr>
                <w:rFonts w:eastAsia="等线" w:cs="Times New Roman"/>
                <w:kern w:val="0"/>
                <w:sz w:val="18"/>
              </w:rPr>
            </w:pPr>
            <w:r>
              <w:rPr>
                <w:rFonts w:cs="Times New Roman"/>
                <w:kern w:val="0"/>
                <w:sz w:val="18"/>
              </w:rPr>
              <w:t>分类</w:t>
            </w:r>
          </w:p>
        </w:tc>
        <w:tc>
          <w:tcPr>
            <w:tcW w:w="632" w:type="pct"/>
            <w:vMerge w:val="restart"/>
            <w:vAlign w:val="center"/>
          </w:tcPr>
          <w:p w14:paraId="05AAB59E">
            <w:pPr>
              <w:widowControl/>
              <w:spacing w:line="240" w:lineRule="auto"/>
              <w:ind w:firstLine="0" w:firstLineChars="0"/>
              <w:jc w:val="center"/>
              <w:rPr>
                <w:rFonts w:eastAsia="等线" w:cs="Times New Roman"/>
                <w:kern w:val="0"/>
                <w:sz w:val="18"/>
              </w:rPr>
            </w:pPr>
            <w:r>
              <w:rPr>
                <w:rFonts w:cs="Times New Roman"/>
                <w:kern w:val="0"/>
                <w:sz w:val="18"/>
              </w:rPr>
              <w:t>污染物名称</w:t>
            </w:r>
          </w:p>
        </w:tc>
        <w:tc>
          <w:tcPr>
            <w:tcW w:w="570" w:type="pct"/>
            <w:vAlign w:val="center"/>
          </w:tcPr>
          <w:p w14:paraId="010625A1">
            <w:pPr>
              <w:widowControl/>
              <w:spacing w:line="240" w:lineRule="auto"/>
              <w:ind w:firstLine="0" w:firstLineChars="0"/>
              <w:jc w:val="center"/>
              <w:rPr>
                <w:rFonts w:eastAsia="等线" w:cs="Times New Roman"/>
                <w:kern w:val="0"/>
                <w:sz w:val="18"/>
              </w:rPr>
            </w:pPr>
            <w:r>
              <w:rPr>
                <w:rFonts w:cs="Times New Roman"/>
                <w:kern w:val="0"/>
                <w:sz w:val="18"/>
              </w:rPr>
              <w:t>现有工程</w:t>
            </w:r>
          </w:p>
        </w:tc>
        <w:tc>
          <w:tcPr>
            <w:tcW w:w="540" w:type="pct"/>
            <w:vAlign w:val="center"/>
          </w:tcPr>
          <w:p w14:paraId="63DE3093">
            <w:pPr>
              <w:widowControl/>
              <w:spacing w:line="240" w:lineRule="auto"/>
              <w:ind w:firstLine="0" w:firstLineChars="0"/>
              <w:jc w:val="center"/>
              <w:rPr>
                <w:rFonts w:eastAsia="等线" w:cs="Times New Roman"/>
                <w:kern w:val="0"/>
                <w:sz w:val="18"/>
              </w:rPr>
            </w:pPr>
            <w:r>
              <w:rPr>
                <w:rFonts w:cs="Times New Roman"/>
                <w:kern w:val="0"/>
                <w:sz w:val="18"/>
              </w:rPr>
              <w:t>现有工程</w:t>
            </w:r>
          </w:p>
        </w:tc>
        <w:tc>
          <w:tcPr>
            <w:tcW w:w="530" w:type="pct"/>
            <w:vAlign w:val="center"/>
          </w:tcPr>
          <w:p w14:paraId="5DFA5098">
            <w:pPr>
              <w:widowControl/>
              <w:spacing w:line="240" w:lineRule="auto"/>
              <w:ind w:firstLine="0" w:firstLineChars="0"/>
              <w:jc w:val="center"/>
              <w:rPr>
                <w:rFonts w:eastAsia="等线" w:cs="Times New Roman"/>
                <w:kern w:val="0"/>
                <w:sz w:val="18"/>
              </w:rPr>
            </w:pPr>
            <w:r>
              <w:rPr>
                <w:rFonts w:cs="Times New Roman"/>
                <w:kern w:val="0"/>
                <w:sz w:val="18"/>
              </w:rPr>
              <w:t>在建工程</w:t>
            </w:r>
          </w:p>
        </w:tc>
        <w:tc>
          <w:tcPr>
            <w:tcW w:w="535" w:type="pct"/>
            <w:vAlign w:val="center"/>
          </w:tcPr>
          <w:p w14:paraId="66F2C9C8">
            <w:pPr>
              <w:widowControl/>
              <w:spacing w:line="240" w:lineRule="auto"/>
              <w:ind w:firstLine="0" w:firstLineChars="0"/>
              <w:jc w:val="center"/>
              <w:rPr>
                <w:rFonts w:eastAsia="等线" w:cs="Times New Roman"/>
                <w:kern w:val="0"/>
                <w:sz w:val="18"/>
              </w:rPr>
            </w:pPr>
            <w:r>
              <w:rPr>
                <w:rFonts w:cs="Times New Roman"/>
                <w:kern w:val="0"/>
                <w:sz w:val="18"/>
              </w:rPr>
              <w:t>本项目</w:t>
            </w:r>
          </w:p>
        </w:tc>
        <w:tc>
          <w:tcPr>
            <w:tcW w:w="629" w:type="pct"/>
            <w:vAlign w:val="center"/>
          </w:tcPr>
          <w:p w14:paraId="0B33F372">
            <w:pPr>
              <w:widowControl/>
              <w:spacing w:line="240" w:lineRule="auto"/>
              <w:ind w:firstLine="0" w:firstLineChars="0"/>
              <w:jc w:val="center"/>
              <w:rPr>
                <w:rFonts w:eastAsia="等线" w:cs="Times New Roman"/>
                <w:kern w:val="0"/>
                <w:sz w:val="18"/>
              </w:rPr>
            </w:pPr>
            <w:r>
              <w:rPr>
                <w:rFonts w:cs="Times New Roman"/>
                <w:kern w:val="0"/>
                <w:sz w:val="18"/>
              </w:rPr>
              <w:t>以新带老削减量</w:t>
            </w:r>
          </w:p>
        </w:tc>
        <w:tc>
          <w:tcPr>
            <w:tcW w:w="643" w:type="pct"/>
            <w:vAlign w:val="center"/>
          </w:tcPr>
          <w:p w14:paraId="630F2491">
            <w:pPr>
              <w:widowControl/>
              <w:spacing w:line="240" w:lineRule="auto"/>
              <w:ind w:firstLine="0" w:firstLineChars="0"/>
              <w:jc w:val="center"/>
              <w:rPr>
                <w:rFonts w:eastAsia="等线" w:cs="Times New Roman"/>
                <w:kern w:val="0"/>
                <w:sz w:val="18"/>
              </w:rPr>
            </w:pPr>
            <w:r>
              <w:rPr>
                <w:rFonts w:cs="Times New Roman"/>
                <w:kern w:val="0"/>
                <w:sz w:val="18"/>
              </w:rPr>
              <w:t>本项目建成后</w:t>
            </w:r>
          </w:p>
        </w:tc>
        <w:tc>
          <w:tcPr>
            <w:tcW w:w="369" w:type="pct"/>
            <w:vMerge w:val="restart"/>
            <w:vAlign w:val="center"/>
          </w:tcPr>
          <w:p w14:paraId="56FACBCE">
            <w:pPr>
              <w:widowControl/>
              <w:spacing w:line="240" w:lineRule="auto"/>
              <w:ind w:firstLine="0" w:firstLineChars="0"/>
              <w:jc w:val="center"/>
              <w:rPr>
                <w:rFonts w:eastAsia="等线" w:cs="Times New Roman"/>
                <w:kern w:val="0"/>
                <w:sz w:val="18"/>
              </w:rPr>
            </w:pPr>
            <w:r>
              <w:rPr>
                <w:rFonts w:cs="Times New Roman"/>
                <w:kern w:val="0"/>
                <w:sz w:val="18"/>
              </w:rPr>
              <w:t>变化量⑦</w:t>
            </w:r>
          </w:p>
        </w:tc>
      </w:tr>
      <w:tr w14:paraId="32304FB9">
        <w:trPr>
          <w:trHeight w:val="340" w:hRule="atLeast"/>
        </w:trPr>
        <w:tc>
          <w:tcPr>
            <w:tcW w:w="547" w:type="pct"/>
            <w:vMerge w:val="continue"/>
            <w:vAlign w:val="center"/>
          </w:tcPr>
          <w:p w14:paraId="61152304">
            <w:pPr>
              <w:widowControl/>
              <w:spacing w:line="240" w:lineRule="auto"/>
              <w:ind w:firstLine="0" w:firstLineChars="0"/>
              <w:jc w:val="center"/>
              <w:rPr>
                <w:rFonts w:eastAsia="等线" w:cs="Times New Roman"/>
                <w:kern w:val="0"/>
                <w:sz w:val="18"/>
              </w:rPr>
            </w:pPr>
          </w:p>
        </w:tc>
        <w:tc>
          <w:tcPr>
            <w:tcW w:w="632" w:type="pct"/>
            <w:vMerge w:val="continue"/>
            <w:vAlign w:val="center"/>
          </w:tcPr>
          <w:p w14:paraId="02ED35AF">
            <w:pPr>
              <w:widowControl/>
              <w:spacing w:line="240" w:lineRule="auto"/>
              <w:ind w:firstLine="0" w:firstLineChars="0"/>
              <w:jc w:val="center"/>
              <w:rPr>
                <w:rFonts w:eastAsia="等线" w:cs="Times New Roman"/>
                <w:kern w:val="0"/>
                <w:sz w:val="18"/>
              </w:rPr>
            </w:pPr>
          </w:p>
        </w:tc>
        <w:tc>
          <w:tcPr>
            <w:tcW w:w="570" w:type="pct"/>
            <w:vAlign w:val="center"/>
          </w:tcPr>
          <w:p w14:paraId="61313D42">
            <w:pPr>
              <w:widowControl/>
              <w:spacing w:line="240" w:lineRule="auto"/>
              <w:ind w:firstLine="0" w:firstLineChars="0"/>
              <w:jc w:val="center"/>
              <w:rPr>
                <w:rFonts w:eastAsia="等线" w:cs="Times New Roman"/>
                <w:kern w:val="0"/>
                <w:sz w:val="18"/>
              </w:rPr>
            </w:pPr>
            <w:r>
              <w:rPr>
                <w:rFonts w:cs="Times New Roman"/>
                <w:kern w:val="0"/>
                <w:sz w:val="18"/>
              </w:rPr>
              <w:t>排放量（固体废物产生量）①</w:t>
            </w:r>
          </w:p>
        </w:tc>
        <w:tc>
          <w:tcPr>
            <w:tcW w:w="540" w:type="pct"/>
            <w:vAlign w:val="center"/>
          </w:tcPr>
          <w:p w14:paraId="39080025">
            <w:pPr>
              <w:widowControl/>
              <w:spacing w:line="240" w:lineRule="auto"/>
              <w:ind w:firstLine="0" w:firstLineChars="0"/>
              <w:jc w:val="center"/>
              <w:rPr>
                <w:rFonts w:eastAsia="等线" w:cs="Times New Roman"/>
                <w:kern w:val="0"/>
                <w:sz w:val="18"/>
              </w:rPr>
            </w:pPr>
            <w:r>
              <w:rPr>
                <w:rFonts w:cs="Times New Roman"/>
                <w:kern w:val="0"/>
                <w:sz w:val="18"/>
              </w:rPr>
              <w:t>许可排放量②</w:t>
            </w:r>
          </w:p>
        </w:tc>
        <w:tc>
          <w:tcPr>
            <w:tcW w:w="530" w:type="pct"/>
            <w:vAlign w:val="center"/>
          </w:tcPr>
          <w:p w14:paraId="02FA5CE4">
            <w:pPr>
              <w:widowControl/>
              <w:spacing w:line="240" w:lineRule="auto"/>
              <w:ind w:firstLine="0" w:firstLineChars="0"/>
              <w:jc w:val="center"/>
              <w:rPr>
                <w:rFonts w:eastAsia="等线" w:cs="Times New Roman"/>
                <w:kern w:val="0"/>
                <w:sz w:val="18"/>
              </w:rPr>
            </w:pPr>
            <w:r>
              <w:rPr>
                <w:rFonts w:cs="Times New Roman"/>
                <w:kern w:val="0"/>
                <w:sz w:val="18"/>
              </w:rPr>
              <w:t>排放量（固体废物产生量）③</w:t>
            </w:r>
          </w:p>
        </w:tc>
        <w:tc>
          <w:tcPr>
            <w:tcW w:w="535" w:type="pct"/>
            <w:vAlign w:val="center"/>
          </w:tcPr>
          <w:p w14:paraId="59CA5B50">
            <w:pPr>
              <w:widowControl/>
              <w:spacing w:line="240" w:lineRule="auto"/>
              <w:ind w:firstLine="0" w:firstLineChars="0"/>
              <w:jc w:val="center"/>
              <w:rPr>
                <w:rFonts w:eastAsia="等线" w:cs="Times New Roman"/>
                <w:kern w:val="0"/>
                <w:sz w:val="18"/>
              </w:rPr>
            </w:pPr>
            <w:r>
              <w:rPr>
                <w:rFonts w:cs="Times New Roman"/>
                <w:kern w:val="0"/>
                <w:sz w:val="18"/>
              </w:rPr>
              <w:t>排放量（固体废物产生量）④</w:t>
            </w:r>
          </w:p>
        </w:tc>
        <w:tc>
          <w:tcPr>
            <w:tcW w:w="629" w:type="pct"/>
            <w:vAlign w:val="center"/>
          </w:tcPr>
          <w:p w14:paraId="431DE6A7">
            <w:pPr>
              <w:widowControl/>
              <w:spacing w:line="240" w:lineRule="auto"/>
              <w:ind w:firstLine="0" w:firstLineChars="0"/>
              <w:jc w:val="center"/>
              <w:rPr>
                <w:rFonts w:eastAsia="等线" w:cs="Times New Roman"/>
                <w:kern w:val="0"/>
                <w:sz w:val="18"/>
              </w:rPr>
            </w:pPr>
            <w:r>
              <w:rPr>
                <w:rFonts w:cs="Times New Roman"/>
                <w:kern w:val="0"/>
                <w:sz w:val="18"/>
              </w:rPr>
              <w:t>（新建项目不填）⑤</w:t>
            </w:r>
          </w:p>
        </w:tc>
        <w:tc>
          <w:tcPr>
            <w:tcW w:w="643" w:type="pct"/>
            <w:vAlign w:val="center"/>
          </w:tcPr>
          <w:p w14:paraId="6D26764C">
            <w:pPr>
              <w:widowControl/>
              <w:spacing w:line="240" w:lineRule="auto"/>
              <w:ind w:firstLine="0" w:firstLineChars="0"/>
              <w:jc w:val="center"/>
              <w:rPr>
                <w:rFonts w:eastAsia="等线" w:cs="Times New Roman"/>
                <w:kern w:val="0"/>
                <w:sz w:val="18"/>
              </w:rPr>
            </w:pPr>
            <w:r>
              <w:rPr>
                <w:rFonts w:cs="Times New Roman"/>
                <w:kern w:val="0"/>
                <w:sz w:val="18"/>
              </w:rPr>
              <w:t>全厂排放量（固体废物产生量）⑥</w:t>
            </w:r>
          </w:p>
        </w:tc>
        <w:tc>
          <w:tcPr>
            <w:tcW w:w="369" w:type="pct"/>
            <w:vMerge w:val="continue"/>
            <w:vAlign w:val="center"/>
          </w:tcPr>
          <w:p w14:paraId="77953572">
            <w:pPr>
              <w:widowControl/>
              <w:spacing w:line="240" w:lineRule="auto"/>
              <w:ind w:firstLine="0" w:firstLineChars="0"/>
              <w:jc w:val="center"/>
              <w:rPr>
                <w:rFonts w:eastAsia="等线" w:cs="Times New Roman"/>
                <w:kern w:val="0"/>
                <w:sz w:val="18"/>
              </w:rPr>
            </w:pPr>
          </w:p>
        </w:tc>
      </w:tr>
      <w:tr w14:paraId="36877249">
        <w:trPr>
          <w:trHeight w:val="340" w:hRule="atLeast"/>
        </w:trPr>
        <w:tc>
          <w:tcPr>
            <w:tcW w:w="547" w:type="pct"/>
            <w:vMerge w:val="restart"/>
            <w:vAlign w:val="center"/>
          </w:tcPr>
          <w:p w14:paraId="026F490C">
            <w:pPr>
              <w:widowControl/>
              <w:spacing w:line="240" w:lineRule="auto"/>
              <w:ind w:firstLine="0" w:firstLineChars="0"/>
              <w:jc w:val="center"/>
              <w:rPr>
                <w:rFonts w:eastAsia="等线" w:cs="Times New Roman"/>
                <w:kern w:val="0"/>
                <w:sz w:val="18"/>
              </w:rPr>
            </w:pPr>
            <w:r>
              <w:rPr>
                <w:rFonts w:hint="eastAsia" w:ascii="宋体" w:hAnsi="宋体" w:cs="宋体"/>
                <w:kern w:val="0"/>
                <w:sz w:val="18"/>
              </w:rPr>
              <w:t>废气</w:t>
            </w:r>
          </w:p>
        </w:tc>
        <w:tc>
          <w:tcPr>
            <w:tcW w:w="632" w:type="pct"/>
            <w:vAlign w:val="center"/>
          </w:tcPr>
          <w:p w14:paraId="025206DD">
            <w:pPr>
              <w:spacing w:line="240" w:lineRule="auto"/>
              <w:ind w:firstLine="0" w:firstLineChars="0"/>
              <w:jc w:val="center"/>
              <w:rPr>
                <w:rFonts w:eastAsia="等线" w:cs="Times New Roman"/>
                <w:kern w:val="0"/>
                <w:sz w:val="18"/>
              </w:rPr>
            </w:pPr>
            <w:r>
              <w:rPr>
                <w:rFonts w:cs="Times New Roman"/>
                <w:kern w:val="0"/>
                <w:sz w:val="18"/>
              </w:rPr>
              <w:t>VOCs</w:t>
            </w:r>
          </w:p>
        </w:tc>
        <w:tc>
          <w:tcPr>
            <w:tcW w:w="570" w:type="pct"/>
            <w:vAlign w:val="center"/>
          </w:tcPr>
          <w:p w14:paraId="1FDDF3ED">
            <w:pPr>
              <w:spacing w:line="240" w:lineRule="auto"/>
              <w:ind w:firstLine="0" w:firstLineChars="0"/>
              <w:jc w:val="center"/>
              <w:rPr>
                <w:rFonts w:cs="Times New Roman"/>
                <w:kern w:val="0"/>
                <w:sz w:val="18"/>
              </w:rPr>
            </w:pPr>
            <w:r>
              <w:rPr>
                <w:rFonts w:hint="eastAsia" w:eastAsia="等线" w:cs="Times New Roman"/>
                <w:kern w:val="0"/>
                <w:sz w:val="18"/>
              </w:rPr>
              <w:t>0.790t</w:t>
            </w:r>
            <w:r>
              <w:rPr>
                <w:rFonts w:eastAsia="等线" w:cs="Times New Roman"/>
                <w:kern w:val="0"/>
                <w:sz w:val="18"/>
              </w:rPr>
              <w:t>/</w:t>
            </w:r>
            <w:r>
              <w:rPr>
                <w:rFonts w:hint="eastAsia" w:eastAsia="等线" w:cs="Times New Roman"/>
                <w:kern w:val="0"/>
                <w:sz w:val="18"/>
              </w:rPr>
              <w:t>a</w:t>
            </w:r>
          </w:p>
        </w:tc>
        <w:tc>
          <w:tcPr>
            <w:tcW w:w="540" w:type="pct"/>
            <w:vAlign w:val="center"/>
          </w:tcPr>
          <w:p w14:paraId="20E398F2">
            <w:pPr>
              <w:spacing w:line="240" w:lineRule="auto"/>
              <w:ind w:firstLine="0" w:firstLineChars="0"/>
              <w:jc w:val="center"/>
              <w:rPr>
                <w:rFonts w:cs="Times New Roman"/>
                <w:kern w:val="0"/>
                <w:sz w:val="18"/>
              </w:rPr>
            </w:pPr>
            <w:r>
              <w:rPr>
                <w:rFonts w:hint="eastAsia" w:eastAsia="等线" w:cs="Times New Roman"/>
                <w:kern w:val="0"/>
                <w:sz w:val="18"/>
              </w:rPr>
              <w:t>0.893t</w:t>
            </w:r>
            <w:r>
              <w:rPr>
                <w:rFonts w:eastAsia="等线" w:cs="Times New Roman"/>
                <w:kern w:val="0"/>
                <w:sz w:val="18"/>
              </w:rPr>
              <w:t>/</w:t>
            </w:r>
            <w:r>
              <w:rPr>
                <w:rFonts w:hint="eastAsia" w:eastAsia="等线" w:cs="Times New Roman"/>
                <w:kern w:val="0"/>
                <w:sz w:val="18"/>
              </w:rPr>
              <w:t>a</w:t>
            </w:r>
          </w:p>
        </w:tc>
        <w:tc>
          <w:tcPr>
            <w:tcW w:w="530" w:type="pct"/>
            <w:vAlign w:val="center"/>
          </w:tcPr>
          <w:p w14:paraId="566F438B">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vAlign w:val="center"/>
          </w:tcPr>
          <w:p w14:paraId="057F1E37">
            <w:pPr>
              <w:widowControl/>
              <w:spacing w:line="240" w:lineRule="auto"/>
              <w:ind w:firstLine="0" w:firstLineChars="0"/>
              <w:jc w:val="center"/>
              <w:textAlignment w:val="center"/>
              <w:rPr>
                <w:rFonts w:cs="Times New Roman"/>
                <w:kern w:val="0"/>
                <w:sz w:val="18"/>
              </w:rPr>
            </w:pPr>
            <w:r>
              <w:rPr>
                <w:rFonts w:hint="eastAsia" w:eastAsia="等线" w:cs="Times New Roman"/>
                <w:kern w:val="0"/>
                <w:sz w:val="18"/>
                <w:lang w:bidi="ar"/>
              </w:rPr>
              <w:t>0.758</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1694" w:type="dxa"/>
            <w:vAlign w:val="center"/>
          </w:tcPr>
          <w:p w14:paraId="78B6DAFA">
            <w:pPr>
              <w:spacing w:line="240" w:lineRule="auto"/>
              <w:ind w:firstLine="0" w:firstLineChars="0"/>
              <w:jc w:val="center"/>
              <w:rPr>
                <w:rFonts w:eastAsia="等线" w:cs="Times New Roman"/>
                <w:kern w:val="0"/>
                <w:sz w:val="18"/>
              </w:rPr>
            </w:pPr>
            <w:r>
              <w:rPr>
                <w:rFonts w:hint="eastAsia" w:eastAsia="等线" w:cs="Times New Roman"/>
                <w:kern w:val="0"/>
                <w:sz w:val="18"/>
              </w:rPr>
              <w:t>0.790t</w:t>
            </w:r>
            <w:r>
              <w:rPr>
                <w:rFonts w:eastAsia="等线" w:cs="Times New Roman"/>
                <w:kern w:val="0"/>
                <w:sz w:val="18"/>
              </w:rPr>
              <w:t>/</w:t>
            </w:r>
            <w:r>
              <w:rPr>
                <w:rFonts w:hint="eastAsia" w:eastAsia="等线" w:cs="Times New Roman"/>
                <w:kern w:val="0"/>
                <w:sz w:val="18"/>
              </w:rPr>
              <w:t>a</w:t>
            </w:r>
          </w:p>
        </w:tc>
        <w:tc>
          <w:tcPr>
            <w:tcW w:w="643" w:type="pct"/>
            <w:vAlign w:val="center"/>
          </w:tcPr>
          <w:p w14:paraId="19FB8F1A">
            <w:pPr>
              <w:widowControl/>
              <w:spacing w:line="240" w:lineRule="auto"/>
              <w:ind w:firstLine="0" w:firstLineChars="0"/>
              <w:jc w:val="center"/>
              <w:textAlignment w:val="center"/>
              <w:rPr>
                <w:rFonts w:cs="Times New Roman"/>
                <w:kern w:val="0"/>
                <w:sz w:val="18"/>
              </w:rPr>
            </w:pPr>
            <w:r>
              <w:rPr>
                <w:rFonts w:hint="eastAsia" w:eastAsia="等线" w:cs="Times New Roman"/>
                <w:kern w:val="0"/>
                <w:sz w:val="18"/>
                <w:lang w:bidi="ar"/>
              </w:rPr>
              <w:t>0.758</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369" w:type="pct"/>
            <w:vAlign w:val="center"/>
          </w:tcPr>
          <w:p w14:paraId="62AD89AC">
            <w:pPr>
              <w:adjustRightInd w:val="0"/>
              <w:snapToGrid w:val="0"/>
              <w:spacing w:line="240" w:lineRule="auto"/>
              <w:ind w:firstLine="0" w:firstLineChars="0"/>
              <w:jc w:val="center"/>
              <w:rPr>
                <w:rFonts w:eastAsia="等线" w:cs="Times New Roman"/>
                <w:kern w:val="0"/>
                <w:sz w:val="18"/>
              </w:rPr>
            </w:pPr>
            <w:r>
              <w:rPr>
                <w:rFonts w:hint="eastAsia" w:eastAsia="等线" w:cs="Times New Roman"/>
                <w:kern w:val="0"/>
                <w:sz w:val="18"/>
              </w:rPr>
              <w:t>-0.032t</w:t>
            </w:r>
            <w:r>
              <w:rPr>
                <w:rFonts w:eastAsia="等线" w:cs="Times New Roman"/>
                <w:kern w:val="0"/>
                <w:sz w:val="18"/>
              </w:rPr>
              <w:t>/</w:t>
            </w:r>
            <w:r>
              <w:rPr>
                <w:rFonts w:hint="eastAsia" w:eastAsia="等线" w:cs="Times New Roman"/>
                <w:kern w:val="0"/>
                <w:sz w:val="18"/>
              </w:rPr>
              <w:t>a</w:t>
            </w:r>
          </w:p>
        </w:tc>
      </w:tr>
      <w:tr w14:paraId="299B32D6">
        <w:trPr>
          <w:trHeight w:val="340" w:hRule="atLeast"/>
        </w:trPr>
        <w:tc>
          <w:tcPr>
            <w:tcW w:w="547" w:type="pct"/>
            <w:vMerge w:val="continue"/>
            <w:vAlign w:val="center"/>
          </w:tcPr>
          <w:p w14:paraId="05383C74">
            <w:pPr>
              <w:widowControl/>
              <w:spacing w:line="240" w:lineRule="auto"/>
              <w:ind w:firstLine="0" w:firstLineChars="0"/>
              <w:jc w:val="center"/>
              <w:rPr>
                <w:rFonts w:hint="eastAsia" w:ascii="宋体" w:hAnsi="宋体" w:cs="宋体"/>
                <w:kern w:val="0"/>
                <w:sz w:val="18"/>
              </w:rPr>
            </w:pPr>
          </w:p>
        </w:tc>
        <w:tc>
          <w:tcPr>
            <w:tcW w:w="632" w:type="pct"/>
            <w:vAlign w:val="center"/>
          </w:tcPr>
          <w:p w14:paraId="5973F120">
            <w:pPr>
              <w:spacing w:line="240" w:lineRule="auto"/>
              <w:ind w:firstLine="0" w:firstLineChars="0"/>
              <w:jc w:val="center"/>
              <w:rPr>
                <w:rFonts w:eastAsia="等线" w:cs="Times New Roman"/>
                <w:kern w:val="0"/>
                <w:sz w:val="18"/>
              </w:rPr>
            </w:pPr>
            <w:r>
              <w:rPr>
                <w:rFonts w:hint="eastAsia" w:cs="Times New Roman"/>
                <w:kern w:val="0"/>
                <w:sz w:val="18"/>
              </w:rPr>
              <w:t>工业烟粉尘</w:t>
            </w:r>
          </w:p>
        </w:tc>
        <w:tc>
          <w:tcPr>
            <w:tcW w:w="570" w:type="pct"/>
            <w:vAlign w:val="center"/>
          </w:tcPr>
          <w:p w14:paraId="4FF6414D">
            <w:pPr>
              <w:spacing w:line="240" w:lineRule="auto"/>
              <w:ind w:firstLine="0" w:firstLineChars="0"/>
              <w:jc w:val="center"/>
              <w:rPr>
                <w:rFonts w:cs="Times New Roman"/>
                <w:kern w:val="0"/>
                <w:sz w:val="18"/>
              </w:rPr>
            </w:pPr>
            <w:r>
              <w:rPr>
                <w:rFonts w:hint="eastAsia" w:eastAsia="等线" w:cs="Times New Roman"/>
                <w:kern w:val="0"/>
                <w:sz w:val="18"/>
              </w:rPr>
              <w:t>1.52t</w:t>
            </w:r>
            <w:r>
              <w:rPr>
                <w:rFonts w:eastAsia="等线" w:cs="Times New Roman"/>
                <w:kern w:val="0"/>
                <w:sz w:val="18"/>
              </w:rPr>
              <w:t>/</w:t>
            </w:r>
            <w:r>
              <w:rPr>
                <w:rFonts w:hint="eastAsia" w:eastAsia="等线" w:cs="Times New Roman"/>
                <w:kern w:val="0"/>
                <w:sz w:val="18"/>
              </w:rPr>
              <w:t>a</w:t>
            </w:r>
          </w:p>
        </w:tc>
        <w:tc>
          <w:tcPr>
            <w:tcW w:w="540" w:type="pct"/>
            <w:vAlign w:val="center"/>
          </w:tcPr>
          <w:p w14:paraId="3533F74C">
            <w:pPr>
              <w:spacing w:line="240" w:lineRule="auto"/>
              <w:ind w:firstLine="0" w:firstLineChars="0"/>
              <w:jc w:val="center"/>
              <w:rPr>
                <w:rFonts w:cs="Times New Roman"/>
                <w:kern w:val="0"/>
                <w:sz w:val="18"/>
              </w:rPr>
            </w:pPr>
            <w:r>
              <w:rPr>
                <w:rFonts w:hint="eastAsia" w:eastAsia="等线" w:cs="Times New Roman"/>
                <w:kern w:val="0"/>
                <w:sz w:val="18"/>
              </w:rPr>
              <w:t>1.52t</w:t>
            </w:r>
            <w:r>
              <w:rPr>
                <w:rFonts w:eastAsia="等线" w:cs="Times New Roman"/>
                <w:kern w:val="0"/>
                <w:sz w:val="18"/>
              </w:rPr>
              <w:t>/</w:t>
            </w:r>
            <w:r>
              <w:rPr>
                <w:rFonts w:hint="eastAsia" w:eastAsia="等线" w:cs="Times New Roman"/>
                <w:kern w:val="0"/>
                <w:sz w:val="18"/>
              </w:rPr>
              <w:t>a</w:t>
            </w:r>
          </w:p>
        </w:tc>
        <w:tc>
          <w:tcPr>
            <w:tcW w:w="530" w:type="pct"/>
            <w:vAlign w:val="center"/>
          </w:tcPr>
          <w:p w14:paraId="25A2EDA9">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vAlign w:val="center"/>
          </w:tcPr>
          <w:p w14:paraId="76843812">
            <w:pPr>
              <w:widowControl/>
              <w:spacing w:line="240" w:lineRule="auto"/>
              <w:ind w:firstLine="0" w:firstLineChars="0"/>
              <w:jc w:val="center"/>
              <w:textAlignment w:val="center"/>
              <w:rPr>
                <w:rFonts w:cs="Times New Roman"/>
                <w:kern w:val="0"/>
                <w:sz w:val="18"/>
              </w:rPr>
            </w:pPr>
            <w:r>
              <w:rPr>
                <w:rFonts w:hint="eastAsia" w:eastAsia="等线" w:cs="Times New Roman"/>
                <w:kern w:val="0"/>
                <w:sz w:val="18"/>
                <w:lang w:bidi="ar"/>
              </w:rPr>
              <w:t>0.193</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1694" w:type="dxa"/>
            <w:vAlign w:val="center"/>
          </w:tcPr>
          <w:p w14:paraId="4967F5E9">
            <w:pPr>
              <w:spacing w:line="240" w:lineRule="auto"/>
              <w:ind w:firstLine="0" w:firstLineChars="0"/>
              <w:jc w:val="center"/>
              <w:rPr>
                <w:rFonts w:eastAsia="等线" w:cs="Times New Roman"/>
                <w:kern w:val="0"/>
                <w:sz w:val="18"/>
              </w:rPr>
            </w:pPr>
            <w:r>
              <w:rPr>
                <w:rFonts w:hint="eastAsia" w:eastAsia="等线" w:cs="Times New Roman"/>
                <w:kern w:val="0"/>
                <w:sz w:val="18"/>
              </w:rPr>
              <w:t>1.52t</w:t>
            </w:r>
            <w:r>
              <w:rPr>
                <w:rFonts w:eastAsia="等线" w:cs="Times New Roman"/>
                <w:kern w:val="0"/>
                <w:sz w:val="18"/>
              </w:rPr>
              <w:t>/</w:t>
            </w:r>
            <w:r>
              <w:rPr>
                <w:rFonts w:hint="eastAsia" w:eastAsia="等线" w:cs="Times New Roman"/>
                <w:kern w:val="0"/>
                <w:sz w:val="18"/>
              </w:rPr>
              <w:t>a</w:t>
            </w:r>
          </w:p>
        </w:tc>
        <w:tc>
          <w:tcPr>
            <w:tcW w:w="643" w:type="pct"/>
            <w:vAlign w:val="center"/>
          </w:tcPr>
          <w:p w14:paraId="3451D0B9">
            <w:pPr>
              <w:widowControl/>
              <w:spacing w:line="240" w:lineRule="auto"/>
              <w:ind w:firstLine="0" w:firstLineChars="0"/>
              <w:jc w:val="center"/>
              <w:textAlignment w:val="center"/>
              <w:rPr>
                <w:rFonts w:cs="Times New Roman"/>
                <w:kern w:val="0"/>
                <w:sz w:val="18"/>
              </w:rPr>
            </w:pPr>
            <w:r>
              <w:rPr>
                <w:rFonts w:hint="eastAsia" w:eastAsia="等线" w:cs="Times New Roman"/>
                <w:kern w:val="0"/>
                <w:sz w:val="18"/>
                <w:lang w:bidi="ar"/>
              </w:rPr>
              <w:t>0.193</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369" w:type="pct"/>
            <w:vAlign w:val="center"/>
          </w:tcPr>
          <w:p w14:paraId="41C12452">
            <w:pPr>
              <w:adjustRightInd w:val="0"/>
              <w:snapToGrid w:val="0"/>
              <w:spacing w:line="240" w:lineRule="auto"/>
              <w:ind w:firstLine="0" w:firstLineChars="0"/>
              <w:jc w:val="center"/>
              <w:rPr>
                <w:rFonts w:eastAsia="等线" w:cs="Times New Roman"/>
                <w:kern w:val="0"/>
                <w:sz w:val="18"/>
              </w:rPr>
            </w:pPr>
            <w:r>
              <w:rPr>
                <w:rFonts w:hint="eastAsia" w:cs="宋体"/>
                <w:sz w:val="18"/>
                <w:szCs w:val="21"/>
                <w:lang w:bidi="ar"/>
              </w:rPr>
              <w:t>-1.327</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r>
      <w:tr w14:paraId="63E15188">
        <w:trPr>
          <w:trHeight w:val="340" w:hRule="atLeast"/>
        </w:trPr>
        <w:tc>
          <w:tcPr>
            <w:tcW w:w="547" w:type="pct"/>
            <w:vMerge w:val="restart"/>
            <w:vAlign w:val="center"/>
          </w:tcPr>
          <w:p w14:paraId="41F9F570">
            <w:pPr>
              <w:widowControl/>
              <w:spacing w:line="240" w:lineRule="auto"/>
              <w:ind w:firstLine="0" w:firstLineChars="0"/>
              <w:jc w:val="center"/>
              <w:rPr>
                <w:rFonts w:eastAsia="等线" w:cs="Times New Roman"/>
                <w:kern w:val="0"/>
                <w:sz w:val="18"/>
              </w:rPr>
            </w:pPr>
            <w:r>
              <w:rPr>
                <w:rFonts w:cs="Times New Roman"/>
                <w:kern w:val="0"/>
                <w:sz w:val="18"/>
              </w:rPr>
              <w:t>废水</w:t>
            </w:r>
          </w:p>
        </w:tc>
        <w:tc>
          <w:tcPr>
            <w:tcW w:w="632" w:type="pct"/>
            <w:vAlign w:val="center"/>
          </w:tcPr>
          <w:p w14:paraId="2D499E48">
            <w:pPr>
              <w:widowControl/>
              <w:spacing w:line="240" w:lineRule="auto"/>
              <w:ind w:firstLine="0" w:firstLineChars="0"/>
              <w:jc w:val="center"/>
              <w:rPr>
                <w:rFonts w:eastAsia="等线" w:cs="Times New Roman"/>
                <w:kern w:val="0"/>
                <w:sz w:val="18"/>
              </w:rPr>
            </w:pPr>
            <w:r>
              <w:rPr>
                <w:rFonts w:eastAsia="等线" w:cs="Times New Roman"/>
                <w:kern w:val="0"/>
                <w:sz w:val="18"/>
              </w:rPr>
              <w:t>COD</w:t>
            </w:r>
          </w:p>
        </w:tc>
        <w:tc>
          <w:tcPr>
            <w:tcW w:w="570" w:type="pct"/>
            <w:vAlign w:val="center"/>
          </w:tcPr>
          <w:p w14:paraId="7C4A0CC4">
            <w:pPr>
              <w:spacing w:line="240" w:lineRule="auto"/>
              <w:ind w:firstLine="0" w:firstLineChars="0"/>
              <w:jc w:val="center"/>
              <w:rPr>
                <w:rFonts w:eastAsia="等线" w:cs="Times New Roman"/>
                <w:kern w:val="0"/>
                <w:sz w:val="18"/>
              </w:rPr>
            </w:pPr>
            <w:r>
              <w:rPr>
                <w:rFonts w:hint="eastAsia" w:eastAsia="等线" w:cs="Times New Roman"/>
                <w:kern w:val="0"/>
                <w:sz w:val="18"/>
              </w:rPr>
              <w:t>0.060t</w:t>
            </w:r>
            <w:r>
              <w:rPr>
                <w:rFonts w:eastAsia="等线" w:cs="Times New Roman"/>
                <w:kern w:val="0"/>
                <w:sz w:val="18"/>
              </w:rPr>
              <w:t>/</w:t>
            </w:r>
            <w:r>
              <w:rPr>
                <w:rFonts w:hint="eastAsia" w:eastAsia="等线" w:cs="Times New Roman"/>
                <w:kern w:val="0"/>
                <w:sz w:val="18"/>
              </w:rPr>
              <w:t>a</w:t>
            </w:r>
          </w:p>
        </w:tc>
        <w:tc>
          <w:tcPr>
            <w:tcW w:w="540" w:type="pct"/>
            <w:vAlign w:val="center"/>
          </w:tcPr>
          <w:p w14:paraId="3FD8A886">
            <w:pPr>
              <w:adjustRightInd w:val="0"/>
              <w:snapToGrid w:val="0"/>
              <w:spacing w:line="240" w:lineRule="auto"/>
              <w:ind w:firstLine="0" w:firstLineChars="0"/>
              <w:jc w:val="center"/>
              <w:rPr>
                <w:rFonts w:eastAsia="等线" w:cs="Times New Roman"/>
                <w:kern w:val="0"/>
                <w:sz w:val="18"/>
              </w:rPr>
            </w:pPr>
            <w:r>
              <w:rPr>
                <w:rFonts w:hint="eastAsia" w:cs="宋体"/>
                <w:sz w:val="18"/>
                <w:szCs w:val="21"/>
                <w:lang w:bidi="ar"/>
              </w:rPr>
              <w:t>0.061</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530" w:type="pct"/>
            <w:vAlign w:val="center"/>
          </w:tcPr>
          <w:p w14:paraId="75C5F71D">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vAlign w:val="center"/>
          </w:tcPr>
          <w:p w14:paraId="46A61CF4">
            <w:pPr>
              <w:widowControl/>
              <w:spacing w:line="240" w:lineRule="auto"/>
              <w:ind w:firstLine="0" w:firstLineChars="0"/>
              <w:jc w:val="center"/>
              <w:textAlignment w:val="center"/>
              <w:rPr>
                <w:rFonts w:eastAsia="等线" w:cs="Times New Roman"/>
                <w:kern w:val="0"/>
                <w:sz w:val="18"/>
              </w:rPr>
            </w:pPr>
            <w:r>
              <w:rPr>
                <w:rFonts w:eastAsia="等线" w:cs="Times New Roman"/>
                <w:kern w:val="0"/>
                <w:sz w:val="18"/>
              </w:rPr>
              <w:t>/</w:t>
            </w:r>
          </w:p>
        </w:tc>
        <w:tc>
          <w:tcPr>
            <w:tcW w:w="629" w:type="pct"/>
            <w:vAlign w:val="center"/>
          </w:tcPr>
          <w:p w14:paraId="6DB19B93">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1732" w:type="dxa"/>
            <w:vAlign w:val="center"/>
          </w:tcPr>
          <w:p w14:paraId="51AA358F">
            <w:pPr>
              <w:spacing w:line="240" w:lineRule="auto"/>
              <w:ind w:firstLine="0" w:firstLineChars="0"/>
              <w:jc w:val="center"/>
              <w:rPr>
                <w:rFonts w:eastAsia="等线" w:cs="Times New Roman"/>
                <w:kern w:val="0"/>
                <w:sz w:val="18"/>
              </w:rPr>
            </w:pPr>
            <w:r>
              <w:rPr>
                <w:rFonts w:hint="eastAsia" w:eastAsia="等线" w:cs="Times New Roman"/>
                <w:kern w:val="0"/>
                <w:sz w:val="18"/>
              </w:rPr>
              <w:t>0.060t</w:t>
            </w:r>
            <w:r>
              <w:rPr>
                <w:rFonts w:eastAsia="等线" w:cs="Times New Roman"/>
                <w:kern w:val="0"/>
                <w:sz w:val="18"/>
              </w:rPr>
              <w:t>/</w:t>
            </w:r>
            <w:r>
              <w:rPr>
                <w:rFonts w:hint="eastAsia" w:eastAsia="等线" w:cs="Times New Roman"/>
                <w:kern w:val="0"/>
                <w:sz w:val="18"/>
              </w:rPr>
              <w:t>a</w:t>
            </w:r>
          </w:p>
        </w:tc>
        <w:tc>
          <w:tcPr>
            <w:tcW w:w="369" w:type="pct"/>
            <w:vAlign w:val="center"/>
          </w:tcPr>
          <w:p w14:paraId="09D5A32B">
            <w:pPr>
              <w:widowControl/>
              <w:spacing w:line="240" w:lineRule="auto"/>
              <w:ind w:firstLine="0" w:firstLineChars="0"/>
              <w:jc w:val="center"/>
              <w:textAlignment w:val="center"/>
              <w:rPr>
                <w:rFonts w:eastAsia="等线" w:cs="Times New Roman"/>
                <w:kern w:val="0"/>
                <w:sz w:val="18"/>
              </w:rPr>
            </w:pPr>
            <w:r>
              <w:rPr>
                <w:rFonts w:hint="eastAsia" w:eastAsia="等线" w:cs="Times New Roman"/>
                <w:sz w:val="18"/>
              </w:rPr>
              <w:t>0</w:t>
            </w:r>
          </w:p>
        </w:tc>
      </w:tr>
      <w:tr w14:paraId="38803E86">
        <w:trPr>
          <w:trHeight w:val="340" w:hRule="atLeast"/>
        </w:trPr>
        <w:tc>
          <w:tcPr>
            <w:tcW w:w="547" w:type="pct"/>
            <w:vMerge w:val="continue"/>
            <w:vAlign w:val="center"/>
          </w:tcPr>
          <w:p w14:paraId="5601AEFD">
            <w:pPr>
              <w:widowControl/>
              <w:spacing w:line="240" w:lineRule="auto"/>
              <w:ind w:firstLine="0" w:firstLineChars="0"/>
              <w:jc w:val="center"/>
              <w:rPr>
                <w:rFonts w:eastAsia="等线" w:cs="Times New Roman"/>
                <w:kern w:val="0"/>
                <w:sz w:val="18"/>
              </w:rPr>
            </w:pPr>
          </w:p>
        </w:tc>
        <w:tc>
          <w:tcPr>
            <w:tcW w:w="632" w:type="pct"/>
            <w:noWrap/>
            <w:vAlign w:val="center"/>
          </w:tcPr>
          <w:p w14:paraId="19A2FEEC">
            <w:pPr>
              <w:widowControl/>
              <w:spacing w:line="240" w:lineRule="auto"/>
              <w:ind w:firstLine="0" w:firstLineChars="0"/>
              <w:jc w:val="center"/>
              <w:rPr>
                <w:rFonts w:eastAsia="等线" w:cs="Times New Roman"/>
                <w:kern w:val="0"/>
                <w:sz w:val="18"/>
              </w:rPr>
            </w:pPr>
            <w:r>
              <w:rPr>
                <w:rFonts w:eastAsia="等线" w:cs="Times New Roman"/>
                <w:kern w:val="0"/>
                <w:sz w:val="18"/>
              </w:rPr>
              <w:t>NH</w:t>
            </w:r>
            <w:r>
              <w:rPr>
                <w:rFonts w:eastAsia="等线" w:cs="Times New Roman"/>
                <w:kern w:val="0"/>
                <w:sz w:val="18"/>
                <w:vertAlign w:val="subscript"/>
              </w:rPr>
              <w:t>3</w:t>
            </w:r>
            <w:r>
              <w:rPr>
                <w:rFonts w:eastAsia="等线" w:cs="Times New Roman"/>
                <w:kern w:val="0"/>
                <w:sz w:val="18"/>
              </w:rPr>
              <w:t>-N</w:t>
            </w:r>
          </w:p>
        </w:tc>
        <w:tc>
          <w:tcPr>
            <w:tcW w:w="570" w:type="pct"/>
            <w:vAlign w:val="center"/>
          </w:tcPr>
          <w:p w14:paraId="1D1A6380">
            <w:pPr>
              <w:spacing w:line="240" w:lineRule="auto"/>
              <w:ind w:firstLine="0" w:firstLineChars="0"/>
              <w:jc w:val="center"/>
              <w:rPr>
                <w:rFonts w:eastAsia="等线" w:cs="Times New Roman"/>
                <w:kern w:val="0"/>
                <w:sz w:val="18"/>
              </w:rPr>
            </w:pPr>
            <w:r>
              <w:rPr>
                <w:rFonts w:hint="eastAsia" w:eastAsia="等线" w:cs="Times New Roman"/>
                <w:kern w:val="0"/>
                <w:sz w:val="18"/>
              </w:rPr>
              <w:t>0.003t</w:t>
            </w:r>
            <w:r>
              <w:rPr>
                <w:rFonts w:eastAsia="等线" w:cs="Times New Roman"/>
                <w:kern w:val="0"/>
                <w:sz w:val="18"/>
              </w:rPr>
              <w:t>/</w:t>
            </w:r>
            <w:r>
              <w:rPr>
                <w:rFonts w:hint="eastAsia" w:eastAsia="等线" w:cs="Times New Roman"/>
                <w:kern w:val="0"/>
                <w:sz w:val="18"/>
              </w:rPr>
              <w:t>a</w:t>
            </w:r>
          </w:p>
        </w:tc>
        <w:tc>
          <w:tcPr>
            <w:tcW w:w="540" w:type="pct"/>
            <w:vAlign w:val="center"/>
          </w:tcPr>
          <w:p w14:paraId="1867EF15">
            <w:pPr>
              <w:adjustRightInd w:val="0"/>
              <w:snapToGrid w:val="0"/>
              <w:spacing w:line="240" w:lineRule="auto"/>
              <w:ind w:firstLine="0" w:firstLineChars="0"/>
              <w:jc w:val="center"/>
              <w:rPr>
                <w:rFonts w:eastAsia="等线" w:cs="Times New Roman"/>
                <w:kern w:val="0"/>
                <w:sz w:val="18"/>
              </w:rPr>
            </w:pPr>
            <w:r>
              <w:rPr>
                <w:rFonts w:hint="eastAsia" w:cs="宋体"/>
                <w:sz w:val="18"/>
                <w:szCs w:val="21"/>
                <w:lang w:bidi="ar"/>
              </w:rPr>
              <w:t>0.003</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530" w:type="pct"/>
            <w:vAlign w:val="center"/>
          </w:tcPr>
          <w:p w14:paraId="664BBA57">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vAlign w:val="center"/>
          </w:tcPr>
          <w:p w14:paraId="023880EA">
            <w:pPr>
              <w:widowControl/>
              <w:spacing w:line="240" w:lineRule="auto"/>
              <w:ind w:firstLine="0" w:firstLineChars="0"/>
              <w:jc w:val="center"/>
              <w:textAlignment w:val="center"/>
              <w:rPr>
                <w:rFonts w:eastAsia="等线" w:cs="Times New Roman"/>
                <w:kern w:val="0"/>
                <w:sz w:val="18"/>
              </w:rPr>
            </w:pPr>
            <w:r>
              <w:rPr>
                <w:rFonts w:eastAsia="等线" w:cs="Times New Roman"/>
                <w:kern w:val="0"/>
                <w:sz w:val="18"/>
              </w:rPr>
              <w:t>/</w:t>
            </w:r>
          </w:p>
        </w:tc>
        <w:tc>
          <w:tcPr>
            <w:tcW w:w="629" w:type="pct"/>
            <w:vAlign w:val="center"/>
          </w:tcPr>
          <w:p w14:paraId="4CB6344C">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1732" w:type="dxa"/>
            <w:vAlign w:val="center"/>
          </w:tcPr>
          <w:p w14:paraId="050136A9">
            <w:pPr>
              <w:spacing w:line="240" w:lineRule="auto"/>
              <w:ind w:firstLine="0" w:firstLineChars="0"/>
              <w:jc w:val="center"/>
              <w:rPr>
                <w:rFonts w:eastAsia="等线" w:cs="Times New Roman"/>
                <w:kern w:val="0"/>
                <w:sz w:val="18"/>
              </w:rPr>
            </w:pPr>
            <w:r>
              <w:rPr>
                <w:rFonts w:hint="eastAsia" w:eastAsia="等线" w:cs="Times New Roman"/>
                <w:kern w:val="0"/>
                <w:sz w:val="18"/>
              </w:rPr>
              <w:t>0.003t</w:t>
            </w:r>
            <w:r>
              <w:rPr>
                <w:rFonts w:eastAsia="等线" w:cs="Times New Roman"/>
                <w:kern w:val="0"/>
                <w:sz w:val="18"/>
              </w:rPr>
              <w:t>/</w:t>
            </w:r>
            <w:r>
              <w:rPr>
                <w:rFonts w:hint="eastAsia" w:eastAsia="等线" w:cs="Times New Roman"/>
                <w:kern w:val="0"/>
                <w:sz w:val="18"/>
              </w:rPr>
              <w:t>a</w:t>
            </w:r>
          </w:p>
        </w:tc>
        <w:tc>
          <w:tcPr>
            <w:tcW w:w="369" w:type="pct"/>
            <w:vAlign w:val="center"/>
          </w:tcPr>
          <w:p w14:paraId="1A9A9CDB">
            <w:pPr>
              <w:widowControl/>
              <w:spacing w:line="240" w:lineRule="auto"/>
              <w:ind w:firstLine="0" w:firstLineChars="0"/>
              <w:jc w:val="center"/>
              <w:textAlignment w:val="center"/>
              <w:rPr>
                <w:rFonts w:eastAsia="等线" w:cs="Times New Roman"/>
                <w:kern w:val="0"/>
                <w:sz w:val="18"/>
              </w:rPr>
            </w:pPr>
            <w:r>
              <w:rPr>
                <w:rFonts w:hint="eastAsia" w:eastAsia="等线" w:cs="Times New Roman"/>
                <w:sz w:val="18"/>
              </w:rPr>
              <w:t>0</w:t>
            </w:r>
          </w:p>
        </w:tc>
      </w:tr>
      <w:tr w14:paraId="6177365F">
        <w:trPr>
          <w:trHeight w:val="340" w:hRule="atLeast"/>
        </w:trPr>
        <w:tc>
          <w:tcPr>
            <w:tcW w:w="547" w:type="pct"/>
            <w:vMerge w:val="restart"/>
            <w:vAlign w:val="center"/>
          </w:tcPr>
          <w:p w14:paraId="2AEB60AA">
            <w:pPr>
              <w:widowControl/>
              <w:spacing w:line="240" w:lineRule="auto"/>
              <w:ind w:firstLine="0" w:firstLineChars="0"/>
              <w:jc w:val="center"/>
              <w:rPr>
                <w:rFonts w:eastAsia="等线" w:cs="Times New Roman"/>
                <w:kern w:val="0"/>
                <w:sz w:val="18"/>
              </w:rPr>
            </w:pPr>
            <w:r>
              <w:rPr>
                <w:rFonts w:cs="Times New Roman"/>
                <w:kern w:val="0"/>
                <w:sz w:val="18"/>
              </w:rPr>
              <w:t>一般工业固体废物</w:t>
            </w:r>
          </w:p>
        </w:tc>
        <w:tc>
          <w:tcPr>
            <w:tcW w:w="632" w:type="pct"/>
            <w:vAlign w:val="center"/>
          </w:tcPr>
          <w:p w14:paraId="22E82643">
            <w:pPr>
              <w:widowControl/>
              <w:spacing w:line="240" w:lineRule="auto"/>
              <w:ind w:firstLine="0" w:firstLineChars="0"/>
              <w:jc w:val="center"/>
              <w:rPr>
                <w:rFonts w:eastAsia="等线" w:cs="Times New Roman"/>
                <w:kern w:val="0"/>
                <w:sz w:val="18"/>
              </w:rPr>
            </w:pPr>
            <w:r>
              <w:rPr>
                <w:rFonts w:hint="eastAsia" w:cs="Times New Roman"/>
                <w:kern w:val="0"/>
                <w:sz w:val="18"/>
              </w:rPr>
              <w:t>废边角料</w:t>
            </w:r>
          </w:p>
        </w:tc>
        <w:tc>
          <w:tcPr>
            <w:tcW w:w="570" w:type="pct"/>
            <w:vAlign w:val="center"/>
          </w:tcPr>
          <w:p w14:paraId="3F109D46">
            <w:pPr>
              <w:widowControl/>
              <w:spacing w:line="240" w:lineRule="auto"/>
              <w:ind w:firstLine="0" w:firstLineChars="0"/>
              <w:jc w:val="center"/>
              <w:rPr>
                <w:rFonts w:eastAsia="等线" w:cs="Times New Roman"/>
                <w:kern w:val="0"/>
                <w:sz w:val="18"/>
              </w:rPr>
            </w:pPr>
            <w:r>
              <w:rPr>
                <w:rFonts w:hint="eastAsia" w:eastAsia="等线" w:cs="Times New Roman"/>
                <w:kern w:val="0"/>
                <w:sz w:val="18"/>
              </w:rPr>
              <w:t>8t/a</w:t>
            </w:r>
          </w:p>
        </w:tc>
        <w:tc>
          <w:tcPr>
            <w:tcW w:w="540" w:type="pct"/>
            <w:vAlign w:val="center"/>
          </w:tcPr>
          <w:p w14:paraId="7B6E6476">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vAlign w:val="center"/>
          </w:tcPr>
          <w:p w14:paraId="5511017F">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vAlign w:val="center"/>
          </w:tcPr>
          <w:p w14:paraId="08733E15">
            <w:pPr>
              <w:spacing w:line="240" w:lineRule="auto"/>
              <w:ind w:firstLine="0" w:firstLineChars="0"/>
              <w:jc w:val="center"/>
              <w:rPr>
                <w:rFonts w:eastAsia="等线" w:cs="Times New Roman"/>
                <w:kern w:val="0"/>
                <w:sz w:val="18"/>
              </w:rPr>
            </w:pPr>
            <w:r>
              <w:rPr>
                <w:rFonts w:hint="eastAsia" w:eastAsia="等线" w:cs="Times New Roman"/>
                <w:kern w:val="0"/>
                <w:sz w:val="18"/>
              </w:rPr>
              <w:t>8t/a</w:t>
            </w:r>
          </w:p>
        </w:tc>
        <w:tc>
          <w:tcPr>
            <w:tcW w:w="629" w:type="pct"/>
            <w:vAlign w:val="center"/>
          </w:tcPr>
          <w:p w14:paraId="4821500B">
            <w:pPr>
              <w:widowControl/>
              <w:spacing w:line="240" w:lineRule="auto"/>
              <w:ind w:firstLine="0" w:firstLineChars="0"/>
              <w:jc w:val="center"/>
              <w:rPr>
                <w:rFonts w:eastAsia="等线" w:cs="Times New Roman"/>
                <w:kern w:val="0"/>
                <w:sz w:val="18"/>
              </w:rPr>
            </w:pPr>
            <w:r>
              <w:rPr>
                <w:rFonts w:hint="eastAsia" w:eastAsia="等线" w:cs="Times New Roman"/>
                <w:kern w:val="0"/>
                <w:sz w:val="18"/>
              </w:rPr>
              <w:t>8t/a</w:t>
            </w:r>
          </w:p>
        </w:tc>
        <w:tc>
          <w:tcPr>
            <w:tcW w:w="643" w:type="pct"/>
            <w:vAlign w:val="center"/>
          </w:tcPr>
          <w:p w14:paraId="41089A7A">
            <w:pPr>
              <w:widowControl/>
              <w:spacing w:line="240" w:lineRule="auto"/>
              <w:ind w:firstLine="0" w:firstLineChars="0"/>
              <w:jc w:val="center"/>
              <w:rPr>
                <w:rFonts w:eastAsia="等线" w:cs="Times New Roman"/>
                <w:kern w:val="0"/>
                <w:sz w:val="18"/>
              </w:rPr>
            </w:pPr>
            <w:r>
              <w:rPr>
                <w:rFonts w:hint="eastAsia" w:eastAsia="等线" w:cs="Times New Roman"/>
                <w:kern w:val="0"/>
                <w:sz w:val="18"/>
              </w:rPr>
              <w:t>8t/a</w:t>
            </w:r>
          </w:p>
        </w:tc>
        <w:tc>
          <w:tcPr>
            <w:tcW w:w="369" w:type="pct"/>
            <w:vAlign w:val="center"/>
          </w:tcPr>
          <w:p w14:paraId="021B040E">
            <w:pPr>
              <w:spacing w:line="240" w:lineRule="auto"/>
              <w:ind w:firstLine="0" w:firstLineChars="0"/>
              <w:jc w:val="center"/>
              <w:rPr>
                <w:rFonts w:eastAsia="等线" w:cs="Times New Roman"/>
                <w:kern w:val="0"/>
                <w:sz w:val="18"/>
              </w:rPr>
            </w:pPr>
            <w:r>
              <w:rPr>
                <w:rFonts w:hint="eastAsia" w:eastAsia="等线" w:cs="Times New Roman"/>
                <w:sz w:val="18"/>
              </w:rPr>
              <w:t>0</w:t>
            </w:r>
          </w:p>
        </w:tc>
      </w:tr>
      <w:tr w14:paraId="20BF0AC3">
        <w:trPr>
          <w:trHeight w:val="340" w:hRule="atLeast"/>
        </w:trPr>
        <w:tc>
          <w:tcPr>
            <w:tcW w:w="547" w:type="pct"/>
            <w:vMerge w:val="continue"/>
            <w:vAlign w:val="center"/>
          </w:tcPr>
          <w:p w14:paraId="356DB793">
            <w:pPr>
              <w:widowControl/>
              <w:spacing w:line="240" w:lineRule="auto"/>
              <w:ind w:firstLine="0" w:firstLineChars="0"/>
              <w:jc w:val="center"/>
              <w:rPr>
                <w:rFonts w:cs="Times New Roman"/>
                <w:kern w:val="0"/>
                <w:sz w:val="18"/>
              </w:rPr>
            </w:pPr>
          </w:p>
        </w:tc>
        <w:tc>
          <w:tcPr>
            <w:tcW w:w="632" w:type="pct"/>
            <w:vAlign w:val="center"/>
          </w:tcPr>
          <w:p w14:paraId="4D2863CF">
            <w:pPr>
              <w:widowControl/>
              <w:spacing w:line="240" w:lineRule="auto"/>
              <w:ind w:firstLine="0" w:firstLineChars="0"/>
              <w:jc w:val="center"/>
              <w:rPr>
                <w:rFonts w:cs="Times New Roman"/>
                <w:kern w:val="0"/>
                <w:sz w:val="18"/>
              </w:rPr>
            </w:pPr>
            <w:r>
              <w:rPr>
                <w:rFonts w:hint="eastAsia" w:cs="Times New Roman"/>
                <w:kern w:val="0"/>
                <w:sz w:val="18"/>
              </w:rPr>
              <w:t>废包装袋</w:t>
            </w:r>
          </w:p>
        </w:tc>
        <w:tc>
          <w:tcPr>
            <w:tcW w:w="570" w:type="pct"/>
            <w:vAlign w:val="center"/>
          </w:tcPr>
          <w:p w14:paraId="2189DB23">
            <w:pPr>
              <w:widowControl/>
              <w:spacing w:line="240" w:lineRule="auto"/>
              <w:ind w:firstLine="0" w:firstLineChars="0"/>
              <w:jc w:val="center"/>
              <w:rPr>
                <w:rFonts w:eastAsia="等线" w:cs="Times New Roman"/>
                <w:kern w:val="0"/>
                <w:sz w:val="18"/>
              </w:rPr>
            </w:pPr>
            <w:r>
              <w:rPr>
                <w:rFonts w:hint="eastAsia" w:eastAsia="等线" w:cs="Times New Roman"/>
                <w:kern w:val="0"/>
                <w:sz w:val="18"/>
              </w:rPr>
              <w:t>0.05t/a</w:t>
            </w:r>
          </w:p>
        </w:tc>
        <w:tc>
          <w:tcPr>
            <w:tcW w:w="540" w:type="pct"/>
            <w:vAlign w:val="center"/>
          </w:tcPr>
          <w:p w14:paraId="40A88683">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vAlign w:val="center"/>
          </w:tcPr>
          <w:p w14:paraId="1C3D1D4B">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vAlign w:val="center"/>
          </w:tcPr>
          <w:p w14:paraId="6F998795">
            <w:pPr>
              <w:spacing w:line="240" w:lineRule="auto"/>
              <w:ind w:firstLine="0" w:firstLineChars="0"/>
              <w:jc w:val="center"/>
              <w:rPr>
                <w:rFonts w:eastAsia="等线" w:cs="Times New Roman"/>
                <w:kern w:val="0"/>
                <w:sz w:val="18"/>
              </w:rPr>
            </w:pPr>
            <w:r>
              <w:rPr>
                <w:rFonts w:hint="eastAsia" w:eastAsia="等线" w:cs="Times New Roman"/>
                <w:sz w:val="18"/>
              </w:rPr>
              <w:t>0.1t/a</w:t>
            </w:r>
          </w:p>
        </w:tc>
        <w:tc>
          <w:tcPr>
            <w:tcW w:w="629" w:type="pct"/>
            <w:vAlign w:val="center"/>
          </w:tcPr>
          <w:p w14:paraId="6FF347F3">
            <w:pPr>
              <w:widowControl/>
              <w:spacing w:line="240" w:lineRule="auto"/>
              <w:ind w:firstLine="0" w:firstLineChars="0"/>
              <w:jc w:val="center"/>
              <w:rPr>
                <w:rFonts w:eastAsia="等线" w:cs="Times New Roman"/>
                <w:kern w:val="0"/>
                <w:sz w:val="18"/>
              </w:rPr>
            </w:pPr>
            <w:r>
              <w:rPr>
                <w:rFonts w:hint="eastAsia" w:eastAsia="等线" w:cs="Times New Roman"/>
                <w:kern w:val="0"/>
                <w:sz w:val="18"/>
              </w:rPr>
              <w:t>0.05t/a</w:t>
            </w:r>
          </w:p>
        </w:tc>
        <w:tc>
          <w:tcPr>
            <w:tcW w:w="643" w:type="pct"/>
            <w:vAlign w:val="center"/>
          </w:tcPr>
          <w:p w14:paraId="631C39F9">
            <w:pPr>
              <w:widowControl/>
              <w:spacing w:line="240" w:lineRule="auto"/>
              <w:ind w:firstLine="0" w:firstLineChars="0"/>
              <w:jc w:val="center"/>
              <w:rPr>
                <w:rFonts w:eastAsia="等线" w:cs="Times New Roman"/>
                <w:kern w:val="0"/>
                <w:sz w:val="18"/>
              </w:rPr>
            </w:pPr>
            <w:r>
              <w:rPr>
                <w:rFonts w:hint="eastAsia" w:eastAsia="等线" w:cs="Times New Roman"/>
                <w:sz w:val="18"/>
              </w:rPr>
              <w:t>0.1t/a</w:t>
            </w:r>
          </w:p>
        </w:tc>
        <w:tc>
          <w:tcPr>
            <w:tcW w:w="369" w:type="pct"/>
            <w:vAlign w:val="center"/>
          </w:tcPr>
          <w:p w14:paraId="4CE8F9AC">
            <w:pPr>
              <w:spacing w:line="240" w:lineRule="auto"/>
              <w:ind w:firstLine="0" w:firstLineChars="0"/>
              <w:jc w:val="center"/>
              <w:rPr>
                <w:rFonts w:eastAsia="等线" w:cs="Times New Roman"/>
                <w:kern w:val="0"/>
                <w:sz w:val="18"/>
              </w:rPr>
            </w:pPr>
            <w:r>
              <w:rPr>
                <w:rFonts w:hint="eastAsia" w:eastAsia="等线" w:cs="Times New Roman"/>
                <w:sz w:val="18"/>
              </w:rPr>
              <w:t>+0.05</w:t>
            </w:r>
          </w:p>
        </w:tc>
      </w:tr>
      <w:tr w14:paraId="1340CD04">
        <w:trPr>
          <w:trHeight w:val="340" w:hRule="atLeast"/>
        </w:trPr>
        <w:tc>
          <w:tcPr>
            <w:tcW w:w="547" w:type="pct"/>
            <w:vMerge w:val="continue"/>
            <w:vAlign w:val="center"/>
          </w:tcPr>
          <w:p w14:paraId="5C0C950F">
            <w:pPr>
              <w:widowControl/>
              <w:spacing w:line="240" w:lineRule="auto"/>
              <w:ind w:firstLine="0" w:firstLineChars="0"/>
              <w:jc w:val="center"/>
              <w:rPr>
                <w:rFonts w:cs="Times New Roman"/>
                <w:kern w:val="0"/>
                <w:sz w:val="18"/>
              </w:rPr>
            </w:pPr>
          </w:p>
        </w:tc>
        <w:tc>
          <w:tcPr>
            <w:tcW w:w="632" w:type="pct"/>
            <w:vAlign w:val="center"/>
          </w:tcPr>
          <w:p w14:paraId="69BF3F75">
            <w:pPr>
              <w:widowControl/>
              <w:spacing w:line="240" w:lineRule="auto"/>
              <w:ind w:firstLine="0" w:firstLineChars="0"/>
              <w:jc w:val="center"/>
              <w:rPr>
                <w:rFonts w:cs="Times New Roman"/>
                <w:kern w:val="0"/>
                <w:sz w:val="18"/>
              </w:rPr>
            </w:pPr>
            <w:r>
              <w:rPr>
                <w:rFonts w:hint="eastAsia" w:cs="Times New Roman"/>
                <w:kern w:val="0"/>
                <w:sz w:val="18"/>
              </w:rPr>
              <w:t>除尘器收集的粉尘</w:t>
            </w:r>
          </w:p>
        </w:tc>
        <w:tc>
          <w:tcPr>
            <w:tcW w:w="570" w:type="pct"/>
            <w:vAlign w:val="center"/>
          </w:tcPr>
          <w:p w14:paraId="68F251A1">
            <w:pPr>
              <w:widowControl/>
              <w:spacing w:line="240" w:lineRule="auto"/>
              <w:ind w:firstLine="0" w:firstLineChars="0"/>
              <w:jc w:val="center"/>
              <w:rPr>
                <w:rFonts w:eastAsia="等线" w:cs="Times New Roman"/>
                <w:kern w:val="0"/>
                <w:sz w:val="18"/>
              </w:rPr>
            </w:pPr>
            <w:r>
              <w:rPr>
                <w:rFonts w:hint="eastAsia" w:eastAsia="等线" w:cs="Times New Roman"/>
                <w:kern w:val="0"/>
                <w:sz w:val="18"/>
              </w:rPr>
              <w:t>0.5t/a</w:t>
            </w:r>
          </w:p>
        </w:tc>
        <w:tc>
          <w:tcPr>
            <w:tcW w:w="540" w:type="pct"/>
            <w:vAlign w:val="center"/>
          </w:tcPr>
          <w:p w14:paraId="33327D6F">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vAlign w:val="center"/>
          </w:tcPr>
          <w:p w14:paraId="3302CD0A">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vAlign w:val="center"/>
          </w:tcPr>
          <w:p w14:paraId="0D80B793">
            <w:pPr>
              <w:spacing w:line="240" w:lineRule="auto"/>
              <w:ind w:firstLine="0" w:firstLineChars="0"/>
              <w:jc w:val="center"/>
              <w:rPr>
                <w:rFonts w:eastAsia="等线" w:cs="Times New Roman"/>
                <w:sz w:val="18"/>
              </w:rPr>
            </w:pPr>
            <w:r>
              <w:rPr>
                <w:rFonts w:hint="eastAsia" w:eastAsia="等线" w:cs="Times New Roman"/>
                <w:kern w:val="0"/>
                <w:sz w:val="18"/>
              </w:rPr>
              <w:t>0.5t/a</w:t>
            </w:r>
          </w:p>
        </w:tc>
        <w:tc>
          <w:tcPr>
            <w:tcW w:w="629" w:type="pct"/>
            <w:vAlign w:val="center"/>
          </w:tcPr>
          <w:p w14:paraId="1E0F4C0F">
            <w:pPr>
              <w:widowControl/>
              <w:spacing w:line="240" w:lineRule="auto"/>
              <w:ind w:firstLine="0" w:firstLineChars="0"/>
              <w:jc w:val="center"/>
              <w:rPr>
                <w:rFonts w:eastAsia="等线" w:cs="Times New Roman"/>
                <w:kern w:val="0"/>
                <w:sz w:val="18"/>
              </w:rPr>
            </w:pPr>
            <w:r>
              <w:rPr>
                <w:rFonts w:hint="eastAsia" w:eastAsia="等线" w:cs="Times New Roman"/>
                <w:kern w:val="0"/>
                <w:sz w:val="18"/>
              </w:rPr>
              <w:t>0.5t/a</w:t>
            </w:r>
          </w:p>
        </w:tc>
        <w:tc>
          <w:tcPr>
            <w:tcW w:w="643" w:type="pct"/>
            <w:vAlign w:val="center"/>
          </w:tcPr>
          <w:p w14:paraId="4BE5A421">
            <w:pPr>
              <w:widowControl/>
              <w:spacing w:line="240" w:lineRule="auto"/>
              <w:ind w:firstLine="0" w:firstLineChars="0"/>
              <w:jc w:val="center"/>
              <w:rPr>
                <w:rFonts w:eastAsia="等线" w:cs="Times New Roman"/>
                <w:kern w:val="0"/>
                <w:sz w:val="18"/>
              </w:rPr>
            </w:pPr>
            <w:r>
              <w:rPr>
                <w:rFonts w:hint="eastAsia" w:eastAsia="等线" w:cs="Times New Roman"/>
                <w:kern w:val="0"/>
                <w:sz w:val="18"/>
              </w:rPr>
              <w:t>0.5t/a</w:t>
            </w:r>
          </w:p>
        </w:tc>
        <w:tc>
          <w:tcPr>
            <w:tcW w:w="369" w:type="pct"/>
            <w:vAlign w:val="center"/>
          </w:tcPr>
          <w:p w14:paraId="43D6672C">
            <w:pPr>
              <w:spacing w:line="240" w:lineRule="auto"/>
              <w:ind w:firstLine="0" w:firstLineChars="0"/>
              <w:jc w:val="center"/>
              <w:rPr>
                <w:rFonts w:eastAsia="等线" w:cs="Times New Roman"/>
                <w:sz w:val="18"/>
              </w:rPr>
            </w:pPr>
            <w:r>
              <w:rPr>
                <w:rFonts w:hint="eastAsia" w:eastAsia="等线" w:cs="Times New Roman"/>
                <w:sz w:val="18"/>
              </w:rPr>
              <w:t>0</w:t>
            </w:r>
          </w:p>
        </w:tc>
      </w:tr>
      <w:tr w14:paraId="76CFCA15">
        <w:trPr>
          <w:trHeight w:val="340" w:hRule="atLeast"/>
        </w:trPr>
        <w:tc>
          <w:tcPr>
            <w:tcW w:w="547" w:type="pct"/>
            <w:vMerge w:val="continue"/>
            <w:vAlign w:val="center"/>
          </w:tcPr>
          <w:p w14:paraId="3805D79D">
            <w:pPr>
              <w:widowControl/>
              <w:spacing w:line="240" w:lineRule="auto"/>
              <w:ind w:firstLine="0" w:firstLineChars="0"/>
              <w:jc w:val="center"/>
              <w:rPr>
                <w:rFonts w:cs="Times New Roman"/>
                <w:kern w:val="0"/>
                <w:sz w:val="18"/>
              </w:rPr>
            </w:pPr>
          </w:p>
        </w:tc>
        <w:tc>
          <w:tcPr>
            <w:tcW w:w="632" w:type="pct"/>
            <w:vAlign w:val="center"/>
          </w:tcPr>
          <w:p w14:paraId="532D6E9C">
            <w:pPr>
              <w:widowControl/>
              <w:spacing w:line="240" w:lineRule="auto"/>
              <w:ind w:firstLine="0" w:firstLineChars="0"/>
              <w:jc w:val="center"/>
              <w:rPr>
                <w:rFonts w:cs="Times New Roman"/>
                <w:kern w:val="0"/>
                <w:sz w:val="18"/>
              </w:rPr>
            </w:pPr>
            <w:r>
              <w:rPr>
                <w:rFonts w:hint="eastAsia" w:cs="Times New Roman"/>
                <w:kern w:val="0"/>
                <w:sz w:val="18"/>
              </w:rPr>
              <w:t>沉渣</w:t>
            </w:r>
          </w:p>
        </w:tc>
        <w:tc>
          <w:tcPr>
            <w:tcW w:w="570" w:type="pct"/>
            <w:vAlign w:val="center"/>
          </w:tcPr>
          <w:p w14:paraId="10F948F1">
            <w:pPr>
              <w:widowControl/>
              <w:spacing w:line="240" w:lineRule="auto"/>
              <w:ind w:firstLine="0" w:firstLineChars="0"/>
              <w:jc w:val="center"/>
              <w:rPr>
                <w:rFonts w:eastAsia="等线" w:cs="Times New Roman"/>
                <w:kern w:val="0"/>
                <w:sz w:val="18"/>
              </w:rPr>
            </w:pPr>
            <w:r>
              <w:rPr>
                <w:rFonts w:hint="eastAsia" w:eastAsia="等线" w:cs="Times New Roman"/>
                <w:kern w:val="0"/>
                <w:sz w:val="18"/>
              </w:rPr>
              <w:t>0.5t/a</w:t>
            </w:r>
          </w:p>
        </w:tc>
        <w:tc>
          <w:tcPr>
            <w:tcW w:w="540" w:type="pct"/>
            <w:vAlign w:val="center"/>
          </w:tcPr>
          <w:p w14:paraId="466FF91A">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vAlign w:val="center"/>
          </w:tcPr>
          <w:p w14:paraId="50B43316">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vAlign w:val="center"/>
          </w:tcPr>
          <w:p w14:paraId="2C18A843">
            <w:pPr>
              <w:spacing w:line="240" w:lineRule="auto"/>
              <w:ind w:firstLine="0" w:firstLineChars="0"/>
              <w:jc w:val="center"/>
              <w:rPr>
                <w:rFonts w:eastAsia="等线" w:cs="Times New Roman"/>
                <w:kern w:val="0"/>
                <w:sz w:val="18"/>
              </w:rPr>
            </w:pPr>
            <w:r>
              <w:rPr>
                <w:rFonts w:hint="eastAsia" w:eastAsia="等线" w:cs="Times New Roman"/>
                <w:kern w:val="0"/>
                <w:sz w:val="18"/>
              </w:rPr>
              <w:t>0.5t/a</w:t>
            </w:r>
          </w:p>
        </w:tc>
        <w:tc>
          <w:tcPr>
            <w:tcW w:w="629" w:type="pct"/>
            <w:vAlign w:val="center"/>
          </w:tcPr>
          <w:p w14:paraId="48FBE0F0">
            <w:pPr>
              <w:widowControl/>
              <w:spacing w:line="240" w:lineRule="auto"/>
              <w:ind w:firstLine="0" w:firstLineChars="0"/>
              <w:jc w:val="center"/>
              <w:rPr>
                <w:rFonts w:eastAsia="等线" w:cs="Times New Roman"/>
                <w:kern w:val="0"/>
                <w:sz w:val="18"/>
              </w:rPr>
            </w:pPr>
            <w:r>
              <w:rPr>
                <w:rFonts w:hint="eastAsia" w:eastAsia="等线" w:cs="Times New Roman"/>
                <w:kern w:val="0"/>
                <w:sz w:val="18"/>
              </w:rPr>
              <w:t>0.5t/a</w:t>
            </w:r>
          </w:p>
        </w:tc>
        <w:tc>
          <w:tcPr>
            <w:tcW w:w="643" w:type="pct"/>
            <w:vAlign w:val="center"/>
          </w:tcPr>
          <w:p w14:paraId="01F145C9">
            <w:pPr>
              <w:widowControl/>
              <w:spacing w:line="240" w:lineRule="auto"/>
              <w:ind w:firstLine="0" w:firstLineChars="0"/>
              <w:jc w:val="center"/>
              <w:rPr>
                <w:rFonts w:eastAsia="等线" w:cs="Times New Roman"/>
                <w:kern w:val="0"/>
                <w:sz w:val="18"/>
              </w:rPr>
            </w:pPr>
            <w:r>
              <w:rPr>
                <w:rFonts w:hint="eastAsia" w:eastAsia="等线" w:cs="Times New Roman"/>
                <w:kern w:val="0"/>
                <w:sz w:val="18"/>
              </w:rPr>
              <w:t>0.5t/a</w:t>
            </w:r>
          </w:p>
        </w:tc>
        <w:tc>
          <w:tcPr>
            <w:tcW w:w="369" w:type="pct"/>
            <w:vAlign w:val="center"/>
          </w:tcPr>
          <w:p w14:paraId="200EE765">
            <w:pPr>
              <w:spacing w:line="240" w:lineRule="auto"/>
              <w:ind w:firstLine="0" w:firstLineChars="0"/>
              <w:jc w:val="center"/>
              <w:rPr>
                <w:rFonts w:eastAsia="等线" w:cs="Times New Roman"/>
                <w:sz w:val="18"/>
              </w:rPr>
            </w:pPr>
            <w:r>
              <w:rPr>
                <w:rFonts w:hint="eastAsia" w:eastAsia="等线" w:cs="Times New Roman"/>
                <w:sz w:val="18"/>
              </w:rPr>
              <w:t>0</w:t>
            </w:r>
          </w:p>
        </w:tc>
      </w:tr>
      <w:tr w14:paraId="311C5D50">
        <w:trPr>
          <w:trHeight w:val="340" w:hRule="atLeast"/>
        </w:trPr>
        <w:tc>
          <w:tcPr>
            <w:tcW w:w="547" w:type="pct"/>
            <w:vMerge w:val="restart"/>
            <w:vAlign w:val="center"/>
          </w:tcPr>
          <w:p w14:paraId="1C8887E9">
            <w:pPr>
              <w:widowControl/>
              <w:spacing w:line="240" w:lineRule="auto"/>
              <w:ind w:firstLine="0" w:firstLineChars="0"/>
              <w:jc w:val="center"/>
              <w:rPr>
                <w:rFonts w:eastAsia="等线" w:cs="Times New Roman"/>
                <w:kern w:val="0"/>
                <w:sz w:val="18"/>
              </w:rPr>
            </w:pPr>
            <w:r>
              <w:rPr>
                <w:rFonts w:cs="Times New Roman"/>
                <w:kern w:val="0"/>
                <w:sz w:val="18"/>
              </w:rPr>
              <w:t>危险废物</w:t>
            </w:r>
          </w:p>
        </w:tc>
        <w:tc>
          <w:tcPr>
            <w:tcW w:w="632" w:type="pct"/>
            <w:vAlign w:val="center"/>
          </w:tcPr>
          <w:p w14:paraId="3CD2A7EC">
            <w:pPr>
              <w:spacing w:line="240" w:lineRule="auto"/>
              <w:ind w:firstLine="0" w:firstLineChars="0"/>
              <w:jc w:val="center"/>
              <w:rPr>
                <w:rFonts w:eastAsia="等线" w:cs="Times New Roman"/>
                <w:kern w:val="0"/>
                <w:sz w:val="18"/>
              </w:rPr>
            </w:pPr>
            <w:r>
              <w:rPr>
                <w:rFonts w:hint="eastAsia" w:cs="Times New Roman"/>
                <w:sz w:val="18"/>
              </w:rPr>
              <w:t>废活性炭</w:t>
            </w:r>
          </w:p>
        </w:tc>
        <w:tc>
          <w:tcPr>
            <w:tcW w:w="570" w:type="pct"/>
            <w:noWrap/>
            <w:vAlign w:val="center"/>
          </w:tcPr>
          <w:p w14:paraId="7880DE00">
            <w:pPr>
              <w:widowControl/>
              <w:spacing w:line="240" w:lineRule="auto"/>
              <w:ind w:firstLine="0" w:firstLineChars="0"/>
              <w:jc w:val="center"/>
              <w:rPr>
                <w:rFonts w:eastAsia="等线" w:cs="Times New Roman"/>
                <w:kern w:val="0"/>
                <w:sz w:val="18"/>
              </w:rPr>
            </w:pPr>
            <w:r>
              <w:rPr>
                <w:rFonts w:hint="eastAsia" w:eastAsia="等线" w:cs="Times New Roman"/>
                <w:kern w:val="0"/>
                <w:sz w:val="18"/>
              </w:rPr>
              <w:t>2t</w:t>
            </w:r>
            <w:r>
              <w:rPr>
                <w:rFonts w:eastAsia="等线" w:cs="Times New Roman"/>
                <w:kern w:val="0"/>
                <w:sz w:val="18"/>
              </w:rPr>
              <w:t>/</w:t>
            </w:r>
            <w:r>
              <w:rPr>
                <w:rFonts w:hint="eastAsia" w:eastAsia="等线" w:cs="Times New Roman"/>
                <w:kern w:val="0"/>
                <w:sz w:val="18"/>
              </w:rPr>
              <w:t>a</w:t>
            </w:r>
          </w:p>
        </w:tc>
        <w:tc>
          <w:tcPr>
            <w:tcW w:w="540" w:type="pct"/>
            <w:noWrap/>
            <w:vAlign w:val="center"/>
          </w:tcPr>
          <w:p w14:paraId="02D19AF8">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noWrap/>
            <w:vAlign w:val="center"/>
          </w:tcPr>
          <w:p w14:paraId="3E32BE09">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noWrap/>
            <w:vAlign w:val="center"/>
          </w:tcPr>
          <w:p w14:paraId="3BB143FA">
            <w:pPr>
              <w:spacing w:line="240" w:lineRule="auto"/>
              <w:ind w:firstLine="0" w:firstLineChars="0"/>
              <w:jc w:val="center"/>
              <w:rPr>
                <w:rFonts w:eastAsia="等线" w:cs="Times New Roman"/>
                <w:kern w:val="0"/>
                <w:sz w:val="18"/>
              </w:rPr>
            </w:pPr>
            <w:r>
              <w:rPr>
                <w:rFonts w:hint="eastAsia" w:eastAsia="等线" w:cs="Times New Roman"/>
                <w:sz w:val="18"/>
              </w:rPr>
              <w:t>15.23</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629" w:type="pct"/>
            <w:noWrap/>
            <w:vAlign w:val="center"/>
          </w:tcPr>
          <w:p w14:paraId="1A899D19">
            <w:pPr>
              <w:widowControl/>
              <w:spacing w:line="240" w:lineRule="auto"/>
              <w:ind w:firstLine="0" w:firstLineChars="0"/>
              <w:jc w:val="center"/>
              <w:rPr>
                <w:rFonts w:eastAsia="等线" w:cs="Times New Roman"/>
                <w:kern w:val="0"/>
                <w:sz w:val="18"/>
              </w:rPr>
            </w:pPr>
            <w:r>
              <w:rPr>
                <w:rFonts w:hint="eastAsia" w:eastAsia="等线" w:cs="Times New Roman"/>
                <w:kern w:val="0"/>
                <w:sz w:val="18"/>
              </w:rPr>
              <w:t>2t</w:t>
            </w:r>
            <w:r>
              <w:rPr>
                <w:rFonts w:eastAsia="等线" w:cs="Times New Roman"/>
                <w:kern w:val="0"/>
                <w:sz w:val="18"/>
              </w:rPr>
              <w:t>/</w:t>
            </w:r>
            <w:r>
              <w:rPr>
                <w:rFonts w:hint="eastAsia" w:eastAsia="等线" w:cs="Times New Roman"/>
                <w:kern w:val="0"/>
                <w:sz w:val="18"/>
              </w:rPr>
              <w:t>a</w:t>
            </w:r>
          </w:p>
        </w:tc>
        <w:tc>
          <w:tcPr>
            <w:tcW w:w="643" w:type="pct"/>
            <w:vAlign w:val="center"/>
          </w:tcPr>
          <w:p w14:paraId="2C5C824E">
            <w:pPr>
              <w:widowControl/>
              <w:spacing w:line="240" w:lineRule="auto"/>
              <w:ind w:firstLine="0" w:firstLineChars="0"/>
              <w:jc w:val="center"/>
              <w:rPr>
                <w:rFonts w:eastAsia="等线" w:cs="Times New Roman"/>
                <w:kern w:val="0"/>
                <w:sz w:val="18"/>
              </w:rPr>
            </w:pPr>
            <w:r>
              <w:rPr>
                <w:rFonts w:hint="eastAsia" w:eastAsia="等线" w:cs="Times New Roman"/>
                <w:sz w:val="18"/>
              </w:rPr>
              <w:t>15.23</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369" w:type="pct"/>
            <w:vAlign w:val="center"/>
          </w:tcPr>
          <w:p w14:paraId="73FFA2FB">
            <w:pPr>
              <w:spacing w:line="240" w:lineRule="auto"/>
              <w:ind w:firstLine="0" w:firstLineChars="0"/>
              <w:jc w:val="center"/>
              <w:rPr>
                <w:rFonts w:eastAsia="等线" w:cs="Times New Roman"/>
                <w:kern w:val="0"/>
                <w:sz w:val="18"/>
              </w:rPr>
            </w:pPr>
            <w:r>
              <w:rPr>
                <w:rFonts w:hint="eastAsia" w:cs="Times New Roman"/>
                <w:sz w:val="18"/>
              </w:rPr>
              <w:t>+13.23</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r>
      <w:tr w14:paraId="76C073AB">
        <w:trPr>
          <w:trHeight w:val="340" w:hRule="atLeast"/>
        </w:trPr>
        <w:tc>
          <w:tcPr>
            <w:tcW w:w="547" w:type="pct"/>
            <w:vMerge w:val="continue"/>
            <w:vAlign w:val="center"/>
          </w:tcPr>
          <w:p w14:paraId="28348FB8">
            <w:pPr>
              <w:widowControl/>
              <w:spacing w:line="240" w:lineRule="auto"/>
              <w:ind w:firstLine="0" w:firstLineChars="0"/>
              <w:jc w:val="center"/>
              <w:rPr>
                <w:rFonts w:cs="Times New Roman"/>
                <w:kern w:val="0"/>
                <w:sz w:val="18"/>
              </w:rPr>
            </w:pPr>
          </w:p>
        </w:tc>
        <w:tc>
          <w:tcPr>
            <w:tcW w:w="632" w:type="pct"/>
            <w:vAlign w:val="center"/>
          </w:tcPr>
          <w:p w14:paraId="037A4E87">
            <w:pPr>
              <w:spacing w:line="240" w:lineRule="auto"/>
              <w:ind w:firstLine="0" w:firstLineChars="0"/>
              <w:jc w:val="center"/>
              <w:rPr>
                <w:rFonts w:cs="Times New Roman"/>
                <w:sz w:val="18"/>
              </w:rPr>
            </w:pPr>
            <w:r>
              <w:rPr>
                <w:rFonts w:hint="eastAsia" w:cs="Times New Roman"/>
                <w:sz w:val="18"/>
              </w:rPr>
              <w:t>废过滤网</w:t>
            </w:r>
          </w:p>
        </w:tc>
        <w:tc>
          <w:tcPr>
            <w:tcW w:w="570" w:type="pct"/>
            <w:noWrap/>
            <w:vAlign w:val="center"/>
          </w:tcPr>
          <w:p w14:paraId="06234BDE">
            <w:pPr>
              <w:widowControl/>
              <w:adjustRightInd w:val="0"/>
              <w:spacing w:line="240" w:lineRule="auto"/>
              <w:ind w:firstLine="0" w:firstLineChars="0"/>
              <w:jc w:val="center"/>
              <w:rPr>
                <w:rFonts w:eastAsia="等线" w:cs="Times New Roman"/>
                <w:kern w:val="0"/>
                <w:sz w:val="18"/>
              </w:rPr>
            </w:pPr>
            <w:r>
              <w:rPr>
                <w:rFonts w:hint="eastAsia" w:eastAsia="等线" w:cs="Times New Roman"/>
                <w:kern w:val="0"/>
                <w:sz w:val="18"/>
              </w:rPr>
              <w:t>0</w:t>
            </w:r>
          </w:p>
        </w:tc>
        <w:tc>
          <w:tcPr>
            <w:tcW w:w="540" w:type="pct"/>
            <w:noWrap/>
            <w:vAlign w:val="center"/>
          </w:tcPr>
          <w:p w14:paraId="13222751">
            <w:pPr>
              <w:widowControl/>
              <w:adjustRightInd w:val="0"/>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noWrap/>
            <w:vAlign w:val="center"/>
          </w:tcPr>
          <w:p w14:paraId="204B1396">
            <w:pPr>
              <w:widowControl/>
              <w:adjustRightInd w:val="0"/>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noWrap/>
            <w:vAlign w:val="center"/>
          </w:tcPr>
          <w:p w14:paraId="7B3B2E11">
            <w:pPr>
              <w:spacing w:line="240" w:lineRule="auto"/>
              <w:ind w:firstLine="0" w:firstLineChars="0"/>
              <w:jc w:val="center"/>
              <w:rPr>
                <w:rFonts w:cs="Times New Roman"/>
                <w:sz w:val="18"/>
              </w:rPr>
            </w:pPr>
            <w:r>
              <w:rPr>
                <w:rFonts w:hint="eastAsia" w:cs="Times New Roman"/>
                <w:sz w:val="18"/>
              </w:rPr>
              <w:t>0.5</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629" w:type="pct"/>
            <w:noWrap/>
            <w:vAlign w:val="center"/>
          </w:tcPr>
          <w:p w14:paraId="28633471">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643" w:type="pct"/>
            <w:vAlign w:val="center"/>
          </w:tcPr>
          <w:p w14:paraId="00DFAD0B">
            <w:pPr>
              <w:spacing w:line="240" w:lineRule="auto"/>
              <w:ind w:firstLine="0" w:firstLineChars="0"/>
              <w:jc w:val="center"/>
              <w:rPr>
                <w:rFonts w:cs="Times New Roman"/>
                <w:sz w:val="18"/>
              </w:rPr>
            </w:pPr>
            <w:r>
              <w:rPr>
                <w:rFonts w:hint="eastAsia" w:cs="Times New Roman"/>
                <w:sz w:val="18"/>
              </w:rPr>
              <w:t>0.5</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369" w:type="pct"/>
            <w:vAlign w:val="center"/>
          </w:tcPr>
          <w:p w14:paraId="1FFE383E">
            <w:pPr>
              <w:spacing w:line="240" w:lineRule="auto"/>
              <w:ind w:firstLine="0" w:firstLineChars="0"/>
              <w:jc w:val="center"/>
              <w:rPr>
                <w:rFonts w:cs="Times New Roman"/>
                <w:sz w:val="18"/>
              </w:rPr>
            </w:pPr>
            <w:r>
              <w:rPr>
                <w:rFonts w:hint="eastAsia" w:cs="Times New Roman"/>
                <w:sz w:val="18"/>
              </w:rPr>
              <w:t>+0.5</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r>
      <w:tr w14:paraId="2312AD17">
        <w:trPr>
          <w:trHeight w:val="340" w:hRule="atLeast"/>
        </w:trPr>
        <w:tc>
          <w:tcPr>
            <w:tcW w:w="547" w:type="pct"/>
            <w:vMerge w:val="continue"/>
            <w:vAlign w:val="center"/>
          </w:tcPr>
          <w:p w14:paraId="502267F6">
            <w:pPr>
              <w:widowControl/>
              <w:spacing w:line="240" w:lineRule="auto"/>
              <w:ind w:firstLine="0" w:firstLineChars="0"/>
              <w:jc w:val="center"/>
              <w:rPr>
                <w:rFonts w:cs="Times New Roman"/>
                <w:kern w:val="0"/>
                <w:sz w:val="18"/>
              </w:rPr>
            </w:pPr>
          </w:p>
        </w:tc>
        <w:tc>
          <w:tcPr>
            <w:tcW w:w="632" w:type="pct"/>
            <w:vAlign w:val="center"/>
          </w:tcPr>
          <w:p w14:paraId="52FB1BC3">
            <w:pPr>
              <w:spacing w:line="240" w:lineRule="auto"/>
              <w:ind w:firstLine="0" w:firstLineChars="0"/>
              <w:jc w:val="center"/>
              <w:rPr>
                <w:rFonts w:cs="Times New Roman"/>
                <w:sz w:val="18"/>
              </w:rPr>
            </w:pPr>
            <w:r>
              <w:rPr>
                <w:rFonts w:hint="eastAsia" w:cs="Times New Roman"/>
                <w:sz w:val="18"/>
              </w:rPr>
              <w:t>废油桶</w:t>
            </w:r>
          </w:p>
        </w:tc>
        <w:tc>
          <w:tcPr>
            <w:tcW w:w="570" w:type="pct"/>
            <w:noWrap/>
            <w:vAlign w:val="center"/>
          </w:tcPr>
          <w:p w14:paraId="0664E80D">
            <w:pPr>
              <w:widowControl/>
              <w:adjustRightInd w:val="0"/>
              <w:spacing w:line="240" w:lineRule="auto"/>
              <w:ind w:firstLine="0" w:firstLineChars="0"/>
              <w:jc w:val="center"/>
              <w:rPr>
                <w:rFonts w:eastAsia="等线" w:cs="Times New Roman"/>
                <w:kern w:val="0"/>
                <w:sz w:val="18"/>
              </w:rPr>
            </w:pPr>
            <w:r>
              <w:rPr>
                <w:rFonts w:hint="eastAsia" w:eastAsia="等线" w:cs="Times New Roman"/>
                <w:kern w:val="0"/>
                <w:sz w:val="18"/>
              </w:rPr>
              <w:t>0</w:t>
            </w:r>
          </w:p>
        </w:tc>
        <w:tc>
          <w:tcPr>
            <w:tcW w:w="540" w:type="pct"/>
            <w:noWrap/>
            <w:vAlign w:val="center"/>
          </w:tcPr>
          <w:p w14:paraId="6826F6E3">
            <w:pPr>
              <w:widowControl/>
              <w:adjustRightInd w:val="0"/>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noWrap/>
            <w:vAlign w:val="center"/>
          </w:tcPr>
          <w:p w14:paraId="39DA5D33">
            <w:pPr>
              <w:widowControl/>
              <w:adjustRightInd w:val="0"/>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noWrap/>
            <w:vAlign w:val="center"/>
          </w:tcPr>
          <w:p w14:paraId="0936353D">
            <w:pPr>
              <w:spacing w:line="240" w:lineRule="auto"/>
              <w:ind w:firstLine="0" w:firstLineChars="0"/>
              <w:jc w:val="center"/>
              <w:rPr>
                <w:rFonts w:cs="Times New Roman"/>
                <w:sz w:val="18"/>
              </w:rPr>
            </w:pPr>
            <w:r>
              <w:rPr>
                <w:rFonts w:hint="eastAsia" w:cs="Times New Roman"/>
                <w:sz w:val="18"/>
              </w:rPr>
              <w:t>0.002</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629" w:type="pct"/>
            <w:noWrap/>
            <w:vAlign w:val="center"/>
          </w:tcPr>
          <w:p w14:paraId="7FA5121D">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643" w:type="pct"/>
            <w:vAlign w:val="center"/>
          </w:tcPr>
          <w:p w14:paraId="7AB4E223">
            <w:pPr>
              <w:spacing w:line="240" w:lineRule="auto"/>
              <w:ind w:firstLine="0" w:firstLineChars="0"/>
              <w:jc w:val="center"/>
              <w:rPr>
                <w:rFonts w:cs="Times New Roman"/>
                <w:sz w:val="18"/>
              </w:rPr>
            </w:pPr>
            <w:r>
              <w:rPr>
                <w:rFonts w:hint="eastAsia" w:cs="Times New Roman"/>
                <w:sz w:val="18"/>
              </w:rPr>
              <w:t>0.002</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369" w:type="pct"/>
            <w:vAlign w:val="center"/>
          </w:tcPr>
          <w:p w14:paraId="08543F72">
            <w:pPr>
              <w:spacing w:line="240" w:lineRule="auto"/>
              <w:ind w:firstLine="0" w:firstLineChars="0"/>
              <w:jc w:val="center"/>
              <w:rPr>
                <w:rFonts w:cs="Times New Roman"/>
                <w:sz w:val="18"/>
              </w:rPr>
            </w:pPr>
            <w:r>
              <w:rPr>
                <w:rFonts w:hint="eastAsia" w:cs="Times New Roman"/>
                <w:sz w:val="18"/>
              </w:rPr>
              <w:t>+0.002</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r>
      <w:tr w14:paraId="60D94A1E">
        <w:trPr>
          <w:trHeight w:val="340" w:hRule="atLeast"/>
        </w:trPr>
        <w:tc>
          <w:tcPr>
            <w:tcW w:w="547" w:type="pct"/>
            <w:vMerge w:val="continue"/>
            <w:vAlign w:val="center"/>
          </w:tcPr>
          <w:p w14:paraId="1E87196F">
            <w:pPr>
              <w:widowControl/>
              <w:spacing w:line="240" w:lineRule="auto"/>
              <w:ind w:firstLine="0" w:firstLineChars="0"/>
              <w:jc w:val="center"/>
              <w:rPr>
                <w:rFonts w:cs="Times New Roman"/>
                <w:kern w:val="0"/>
                <w:sz w:val="18"/>
              </w:rPr>
            </w:pPr>
          </w:p>
        </w:tc>
        <w:tc>
          <w:tcPr>
            <w:tcW w:w="632" w:type="pct"/>
            <w:vAlign w:val="center"/>
          </w:tcPr>
          <w:p w14:paraId="3FE77524">
            <w:pPr>
              <w:spacing w:line="240" w:lineRule="auto"/>
              <w:ind w:firstLine="0" w:firstLineChars="0"/>
              <w:jc w:val="center"/>
              <w:rPr>
                <w:rFonts w:cs="Times New Roman"/>
                <w:sz w:val="18"/>
              </w:rPr>
            </w:pPr>
            <w:r>
              <w:rPr>
                <w:rFonts w:hint="eastAsia" w:cs="Times New Roman"/>
                <w:sz w:val="18"/>
              </w:rPr>
              <w:t>废润滑油</w:t>
            </w:r>
          </w:p>
        </w:tc>
        <w:tc>
          <w:tcPr>
            <w:tcW w:w="570" w:type="pct"/>
            <w:noWrap/>
            <w:vAlign w:val="center"/>
          </w:tcPr>
          <w:p w14:paraId="2D85BA4D">
            <w:pPr>
              <w:widowControl/>
              <w:adjustRightInd w:val="0"/>
              <w:spacing w:line="240" w:lineRule="auto"/>
              <w:ind w:firstLine="0" w:firstLineChars="0"/>
              <w:jc w:val="center"/>
              <w:rPr>
                <w:rFonts w:eastAsia="等线" w:cs="Times New Roman"/>
                <w:kern w:val="0"/>
                <w:sz w:val="18"/>
              </w:rPr>
            </w:pPr>
            <w:r>
              <w:rPr>
                <w:rFonts w:hint="eastAsia" w:eastAsia="等线" w:cs="Times New Roman"/>
                <w:kern w:val="0"/>
                <w:sz w:val="18"/>
              </w:rPr>
              <w:t>0.1t</w:t>
            </w:r>
            <w:r>
              <w:rPr>
                <w:rFonts w:eastAsia="等线" w:cs="Times New Roman"/>
                <w:kern w:val="0"/>
                <w:sz w:val="18"/>
              </w:rPr>
              <w:t>/</w:t>
            </w:r>
            <w:r>
              <w:rPr>
                <w:rFonts w:hint="eastAsia" w:eastAsia="等线" w:cs="Times New Roman"/>
                <w:kern w:val="0"/>
                <w:sz w:val="18"/>
              </w:rPr>
              <w:t>a</w:t>
            </w:r>
          </w:p>
        </w:tc>
        <w:tc>
          <w:tcPr>
            <w:tcW w:w="540" w:type="pct"/>
            <w:noWrap/>
            <w:vAlign w:val="center"/>
          </w:tcPr>
          <w:p w14:paraId="7E48D5BD">
            <w:pPr>
              <w:widowControl/>
              <w:adjustRightInd w:val="0"/>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noWrap/>
            <w:vAlign w:val="center"/>
          </w:tcPr>
          <w:p w14:paraId="4B3CB596">
            <w:pPr>
              <w:widowControl/>
              <w:adjustRightInd w:val="0"/>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noWrap/>
            <w:vAlign w:val="center"/>
          </w:tcPr>
          <w:p w14:paraId="730F1421">
            <w:pPr>
              <w:spacing w:line="240" w:lineRule="auto"/>
              <w:ind w:firstLine="0" w:firstLineChars="0"/>
              <w:jc w:val="center"/>
              <w:rPr>
                <w:rFonts w:cs="Times New Roman"/>
                <w:sz w:val="18"/>
              </w:rPr>
            </w:pPr>
            <w:r>
              <w:rPr>
                <w:rFonts w:hint="eastAsia" w:cs="Times New Roman"/>
                <w:sz w:val="18"/>
              </w:rPr>
              <w:t>0.1</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629" w:type="pct"/>
            <w:noWrap/>
            <w:vAlign w:val="center"/>
          </w:tcPr>
          <w:p w14:paraId="2484319F">
            <w:pPr>
              <w:widowControl/>
              <w:spacing w:line="240" w:lineRule="auto"/>
              <w:ind w:firstLine="0" w:firstLineChars="0"/>
              <w:jc w:val="center"/>
              <w:rPr>
                <w:rFonts w:eastAsia="等线" w:cs="Times New Roman"/>
                <w:kern w:val="0"/>
                <w:sz w:val="18"/>
              </w:rPr>
            </w:pPr>
            <w:r>
              <w:rPr>
                <w:rFonts w:hint="eastAsia" w:eastAsia="等线" w:cs="Times New Roman"/>
                <w:kern w:val="0"/>
                <w:sz w:val="18"/>
              </w:rPr>
              <w:t>0.1t</w:t>
            </w:r>
            <w:r>
              <w:rPr>
                <w:rFonts w:eastAsia="等线" w:cs="Times New Roman"/>
                <w:kern w:val="0"/>
                <w:sz w:val="18"/>
              </w:rPr>
              <w:t>/</w:t>
            </w:r>
            <w:r>
              <w:rPr>
                <w:rFonts w:hint="eastAsia" w:eastAsia="等线" w:cs="Times New Roman"/>
                <w:kern w:val="0"/>
                <w:sz w:val="18"/>
              </w:rPr>
              <w:t>a</w:t>
            </w:r>
          </w:p>
        </w:tc>
        <w:tc>
          <w:tcPr>
            <w:tcW w:w="643" w:type="pct"/>
            <w:vAlign w:val="center"/>
          </w:tcPr>
          <w:p w14:paraId="7E706F82">
            <w:pPr>
              <w:widowControl/>
              <w:spacing w:line="240" w:lineRule="auto"/>
              <w:ind w:firstLine="0" w:firstLineChars="0"/>
              <w:jc w:val="center"/>
              <w:rPr>
                <w:rFonts w:cs="Times New Roman"/>
                <w:sz w:val="18"/>
              </w:rPr>
            </w:pPr>
            <w:r>
              <w:rPr>
                <w:rFonts w:hint="eastAsia" w:cs="Times New Roman"/>
                <w:sz w:val="18"/>
              </w:rPr>
              <w:t>0.1</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369" w:type="pct"/>
            <w:vAlign w:val="center"/>
          </w:tcPr>
          <w:p w14:paraId="3A72CAC2">
            <w:pPr>
              <w:spacing w:line="240" w:lineRule="auto"/>
              <w:ind w:firstLine="0" w:firstLineChars="0"/>
              <w:jc w:val="center"/>
              <w:rPr>
                <w:rFonts w:cs="Times New Roman"/>
                <w:sz w:val="18"/>
              </w:rPr>
            </w:pPr>
            <w:r>
              <w:rPr>
                <w:rFonts w:hint="eastAsia" w:cs="Times New Roman"/>
                <w:sz w:val="18"/>
              </w:rPr>
              <w:t>0</w:t>
            </w:r>
          </w:p>
        </w:tc>
      </w:tr>
      <w:tr w14:paraId="311F03F0">
        <w:trPr>
          <w:trHeight w:val="340" w:hRule="atLeast"/>
        </w:trPr>
        <w:tc>
          <w:tcPr>
            <w:tcW w:w="547" w:type="pct"/>
            <w:vMerge w:val="continue"/>
            <w:vAlign w:val="center"/>
          </w:tcPr>
          <w:p w14:paraId="0AFD5258">
            <w:pPr>
              <w:widowControl/>
              <w:spacing w:line="240" w:lineRule="auto"/>
              <w:ind w:firstLine="0" w:firstLineChars="0"/>
              <w:jc w:val="center"/>
              <w:rPr>
                <w:rFonts w:cs="Times New Roman"/>
                <w:kern w:val="0"/>
                <w:sz w:val="18"/>
              </w:rPr>
            </w:pPr>
          </w:p>
        </w:tc>
        <w:tc>
          <w:tcPr>
            <w:tcW w:w="632" w:type="pct"/>
            <w:vAlign w:val="center"/>
          </w:tcPr>
          <w:p w14:paraId="334CAD98">
            <w:pPr>
              <w:spacing w:line="240" w:lineRule="auto"/>
              <w:ind w:firstLine="0" w:firstLineChars="0"/>
              <w:jc w:val="center"/>
              <w:rPr>
                <w:rFonts w:cs="Times New Roman"/>
                <w:sz w:val="18"/>
              </w:rPr>
            </w:pPr>
            <w:r>
              <w:rPr>
                <w:rFonts w:hint="eastAsia" w:cs="Times New Roman"/>
                <w:sz w:val="18"/>
              </w:rPr>
              <w:t>废劳保用品</w:t>
            </w:r>
          </w:p>
        </w:tc>
        <w:tc>
          <w:tcPr>
            <w:tcW w:w="570" w:type="pct"/>
            <w:noWrap/>
            <w:vAlign w:val="center"/>
          </w:tcPr>
          <w:p w14:paraId="1FAC7FD4">
            <w:pPr>
              <w:spacing w:line="240" w:lineRule="auto"/>
              <w:ind w:firstLine="0" w:firstLineChars="0"/>
              <w:jc w:val="center"/>
              <w:rPr>
                <w:rFonts w:eastAsia="等线" w:cs="Times New Roman"/>
                <w:kern w:val="0"/>
                <w:sz w:val="18"/>
              </w:rPr>
            </w:pPr>
            <w:r>
              <w:rPr>
                <w:rFonts w:hint="eastAsia" w:eastAsia="等线" w:cs="Times New Roman"/>
                <w:kern w:val="0"/>
                <w:sz w:val="18"/>
              </w:rPr>
              <w:t>0</w:t>
            </w:r>
          </w:p>
        </w:tc>
        <w:tc>
          <w:tcPr>
            <w:tcW w:w="540" w:type="pct"/>
            <w:noWrap/>
            <w:vAlign w:val="center"/>
          </w:tcPr>
          <w:p w14:paraId="37B0B92A">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0" w:type="pct"/>
            <w:noWrap/>
            <w:vAlign w:val="center"/>
          </w:tcPr>
          <w:p w14:paraId="11BC4F3C">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535" w:type="pct"/>
            <w:noWrap/>
            <w:vAlign w:val="center"/>
          </w:tcPr>
          <w:p w14:paraId="00387583">
            <w:pPr>
              <w:spacing w:line="240" w:lineRule="auto"/>
              <w:ind w:firstLine="0" w:firstLineChars="0"/>
              <w:jc w:val="center"/>
              <w:rPr>
                <w:rFonts w:cs="Times New Roman"/>
                <w:sz w:val="18"/>
              </w:rPr>
            </w:pPr>
            <w:r>
              <w:rPr>
                <w:rFonts w:hint="eastAsia" w:cs="Times New Roman"/>
                <w:sz w:val="18"/>
              </w:rPr>
              <w:t>0.5</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629" w:type="pct"/>
            <w:noWrap/>
            <w:vAlign w:val="center"/>
          </w:tcPr>
          <w:p w14:paraId="1100C55C">
            <w:pPr>
              <w:widowControl/>
              <w:spacing w:line="240" w:lineRule="auto"/>
              <w:ind w:firstLine="0" w:firstLineChars="0"/>
              <w:jc w:val="center"/>
              <w:rPr>
                <w:rFonts w:eastAsia="等线" w:cs="Times New Roman"/>
                <w:kern w:val="0"/>
                <w:sz w:val="18"/>
              </w:rPr>
            </w:pPr>
            <w:r>
              <w:rPr>
                <w:rFonts w:eastAsia="等线" w:cs="Times New Roman"/>
                <w:kern w:val="0"/>
                <w:sz w:val="18"/>
              </w:rPr>
              <w:t>/</w:t>
            </w:r>
          </w:p>
        </w:tc>
        <w:tc>
          <w:tcPr>
            <w:tcW w:w="643" w:type="pct"/>
            <w:vAlign w:val="center"/>
          </w:tcPr>
          <w:p w14:paraId="65A018B0">
            <w:pPr>
              <w:spacing w:line="240" w:lineRule="auto"/>
              <w:ind w:firstLine="0" w:firstLineChars="0"/>
              <w:jc w:val="center"/>
              <w:rPr>
                <w:rFonts w:cs="Times New Roman"/>
                <w:sz w:val="18"/>
              </w:rPr>
            </w:pPr>
            <w:r>
              <w:rPr>
                <w:rFonts w:hint="eastAsia" w:cs="Times New Roman"/>
                <w:sz w:val="18"/>
              </w:rPr>
              <w:t>0.5</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c>
          <w:tcPr>
            <w:tcW w:w="369" w:type="pct"/>
            <w:vAlign w:val="center"/>
          </w:tcPr>
          <w:p w14:paraId="49DFFDF9">
            <w:pPr>
              <w:spacing w:line="240" w:lineRule="auto"/>
              <w:ind w:firstLine="0" w:firstLineChars="0"/>
              <w:jc w:val="center"/>
              <w:rPr>
                <w:rFonts w:cs="Times New Roman"/>
                <w:sz w:val="18"/>
              </w:rPr>
            </w:pPr>
            <w:r>
              <w:rPr>
                <w:rFonts w:hint="eastAsia" w:cs="Times New Roman"/>
                <w:sz w:val="18"/>
              </w:rPr>
              <w:t>+0.5</w:t>
            </w:r>
            <w:r>
              <w:rPr>
                <w:rFonts w:hint="eastAsia" w:eastAsia="等线" w:cs="Times New Roman"/>
                <w:kern w:val="0"/>
                <w:sz w:val="18"/>
              </w:rPr>
              <w:t>t</w:t>
            </w:r>
            <w:r>
              <w:rPr>
                <w:rFonts w:eastAsia="等线" w:cs="Times New Roman"/>
                <w:kern w:val="0"/>
                <w:sz w:val="18"/>
              </w:rPr>
              <w:t>/</w:t>
            </w:r>
            <w:r>
              <w:rPr>
                <w:rFonts w:hint="eastAsia" w:eastAsia="等线" w:cs="Times New Roman"/>
                <w:kern w:val="0"/>
                <w:sz w:val="18"/>
              </w:rPr>
              <w:t>a</w:t>
            </w:r>
          </w:p>
        </w:tc>
      </w:tr>
    </w:tbl>
    <w:p w14:paraId="0DE6D6CC">
      <w:pPr>
        <w:adjustRightInd w:val="0"/>
        <w:snapToGrid w:val="0"/>
        <w:spacing w:line="260" w:lineRule="auto"/>
        <w:ind w:firstLine="0" w:firstLineChars="0"/>
        <w:rPr>
          <w:rFonts w:cs="Times New Roman"/>
          <w:spacing w:val="-6"/>
          <w:sz w:val="21"/>
          <w:szCs w:val="21"/>
        </w:rPr>
      </w:pPr>
      <w:r>
        <w:rPr>
          <w:rFonts w:cs="Times New Roman"/>
          <w:sz w:val="21"/>
          <w:szCs w:val="21"/>
        </w:rPr>
        <w:t>注：</w:t>
      </w:r>
      <w:r>
        <w:rPr>
          <w:rFonts w:cs="Times New Roman"/>
          <w:spacing w:val="-16"/>
          <w:sz w:val="21"/>
          <w:szCs w:val="21"/>
        </w:rPr>
        <w:fldChar w:fldCharType="begin"/>
      </w:r>
      <w:r>
        <w:rPr>
          <w:rFonts w:cs="Times New Roman"/>
          <w:spacing w:val="-16"/>
          <w:sz w:val="21"/>
          <w:szCs w:val="21"/>
        </w:rPr>
        <w:instrText xml:space="preserve"> = 6 \* GB3 \* MERGEFORMAT </w:instrText>
      </w:r>
      <w:r>
        <w:rPr>
          <w:rFonts w:cs="Times New Roman"/>
          <w:spacing w:val="-16"/>
          <w:sz w:val="21"/>
          <w:szCs w:val="21"/>
        </w:rPr>
        <w:fldChar w:fldCharType="separate"/>
      </w:r>
      <w:r>
        <w:rPr>
          <w:rFonts w:cs="Times New Roman"/>
          <w:kern w:val="0"/>
          <w:sz w:val="21"/>
          <w:szCs w:val="21"/>
        </w:rPr>
        <w:t>⑥</w:t>
      </w:r>
      <w:r>
        <w:rPr>
          <w:rFonts w:cs="Times New Roman"/>
          <w:spacing w:val="-16"/>
          <w:sz w:val="21"/>
          <w:szCs w:val="21"/>
        </w:rPr>
        <w:fldChar w:fldCharType="end"/>
      </w:r>
      <w:r>
        <w:rPr>
          <w:rFonts w:cs="Times New Roman"/>
          <w:spacing w:val="-16"/>
          <w:sz w:val="21"/>
          <w:szCs w:val="21"/>
        </w:rPr>
        <w:t>=</w:t>
      </w:r>
      <w:r>
        <w:rPr>
          <w:rFonts w:cs="Times New Roman"/>
          <w:spacing w:val="-6"/>
          <w:sz w:val="21"/>
          <w:szCs w:val="21"/>
        </w:rPr>
        <w:fldChar w:fldCharType="begin"/>
      </w:r>
      <w:r>
        <w:rPr>
          <w:rFonts w:cs="Times New Roman"/>
          <w:spacing w:val="-6"/>
          <w:sz w:val="21"/>
          <w:szCs w:val="21"/>
        </w:rPr>
        <w:instrText xml:space="preserve"> = 1 \* GB3 \* MERGEFORMAT </w:instrText>
      </w:r>
      <w:r>
        <w:rPr>
          <w:rFonts w:cs="Times New Roman"/>
          <w:spacing w:val="-6"/>
          <w:sz w:val="21"/>
          <w:szCs w:val="21"/>
        </w:rPr>
        <w:fldChar w:fldCharType="separate"/>
      </w:r>
      <w:r>
        <w:rPr>
          <w:rFonts w:cs="Times New Roman"/>
          <w:kern w:val="0"/>
          <w:sz w:val="21"/>
          <w:szCs w:val="21"/>
        </w:rPr>
        <w:t>①</w:t>
      </w:r>
      <w:r>
        <w:rPr>
          <w:rFonts w:cs="Times New Roman"/>
          <w:spacing w:val="-6"/>
          <w:sz w:val="21"/>
          <w:szCs w:val="21"/>
        </w:rPr>
        <w:fldChar w:fldCharType="end"/>
      </w:r>
      <w:r>
        <w:rPr>
          <w:rFonts w:cs="Times New Roman"/>
          <w:spacing w:val="-6"/>
          <w:sz w:val="21"/>
          <w:szCs w:val="21"/>
        </w:rPr>
        <w:t>+</w:t>
      </w:r>
      <w:r>
        <w:rPr>
          <w:rFonts w:cs="Times New Roman"/>
          <w:spacing w:val="-6"/>
          <w:sz w:val="21"/>
          <w:szCs w:val="21"/>
        </w:rPr>
        <w:fldChar w:fldCharType="begin"/>
      </w:r>
      <w:r>
        <w:rPr>
          <w:rFonts w:cs="Times New Roman"/>
          <w:spacing w:val="-6"/>
          <w:sz w:val="21"/>
          <w:szCs w:val="21"/>
        </w:rPr>
        <w:instrText xml:space="preserve"> = 3 \* GB3 \* MERGEFORMAT </w:instrText>
      </w:r>
      <w:r>
        <w:rPr>
          <w:rFonts w:cs="Times New Roman"/>
          <w:spacing w:val="-6"/>
          <w:sz w:val="21"/>
          <w:szCs w:val="21"/>
        </w:rPr>
        <w:fldChar w:fldCharType="separate"/>
      </w:r>
      <w:r>
        <w:rPr>
          <w:rFonts w:cs="Times New Roman"/>
          <w:kern w:val="0"/>
          <w:sz w:val="21"/>
          <w:szCs w:val="21"/>
        </w:rPr>
        <w:t>③</w:t>
      </w:r>
      <w:r>
        <w:rPr>
          <w:rFonts w:cs="Times New Roman"/>
          <w:spacing w:val="-6"/>
          <w:sz w:val="21"/>
          <w:szCs w:val="21"/>
        </w:rPr>
        <w:fldChar w:fldCharType="end"/>
      </w:r>
      <w:r>
        <w:rPr>
          <w:rFonts w:cs="Times New Roman"/>
          <w:spacing w:val="-6"/>
          <w:sz w:val="21"/>
          <w:szCs w:val="21"/>
        </w:rPr>
        <w:t>+</w:t>
      </w:r>
      <w:r>
        <w:rPr>
          <w:rFonts w:cs="Times New Roman"/>
          <w:spacing w:val="-6"/>
          <w:sz w:val="21"/>
          <w:szCs w:val="21"/>
        </w:rPr>
        <w:fldChar w:fldCharType="begin"/>
      </w:r>
      <w:r>
        <w:rPr>
          <w:rFonts w:cs="Times New Roman"/>
          <w:spacing w:val="-6"/>
          <w:sz w:val="21"/>
          <w:szCs w:val="21"/>
        </w:rPr>
        <w:instrText xml:space="preserve"> = 4 \* GB3 \* MERGEFORMAT </w:instrText>
      </w:r>
      <w:r>
        <w:rPr>
          <w:rFonts w:cs="Times New Roman"/>
          <w:spacing w:val="-6"/>
          <w:sz w:val="21"/>
          <w:szCs w:val="21"/>
        </w:rPr>
        <w:fldChar w:fldCharType="separate"/>
      </w:r>
      <w:r>
        <w:rPr>
          <w:rFonts w:cs="Times New Roman"/>
          <w:kern w:val="0"/>
          <w:sz w:val="21"/>
          <w:szCs w:val="21"/>
        </w:rPr>
        <w:t>④</w:t>
      </w:r>
      <w:r>
        <w:rPr>
          <w:rFonts w:cs="Times New Roman"/>
          <w:spacing w:val="-6"/>
          <w:sz w:val="21"/>
          <w:szCs w:val="21"/>
        </w:rPr>
        <w:fldChar w:fldCharType="end"/>
      </w:r>
      <w:r>
        <w:rPr>
          <w:rFonts w:cs="Times New Roman"/>
          <w:spacing w:val="-6"/>
          <w:sz w:val="21"/>
          <w:szCs w:val="21"/>
        </w:rPr>
        <w:t>-</w:t>
      </w:r>
      <w:r>
        <w:rPr>
          <w:rFonts w:cs="Times New Roman"/>
          <w:spacing w:val="-16"/>
          <w:sz w:val="21"/>
          <w:szCs w:val="21"/>
        </w:rPr>
        <w:fldChar w:fldCharType="begin"/>
      </w:r>
      <w:r>
        <w:rPr>
          <w:rFonts w:cs="Times New Roman"/>
          <w:spacing w:val="-16"/>
          <w:sz w:val="21"/>
          <w:szCs w:val="21"/>
        </w:rPr>
        <w:instrText xml:space="preserve"> = 5 \* GB3 \* MERGEFORMAT </w:instrText>
      </w:r>
      <w:r>
        <w:rPr>
          <w:rFonts w:cs="Times New Roman"/>
          <w:spacing w:val="-16"/>
          <w:sz w:val="21"/>
          <w:szCs w:val="21"/>
        </w:rPr>
        <w:fldChar w:fldCharType="separate"/>
      </w:r>
      <w:r>
        <w:rPr>
          <w:rFonts w:cs="Times New Roman"/>
          <w:kern w:val="0"/>
          <w:sz w:val="21"/>
          <w:szCs w:val="21"/>
        </w:rPr>
        <w:t>⑤</w:t>
      </w:r>
      <w:r>
        <w:rPr>
          <w:rFonts w:cs="Times New Roman"/>
          <w:spacing w:val="-16"/>
          <w:sz w:val="21"/>
          <w:szCs w:val="21"/>
        </w:rPr>
        <w:fldChar w:fldCharType="end"/>
      </w:r>
      <w:r>
        <w:rPr>
          <w:rFonts w:cs="Times New Roman"/>
          <w:spacing w:val="-16"/>
          <w:sz w:val="21"/>
          <w:szCs w:val="21"/>
        </w:rPr>
        <w:t>；</w:t>
      </w:r>
      <w:r>
        <w:rPr>
          <w:rFonts w:cs="Times New Roman"/>
          <w:spacing w:val="-6"/>
          <w:sz w:val="21"/>
          <w:szCs w:val="21"/>
        </w:rPr>
        <w:fldChar w:fldCharType="begin"/>
      </w:r>
      <w:r>
        <w:rPr>
          <w:rFonts w:cs="Times New Roman"/>
          <w:spacing w:val="-6"/>
          <w:sz w:val="21"/>
          <w:szCs w:val="21"/>
        </w:rPr>
        <w:instrText xml:space="preserve"> = 7 \* GB3 \* MERGEFORMAT </w:instrText>
      </w:r>
      <w:r>
        <w:rPr>
          <w:rFonts w:cs="Times New Roman"/>
          <w:spacing w:val="-6"/>
          <w:sz w:val="21"/>
          <w:szCs w:val="21"/>
        </w:rPr>
        <w:fldChar w:fldCharType="separate"/>
      </w:r>
      <w:r>
        <w:rPr>
          <w:rFonts w:cs="Times New Roman"/>
          <w:kern w:val="0"/>
          <w:sz w:val="21"/>
          <w:szCs w:val="21"/>
        </w:rPr>
        <w:t>⑦</w:t>
      </w:r>
      <w:r>
        <w:rPr>
          <w:rFonts w:cs="Times New Roman"/>
          <w:spacing w:val="-6"/>
          <w:sz w:val="21"/>
          <w:szCs w:val="21"/>
        </w:rPr>
        <w:fldChar w:fldCharType="end"/>
      </w:r>
      <w:r>
        <w:rPr>
          <w:rFonts w:cs="Times New Roman"/>
          <w:spacing w:val="-6"/>
          <w:sz w:val="21"/>
          <w:szCs w:val="21"/>
        </w:rPr>
        <w:t>=</w:t>
      </w:r>
      <w:r>
        <w:rPr>
          <w:rFonts w:cs="Times New Roman"/>
          <w:spacing w:val="-16"/>
          <w:sz w:val="21"/>
          <w:szCs w:val="21"/>
        </w:rPr>
        <w:fldChar w:fldCharType="begin"/>
      </w:r>
      <w:r>
        <w:rPr>
          <w:rFonts w:cs="Times New Roman"/>
          <w:spacing w:val="-16"/>
          <w:sz w:val="21"/>
          <w:szCs w:val="21"/>
        </w:rPr>
        <w:instrText xml:space="preserve"> = 6 \* GB3 \* MERGEFORMAT </w:instrText>
      </w:r>
      <w:r>
        <w:rPr>
          <w:rFonts w:cs="Times New Roman"/>
          <w:spacing w:val="-16"/>
          <w:sz w:val="21"/>
          <w:szCs w:val="21"/>
        </w:rPr>
        <w:fldChar w:fldCharType="separate"/>
      </w:r>
      <w:r>
        <w:rPr>
          <w:rFonts w:cs="Times New Roman"/>
          <w:kern w:val="0"/>
          <w:sz w:val="21"/>
          <w:szCs w:val="21"/>
        </w:rPr>
        <w:t>⑥</w:t>
      </w:r>
      <w:r>
        <w:rPr>
          <w:rFonts w:cs="Times New Roman"/>
          <w:spacing w:val="-16"/>
          <w:sz w:val="21"/>
          <w:szCs w:val="21"/>
        </w:rPr>
        <w:fldChar w:fldCharType="end"/>
      </w:r>
      <w:r>
        <w:rPr>
          <w:rFonts w:cs="Times New Roman"/>
          <w:spacing w:val="-16"/>
          <w:sz w:val="21"/>
          <w:szCs w:val="21"/>
        </w:rPr>
        <w:t>-</w:t>
      </w:r>
      <w:r>
        <w:rPr>
          <w:rFonts w:cs="Times New Roman"/>
          <w:spacing w:val="-6"/>
          <w:sz w:val="21"/>
          <w:szCs w:val="21"/>
        </w:rPr>
        <w:fldChar w:fldCharType="begin"/>
      </w:r>
      <w:r>
        <w:rPr>
          <w:rFonts w:cs="Times New Roman"/>
          <w:spacing w:val="-6"/>
          <w:sz w:val="21"/>
          <w:szCs w:val="21"/>
        </w:rPr>
        <w:instrText xml:space="preserve"> = 1 \* GB3 \* MERGEFORMAT </w:instrText>
      </w:r>
      <w:r>
        <w:rPr>
          <w:rFonts w:cs="Times New Roman"/>
          <w:spacing w:val="-6"/>
          <w:sz w:val="21"/>
          <w:szCs w:val="21"/>
        </w:rPr>
        <w:fldChar w:fldCharType="separate"/>
      </w:r>
      <w:r>
        <w:rPr>
          <w:rFonts w:cs="Times New Roman"/>
          <w:kern w:val="0"/>
          <w:sz w:val="21"/>
          <w:szCs w:val="21"/>
        </w:rPr>
        <w:t>①</w:t>
      </w:r>
      <w:r>
        <w:rPr>
          <w:rFonts w:cs="Times New Roman"/>
          <w:spacing w:val="-6"/>
          <w:sz w:val="21"/>
          <w:szCs w:val="21"/>
        </w:rPr>
        <w:fldChar w:fldCharType="end"/>
      </w:r>
    </w:p>
    <w:p w14:paraId="6BCB03F5">
      <w:pPr>
        <w:pStyle w:val="2"/>
        <w:jc w:val="both"/>
        <w:rPr>
          <w:rFonts w:eastAsia="方正小标宋_GBK" w:cs="Times New Roman"/>
          <w:kern w:val="0"/>
          <w:sz w:val="38"/>
          <w:szCs w:val="38"/>
        </w:rPr>
      </w:pPr>
    </w:p>
    <w:sectPr>
      <w:pgSz w:w="16838" w:h="11906" w:orient="landscape"/>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Cambria Math">
    <w:altName w:val="Kingsoft Math"/>
    <w:panose1 w:val="02040503050406030204"/>
    <w:charset w:val="00"/>
    <w:family w:val="roman"/>
    <w:pitch w:val="default"/>
    <w:sig w:usb0="00000000" w:usb1="00000000" w:usb2="02000000" w:usb3="00000000" w:csb0="0000019F" w:csb1="00000000"/>
  </w:font>
  <w:font w:name="Kingsoft Math">
    <w:panose1 w:val="02040503050406030204"/>
    <w:charset w:val="00"/>
    <w:family w:val="auto"/>
    <w:pitch w:val="default"/>
    <w:sig w:usb0="80000087" w:usb1="00002068" w:usb2="00000000" w:usb3="00000000" w:csb0="2000019F" w:csb1="00000000"/>
  </w:font>
  <w:font w:name="@方正宋黑简体">
    <w:altName w:val="宋体"/>
    <w:panose1 w:val="00000000000000000000"/>
    <w:charset w:val="86"/>
    <w:family w:val="auto"/>
    <w:pitch w:val="default"/>
    <w:sig w:usb0="00000000" w:usb1="00000000" w:usb2="00000010" w:usb3="00000000" w:csb0="00040000"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80000287" w:usb1="280F3C52" w:usb2="00000016" w:usb3="00000000" w:csb0="0004001F" w:csb1="00000000"/>
  </w:font>
  <w:font w:name="Wingdings 2">
    <w:panose1 w:val="05020102010507070707"/>
    <w:charset w:val="02"/>
    <w:family w:val="roman"/>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12A01">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4A5BCA">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4F4A5BCA">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1299AC"/>
    <w:multiLevelType w:val="multilevel"/>
    <w:tmpl w:val="881299AC"/>
    <w:lvl w:ilvl="0" w:tentative="0">
      <w:start w:val="1"/>
      <w:numFmt w:val="decimal"/>
      <w:lvlText w:val="第%1章"/>
      <w:lvlJc w:val="left"/>
      <w:pPr>
        <w:tabs>
          <w:tab w:val="left" w:pos="0"/>
        </w:tabs>
        <w:ind w:left="0" w:firstLine="0"/>
      </w:pPr>
    </w:lvl>
    <w:lvl w:ilvl="1" w:tentative="0">
      <w:start w:val="1"/>
      <w:numFmt w:val="decimal"/>
      <w:isLgl/>
      <w:suff w:val="nothing"/>
      <w:lvlText w:val="%1.%2 "/>
      <w:lvlJc w:val="left"/>
      <w:pPr>
        <w:ind w:left="567" w:hanging="567"/>
      </w:pPr>
      <w:rPr>
        <w:rFonts w:ascii="Arial" w:hAnsi="Arial" w:eastAsia="宋体" w:cs="Times New Roman"/>
        <w:b/>
        <w:color w:val="auto"/>
        <w:sz w:val="28"/>
        <w:szCs w:val="28"/>
      </w:rPr>
    </w:lvl>
    <w:lvl w:ilvl="2" w:tentative="0">
      <w:start w:val="1"/>
      <w:numFmt w:val="decimal"/>
      <w:suff w:val="nothing"/>
      <w:lvlText w:val="%1.%2.%3 "/>
      <w:lvlJc w:val="left"/>
      <w:pPr>
        <w:ind w:left="0" w:firstLine="0"/>
      </w:pPr>
      <w:rPr>
        <w:rFonts w:hint="default" w:ascii="Arial" w:hAnsi="Arial" w:cs="Arial"/>
        <w:b/>
        <w:i w:val="0"/>
        <w:color w:val="auto"/>
      </w:rPr>
    </w:lvl>
    <w:lvl w:ilvl="3" w:tentative="0">
      <w:start w:val="1"/>
      <w:numFmt w:val="decimal"/>
      <w:lvlRestart w:val="0"/>
      <w:pStyle w:val="14"/>
      <w:suff w:val="nothing"/>
      <w:lvlText w:val="表1-%4"/>
      <w:lvlJc w:val="center"/>
      <w:pPr>
        <w:tabs>
          <w:tab w:val="left" w:pos="0"/>
        </w:tabs>
        <w:ind w:left="0" w:firstLine="0"/>
      </w:pPr>
      <w:rPr>
        <w:rFonts w:hint="default" w:ascii="Times New Roman" w:hAnsi="Times New Roman" w:eastAsia="黑体" w:cs="Times New Roman"/>
        <w:b w:val="0"/>
        <w:bCs/>
        <w:i w:val="0"/>
        <w:color w:val="auto"/>
        <w:kern w:val="0"/>
        <w:sz w:val="21"/>
        <w:szCs w:val="21"/>
        <w:lang w:val="en-US"/>
      </w:rPr>
    </w:lvl>
    <w:lvl w:ilvl="4" w:tentative="0">
      <w:start w:val="1"/>
      <w:numFmt w:val="decimal"/>
      <w:suff w:val="nothing"/>
      <w:lvlText w:val="%1.%2.%3.%5"/>
      <w:lvlJc w:val="left"/>
      <w:pPr>
        <w:ind w:left="0" w:firstLine="0"/>
      </w:pPr>
      <w:rPr>
        <w:rFonts w:hint="default" w:ascii="Arial" w:hAnsi="Arial" w:cs="Arial"/>
        <w:sz w:val="24"/>
        <w:szCs w:val="24"/>
      </w:rPr>
    </w:lvl>
    <w:lvl w:ilvl="5" w:tentative="0">
      <w:start w:val="1"/>
      <w:numFmt w:val="decimal"/>
      <w:suff w:val="nothing"/>
      <w:lvlText w:val="图%1"/>
      <w:lvlJc w:val="left"/>
      <w:pPr>
        <w:ind w:left="0" w:firstLine="0"/>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
    <w:nsid w:val="9338007D"/>
    <w:multiLevelType w:val="singleLevel"/>
    <w:tmpl w:val="9338007D"/>
    <w:lvl w:ilvl="0" w:tentative="0">
      <w:start w:val="1"/>
      <w:numFmt w:val="decimal"/>
      <w:suff w:val="nothing"/>
      <w:lvlText w:val="表2-%1"/>
      <w:lvlJc w:val="left"/>
      <w:pPr>
        <w:ind w:left="0" w:firstLine="397"/>
      </w:pPr>
      <w:rPr>
        <w:rFonts w:hint="default"/>
      </w:rPr>
    </w:lvl>
  </w:abstractNum>
  <w:abstractNum w:abstractNumId="2">
    <w:nsid w:val="0AA696A5"/>
    <w:multiLevelType w:val="singleLevel"/>
    <w:tmpl w:val="0AA696A5"/>
    <w:lvl w:ilvl="0" w:tentative="0">
      <w:start w:val="1"/>
      <w:numFmt w:val="decimal"/>
      <w:suff w:val="space"/>
      <w:lvlText w:val="(%1)"/>
      <w:lvlJc w:val="left"/>
    </w:lvl>
  </w:abstractNum>
  <w:abstractNum w:abstractNumId="3">
    <w:nsid w:val="0C75006A"/>
    <w:multiLevelType w:val="singleLevel"/>
    <w:tmpl w:val="0C75006A"/>
    <w:lvl w:ilvl="0" w:tentative="0">
      <w:start w:val="1"/>
      <w:numFmt w:val="chineseCounting"/>
      <w:suff w:val="nothing"/>
      <w:lvlText w:val="%1、"/>
      <w:lvlJc w:val="left"/>
      <w:rPr>
        <w:rFonts w:hint="eastAsia"/>
      </w:rPr>
    </w:lvl>
  </w:abstractNum>
  <w:abstractNum w:abstractNumId="4">
    <w:nsid w:val="1A43559E"/>
    <w:multiLevelType w:val="singleLevel"/>
    <w:tmpl w:val="1A43559E"/>
    <w:lvl w:ilvl="0" w:tentative="0">
      <w:start w:val="1"/>
      <w:numFmt w:val="decimal"/>
      <w:suff w:val="nothing"/>
      <w:lvlText w:val="表3-%1"/>
      <w:lvlJc w:val="left"/>
      <w:pPr>
        <w:tabs>
          <w:tab w:val="left" w:pos="0"/>
        </w:tabs>
        <w:ind w:left="0" w:firstLine="397"/>
      </w:pPr>
      <w:rPr>
        <w:rFonts w:hint="default"/>
      </w:rPr>
    </w:lvl>
  </w:abstractNum>
  <w:abstractNum w:abstractNumId="5">
    <w:nsid w:val="4F90A99E"/>
    <w:multiLevelType w:val="singleLevel"/>
    <w:tmpl w:val="4F90A99E"/>
    <w:lvl w:ilvl="0" w:tentative="0">
      <w:start w:val="1"/>
      <w:numFmt w:val="decimal"/>
      <w:suff w:val="space"/>
      <w:lvlText w:val="(%1)"/>
      <w:lvlJc w:val="left"/>
    </w:lvl>
  </w:abstractNum>
  <w:abstractNum w:abstractNumId="6">
    <w:nsid w:val="574D06E9"/>
    <w:multiLevelType w:val="singleLevel"/>
    <w:tmpl w:val="574D06E9"/>
    <w:lvl w:ilvl="0" w:tentative="0">
      <w:start w:val="1"/>
      <w:numFmt w:val="decimal"/>
      <w:suff w:val="nothing"/>
      <w:lvlText w:val="表4-%1"/>
      <w:lvlJc w:val="left"/>
      <w:pPr>
        <w:tabs>
          <w:tab w:val="left" w:pos="0"/>
        </w:tabs>
        <w:ind w:left="0" w:firstLine="397"/>
      </w:pPr>
      <w:rPr>
        <w:rFonts w:hint="default"/>
      </w:rPr>
    </w:lvl>
  </w:abstractNum>
  <w:abstractNum w:abstractNumId="7">
    <w:nsid w:val="6C26EACD"/>
    <w:multiLevelType w:val="singleLevel"/>
    <w:tmpl w:val="6C26EACD"/>
    <w:lvl w:ilvl="0" w:tentative="0">
      <w:start w:val="1"/>
      <w:numFmt w:val="decimal"/>
      <w:suff w:val="space"/>
      <w:lvlText w:val="(%1)"/>
      <w:lvlJc w:val="left"/>
    </w:lvl>
  </w:abstractNum>
  <w:abstractNum w:abstractNumId="8">
    <w:nsid w:val="715ACFA7"/>
    <w:multiLevelType w:val="singleLevel"/>
    <w:tmpl w:val="715ACFA7"/>
    <w:lvl w:ilvl="0" w:tentative="0">
      <w:start w:val="4"/>
      <w:numFmt w:val="chineseCounting"/>
      <w:suff w:val="nothing"/>
      <w:lvlText w:val="%1、"/>
      <w:lvlJc w:val="left"/>
      <w:rPr>
        <w:rFonts w:hint="eastAsia"/>
      </w:rPr>
    </w:lvl>
  </w:abstractNum>
  <w:num w:numId="1">
    <w:abstractNumId w:val="0"/>
  </w:num>
  <w:num w:numId="2">
    <w:abstractNumId w:val="3"/>
  </w:num>
  <w:num w:numId="3">
    <w:abstractNumId w:val="7"/>
  </w:num>
  <w:num w:numId="4">
    <w:abstractNumId w:val="8"/>
  </w:num>
  <w:num w:numId="5">
    <w:abstractNumId w:val="5"/>
  </w:num>
  <w:num w:numId="6">
    <w:abstractNumId w:val="1"/>
  </w:num>
  <w:num w:numId="7">
    <w:abstractNumId w:val="2"/>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617F1A"/>
    <w:rsid w:val="001C344A"/>
    <w:rsid w:val="003D73DB"/>
    <w:rsid w:val="004E177B"/>
    <w:rsid w:val="005D4223"/>
    <w:rsid w:val="00726300"/>
    <w:rsid w:val="00DD3F19"/>
    <w:rsid w:val="04F1105C"/>
    <w:rsid w:val="058C7E64"/>
    <w:rsid w:val="06CE540B"/>
    <w:rsid w:val="06E65352"/>
    <w:rsid w:val="074B3FB9"/>
    <w:rsid w:val="09A20520"/>
    <w:rsid w:val="0BA00956"/>
    <w:rsid w:val="0C5B757D"/>
    <w:rsid w:val="0C6425C1"/>
    <w:rsid w:val="0C8573BB"/>
    <w:rsid w:val="0CF04062"/>
    <w:rsid w:val="0D1E405E"/>
    <w:rsid w:val="0E682AF0"/>
    <w:rsid w:val="0F4A71E1"/>
    <w:rsid w:val="0F7A0502"/>
    <w:rsid w:val="0FD7120B"/>
    <w:rsid w:val="11733C86"/>
    <w:rsid w:val="12D544CC"/>
    <w:rsid w:val="13ED41C3"/>
    <w:rsid w:val="141F6500"/>
    <w:rsid w:val="158F4B63"/>
    <w:rsid w:val="15BA164E"/>
    <w:rsid w:val="176C14C1"/>
    <w:rsid w:val="190A0D0A"/>
    <w:rsid w:val="19AA0B86"/>
    <w:rsid w:val="19C257AA"/>
    <w:rsid w:val="1BDB6DE8"/>
    <w:rsid w:val="1DA43419"/>
    <w:rsid w:val="1F47656E"/>
    <w:rsid w:val="2020147D"/>
    <w:rsid w:val="2073620B"/>
    <w:rsid w:val="22097CEF"/>
    <w:rsid w:val="24701A29"/>
    <w:rsid w:val="255E3EDA"/>
    <w:rsid w:val="278A34B8"/>
    <w:rsid w:val="2A4472B6"/>
    <w:rsid w:val="2EA27501"/>
    <w:rsid w:val="2EE030CB"/>
    <w:rsid w:val="2EE6563F"/>
    <w:rsid w:val="2F1C7A2B"/>
    <w:rsid w:val="35146474"/>
    <w:rsid w:val="35F36062"/>
    <w:rsid w:val="36251143"/>
    <w:rsid w:val="36E6791E"/>
    <w:rsid w:val="36EF66F4"/>
    <w:rsid w:val="387E4B3B"/>
    <w:rsid w:val="3B815E78"/>
    <w:rsid w:val="3B892763"/>
    <w:rsid w:val="3C6E45E6"/>
    <w:rsid w:val="3C8D1B2D"/>
    <w:rsid w:val="3D1E61B1"/>
    <w:rsid w:val="40770F4A"/>
    <w:rsid w:val="41A97A5B"/>
    <w:rsid w:val="43095771"/>
    <w:rsid w:val="44F54553"/>
    <w:rsid w:val="45352DF2"/>
    <w:rsid w:val="457A4233"/>
    <w:rsid w:val="458473CE"/>
    <w:rsid w:val="46E27989"/>
    <w:rsid w:val="4EC36FED"/>
    <w:rsid w:val="500E3052"/>
    <w:rsid w:val="50680943"/>
    <w:rsid w:val="55595B5B"/>
    <w:rsid w:val="559913F9"/>
    <w:rsid w:val="57892520"/>
    <w:rsid w:val="578B1F9C"/>
    <w:rsid w:val="58DC6B6A"/>
    <w:rsid w:val="5AA5C068"/>
    <w:rsid w:val="5BFE7141"/>
    <w:rsid w:val="5CAC586B"/>
    <w:rsid w:val="5DF9063C"/>
    <w:rsid w:val="602C4CF9"/>
    <w:rsid w:val="615F46BC"/>
    <w:rsid w:val="626A5FAC"/>
    <w:rsid w:val="627F5447"/>
    <w:rsid w:val="6426509C"/>
    <w:rsid w:val="64A476D3"/>
    <w:rsid w:val="654737EC"/>
    <w:rsid w:val="67441712"/>
    <w:rsid w:val="6753700F"/>
    <w:rsid w:val="690D16FE"/>
    <w:rsid w:val="69306246"/>
    <w:rsid w:val="69CB5582"/>
    <w:rsid w:val="6AEB5C36"/>
    <w:rsid w:val="6BD02406"/>
    <w:rsid w:val="6C0745D5"/>
    <w:rsid w:val="6D8C078C"/>
    <w:rsid w:val="6E752417"/>
    <w:rsid w:val="6EC82034"/>
    <w:rsid w:val="6EF42168"/>
    <w:rsid w:val="72266F34"/>
    <w:rsid w:val="73BA21C4"/>
    <w:rsid w:val="74BF5CE3"/>
    <w:rsid w:val="74EE7C94"/>
    <w:rsid w:val="74F73CF8"/>
    <w:rsid w:val="758068AD"/>
    <w:rsid w:val="75B054FF"/>
    <w:rsid w:val="76B85F5A"/>
    <w:rsid w:val="76DB42E2"/>
    <w:rsid w:val="78D976CD"/>
    <w:rsid w:val="78F00460"/>
    <w:rsid w:val="794F0342"/>
    <w:rsid w:val="79A42A2D"/>
    <w:rsid w:val="7B5E1990"/>
    <w:rsid w:val="7B764F5C"/>
    <w:rsid w:val="7BEC5F07"/>
    <w:rsid w:val="7C3A6597"/>
    <w:rsid w:val="7D59D50C"/>
    <w:rsid w:val="7E20467A"/>
    <w:rsid w:val="7E3262CF"/>
    <w:rsid w:val="7E3528B1"/>
    <w:rsid w:val="7E617F1A"/>
    <w:rsid w:val="7F1A0568"/>
    <w:rsid w:val="A7DD2BD1"/>
    <w:rsid w:val="AFFF5DC3"/>
    <w:rsid w:val="BFF3506B"/>
    <w:rsid w:val="D7DF1740"/>
    <w:rsid w:val="DFB55A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pPr>
    <w:rPr>
      <w:rFonts w:ascii="Times New Roman" w:hAnsi="Times New Roman" w:eastAsia="宋体" w:cstheme="minorBidi"/>
      <w:snapToGrid w:val="0"/>
      <w:kern w:val="21"/>
      <w:sz w:val="24"/>
      <w:szCs w:val="18"/>
      <w:lang w:val="en-US" w:eastAsia="zh-CN" w:bidi="ar-SA"/>
    </w:rPr>
  </w:style>
  <w:style w:type="paragraph" w:styleId="3">
    <w:name w:val="heading 1"/>
    <w:basedOn w:val="1"/>
    <w:next w:val="1"/>
    <w:qFormat/>
    <w:uiPriority w:val="0"/>
    <w:pPr>
      <w:keepNext/>
      <w:keepLines/>
      <w:ind w:firstLine="0" w:firstLineChars="0"/>
      <w:jc w:val="center"/>
      <w:outlineLvl w:val="0"/>
    </w:pPr>
    <w:rPr>
      <w:rFonts w:eastAsia="黑体"/>
      <w:kern w:val="44"/>
      <w:sz w:val="30"/>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link w:val="18"/>
    <w:qFormat/>
    <w:uiPriority w:val="0"/>
    <w:pPr>
      <w:widowControl/>
      <w:snapToGrid w:val="0"/>
      <w:ind w:firstLine="0" w:firstLineChars="0"/>
    </w:pPr>
    <w:rPr>
      <w:rFonts w:eastAsiaTheme="minorEastAsia"/>
      <w:sz w:val="18"/>
    </w:rPr>
  </w:style>
  <w:style w:type="paragraph" w:styleId="4">
    <w:name w:val="annotation text"/>
    <w:basedOn w:val="1"/>
    <w:qFormat/>
    <w:uiPriority w:val="0"/>
  </w:style>
  <w:style w:type="paragraph" w:styleId="5">
    <w:name w:val="Plain Text"/>
    <w:basedOn w:val="1"/>
    <w:qFormat/>
    <w:uiPriority w:val="0"/>
    <w:rPr>
      <w:rFonts w:ascii="宋体" w:hAnsi="Courier New"/>
    </w:rPr>
  </w:style>
  <w:style w:type="paragraph" w:styleId="6">
    <w:name w:val="footer"/>
    <w:basedOn w:val="1"/>
    <w:qFormat/>
    <w:uiPriority w:val="0"/>
    <w:pPr>
      <w:tabs>
        <w:tab w:val="center" w:pos="4153"/>
        <w:tab w:val="right" w:pos="8306"/>
      </w:tabs>
      <w:snapToGrid w:val="0"/>
      <w:spacing w:line="240" w:lineRule="auto"/>
      <w:ind w:firstLine="0" w:firstLineChars="0"/>
      <w:jc w:val="center"/>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qFormat/>
    <w:uiPriority w:val="99"/>
    <w:rPr>
      <w:sz w:val="21"/>
    </w:rPr>
  </w:style>
  <w:style w:type="paragraph" w:customStyle="1" w:styleId="13">
    <w:name w:val="表格文字"/>
    <w:basedOn w:val="1"/>
    <w:qFormat/>
    <w:uiPriority w:val="0"/>
    <w:pPr>
      <w:spacing w:line="240" w:lineRule="auto"/>
      <w:ind w:firstLine="0" w:firstLineChars="0"/>
    </w:pPr>
    <w:rPr>
      <w:sz w:val="18"/>
    </w:rPr>
  </w:style>
  <w:style w:type="paragraph" w:customStyle="1" w:styleId="14">
    <w:name w:val="表头"/>
    <w:basedOn w:val="1"/>
    <w:qFormat/>
    <w:uiPriority w:val="0"/>
    <w:pPr>
      <w:keepNext/>
      <w:keepLines/>
      <w:numPr>
        <w:ilvl w:val="3"/>
        <w:numId w:val="1"/>
      </w:numPr>
      <w:tabs>
        <w:tab w:val="clear" w:pos="0"/>
      </w:tabs>
      <w:snapToGrid w:val="0"/>
      <w:spacing w:before="50" w:beforeLines="50"/>
      <w:ind w:firstLineChars="0"/>
      <w:jc w:val="center"/>
    </w:pPr>
    <w:rPr>
      <w:rFonts w:eastAsia="黑体" w:cs="Times New Roman"/>
      <w:sz w:val="21"/>
      <w:szCs w:val="21"/>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customStyle="1" w:styleId="17">
    <w:name w:val="！正文"/>
    <w:basedOn w:val="1"/>
    <w:qFormat/>
    <w:uiPriority w:val="0"/>
    <w:pPr>
      <w:adjustRightInd w:val="0"/>
      <w:snapToGrid w:val="0"/>
    </w:pPr>
    <w:rPr>
      <w:rFonts w:ascii="Cambria Math" w:hAnsi="Cambria Math" w:eastAsia="@方正宋黑简体" w:cs="Cambria Math"/>
      <w:szCs w:val="24"/>
    </w:rPr>
  </w:style>
  <w:style w:type="character" w:customStyle="1" w:styleId="18">
    <w:name w:val="正文文本 字符"/>
    <w:basedOn w:val="11"/>
    <w:link w:val="2"/>
    <w:uiPriority w:val="0"/>
    <w:rPr>
      <w:rFonts w:hint="default" w:ascii="Times New Roman" w:hAnsi="Times New Roman" w:cs="Times New Roman"/>
      <w:snapToGrid/>
      <w:kern w:val="21"/>
      <w:sz w:val="24"/>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25646</Words>
  <Characters>28724</Characters>
  <Lines>2872</Lines>
  <Paragraphs>3198</Paragraphs>
  <TotalTime>432</TotalTime>
  <ScaleCrop>false</ScaleCrop>
  <LinksUpToDate>false</LinksUpToDate>
  <CharactersWithSpaces>51172</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2025-04-29T14:11:00Z</dcterms:created>
  <dc:creator>张善杰</dc:creator>
  <cp:lastModifiedBy>ShanjieZhang</cp:lastModifiedBy>
  <dcterms:modified xsi:type="dcterms:W3CDTF">2026-07-01T14:39:53Z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BFBCEED3834A44CB9397DD040E09FF41_11</vt:lpwstr>
  </property>
  <property fmtid="{D5CDD505-2E9C-101B-9397-08002B2CF9AE}" pid="4" name="KSOTemplateDocerSaveRecord">
    <vt:lpwstr>eyJoZGlkIjoiMjM3NDU0MGRiMTY1ZGFhY2JiY2ViZjIyMjE2OWUwYTkiLCJ1c2VySWQiOiI1NTg2NTA3MDgifQ==</vt:lpwstr>
  </property>
</Properties>
</file>