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7A5BC">
      <w:pPr>
        <w:jc w:val="center"/>
        <w:rPr>
          <w:rStyle w:val="8"/>
          <w:rFonts w:eastAsia="方正小标宋简体"/>
          <w:bCs w:val="0"/>
          <w:color w:val="auto"/>
          <w:sz w:val="36"/>
          <w:szCs w:val="36"/>
        </w:rPr>
      </w:pPr>
      <w:r>
        <w:rPr>
          <w:rStyle w:val="8"/>
          <w:rFonts w:eastAsia="方正小标宋简体"/>
          <w:b w:val="0"/>
          <w:color w:val="auto"/>
          <w:sz w:val="36"/>
          <w:szCs w:val="36"/>
        </w:rPr>
        <w:t>浙江省科学技术奖公示信息表</w:t>
      </w:r>
      <w:r>
        <w:rPr>
          <w:rStyle w:val="8"/>
          <w:rFonts w:eastAsia="仿宋_GB2312"/>
          <w:b w:val="0"/>
          <w:color w:val="auto"/>
          <w:sz w:val="32"/>
          <w:szCs w:val="32"/>
        </w:rPr>
        <w:t>（单位提名）</w:t>
      </w:r>
    </w:p>
    <w:p w14:paraId="45A2E313">
      <w:pPr>
        <w:spacing w:line="440" w:lineRule="exact"/>
        <w:rPr>
          <w:rFonts w:hint="eastAsia" w:eastAsia="仿宋_GB2312"/>
          <w:sz w:val="28"/>
          <w:szCs w:val="24"/>
        </w:rPr>
      </w:pPr>
      <w:r>
        <w:rPr>
          <w:rFonts w:eastAsia="仿宋_GB2312"/>
          <w:sz w:val="28"/>
          <w:szCs w:val="24"/>
        </w:rPr>
        <w:t>提名奖项：科学技术进步奖</w:t>
      </w:r>
    </w:p>
    <w:tbl>
      <w:tblPr>
        <w:tblStyle w:val="5"/>
        <w:tblW w:w="86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687"/>
      </w:tblGrid>
      <w:tr w14:paraId="22D5A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vAlign w:val="center"/>
          </w:tcPr>
          <w:p w14:paraId="5DBB1577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8"/>
                <w:rFonts w:eastAsia="仿宋_GB2312"/>
                <w:b w:val="0"/>
                <w:bCs w:val="0"/>
                <w:color w:val="auto"/>
                <w:sz w:val="28"/>
              </w:rPr>
              <w:t>成果名称</w:t>
            </w:r>
          </w:p>
        </w:tc>
        <w:tc>
          <w:tcPr>
            <w:tcW w:w="6687" w:type="dxa"/>
            <w:vAlign w:val="center"/>
          </w:tcPr>
          <w:p w14:paraId="5B591CF4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8"/>
                <w:rFonts w:hint="eastAsia" w:eastAsia="仿宋_GB2312"/>
                <w:b w:val="0"/>
                <w:color w:val="auto"/>
                <w:sz w:val="28"/>
              </w:rPr>
              <w:t>多源混合污水强化解毒与动态适配处理关键技术及应用</w:t>
            </w:r>
          </w:p>
        </w:tc>
      </w:tr>
      <w:tr w14:paraId="07A51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vAlign w:val="center"/>
          </w:tcPr>
          <w:p w14:paraId="7A68BE1C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</w:rPr>
            </w:pPr>
            <w:r>
              <w:rPr>
                <w:rStyle w:val="8"/>
                <w:rFonts w:eastAsia="仿宋_GB2312"/>
                <w:b w:val="0"/>
                <w:bCs w:val="0"/>
                <w:color w:val="auto"/>
                <w:sz w:val="28"/>
              </w:rPr>
              <w:t>提名等级</w:t>
            </w:r>
          </w:p>
        </w:tc>
        <w:tc>
          <w:tcPr>
            <w:tcW w:w="6687" w:type="dxa"/>
            <w:vAlign w:val="center"/>
          </w:tcPr>
          <w:p w14:paraId="7F72EA56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</w:rPr>
            </w:pPr>
            <w:bookmarkStart w:id="0" w:name="OLE_LINK1"/>
            <w:r>
              <w:rPr>
                <w:rStyle w:val="8"/>
                <w:rFonts w:hint="eastAsia" w:eastAsia="仿宋_GB2312"/>
                <w:b w:val="0"/>
                <w:color w:val="auto"/>
                <w:sz w:val="28"/>
              </w:rPr>
              <w:t>一等奖</w:t>
            </w:r>
            <w:bookmarkEnd w:id="0"/>
          </w:p>
        </w:tc>
      </w:tr>
      <w:tr w14:paraId="126EB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vAlign w:val="center"/>
          </w:tcPr>
          <w:p w14:paraId="1A976846">
            <w:pPr>
              <w:spacing w:line="288" w:lineRule="auto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提名书</w:t>
            </w:r>
          </w:p>
          <w:p w14:paraId="14D1560C">
            <w:pPr>
              <w:spacing w:line="288" w:lineRule="auto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相关内容</w:t>
            </w:r>
          </w:p>
        </w:tc>
        <w:tc>
          <w:tcPr>
            <w:tcW w:w="6687" w:type="dxa"/>
            <w:vAlign w:val="center"/>
          </w:tcPr>
          <w:p w14:paraId="088275D6">
            <w:pPr>
              <w:spacing w:line="288" w:lineRule="auto"/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主要知识产权：</w:t>
            </w:r>
          </w:p>
          <w:p w14:paraId="2FAA3B7C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传感器故障检测与诊断方法、介质、电子设备及系统</w:t>
            </w:r>
            <w:r>
              <w:rPr>
                <w:rFonts w:hint="eastAsia" w:eastAsia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eastAsia="仿宋_GB2312"/>
                <w:bCs/>
                <w:sz w:val="22"/>
                <w:szCs w:val="22"/>
              </w:rPr>
              <w:t>江南大学，赵顺毅; 朱林风; 栾小丽; 刘飞，202210440771.7；</w:t>
            </w:r>
          </w:p>
          <w:p w14:paraId="1AC44724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基于图像识别的活性污泥颜色检测方法及相关装置，北京金控数据技术股份有限公司; 北方工业大学，杨斌; 庞中华; 李妍欧; 焦赟仪; 唐丽娜; 郭海彬; 高胜男; 薛同来，</w:t>
            </w:r>
            <w:bookmarkStart w:id="1" w:name="_GoBack"/>
            <w:bookmarkEnd w:id="1"/>
            <w:r>
              <w:rPr>
                <w:rFonts w:hint="eastAsia" w:eastAsia="仿宋_GB2312"/>
                <w:bCs/>
                <w:sz w:val="22"/>
                <w:szCs w:val="22"/>
              </w:rPr>
              <w:t>202411048814.2；</w:t>
            </w:r>
          </w:p>
          <w:p w14:paraId="57F220E0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一种用于水体毒性监测的生物电极及其制备和应用，浙江百诺数智环境科技股份有限公司，陈英; 詹东青; 梁禹翔; 朱晓晴; 陈杰; 张孝宁; 宜俊; 张显军; 周赫; 冯华军，202411841108.3；</w:t>
            </w:r>
          </w:p>
          <w:p w14:paraId="0C936BC5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一种快速重启的生物毒性在线监测设备及方法，浙江农林大学，冯华军; 梁禹翔; 李平丽; 叶芳芳; 张艳晴; 项海; 丁养城; 邱夏雯，202410107420.3；</w:t>
            </w:r>
          </w:p>
          <w:p w14:paraId="0BE128F2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一种高盐废水生物强化处理的方法，浙江工商大学</w:t>
            </w:r>
            <w:r>
              <w:rPr>
                <w:rFonts w:hint="eastAsia" w:eastAsia="仿宋_GB2312"/>
                <w:bCs/>
                <w:sz w:val="22"/>
                <w:szCs w:val="22"/>
              </w:rPr>
              <w:tab/>
            </w:r>
            <w:r>
              <w:rPr>
                <w:rFonts w:hint="eastAsia" w:eastAsia="仿宋_GB2312"/>
                <w:bCs/>
                <w:sz w:val="22"/>
                <w:szCs w:val="22"/>
              </w:rPr>
              <w:t>冯华军; 陈龙; 周丽婷; 陈儒雅; 夏伊静; 丁养城，202211237994.X；</w:t>
            </w:r>
          </w:p>
          <w:p w14:paraId="4DBEC3FA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一种SKL三相催化氧化-BAF深度处理化工废水的方法，南京神克隆科技有限公司，田宝凤; 江双双; 秦志兵，201511016689.8；</w:t>
            </w:r>
          </w:p>
          <w:p w14:paraId="393DDB01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一种用于污水处理碳源投加的智能控制方法及系统，北京金控数据技术股份有限公司，杨斌; 任国辉; 徐长建; 郝启文，202011082144.8；</w:t>
            </w:r>
          </w:p>
          <w:p w14:paraId="432CE6D9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一种连续性活性污泥法的曝气控制方法及系统，北京金控数据技术股份有限公司，任艳真; 杨斌; 刘萌，201510175884.9；</w:t>
            </w:r>
          </w:p>
          <w:p w14:paraId="61AE7CB2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一种污水处理厂三维仿真系统，北京金控数据技术股份有限公司;南京慧筑信息技术研究院有限公司，杨斌; 景阔; 倪树新，202010954629.5；</w:t>
            </w:r>
          </w:p>
          <w:p w14:paraId="03CEBE6B">
            <w:pPr>
              <w:pStyle w:val="9"/>
              <w:numPr>
                <w:ilvl w:val="0"/>
                <w:numId w:val="1"/>
              </w:numPr>
              <w:spacing w:line="288" w:lineRule="auto"/>
              <w:ind w:firstLineChars="0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一种通过污泥回流实现好氧池自充氧的方法，浙江百诺数智环境科技股份有限公司，梁禹翔; 陈英; 叶宗贇; 冯华军; 周赫; 陈钦钦; 连梦莹; 杨敏; 厉炯慧，202310379539.1。</w:t>
            </w:r>
          </w:p>
        </w:tc>
      </w:tr>
      <w:tr w14:paraId="36649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tcBorders>
              <w:right w:val="single" w:color="auto" w:sz="4" w:space="0"/>
            </w:tcBorders>
            <w:vAlign w:val="center"/>
          </w:tcPr>
          <w:p w14:paraId="108EEDCD">
            <w:pPr>
              <w:spacing w:line="288" w:lineRule="auto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主要完成人</w:t>
            </w:r>
          </w:p>
        </w:tc>
        <w:tc>
          <w:tcPr>
            <w:tcW w:w="6687" w:type="dxa"/>
            <w:tcBorders>
              <w:left w:val="single" w:color="auto" w:sz="4" w:space="0"/>
            </w:tcBorders>
            <w:vAlign w:val="center"/>
          </w:tcPr>
          <w:p w14:paraId="2EB95D03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厉炯慧，排名1，正高级工程师，浙江农林大学；</w:t>
            </w:r>
          </w:p>
          <w:p w14:paraId="7254926F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杨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斌，排名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，高级工程师，北京金控数据技术股份有限公司；</w:t>
            </w:r>
          </w:p>
          <w:p w14:paraId="10575CA4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陈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英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eastAsia="zh-CN" w:bidi="ar"/>
              </w:rPr>
              <w:t>，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，高级工程师，浙江百诺数智环境科技股份有限公司；</w:t>
            </w:r>
          </w:p>
          <w:p w14:paraId="7F64863C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赵顺毅，排名4，教授，江南大学；</w:t>
            </w:r>
          </w:p>
          <w:p w14:paraId="15360B5D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冯华军，排名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，教授，浙江农林大学；</w:t>
            </w:r>
          </w:p>
          <w:p w14:paraId="4B627CC7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田宝凤，排名6，高级工程师，南京神克隆科技有限公司；</w:t>
            </w:r>
          </w:p>
          <w:p w14:paraId="452F8705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钟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晨，排名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，高级工程师，葛洲坝集团生态环保有限公司；</w:t>
            </w:r>
          </w:p>
          <w:p w14:paraId="1B267973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陈飞宇，排名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，高级工程师，绍兴水处理发展有限公司；</w:t>
            </w:r>
          </w:p>
          <w:p w14:paraId="338B2C94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叶小忠，排名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，高级工程师，绍兴柯桥江滨水处理有限公司；</w:t>
            </w:r>
          </w:p>
          <w:p w14:paraId="66979A08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陈儒雅，排名10，讲师，浙江工商大学；</w:t>
            </w:r>
          </w:p>
          <w:p w14:paraId="34D8F096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唐丽娜，排名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val="en-US" w:eastAsia="zh-CN" w:bidi="ar"/>
              </w:rPr>
              <w:t>11</w:t>
            </w: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，高级工程师，北京金控数据技术股份有限公司；</w:t>
            </w:r>
          </w:p>
          <w:p w14:paraId="39F31077">
            <w:pPr>
              <w:spacing w:line="288" w:lineRule="auto"/>
              <w:jc w:val="both"/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沈信权，排名12，高级工程师，浙江百诺数智环境科技股份有限公司；</w:t>
            </w:r>
          </w:p>
          <w:p w14:paraId="2AE13B0C">
            <w:pPr>
              <w:spacing w:line="288" w:lineRule="auto"/>
              <w:jc w:val="both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bCs/>
                <w:sz w:val="22"/>
                <w:szCs w:val="22"/>
                <w:lang w:bidi="ar"/>
              </w:rPr>
              <w:t>康雅茹，排名13，中级工程师，浙江百诺数智环境科技股份有限公司。</w:t>
            </w:r>
          </w:p>
        </w:tc>
      </w:tr>
      <w:tr w14:paraId="337E2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tcBorders>
              <w:right w:val="single" w:color="auto" w:sz="4" w:space="0"/>
            </w:tcBorders>
            <w:vAlign w:val="center"/>
          </w:tcPr>
          <w:p w14:paraId="13330567">
            <w:pPr>
              <w:spacing w:line="288" w:lineRule="auto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687" w:type="dxa"/>
            <w:tcBorders>
              <w:left w:val="single" w:color="auto" w:sz="4" w:space="0"/>
            </w:tcBorders>
            <w:vAlign w:val="center"/>
          </w:tcPr>
          <w:p w14:paraId="5384176C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1.单位名称：浙江农林大学</w:t>
            </w:r>
          </w:p>
          <w:p w14:paraId="686491A8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2.单位名称：浙江百诺数智环境科技股份有限公司</w:t>
            </w:r>
          </w:p>
          <w:p w14:paraId="4B31CCDB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3.单位名称：北京金控数据技术股份有限公司</w:t>
            </w:r>
          </w:p>
          <w:p w14:paraId="1507C87F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4.单位名称：浙江工商大学</w:t>
            </w:r>
          </w:p>
          <w:p w14:paraId="12E069B7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5.单位名称：南京神克隆科技有限公司</w:t>
            </w:r>
          </w:p>
          <w:p w14:paraId="0FE22712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6.单位名称：江南大学</w:t>
            </w:r>
          </w:p>
          <w:p w14:paraId="6906496F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7.单位名称：葛洲坝集团生态环保有限公司</w:t>
            </w:r>
          </w:p>
          <w:p w14:paraId="24E6CFFD">
            <w:pPr>
              <w:spacing w:line="288" w:lineRule="auto"/>
              <w:jc w:val="left"/>
              <w:rPr>
                <w:rFonts w:hint="eastAsia" w:eastAsia="仿宋_GB2312"/>
                <w:bCs/>
                <w:sz w:val="22"/>
                <w:szCs w:val="22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8.单位名称：绍兴柯桥江滨水处理有限公司</w:t>
            </w:r>
          </w:p>
          <w:p w14:paraId="4F3DF6BC">
            <w:pPr>
              <w:spacing w:line="288" w:lineRule="auto"/>
              <w:jc w:val="left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2"/>
                <w:szCs w:val="22"/>
              </w:rPr>
              <w:t>9.单位名称：绍兴水处理发展有限公司</w:t>
            </w:r>
          </w:p>
        </w:tc>
      </w:tr>
      <w:tr w14:paraId="02992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vAlign w:val="center"/>
          </w:tcPr>
          <w:p w14:paraId="60AD8334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8"/>
                <w:rFonts w:eastAsia="仿宋_GB2312"/>
                <w:b w:val="0"/>
                <w:color w:val="auto"/>
                <w:sz w:val="28"/>
                <w:szCs w:val="28"/>
              </w:rPr>
              <w:t>提名单位</w:t>
            </w:r>
          </w:p>
        </w:tc>
        <w:tc>
          <w:tcPr>
            <w:tcW w:w="6687" w:type="dxa"/>
            <w:vAlign w:val="center"/>
          </w:tcPr>
          <w:p w14:paraId="7C5AEB9D">
            <w:pPr>
              <w:spacing w:line="288" w:lineRule="auto"/>
              <w:contextualSpacing/>
              <w:jc w:val="center"/>
              <w:rPr>
                <w:rStyle w:val="8"/>
                <w:b w:val="0"/>
                <w:color w:val="auto"/>
              </w:rPr>
            </w:pPr>
            <w:r>
              <w:rPr>
                <w:rFonts w:hint="eastAsia" w:eastAsia="仿宋_GB2312"/>
                <w:sz w:val="22"/>
                <w:szCs w:val="22"/>
              </w:rPr>
              <w:t>浙江省教育厅</w:t>
            </w:r>
          </w:p>
        </w:tc>
      </w:tr>
      <w:tr w14:paraId="54C76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4" w:type="dxa"/>
            <w:vAlign w:val="center"/>
          </w:tcPr>
          <w:p w14:paraId="7E5A771F">
            <w:pPr>
              <w:spacing w:line="288" w:lineRule="auto"/>
              <w:jc w:val="center"/>
              <w:rPr>
                <w:rStyle w:val="8"/>
                <w:rFonts w:eastAsia="仿宋_GB2312"/>
                <w:b w:val="0"/>
                <w:color w:val="auto"/>
                <w:sz w:val="28"/>
                <w:szCs w:val="28"/>
              </w:rPr>
            </w:pPr>
            <w:r>
              <w:rPr>
                <w:rStyle w:val="8"/>
                <w:rFonts w:eastAsia="仿宋_GB2312"/>
                <w:b w:val="0"/>
                <w:color w:val="auto"/>
                <w:sz w:val="28"/>
                <w:szCs w:val="28"/>
              </w:rPr>
              <w:t>提名意见</w:t>
            </w:r>
          </w:p>
        </w:tc>
        <w:tc>
          <w:tcPr>
            <w:tcW w:w="6687" w:type="dxa"/>
            <w:vAlign w:val="center"/>
          </w:tcPr>
          <w:p w14:paraId="0D02C3BA">
            <w:pPr>
              <w:spacing w:line="288" w:lineRule="auto"/>
              <w:ind w:firstLine="440" w:firstLineChars="200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工业废水固有的排放随机性、组分复杂性及毒性冲击烈度，使得污水处理厂生化处理系统深陷“进水毒性冲击-生化系统失稳-超标排放频发”的恶性循环。究其核心症结，是传统污水处理厂的设计与运行体系，对混合污水的未知、突发、复合毒性冲击近乎“失明”与“失智”，无法实现精准预警、靶向解毒与动态适配的协同控制。这一问题已成为制约行业安全运行与绿色转型的“卡脖子”技术瓶颈。</w:t>
            </w:r>
          </w:p>
          <w:p w14:paraId="16C764CE">
            <w:pPr>
              <w:spacing w:line="288" w:lineRule="auto"/>
              <w:ind w:firstLine="440" w:firstLineChars="200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针对上述重大需求，本成果在国家重点研发计划、国家火炬计划项目等支持下，历经多年攻关，原创性提出"动态感知—分级解毒—智能适配"主动调控技术体系，突破水泥特征精准感知、高毒废水分质减毒、流场驱动精准调控等核心关键技术，研制出全套自主可控智能化装备与平台。</w:t>
            </w:r>
          </w:p>
          <w:p w14:paraId="223F4040">
            <w:pPr>
              <w:spacing w:line="288" w:lineRule="auto"/>
              <w:ind w:firstLine="440" w:firstLineChars="200"/>
              <w:contextualSpacing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项目获授权发明专利53件，成果已推广至全国248项工程，总处理规模达720.5万吨/日，近三年新增销售额34.8亿元，入选国家级标杆与典型案例。相关技术入选中国重点环境保护实用技术、北京市新技术新产品新服务等，并获得国际发明金奖等重要奖项。该成果为我国混合型污水处理厂的数字化、精细化、低碳化运行提供了核心技术支撑，取得了显著的经济、社会和环境效益。</w:t>
            </w:r>
          </w:p>
          <w:p w14:paraId="5BFFDD7E">
            <w:pPr>
              <w:spacing w:line="288" w:lineRule="auto"/>
              <w:ind w:firstLine="440" w:firstLineChars="200"/>
              <w:contextualSpacing/>
              <w:rPr>
                <w:rStyle w:val="8"/>
                <w:rFonts w:hint="eastAsia" w:eastAsia="仿宋_GB2312"/>
                <w:b w:val="0"/>
                <w:color w:val="auto"/>
                <w:sz w:val="22"/>
                <w:szCs w:val="22"/>
              </w:rPr>
            </w:pPr>
            <w:r>
              <w:rPr>
                <w:rStyle w:val="8"/>
                <w:rFonts w:hint="eastAsia" w:eastAsia="仿宋_GB2312"/>
                <w:b w:val="0"/>
                <w:color w:val="auto"/>
                <w:sz w:val="22"/>
                <w:szCs w:val="22"/>
              </w:rPr>
              <w:t>对照省科学技术进步奖一等奖授奖条件，特提名该项成果为省科学技术进步奖一等奖。</w:t>
            </w:r>
          </w:p>
        </w:tc>
      </w:tr>
    </w:tbl>
    <w:p w14:paraId="474BE91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B73367F3-E10E-4970-BB92-207BC3DCB162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35E7F65F-69B5-49EC-8F02-4B2837E40D7D}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94DC8DE-4BE6-4FDF-BED0-F9B75F521192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444E46"/>
    <w:multiLevelType w:val="multilevel"/>
    <w:tmpl w:val="3F444E46"/>
    <w:lvl w:ilvl="0" w:tentative="0">
      <w:start w:val="1"/>
      <w:numFmt w:val="decimal"/>
      <w:lvlText w:val="[%1]"/>
      <w:lvlJc w:val="left"/>
      <w:pPr>
        <w:ind w:left="440" w:hanging="440"/>
      </w:pPr>
      <w:rPr>
        <w:rFonts w:hint="eastAsia"/>
        <w:b w:val="0"/>
        <w:bCs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BC"/>
    <w:rsid w:val="00084907"/>
    <w:rsid w:val="000C151C"/>
    <w:rsid w:val="00124E47"/>
    <w:rsid w:val="001B0873"/>
    <w:rsid w:val="002736FD"/>
    <w:rsid w:val="00305B94"/>
    <w:rsid w:val="00313FC0"/>
    <w:rsid w:val="003C5301"/>
    <w:rsid w:val="00431E22"/>
    <w:rsid w:val="00490A0E"/>
    <w:rsid w:val="00656CBC"/>
    <w:rsid w:val="007D71B8"/>
    <w:rsid w:val="00872F2A"/>
    <w:rsid w:val="009278B3"/>
    <w:rsid w:val="00A9251A"/>
    <w:rsid w:val="00AA2F71"/>
    <w:rsid w:val="00B725F9"/>
    <w:rsid w:val="00BA2175"/>
    <w:rsid w:val="00D55C03"/>
    <w:rsid w:val="00D73543"/>
    <w:rsid w:val="00EF7718"/>
    <w:rsid w:val="039A65F4"/>
    <w:rsid w:val="042B5143"/>
    <w:rsid w:val="0A951569"/>
    <w:rsid w:val="14213E6D"/>
    <w:rsid w:val="16E55626"/>
    <w:rsid w:val="1A1C2EA7"/>
    <w:rsid w:val="1DC30EE4"/>
    <w:rsid w:val="20711CD8"/>
    <w:rsid w:val="23294033"/>
    <w:rsid w:val="2E7B3D22"/>
    <w:rsid w:val="2EBD258D"/>
    <w:rsid w:val="2FC242FE"/>
    <w:rsid w:val="32226D24"/>
    <w:rsid w:val="36777300"/>
    <w:rsid w:val="376163AC"/>
    <w:rsid w:val="4E375A60"/>
    <w:rsid w:val="50BA65E4"/>
    <w:rsid w:val="54BE6593"/>
    <w:rsid w:val="5EF9595D"/>
    <w:rsid w:val="5FBA8D65"/>
    <w:rsid w:val="5FCF8820"/>
    <w:rsid w:val="68E60B02"/>
    <w:rsid w:val="76474E84"/>
    <w:rsid w:val="79254583"/>
    <w:rsid w:val="79FEF2FB"/>
    <w:rsid w:val="7BDF52B1"/>
    <w:rsid w:val="7DFCA661"/>
    <w:rsid w:val="B9EB2C55"/>
    <w:rsid w:val="DEFF2021"/>
    <w:rsid w:val="F7F78B18"/>
    <w:rsid w:val="FB7F2BFD"/>
    <w:rsid w:val="FD6FBE2E"/>
    <w:rsid w:val="FEFFB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340" w:after="330" w:line="578" w:lineRule="auto"/>
      <w:jc w:val="left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iPriority w:val="0"/>
    <w:rPr>
      <w:color w:val="0563C1"/>
      <w:u w:val="single"/>
    </w:rPr>
  </w:style>
  <w:style w:type="character" w:customStyle="1" w:styleId="8">
    <w:name w:val="title1"/>
    <w:qFormat/>
    <w:uiPriority w:val="0"/>
    <w:rPr>
      <w:b/>
      <w:bCs/>
      <w:color w:val="999900"/>
      <w:sz w:val="24"/>
      <w:szCs w:val="2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1680</Words>
  <Characters>1838</Characters>
  <Lines>10</Lines>
  <Paragraphs>3</Paragraphs>
  <TotalTime>2</TotalTime>
  <ScaleCrop>false</ScaleCrop>
  <LinksUpToDate>false</LinksUpToDate>
  <CharactersWithSpaces>1894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2025-09-24T05:35:00Z</dcterms:created>
  <dc:creator>Lenovo</dc:creator>
  <cp:lastModifiedBy>一个人看小丸子คิดถึง</cp:lastModifiedBy>
  <dcterms:modified xsi:type="dcterms:W3CDTF">2026-06-11T06:15:10Z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eyJoZGlkIjoiYWM4NjJmN2RiNjM2OGYzM2IwOGI1NDJhMzM2ZGNmZDMiLCJ1c2VySWQiOiI0MTIyMjU1NTQifQ==</vt:lpwstr>
  </property>
  <property fmtid="{D5CDD505-2E9C-101B-9397-08002B2CF9AE}" pid="4" name="ICV">
    <vt:lpwstr>164E1F8BD20F43E5A87AE49829BED6F5_13</vt:lpwstr>
  </property>
</Properties>
</file>