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DDC1E">
      <w:pPr>
        <w:spacing w:line="240" w:lineRule="auto"/>
        <w:ind w:firstLine="0" w:firstLineChars="0"/>
        <w:rPr>
          <w:rFonts w:eastAsia="仿宋_GB2312" w:cs="Times New Roman"/>
          <w:sz w:val="36"/>
          <w:szCs w:val="36"/>
        </w:rPr>
      </w:pPr>
    </w:p>
    <w:p w14:paraId="15423AB3">
      <w:pPr>
        <w:spacing w:line="240" w:lineRule="auto"/>
        <w:ind w:firstLine="0" w:firstLineChars="0"/>
        <w:rPr>
          <w:rFonts w:eastAsia="仿宋_GB2312" w:cs="Times New Roman"/>
          <w:sz w:val="36"/>
          <w:szCs w:val="36"/>
        </w:rPr>
      </w:pPr>
      <w:r>
        <w:rPr>
          <w:rFonts w:cs="Times New Roman"/>
        </w:rPr>
        <w:drawing>
          <wp:inline distT="0" distB="0" distL="114300" distR="114300">
            <wp:extent cx="1718310" cy="598805"/>
            <wp:effectExtent l="0" t="0" r="3810" b="10795"/>
            <wp:docPr id="3" name="图片 4" descr="定稿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定稿logo"/>
                    <pic:cNvPicPr>
                      <a:picLocks noChangeAspect="1"/>
                    </pic:cNvPicPr>
                  </pic:nvPicPr>
                  <pic:blipFill>
                    <a:blip r:embed="rId9"/>
                    <a:stretch>
                      <a:fillRect/>
                    </a:stretch>
                  </pic:blipFill>
                  <pic:spPr>
                    <a:xfrm>
                      <a:off x="0" y="0"/>
                      <a:ext cx="1718310" cy="598805"/>
                    </a:xfrm>
                    <a:prstGeom prst="rect">
                      <a:avLst/>
                    </a:prstGeom>
                    <a:noFill/>
                    <a:ln>
                      <a:noFill/>
                    </a:ln>
                  </pic:spPr>
                </pic:pic>
              </a:graphicData>
            </a:graphic>
          </wp:inline>
        </w:drawing>
      </w:r>
    </w:p>
    <w:p w14:paraId="28D2A9AA">
      <w:pPr>
        <w:spacing w:line="240" w:lineRule="auto"/>
        <w:ind w:firstLine="0" w:firstLineChars="0"/>
        <w:rPr>
          <w:rFonts w:eastAsia="仿宋_GB2312" w:cs="Times New Roman"/>
          <w:sz w:val="36"/>
          <w:szCs w:val="36"/>
        </w:rPr>
      </w:pPr>
    </w:p>
    <w:p w14:paraId="34C3A0EC">
      <w:pPr>
        <w:spacing w:line="240" w:lineRule="auto"/>
        <w:ind w:firstLine="0" w:firstLineChars="0"/>
        <w:rPr>
          <w:rFonts w:eastAsia="仿宋_GB2312" w:cs="Times New Roman"/>
          <w:sz w:val="36"/>
          <w:szCs w:val="36"/>
        </w:rPr>
      </w:pPr>
    </w:p>
    <w:p w14:paraId="5001401F">
      <w:pPr>
        <w:adjustRightInd w:val="0"/>
        <w:snapToGrid w:val="0"/>
        <w:spacing w:line="240" w:lineRule="auto"/>
        <w:ind w:firstLine="0" w:firstLineChars="0"/>
        <w:jc w:val="center"/>
        <w:outlineLvl w:val="0"/>
        <w:rPr>
          <w:rFonts w:eastAsia="方正小标宋_GBK" w:cs="Times New Roman"/>
          <w:bCs/>
          <w:sz w:val="72"/>
          <w:szCs w:val="72"/>
        </w:rPr>
      </w:pPr>
      <w:bookmarkStart w:id="0" w:name="_Toc5769"/>
      <w:bookmarkStart w:id="1" w:name="_Toc5514"/>
      <w:r>
        <w:rPr>
          <w:rFonts w:eastAsia="方正小标宋_GBK" w:cs="Times New Roman"/>
          <w:bCs/>
          <w:sz w:val="72"/>
          <w:szCs w:val="72"/>
        </w:rPr>
        <w:t>建设项目环境影响报告表</w:t>
      </w:r>
      <w:bookmarkEnd w:id="0"/>
      <w:bookmarkEnd w:id="1"/>
    </w:p>
    <w:p w14:paraId="5B05BC8D">
      <w:pPr>
        <w:adjustRightInd w:val="0"/>
        <w:snapToGrid w:val="0"/>
        <w:spacing w:before="249" w:beforeLines="80" w:line="240" w:lineRule="auto"/>
        <w:ind w:firstLine="0" w:firstLineChars="0"/>
        <w:jc w:val="center"/>
        <w:rPr>
          <w:rFonts w:eastAsia="楷体_GB2312" w:cs="Times New Roman"/>
          <w:bCs/>
          <w:sz w:val="48"/>
          <w:szCs w:val="48"/>
        </w:rPr>
      </w:pPr>
      <w:r>
        <w:rPr>
          <w:rFonts w:eastAsia="楷体_GB2312" w:cs="Times New Roman"/>
          <w:bCs/>
          <w:sz w:val="48"/>
          <w:szCs w:val="48"/>
        </w:rPr>
        <w:t>（污染影响类）</w:t>
      </w:r>
    </w:p>
    <w:p w14:paraId="061F5E85">
      <w:pPr>
        <w:spacing w:line="240" w:lineRule="auto"/>
        <w:ind w:firstLine="0" w:firstLineChars="0"/>
        <w:jc w:val="center"/>
        <w:rPr>
          <w:rFonts w:eastAsia="仿宋" w:cs="Times New Roman"/>
          <w:sz w:val="52"/>
          <w:szCs w:val="52"/>
        </w:rPr>
      </w:pPr>
    </w:p>
    <w:p w14:paraId="7C79BA01">
      <w:pPr>
        <w:pStyle w:val="2"/>
        <w:ind w:firstLine="480"/>
      </w:pPr>
    </w:p>
    <w:p w14:paraId="64E1A036">
      <w:pPr>
        <w:spacing w:line="240" w:lineRule="auto"/>
        <w:ind w:firstLine="1040" w:firstLineChars="0"/>
        <w:rPr>
          <w:rFonts w:eastAsia="仿宋" w:cs="Times New Roman"/>
          <w:sz w:val="44"/>
          <w:szCs w:val="44"/>
        </w:rPr>
      </w:pPr>
    </w:p>
    <w:p w14:paraId="3ECC2E87">
      <w:pPr>
        <w:spacing w:line="240" w:lineRule="auto"/>
        <w:ind w:firstLine="1040" w:firstLineChars="0"/>
        <w:rPr>
          <w:rFonts w:eastAsia="仿宋" w:cs="Times New Roman"/>
          <w:sz w:val="44"/>
          <w:szCs w:val="44"/>
        </w:rPr>
      </w:pPr>
    </w:p>
    <w:p w14:paraId="3A21D4FF">
      <w:pPr>
        <w:spacing w:line="240" w:lineRule="auto"/>
        <w:ind w:firstLine="1040" w:firstLineChars="0"/>
        <w:rPr>
          <w:rFonts w:eastAsia="仿宋" w:cs="Times New Roman"/>
          <w:sz w:val="44"/>
          <w:szCs w:val="44"/>
        </w:rPr>
      </w:pPr>
    </w:p>
    <w:p w14:paraId="3EF52051">
      <w:pPr>
        <w:spacing w:line="240" w:lineRule="auto"/>
        <w:ind w:firstLine="1040" w:firstLineChars="0"/>
        <w:rPr>
          <w:rFonts w:eastAsia="仿宋" w:cs="Times New Roman"/>
          <w:sz w:val="44"/>
          <w:szCs w:val="4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2214"/>
        <w:gridCol w:w="6194"/>
      </w:tblGrid>
      <w:tr w14:paraId="2A9D7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c>
          <w:tcPr>
            <w:tcW w:w="2214" w:type="dxa"/>
            <w:tcBorders>
              <w:top w:val="nil"/>
              <w:left w:val="nil"/>
              <w:bottom w:val="nil"/>
              <w:right w:val="nil"/>
            </w:tcBorders>
            <w:shd w:val="clear" w:color="auto" w:fill="auto"/>
            <w:vAlign w:val="top"/>
          </w:tcPr>
          <w:p w14:paraId="5CE589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firstLine="0" w:firstLineChars="0"/>
              <w:jc w:val="distribute"/>
              <w:textAlignment w:val="auto"/>
              <w:rPr>
                <w:rFonts w:hint="default" w:eastAsia="仿宋" w:cs="Times New Roman"/>
                <w:sz w:val="28"/>
                <w:szCs w:val="28"/>
              </w:rPr>
            </w:pPr>
            <w:r>
              <w:rPr>
                <w:rFonts w:hint="default" w:eastAsia="仿宋_GB2312" w:cs="Times New Roman"/>
                <w:sz w:val="28"/>
                <w:szCs w:val="28"/>
              </w:rPr>
              <w:t>项目名称：</w:t>
            </w:r>
          </w:p>
        </w:tc>
        <w:tc>
          <w:tcPr>
            <w:tcW w:w="6194" w:type="dxa"/>
            <w:tcBorders>
              <w:top w:val="nil"/>
              <w:left w:val="nil"/>
              <w:bottom w:val="single" w:color="auto" w:sz="4" w:space="0"/>
              <w:right w:val="nil"/>
            </w:tcBorders>
            <w:shd w:val="clear" w:color="auto" w:fill="auto"/>
            <w:vAlign w:val="top"/>
          </w:tcPr>
          <w:p w14:paraId="6CDB0D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firstLine="0" w:firstLineChars="0"/>
              <w:jc w:val="center"/>
              <w:textAlignment w:val="auto"/>
              <w:rPr>
                <w:rFonts w:hint="default" w:eastAsia="仿宋_GB2312" w:cs="Times New Roman"/>
                <w:sz w:val="28"/>
                <w:szCs w:val="28"/>
                <w:lang w:val="en-US" w:eastAsia="zh-CN"/>
              </w:rPr>
            </w:pPr>
            <w:r>
              <w:rPr>
                <w:rFonts w:hint="eastAsia" w:eastAsia="仿宋_GB2312" w:cs="Times New Roman"/>
                <w:sz w:val="28"/>
                <w:szCs w:val="28"/>
                <w:lang w:val="en-US" w:eastAsia="zh-CN"/>
              </w:rPr>
              <w:t>中科国康人类肠道菌群研发及测试项目</w:t>
            </w:r>
          </w:p>
        </w:tc>
      </w:tr>
      <w:tr w14:paraId="21229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 w:hRule="atLeast"/>
        </w:trPr>
        <w:tc>
          <w:tcPr>
            <w:tcW w:w="2214" w:type="dxa"/>
            <w:tcBorders>
              <w:top w:val="nil"/>
              <w:left w:val="nil"/>
              <w:bottom w:val="nil"/>
              <w:right w:val="nil"/>
            </w:tcBorders>
            <w:shd w:val="clear" w:color="auto" w:fill="auto"/>
            <w:vAlign w:val="top"/>
          </w:tcPr>
          <w:p w14:paraId="752C08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firstLine="0" w:firstLineChars="0"/>
              <w:jc w:val="distribute"/>
              <w:textAlignment w:val="auto"/>
              <w:rPr>
                <w:rFonts w:hint="default" w:eastAsia="仿宋" w:cs="Times New Roman"/>
                <w:sz w:val="28"/>
                <w:szCs w:val="28"/>
              </w:rPr>
            </w:pPr>
            <w:r>
              <w:rPr>
                <w:rFonts w:hint="default" w:eastAsia="仿宋_GB2312" w:cs="Times New Roman"/>
                <w:sz w:val="28"/>
                <w:szCs w:val="28"/>
              </w:rPr>
              <w:t>建设单位（盖章）：</w:t>
            </w:r>
          </w:p>
        </w:tc>
        <w:tc>
          <w:tcPr>
            <w:tcW w:w="6194" w:type="dxa"/>
            <w:tcBorders>
              <w:top w:val="single" w:color="auto" w:sz="4" w:space="0"/>
              <w:left w:val="nil"/>
              <w:bottom w:val="single" w:color="auto" w:sz="4" w:space="0"/>
              <w:right w:val="nil"/>
            </w:tcBorders>
            <w:shd w:val="clear" w:color="auto" w:fill="auto"/>
            <w:vAlign w:val="top"/>
          </w:tcPr>
          <w:p w14:paraId="35588C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firstLine="0" w:firstLineChars="0"/>
              <w:jc w:val="center"/>
              <w:textAlignment w:val="auto"/>
              <w:rPr>
                <w:rFonts w:hint="default" w:eastAsia="仿宋" w:cs="Times New Roman"/>
                <w:sz w:val="28"/>
                <w:szCs w:val="28"/>
              </w:rPr>
            </w:pPr>
            <w:r>
              <w:rPr>
                <w:rFonts w:hint="eastAsia" w:eastAsia="仿宋_GB2312" w:cs="Times New Roman"/>
                <w:sz w:val="28"/>
                <w:szCs w:val="28"/>
                <w:lang w:val="en-US" w:eastAsia="zh-CN"/>
              </w:rPr>
              <w:t>浙江中科国康生物医药科技有限公司</w:t>
            </w:r>
          </w:p>
        </w:tc>
      </w:tr>
      <w:tr w14:paraId="0FBD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c>
          <w:tcPr>
            <w:tcW w:w="2214" w:type="dxa"/>
            <w:tcBorders>
              <w:top w:val="nil"/>
              <w:left w:val="nil"/>
              <w:bottom w:val="nil"/>
              <w:right w:val="nil"/>
            </w:tcBorders>
            <w:shd w:val="clear" w:color="auto" w:fill="auto"/>
            <w:vAlign w:val="top"/>
          </w:tcPr>
          <w:p w14:paraId="46A79B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firstLine="0" w:firstLineChars="0"/>
              <w:jc w:val="distribute"/>
              <w:textAlignment w:val="auto"/>
              <w:rPr>
                <w:rFonts w:hint="default" w:eastAsia="仿宋" w:cs="Times New Roman"/>
                <w:sz w:val="28"/>
                <w:szCs w:val="28"/>
              </w:rPr>
            </w:pPr>
            <w:r>
              <w:rPr>
                <w:rFonts w:hint="default" w:eastAsia="仿宋_GB2312" w:cs="Times New Roman"/>
                <w:sz w:val="28"/>
                <w:szCs w:val="28"/>
              </w:rPr>
              <w:t>编制日期：</w:t>
            </w:r>
          </w:p>
        </w:tc>
        <w:tc>
          <w:tcPr>
            <w:tcW w:w="6194" w:type="dxa"/>
            <w:tcBorders>
              <w:top w:val="single" w:color="auto" w:sz="4" w:space="0"/>
              <w:left w:val="nil"/>
              <w:bottom w:val="single" w:color="auto" w:sz="4" w:space="0"/>
              <w:right w:val="nil"/>
            </w:tcBorders>
            <w:shd w:val="clear" w:color="auto" w:fill="auto"/>
            <w:vAlign w:val="top"/>
          </w:tcPr>
          <w:p w14:paraId="2701EB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firstLine="0" w:firstLineChars="0"/>
              <w:jc w:val="center"/>
              <w:textAlignment w:val="auto"/>
              <w:rPr>
                <w:rFonts w:hint="default" w:eastAsia="仿宋" w:cs="Times New Roman"/>
                <w:sz w:val="28"/>
                <w:szCs w:val="28"/>
              </w:rPr>
            </w:pPr>
            <w:r>
              <w:rPr>
                <w:rFonts w:hint="default" w:eastAsia="仿宋_GB2312" w:cs="Times New Roman"/>
                <w:sz w:val="28"/>
                <w:szCs w:val="28"/>
              </w:rPr>
              <w:t>202</w:t>
            </w:r>
            <w:r>
              <w:rPr>
                <w:rFonts w:hint="eastAsia" w:eastAsia="仿宋_GB2312" w:cs="Times New Roman"/>
                <w:sz w:val="28"/>
                <w:szCs w:val="28"/>
              </w:rPr>
              <w:t>5</w:t>
            </w:r>
            <w:r>
              <w:rPr>
                <w:rFonts w:hint="default" w:eastAsia="仿宋_GB2312" w:cs="Times New Roman"/>
                <w:sz w:val="28"/>
                <w:szCs w:val="28"/>
              </w:rPr>
              <w:t>年</w:t>
            </w:r>
            <w:r>
              <w:rPr>
                <w:rFonts w:hint="eastAsia" w:eastAsia="仿宋_GB2312" w:cs="Times New Roman"/>
                <w:sz w:val="28"/>
                <w:szCs w:val="28"/>
                <w:lang w:val="en-US" w:eastAsia="zh-CN"/>
              </w:rPr>
              <w:t>11</w:t>
            </w:r>
            <w:r>
              <w:rPr>
                <w:rFonts w:hint="default" w:eastAsia="仿宋_GB2312" w:cs="Times New Roman"/>
                <w:sz w:val="28"/>
                <w:szCs w:val="28"/>
              </w:rPr>
              <w:t>月</w:t>
            </w:r>
          </w:p>
        </w:tc>
      </w:tr>
    </w:tbl>
    <w:p w14:paraId="65249CE4">
      <w:pPr>
        <w:adjustRightInd w:val="0"/>
        <w:snapToGrid w:val="0"/>
        <w:spacing w:line="288" w:lineRule="auto"/>
        <w:ind w:firstLine="1040" w:firstLineChars="0"/>
        <w:rPr>
          <w:rFonts w:eastAsia="仿宋_GB2312" w:cs="Times New Roman"/>
          <w:sz w:val="36"/>
          <w:szCs w:val="36"/>
        </w:rPr>
      </w:pPr>
      <w:bookmarkStart w:id="2" w:name="_Hlk57884087"/>
    </w:p>
    <w:p w14:paraId="48A3C6C5">
      <w:pPr>
        <w:adjustRightInd w:val="0"/>
        <w:snapToGrid w:val="0"/>
        <w:spacing w:line="288" w:lineRule="auto"/>
        <w:ind w:firstLine="1040" w:firstLineChars="0"/>
        <w:rPr>
          <w:rFonts w:eastAsia="仿宋_GB2312" w:cs="Times New Roman"/>
          <w:sz w:val="36"/>
          <w:szCs w:val="36"/>
        </w:rPr>
      </w:pPr>
    </w:p>
    <w:bookmarkEnd w:id="2"/>
    <w:p w14:paraId="5A06863E">
      <w:pPr>
        <w:ind w:firstLine="0" w:firstLineChars="0"/>
        <w:jc w:val="center"/>
        <w:rPr>
          <w:rFonts w:eastAsia="楷体_GB2312" w:cs="Times New Roman"/>
          <w:sz w:val="36"/>
          <w:szCs w:val="36"/>
        </w:rPr>
        <w:sectPr>
          <w:pgSz w:w="11906" w:h="16838"/>
          <w:pgMar w:top="1440" w:right="1800" w:bottom="1440" w:left="1800" w:header="851" w:footer="992" w:gutter="0"/>
          <w:cols w:space="425" w:num="1"/>
          <w:docGrid w:type="lines" w:linePitch="312" w:charSpace="0"/>
        </w:sectPr>
      </w:pPr>
      <w:r>
        <w:rPr>
          <w:rFonts w:eastAsia="楷体_GB2312" w:cs="Times New Roman"/>
          <w:sz w:val="36"/>
          <w:szCs w:val="36"/>
        </w:rPr>
        <w:t>中华人民共和国生态环境部制</w:t>
      </w:r>
    </w:p>
    <w:sdt>
      <w:sdtPr>
        <w:rPr>
          <w:rFonts w:ascii="宋体" w:hAnsi="宋体" w:eastAsia="宋体" w:cstheme="minorBidi"/>
          <w:kern w:val="2"/>
          <w:sz w:val="21"/>
          <w:szCs w:val="22"/>
          <w:lang w:val="en-US" w:eastAsia="zh-CN" w:bidi="ar-SA"/>
        </w:rPr>
        <w:id w:val="147450944"/>
        <w15:color w:val="DBDBDB"/>
        <w:docPartObj>
          <w:docPartGallery w:val="Table of Contents"/>
          <w:docPartUnique/>
        </w:docPartObj>
      </w:sdtPr>
      <w:sdtEndPr>
        <w:rPr>
          <w:rFonts w:ascii="Arial" w:hAnsi="Arial" w:eastAsia="宋体" w:cstheme="minorBidi"/>
          <w:snapToGrid w:val="0"/>
          <w:kern w:val="0"/>
          <w:sz w:val="24"/>
          <w:szCs w:val="32"/>
          <w:lang w:val="en-US" w:eastAsia="zh-CN" w:bidi="ar-SA"/>
        </w:rPr>
      </w:sdtEndPr>
      <w:sdtContent>
        <w:p w14:paraId="14041C57">
          <w:pPr>
            <w:spacing w:before="0" w:beforeLines="0" w:after="0" w:afterLines="0" w:line="240" w:lineRule="auto"/>
            <w:ind w:left="0" w:leftChars="0" w:right="0" w:rightChars="0" w:firstLine="0" w:firstLineChars="0"/>
            <w:jc w:val="center"/>
          </w:pPr>
          <w:r>
            <w:rPr>
              <w:rFonts w:hint="eastAsia" w:ascii="黑体" w:hAnsi="黑体" w:eastAsia="黑体" w:cs="黑体"/>
              <w:sz w:val="36"/>
              <w:szCs w:val="36"/>
            </w:rPr>
            <w:t>目</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录</w:t>
          </w:r>
        </w:p>
        <w:p w14:paraId="245C7748">
          <w:pPr>
            <w:pStyle w:val="11"/>
            <w:tabs>
              <w:tab w:val="right" w:leader="dot" w:pos="8306"/>
            </w:tabs>
          </w:pPr>
          <w:r>
            <w:fldChar w:fldCharType="begin"/>
          </w:r>
          <w:r>
            <w:instrText xml:space="preserve">TOC \o "1-1" \h \u </w:instrText>
          </w:r>
          <w:r>
            <w:fldChar w:fldCharType="separate"/>
          </w:r>
          <w:r>
            <w:fldChar w:fldCharType="begin"/>
          </w:r>
          <w:r>
            <w:instrText xml:space="preserve"> HYPERLINK \l _Toc5514 </w:instrText>
          </w:r>
          <w:r>
            <w:fldChar w:fldCharType="separate"/>
          </w:r>
          <w:r>
            <w:rPr>
              <w:rFonts w:eastAsia="方正小标宋_GBK" w:cs="Times New Roman"/>
              <w:bCs/>
              <w:szCs w:val="72"/>
            </w:rPr>
            <w:t>建设项目环境影响报告表</w:t>
          </w:r>
          <w:r>
            <w:tab/>
          </w:r>
          <w:r>
            <w:fldChar w:fldCharType="begin"/>
          </w:r>
          <w:r>
            <w:instrText xml:space="preserve"> PAGEREF _Toc5514 \h </w:instrText>
          </w:r>
          <w:r>
            <w:fldChar w:fldCharType="separate"/>
          </w:r>
          <w:r>
            <w:t>1</w:t>
          </w:r>
          <w:r>
            <w:fldChar w:fldCharType="end"/>
          </w:r>
          <w:r>
            <w:fldChar w:fldCharType="end"/>
          </w:r>
        </w:p>
        <w:p w14:paraId="1BEFF339">
          <w:pPr>
            <w:pStyle w:val="11"/>
            <w:tabs>
              <w:tab w:val="right" w:leader="dot" w:pos="8306"/>
            </w:tabs>
          </w:pPr>
          <w:r>
            <w:fldChar w:fldCharType="begin"/>
          </w:r>
          <w:r>
            <w:instrText xml:space="preserve"> HYPERLINK \l _Toc30619 </w:instrText>
          </w:r>
          <w:r>
            <w:fldChar w:fldCharType="separate"/>
          </w:r>
          <w:r>
            <w:rPr>
              <w:bCs/>
            </w:rPr>
            <w:t>一、建设项目基本情况</w:t>
          </w:r>
          <w:r>
            <w:tab/>
          </w:r>
          <w:r>
            <w:fldChar w:fldCharType="begin"/>
          </w:r>
          <w:r>
            <w:instrText xml:space="preserve"> PAGEREF _Toc30619 \h </w:instrText>
          </w:r>
          <w:r>
            <w:fldChar w:fldCharType="separate"/>
          </w:r>
          <w:r>
            <w:t>1</w:t>
          </w:r>
          <w:r>
            <w:fldChar w:fldCharType="end"/>
          </w:r>
          <w:r>
            <w:fldChar w:fldCharType="end"/>
          </w:r>
        </w:p>
        <w:p w14:paraId="4A47E0A6">
          <w:pPr>
            <w:pStyle w:val="11"/>
            <w:tabs>
              <w:tab w:val="right" w:leader="dot" w:pos="8306"/>
            </w:tabs>
          </w:pPr>
          <w:r>
            <w:fldChar w:fldCharType="begin"/>
          </w:r>
          <w:r>
            <w:instrText xml:space="preserve"> HYPERLINK \l _Toc11782 </w:instrText>
          </w:r>
          <w:r>
            <w:fldChar w:fldCharType="separate"/>
          </w:r>
          <w:r>
            <w:rPr>
              <w:rFonts w:hint="eastAsia"/>
              <w:bCs/>
            </w:rPr>
            <w:t>二</w:t>
          </w:r>
          <w:r>
            <w:rPr>
              <w:bCs/>
            </w:rPr>
            <w:t>、建设项目</w:t>
          </w:r>
          <w:r>
            <w:rPr>
              <w:rFonts w:hint="eastAsia"/>
              <w:bCs/>
            </w:rPr>
            <w:t>工程分析</w:t>
          </w:r>
          <w:r>
            <w:tab/>
          </w:r>
          <w:r>
            <w:fldChar w:fldCharType="begin"/>
          </w:r>
          <w:r>
            <w:instrText xml:space="preserve"> PAGEREF _Toc11782 \h </w:instrText>
          </w:r>
          <w:r>
            <w:fldChar w:fldCharType="separate"/>
          </w:r>
          <w:r>
            <w:t>17</w:t>
          </w:r>
          <w:r>
            <w:fldChar w:fldCharType="end"/>
          </w:r>
          <w:r>
            <w:fldChar w:fldCharType="end"/>
          </w:r>
        </w:p>
        <w:p w14:paraId="0FBCD6BD">
          <w:pPr>
            <w:pStyle w:val="11"/>
            <w:tabs>
              <w:tab w:val="right" w:leader="dot" w:pos="8306"/>
            </w:tabs>
          </w:pPr>
          <w:r>
            <w:fldChar w:fldCharType="begin"/>
          </w:r>
          <w:r>
            <w:instrText xml:space="preserve"> HYPERLINK \l _Toc25883 </w:instrText>
          </w:r>
          <w:r>
            <w:fldChar w:fldCharType="separate"/>
          </w:r>
          <w:r>
            <w:rPr>
              <w:rFonts w:hint="eastAsia"/>
              <w:bCs/>
            </w:rPr>
            <w:t>三</w:t>
          </w:r>
          <w:r>
            <w:rPr>
              <w:bCs/>
            </w:rPr>
            <w:t>、</w:t>
          </w:r>
          <w:r>
            <w:rPr>
              <w:rFonts w:hint="eastAsia"/>
              <w:bCs/>
            </w:rPr>
            <w:t>区域环境质量现状、环境保护目标及评价标准</w:t>
          </w:r>
          <w:r>
            <w:tab/>
          </w:r>
          <w:r>
            <w:fldChar w:fldCharType="begin"/>
          </w:r>
          <w:r>
            <w:instrText xml:space="preserve"> PAGEREF _Toc25883 \h </w:instrText>
          </w:r>
          <w:r>
            <w:fldChar w:fldCharType="separate"/>
          </w:r>
          <w:r>
            <w:t>17</w:t>
          </w:r>
          <w:r>
            <w:fldChar w:fldCharType="end"/>
          </w:r>
          <w:r>
            <w:fldChar w:fldCharType="end"/>
          </w:r>
        </w:p>
        <w:p w14:paraId="7A3403C8">
          <w:pPr>
            <w:pStyle w:val="11"/>
            <w:tabs>
              <w:tab w:val="right" w:leader="dot" w:pos="8306"/>
            </w:tabs>
          </w:pPr>
          <w:r>
            <w:fldChar w:fldCharType="begin"/>
          </w:r>
          <w:r>
            <w:instrText xml:space="preserve"> HYPERLINK \l _Toc8271 </w:instrText>
          </w:r>
          <w:r>
            <w:fldChar w:fldCharType="separate"/>
          </w:r>
          <w:r>
            <w:rPr>
              <w:rFonts w:hint="eastAsia"/>
              <w:bCs/>
            </w:rPr>
            <w:t>四</w:t>
          </w:r>
          <w:r>
            <w:rPr>
              <w:bCs/>
            </w:rPr>
            <w:t>、</w:t>
          </w:r>
          <w:r>
            <w:rPr>
              <w:rFonts w:hint="eastAsia"/>
              <w:bCs/>
            </w:rPr>
            <w:t>主要环境影响和保护措施</w:t>
          </w:r>
          <w:r>
            <w:tab/>
          </w:r>
          <w:r>
            <w:fldChar w:fldCharType="begin"/>
          </w:r>
          <w:r>
            <w:instrText xml:space="preserve"> PAGEREF _Toc8271 \h </w:instrText>
          </w:r>
          <w:r>
            <w:fldChar w:fldCharType="separate"/>
          </w:r>
          <w:r>
            <w:t>33</w:t>
          </w:r>
          <w:r>
            <w:fldChar w:fldCharType="end"/>
          </w:r>
          <w:r>
            <w:fldChar w:fldCharType="end"/>
          </w:r>
        </w:p>
        <w:p w14:paraId="3AB74AA8">
          <w:pPr>
            <w:pStyle w:val="11"/>
            <w:tabs>
              <w:tab w:val="right" w:leader="dot" w:pos="8306"/>
            </w:tabs>
          </w:pPr>
          <w:r>
            <w:fldChar w:fldCharType="begin"/>
          </w:r>
          <w:r>
            <w:instrText xml:space="preserve"> HYPERLINK \l _Toc16144 </w:instrText>
          </w:r>
          <w:r>
            <w:fldChar w:fldCharType="separate"/>
          </w:r>
          <w:r>
            <w:rPr>
              <w:rFonts w:hint="eastAsia"/>
              <w:bCs/>
            </w:rPr>
            <w:t>五、环境保护措施监督检查清单</w:t>
          </w:r>
          <w:r>
            <w:tab/>
          </w:r>
          <w:r>
            <w:fldChar w:fldCharType="begin"/>
          </w:r>
          <w:r>
            <w:instrText xml:space="preserve"> PAGEREF _Toc16144 \h </w:instrText>
          </w:r>
          <w:r>
            <w:fldChar w:fldCharType="separate"/>
          </w:r>
          <w:r>
            <w:t>33</w:t>
          </w:r>
          <w:r>
            <w:fldChar w:fldCharType="end"/>
          </w:r>
          <w:r>
            <w:fldChar w:fldCharType="end"/>
          </w:r>
        </w:p>
        <w:p w14:paraId="0378ADBA">
          <w:pPr>
            <w:pStyle w:val="11"/>
            <w:tabs>
              <w:tab w:val="right" w:leader="dot" w:pos="8306"/>
            </w:tabs>
          </w:pPr>
          <w:r>
            <w:fldChar w:fldCharType="begin"/>
          </w:r>
          <w:r>
            <w:instrText xml:space="preserve"> HYPERLINK \l _Toc23714 </w:instrText>
          </w:r>
          <w:r>
            <w:fldChar w:fldCharType="separate"/>
          </w:r>
          <w:r>
            <w:rPr>
              <w:rFonts w:hint="eastAsia"/>
              <w:bCs/>
            </w:rPr>
            <w:t>六、结论</w:t>
          </w:r>
          <w:r>
            <w:tab/>
          </w:r>
          <w:r>
            <w:fldChar w:fldCharType="begin"/>
          </w:r>
          <w:r>
            <w:instrText xml:space="preserve"> PAGEREF _Toc23714 \h </w:instrText>
          </w:r>
          <w:r>
            <w:fldChar w:fldCharType="separate"/>
          </w:r>
          <w:r>
            <w:t>62</w:t>
          </w:r>
          <w:r>
            <w:fldChar w:fldCharType="end"/>
          </w:r>
          <w:r>
            <w:fldChar w:fldCharType="end"/>
          </w:r>
        </w:p>
        <w:p w14:paraId="3613253C">
          <w:pPr>
            <w:pStyle w:val="11"/>
            <w:tabs>
              <w:tab w:val="right" w:leader="dot" w:pos="8306"/>
            </w:tabs>
          </w:pPr>
          <w:r>
            <w:fldChar w:fldCharType="begin"/>
          </w:r>
          <w:r>
            <w:instrText xml:space="preserve"> HYPERLINK \l _Toc5531 </w:instrText>
          </w:r>
          <w:r>
            <w:fldChar w:fldCharType="separate"/>
          </w:r>
          <w:r>
            <w:rPr>
              <w:rFonts w:eastAsia="黑体" w:cs="Times New Roman"/>
              <w:snapToGrid w:val="0"/>
              <w:kern w:val="0"/>
              <w:szCs w:val="32"/>
            </w:rPr>
            <w:t>附表</w:t>
          </w:r>
          <w:r>
            <w:tab/>
          </w:r>
          <w:r>
            <w:fldChar w:fldCharType="begin"/>
          </w:r>
          <w:r>
            <w:instrText xml:space="preserve"> PAGEREF _Toc5531 \h </w:instrText>
          </w:r>
          <w:r>
            <w:fldChar w:fldCharType="separate"/>
          </w:r>
          <w:r>
            <w:t>63</w:t>
          </w:r>
          <w:r>
            <w:fldChar w:fldCharType="end"/>
          </w:r>
          <w:r>
            <w:fldChar w:fldCharType="end"/>
          </w:r>
        </w:p>
        <w:p w14:paraId="161FFD5C">
          <w:pPr>
            <w:pStyle w:val="7"/>
            <w:ind w:left="0" w:leftChars="0" w:firstLine="0" w:firstLineChars="0"/>
            <w:rPr>
              <w:rFonts w:ascii="Arial" w:hAnsi="Arial" w:eastAsia="宋体" w:cstheme="minorBidi"/>
              <w:snapToGrid w:val="0"/>
              <w:kern w:val="0"/>
              <w:sz w:val="24"/>
              <w:szCs w:val="32"/>
              <w:lang w:val="en-US" w:eastAsia="zh-CN" w:bidi="ar-SA"/>
            </w:rPr>
          </w:pPr>
          <w:r>
            <w:fldChar w:fldCharType="end"/>
          </w:r>
        </w:p>
      </w:sdtContent>
    </w:sdt>
    <w:p w14:paraId="0EB84450">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eastAsia" w:cstheme="minorBidi"/>
          <w:snapToGrid w:val="0"/>
          <w:kern w:val="0"/>
          <w:sz w:val="21"/>
          <w:szCs w:val="21"/>
          <w:lang w:val="en-US" w:eastAsia="zh-CN" w:bidi="ar-SA"/>
        </w:rPr>
      </w:pPr>
      <w:r>
        <w:rPr>
          <w:rFonts w:hint="eastAsia" w:cstheme="minorBidi"/>
          <w:snapToGrid w:val="0"/>
          <w:kern w:val="0"/>
          <w:sz w:val="21"/>
          <w:szCs w:val="21"/>
          <w:lang w:val="en-US" w:eastAsia="zh-CN" w:bidi="ar-SA"/>
        </w:rPr>
        <w:t>附图：</w:t>
      </w:r>
    </w:p>
    <w:p w14:paraId="31E29429">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default" w:ascii="Times New Roman" w:hAnsi="Times New Roman" w:cs="Times New Roman"/>
          <w:snapToGrid w:val="0"/>
          <w:kern w:val="0"/>
          <w:sz w:val="21"/>
          <w:szCs w:val="21"/>
          <w:lang w:val="en-US" w:eastAsia="zh-CN" w:bidi="ar-SA"/>
        </w:rPr>
      </w:pPr>
      <w:r>
        <w:rPr>
          <w:rFonts w:hint="default" w:ascii="Times New Roman" w:hAnsi="Times New Roman" w:cs="Times New Roman"/>
          <w:snapToGrid w:val="0"/>
          <w:kern w:val="0"/>
          <w:sz w:val="21"/>
          <w:szCs w:val="21"/>
          <w:lang w:val="en-US" w:eastAsia="zh-CN" w:bidi="ar-SA"/>
        </w:rPr>
        <w:t>附图1 项目地理位置图</w:t>
      </w:r>
    </w:p>
    <w:p w14:paraId="1C829D56">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default" w:ascii="Times New Roman" w:hAnsi="Times New Roman" w:cs="Times New Roman"/>
          <w:snapToGrid w:val="0"/>
          <w:kern w:val="0"/>
          <w:sz w:val="21"/>
          <w:szCs w:val="21"/>
          <w:lang w:val="en-US" w:eastAsia="zh-CN" w:bidi="ar-SA"/>
        </w:rPr>
      </w:pPr>
      <w:r>
        <w:rPr>
          <w:rFonts w:hint="default" w:ascii="Times New Roman" w:hAnsi="Times New Roman" w:cs="Times New Roman"/>
          <w:snapToGrid w:val="0"/>
          <w:kern w:val="0"/>
          <w:sz w:val="21"/>
          <w:szCs w:val="21"/>
          <w:lang w:val="en-US" w:eastAsia="zh-CN" w:bidi="ar-SA"/>
        </w:rPr>
        <w:t>附图2 周边概况图</w:t>
      </w:r>
    </w:p>
    <w:p w14:paraId="4AE82A48">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default" w:ascii="Times New Roman" w:hAnsi="Times New Roman" w:cs="Times New Roman"/>
          <w:snapToGrid w:val="0"/>
          <w:kern w:val="0"/>
          <w:sz w:val="21"/>
          <w:szCs w:val="21"/>
          <w:lang w:val="en-US" w:eastAsia="zh-CN" w:bidi="ar-SA"/>
        </w:rPr>
      </w:pPr>
      <w:r>
        <w:rPr>
          <w:rFonts w:hint="default" w:ascii="Times New Roman" w:hAnsi="Times New Roman" w:cs="Times New Roman"/>
          <w:snapToGrid w:val="0"/>
          <w:kern w:val="0"/>
          <w:sz w:val="21"/>
          <w:szCs w:val="21"/>
          <w:lang w:val="en-US" w:eastAsia="zh-CN" w:bidi="ar-SA"/>
        </w:rPr>
        <w:t>附图3 总平面布置图</w:t>
      </w:r>
    </w:p>
    <w:p w14:paraId="66964609">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default" w:ascii="Times New Roman" w:hAnsi="Times New Roman" w:cs="Times New Roman"/>
          <w:snapToGrid w:val="0"/>
          <w:kern w:val="0"/>
          <w:sz w:val="21"/>
          <w:szCs w:val="21"/>
          <w:lang w:val="en-US" w:eastAsia="zh-CN" w:bidi="ar-SA"/>
        </w:rPr>
      </w:pPr>
      <w:r>
        <w:rPr>
          <w:rFonts w:hint="default" w:ascii="Times New Roman" w:hAnsi="Times New Roman" w:cs="Times New Roman"/>
          <w:snapToGrid w:val="0"/>
          <w:kern w:val="0"/>
          <w:sz w:val="21"/>
          <w:szCs w:val="21"/>
          <w:lang w:val="en-US" w:eastAsia="zh-CN" w:bidi="ar-SA"/>
        </w:rPr>
        <w:t>附图</w:t>
      </w:r>
      <w:r>
        <w:rPr>
          <w:rFonts w:hint="eastAsia" w:ascii="Times New Roman" w:hAnsi="Times New Roman" w:cs="Times New Roman"/>
          <w:snapToGrid w:val="0"/>
          <w:kern w:val="0"/>
          <w:sz w:val="21"/>
          <w:szCs w:val="21"/>
          <w:lang w:val="en-US" w:eastAsia="zh-CN" w:bidi="ar-SA"/>
        </w:rPr>
        <w:t>4</w:t>
      </w:r>
      <w:r>
        <w:rPr>
          <w:rFonts w:hint="default" w:ascii="Times New Roman" w:hAnsi="Times New Roman" w:cs="Times New Roman"/>
          <w:snapToGrid w:val="0"/>
          <w:kern w:val="0"/>
          <w:sz w:val="21"/>
          <w:szCs w:val="21"/>
          <w:lang w:val="en-US" w:eastAsia="zh-CN" w:bidi="ar-SA"/>
        </w:rPr>
        <w:t xml:space="preserve"> 生态环境分区管控图</w:t>
      </w:r>
    </w:p>
    <w:p w14:paraId="30EA8FF7">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eastAsia" w:ascii="Times New Roman" w:hAnsi="Times New Roman" w:cs="Times New Roman"/>
          <w:snapToGrid w:val="0"/>
          <w:kern w:val="0"/>
          <w:sz w:val="21"/>
          <w:szCs w:val="21"/>
          <w:lang w:val="en-US" w:eastAsia="zh-CN" w:bidi="ar-SA"/>
        </w:rPr>
      </w:pPr>
      <w:r>
        <w:rPr>
          <w:rFonts w:hint="default" w:ascii="Times New Roman" w:hAnsi="Times New Roman" w:cs="Times New Roman"/>
          <w:snapToGrid w:val="0"/>
          <w:kern w:val="0"/>
          <w:sz w:val="21"/>
          <w:szCs w:val="21"/>
          <w:lang w:val="en-US" w:eastAsia="zh-CN" w:bidi="ar-SA"/>
        </w:rPr>
        <w:t>附图</w:t>
      </w:r>
      <w:r>
        <w:rPr>
          <w:rFonts w:hint="eastAsia" w:ascii="Times New Roman" w:hAnsi="Times New Roman" w:cs="Times New Roman"/>
          <w:snapToGrid w:val="0"/>
          <w:kern w:val="0"/>
          <w:sz w:val="21"/>
          <w:szCs w:val="21"/>
          <w:lang w:val="en-US" w:eastAsia="zh-CN" w:bidi="ar-SA"/>
        </w:rPr>
        <w:t>5</w:t>
      </w:r>
      <w:r>
        <w:rPr>
          <w:rFonts w:hint="default" w:ascii="Times New Roman" w:hAnsi="Times New Roman" w:cs="Times New Roman"/>
          <w:snapToGrid w:val="0"/>
          <w:kern w:val="0"/>
          <w:sz w:val="21"/>
          <w:szCs w:val="21"/>
          <w:lang w:val="en-US" w:eastAsia="zh-CN" w:bidi="ar-SA"/>
        </w:rPr>
        <w:t xml:space="preserve"> </w:t>
      </w:r>
      <w:r>
        <w:rPr>
          <w:rFonts w:hint="eastAsia" w:ascii="Times New Roman" w:hAnsi="Times New Roman" w:cs="Times New Roman"/>
          <w:snapToGrid w:val="0"/>
          <w:kern w:val="0"/>
          <w:sz w:val="21"/>
          <w:szCs w:val="21"/>
          <w:lang w:val="en-US" w:eastAsia="zh-CN" w:bidi="ar-SA"/>
        </w:rPr>
        <w:t>余杭区声环境区划图</w:t>
      </w:r>
    </w:p>
    <w:p w14:paraId="339BA60C">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eastAsia" w:ascii="Times New Roman" w:hAnsi="Times New Roman" w:cs="Times New Roman"/>
          <w:snapToGrid w:val="0"/>
          <w:kern w:val="0"/>
          <w:sz w:val="21"/>
          <w:szCs w:val="21"/>
          <w:lang w:val="en-US" w:eastAsia="zh-CN" w:bidi="ar-SA"/>
        </w:rPr>
      </w:pPr>
      <w:r>
        <w:rPr>
          <w:rFonts w:hint="eastAsia" w:ascii="Times New Roman" w:hAnsi="Times New Roman" w:cs="Times New Roman"/>
          <w:snapToGrid w:val="0"/>
          <w:kern w:val="0"/>
          <w:sz w:val="21"/>
          <w:szCs w:val="21"/>
          <w:lang w:val="en-US" w:eastAsia="zh-CN" w:bidi="ar-SA"/>
        </w:rPr>
        <w:t>附图6 产业结构布局图</w:t>
      </w:r>
    </w:p>
    <w:p w14:paraId="054D1BD9">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default" w:ascii="Times New Roman" w:hAnsi="Times New Roman" w:cs="Times New Roman"/>
          <w:snapToGrid w:val="0"/>
          <w:kern w:val="0"/>
          <w:sz w:val="21"/>
          <w:szCs w:val="21"/>
          <w:lang w:val="en-US" w:eastAsia="zh-CN" w:bidi="ar-SA"/>
        </w:rPr>
      </w:pPr>
      <w:r>
        <w:rPr>
          <w:rFonts w:hint="eastAsia" w:ascii="Times New Roman" w:hAnsi="Times New Roman" w:cs="Times New Roman"/>
          <w:snapToGrid w:val="0"/>
          <w:kern w:val="0"/>
          <w:sz w:val="21"/>
          <w:szCs w:val="21"/>
          <w:lang w:val="en-US" w:eastAsia="zh-CN" w:bidi="ar-SA"/>
        </w:rPr>
        <w:t>附图7 用地性质图</w:t>
      </w:r>
    </w:p>
    <w:p w14:paraId="6836DC0A">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eastAsia" w:cstheme="minorBidi"/>
          <w:snapToGrid w:val="0"/>
          <w:kern w:val="0"/>
          <w:sz w:val="21"/>
          <w:szCs w:val="21"/>
          <w:lang w:val="en-US" w:eastAsia="zh-CN" w:bidi="ar-SA"/>
        </w:rPr>
      </w:pPr>
      <w:r>
        <w:rPr>
          <w:rFonts w:hint="eastAsia" w:cstheme="minorBidi"/>
          <w:snapToGrid w:val="0"/>
          <w:kern w:val="0"/>
          <w:sz w:val="21"/>
          <w:szCs w:val="21"/>
          <w:lang w:val="en-US" w:eastAsia="zh-CN" w:bidi="ar-SA"/>
        </w:rPr>
        <w:t>附件：</w:t>
      </w:r>
    </w:p>
    <w:p w14:paraId="5329C369">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eastAsia" w:cstheme="minorBidi"/>
          <w:snapToGrid w:val="0"/>
          <w:kern w:val="0"/>
          <w:sz w:val="21"/>
          <w:szCs w:val="21"/>
          <w:lang w:val="en-US" w:eastAsia="zh-CN" w:bidi="ar-SA"/>
        </w:rPr>
      </w:pPr>
      <w:r>
        <w:rPr>
          <w:rFonts w:hint="eastAsia" w:cstheme="minorBidi"/>
          <w:snapToGrid w:val="0"/>
          <w:kern w:val="0"/>
          <w:sz w:val="21"/>
          <w:szCs w:val="21"/>
          <w:lang w:val="en-US" w:eastAsia="zh-CN" w:bidi="ar-SA"/>
        </w:rPr>
        <w:t>附件一 浙江省企业投资项目备案（赋码）信息表</w:t>
      </w:r>
    </w:p>
    <w:p w14:paraId="14BC3DAA">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eastAsia" w:cstheme="minorBidi"/>
          <w:snapToGrid w:val="0"/>
          <w:kern w:val="0"/>
          <w:sz w:val="21"/>
          <w:szCs w:val="21"/>
          <w:lang w:val="en-US" w:eastAsia="zh-CN" w:bidi="ar-SA"/>
        </w:rPr>
      </w:pPr>
      <w:r>
        <w:rPr>
          <w:rFonts w:hint="eastAsia" w:cstheme="minorBidi"/>
          <w:snapToGrid w:val="0"/>
          <w:kern w:val="0"/>
          <w:sz w:val="21"/>
          <w:szCs w:val="21"/>
          <w:lang w:val="en-US" w:eastAsia="zh-CN" w:bidi="ar-SA"/>
        </w:rPr>
        <w:t>附件二 建设单位营业执照及法人身份证</w:t>
      </w:r>
    </w:p>
    <w:p w14:paraId="390977B3">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eastAsia" w:cstheme="minorBidi"/>
          <w:snapToGrid w:val="0"/>
          <w:kern w:val="0"/>
          <w:sz w:val="21"/>
          <w:szCs w:val="21"/>
          <w:lang w:val="en-US" w:eastAsia="zh-CN" w:bidi="ar-SA"/>
        </w:rPr>
      </w:pPr>
      <w:r>
        <w:rPr>
          <w:rFonts w:hint="eastAsia" w:cstheme="minorBidi"/>
          <w:snapToGrid w:val="0"/>
          <w:kern w:val="0"/>
          <w:sz w:val="21"/>
          <w:szCs w:val="21"/>
          <w:lang w:val="en-US" w:eastAsia="zh-CN" w:bidi="ar-SA"/>
        </w:rPr>
        <w:t>附件三 环评单位营业执照</w:t>
      </w:r>
    </w:p>
    <w:p w14:paraId="6483EA18">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eastAsia" w:cstheme="minorBidi"/>
          <w:snapToGrid w:val="0"/>
          <w:kern w:val="0"/>
          <w:sz w:val="21"/>
          <w:szCs w:val="21"/>
          <w:lang w:val="en-US" w:eastAsia="zh-CN" w:bidi="ar-SA"/>
        </w:rPr>
      </w:pPr>
      <w:r>
        <w:rPr>
          <w:rFonts w:hint="eastAsia" w:cstheme="minorBidi"/>
          <w:snapToGrid w:val="0"/>
          <w:kern w:val="0"/>
          <w:sz w:val="21"/>
          <w:szCs w:val="21"/>
          <w:lang w:val="en-US" w:eastAsia="zh-CN" w:bidi="ar-SA"/>
        </w:rPr>
        <w:t>附件四 不动产权证及厂房租赁合同</w:t>
      </w:r>
    </w:p>
    <w:p w14:paraId="2B561D8D">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default" w:cstheme="minorBidi"/>
          <w:snapToGrid w:val="0"/>
          <w:kern w:val="0"/>
          <w:sz w:val="21"/>
          <w:szCs w:val="21"/>
          <w:lang w:val="en-US" w:eastAsia="zh-CN" w:bidi="ar-SA"/>
        </w:rPr>
      </w:pPr>
      <w:r>
        <w:rPr>
          <w:rFonts w:hint="eastAsia" w:cstheme="minorBidi"/>
          <w:snapToGrid w:val="0"/>
          <w:kern w:val="0"/>
          <w:sz w:val="21"/>
          <w:szCs w:val="21"/>
          <w:lang w:val="en-US" w:eastAsia="zh-CN" w:bidi="ar-SA"/>
        </w:rPr>
        <w:t>附件五 临床实验审批手续</w:t>
      </w:r>
    </w:p>
    <w:p w14:paraId="25099A6F">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eastAsia" w:cstheme="minorBidi"/>
          <w:snapToGrid w:val="0"/>
          <w:kern w:val="0"/>
          <w:sz w:val="21"/>
          <w:szCs w:val="21"/>
          <w:lang w:val="en-US" w:eastAsia="zh-CN" w:bidi="ar-SA"/>
        </w:rPr>
      </w:pPr>
      <w:r>
        <w:rPr>
          <w:rFonts w:hint="eastAsia" w:cstheme="minorBidi"/>
          <w:snapToGrid w:val="0"/>
          <w:kern w:val="0"/>
          <w:sz w:val="21"/>
          <w:szCs w:val="21"/>
          <w:lang w:val="en-US" w:eastAsia="zh-CN" w:bidi="ar-SA"/>
        </w:rPr>
        <w:t>附件六 审批申请</w:t>
      </w:r>
    </w:p>
    <w:p w14:paraId="651A4D72">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eastAsia" w:cstheme="minorBidi"/>
          <w:snapToGrid w:val="0"/>
          <w:kern w:val="0"/>
          <w:sz w:val="21"/>
          <w:szCs w:val="21"/>
          <w:lang w:val="en-US" w:eastAsia="zh-CN" w:bidi="ar-SA"/>
        </w:rPr>
      </w:pPr>
      <w:r>
        <w:rPr>
          <w:rFonts w:hint="eastAsia" w:cstheme="minorBidi"/>
          <w:snapToGrid w:val="0"/>
          <w:kern w:val="0"/>
          <w:sz w:val="21"/>
          <w:szCs w:val="21"/>
          <w:lang w:val="en-US" w:eastAsia="zh-CN" w:bidi="ar-SA"/>
        </w:rPr>
        <w:t>附件七 授权委托书及委托人身份证</w:t>
      </w:r>
    </w:p>
    <w:p w14:paraId="118D5C59">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eastAsia" w:cstheme="minorBidi"/>
          <w:snapToGrid w:val="0"/>
          <w:kern w:val="0"/>
          <w:sz w:val="21"/>
          <w:szCs w:val="21"/>
          <w:lang w:val="en-US" w:eastAsia="zh-CN" w:bidi="ar-SA"/>
        </w:rPr>
      </w:pPr>
      <w:r>
        <w:rPr>
          <w:rFonts w:hint="eastAsia" w:cstheme="minorBidi"/>
          <w:snapToGrid w:val="0"/>
          <w:kern w:val="0"/>
          <w:sz w:val="21"/>
          <w:szCs w:val="21"/>
          <w:lang w:val="en-US" w:eastAsia="zh-CN" w:bidi="ar-SA"/>
        </w:rPr>
        <w:t>附件八 环评确认书</w:t>
      </w:r>
    </w:p>
    <w:p w14:paraId="005B828C">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eastAsia" w:cstheme="minorBidi"/>
          <w:snapToGrid w:val="0"/>
          <w:kern w:val="0"/>
          <w:sz w:val="21"/>
          <w:szCs w:val="21"/>
          <w:lang w:val="en-US" w:eastAsia="zh-CN" w:bidi="ar-SA"/>
        </w:rPr>
      </w:pPr>
      <w:r>
        <w:rPr>
          <w:rFonts w:hint="eastAsia" w:cstheme="minorBidi"/>
          <w:snapToGrid w:val="0"/>
          <w:kern w:val="0"/>
          <w:sz w:val="21"/>
          <w:szCs w:val="21"/>
          <w:lang w:val="en-US" w:eastAsia="zh-CN" w:bidi="ar-SA"/>
        </w:rPr>
        <w:t>附件九 内审单</w:t>
      </w:r>
    </w:p>
    <w:p w14:paraId="4C4C20B6">
      <w:pPr>
        <w:pStyle w:val="7"/>
        <w:keepNext w:val="0"/>
        <w:keepLines w:val="0"/>
        <w:pageBreakBefore w:val="0"/>
        <w:widowControl w:val="0"/>
        <w:kinsoku/>
        <w:wordWrap/>
        <w:overflowPunct/>
        <w:topLinePunct w:val="0"/>
        <w:autoSpaceDE/>
        <w:autoSpaceDN/>
        <w:bidi w:val="0"/>
        <w:adjustRightInd w:val="0"/>
        <w:snapToGrid w:val="0"/>
        <w:ind w:left="0" w:leftChars="0" w:firstLine="420" w:firstLineChars="200"/>
        <w:textAlignment w:val="auto"/>
        <w:rPr>
          <w:rFonts w:hint="default" w:cstheme="minorBidi"/>
          <w:snapToGrid w:val="0"/>
          <w:kern w:val="0"/>
          <w:sz w:val="21"/>
          <w:szCs w:val="21"/>
          <w:lang w:val="en-US" w:eastAsia="zh-CN" w:bidi="ar-SA"/>
        </w:rPr>
      </w:pPr>
      <w:r>
        <w:rPr>
          <w:rFonts w:hint="eastAsia" w:cstheme="minorBidi"/>
          <w:snapToGrid w:val="0"/>
          <w:kern w:val="0"/>
          <w:sz w:val="21"/>
          <w:szCs w:val="21"/>
          <w:lang w:val="en-US" w:eastAsia="zh-CN" w:bidi="ar-SA"/>
        </w:rPr>
        <w:t>附件十 公示材料</w:t>
      </w:r>
    </w:p>
    <w:p w14:paraId="74714368">
      <w:pPr>
        <w:pStyle w:val="7"/>
        <w:sectPr>
          <w:pgSz w:w="11906" w:h="16838"/>
          <w:pgMar w:top="1440" w:right="1800" w:bottom="1440" w:left="1800" w:header="851" w:footer="992" w:gutter="0"/>
          <w:cols w:space="425" w:num="1"/>
          <w:docGrid w:type="lines" w:linePitch="312" w:charSpace="0"/>
        </w:sectPr>
      </w:pPr>
    </w:p>
    <w:p w14:paraId="718187E1">
      <w:pPr>
        <w:pStyle w:val="3"/>
        <w:rPr>
          <w:b w:val="0"/>
          <w:bCs/>
        </w:rPr>
      </w:pPr>
      <w:bookmarkStart w:id="3" w:name="_Toc30619"/>
      <w:bookmarkStart w:id="4" w:name="_Toc26614"/>
      <w:r>
        <w:rPr>
          <w:b w:val="0"/>
          <w:bCs/>
        </w:rPr>
        <w:t>一、建设项目基本情况</w:t>
      </w:r>
      <w:bookmarkEnd w:id="3"/>
      <w:bookmarkEnd w:id="4"/>
    </w:p>
    <w:tbl>
      <w:tblPr>
        <w:tblStyle w:val="16"/>
        <w:tblW w:w="50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37"/>
        <w:gridCol w:w="2358"/>
        <w:gridCol w:w="2115"/>
        <w:gridCol w:w="3063"/>
      </w:tblGrid>
      <w:tr w14:paraId="3FB81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2" w:type="pct"/>
            <w:tcMar>
              <w:top w:w="16" w:type="dxa"/>
              <w:left w:w="16" w:type="dxa"/>
              <w:right w:w="16" w:type="dxa"/>
            </w:tcMar>
            <w:vAlign w:val="center"/>
          </w:tcPr>
          <w:p w14:paraId="1146B2C2">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rPr>
            </w:pPr>
            <w:r>
              <w:rPr>
                <w:rFonts w:hint="default" w:cs="Times New Roman"/>
                <w:color w:val="auto"/>
                <w:sz w:val="24"/>
                <w:szCs w:val="24"/>
              </w:rPr>
              <w:t>建设项目名称</w:t>
            </w:r>
          </w:p>
        </w:tc>
        <w:tc>
          <w:tcPr>
            <w:tcW w:w="4447" w:type="pct"/>
            <w:gridSpan w:val="3"/>
            <w:vAlign w:val="center"/>
          </w:tcPr>
          <w:p w14:paraId="6044853B">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eastAsia="宋体" w:cs="Times New Roman"/>
                <w:color w:val="auto"/>
                <w:sz w:val="24"/>
                <w:szCs w:val="24"/>
                <w:lang w:val="en-US" w:eastAsia="zh-CN"/>
              </w:rPr>
            </w:pPr>
            <w:r>
              <w:rPr>
                <w:rFonts w:hint="eastAsia" w:cs="Times New Roman"/>
                <w:color w:val="auto"/>
                <w:sz w:val="24"/>
                <w:szCs w:val="24"/>
                <w:lang w:eastAsia="zh-CN"/>
              </w:rPr>
              <w:t>中科国康人类肠道菌群研发及测试项目</w:t>
            </w:r>
          </w:p>
        </w:tc>
      </w:tr>
      <w:tr w14:paraId="742D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2" w:type="pct"/>
            <w:tcMar>
              <w:top w:w="16" w:type="dxa"/>
              <w:left w:w="16" w:type="dxa"/>
              <w:right w:w="16" w:type="dxa"/>
            </w:tcMar>
            <w:vAlign w:val="center"/>
          </w:tcPr>
          <w:p w14:paraId="13611067">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rPr>
            </w:pPr>
            <w:r>
              <w:rPr>
                <w:rFonts w:hint="default" w:cs="Times New Roman"/>
                <w:color w:val="auto"/>
                <w:sz w:val="24"/>
                <w:szCs w:val="24"/>
              </w:rPr>
              <w:t>项目代码</w:t>
            </w:r>
          </w:p>
        </w:tc>
        <w:tc>
          <w:tcPr>
            <w:tcW w:w="4447" w:type="pct"/>
            <w:gridSpan w:val="3"/>
            <w:vAlign w:val="center"/>
          </w:tcPr>
          <w:p w14:paraId="0DBF04F4">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eastAsia="宋体" w:cs="Times New Roman"/>
                <w:color w:val="auto"/>
                <w:sz w:val="24"/>
                <w:szCs w:val="24"/>
                <w:lang w:val="en-US" w:eastAsia="zh-CN"/>
              </w:rPr>
            </w:pPr>
            <w:r>
              <w:rPr>
                <w:rFonts w:hint="eastAsia" w:cs="Times New Roman"/>
                <w:color w:val="auto"/>
                <w:sz w:val="24"/>
                <w:szCs w:val="24"/>
                <w:lang w:val="en-US" w:eastAsia="zh-CN"/>
              </w:rPr>
              <w:t>2504-330110-07-02-723415</w:t>
            </w:r>
          </w:p>
        </w:tc>
      </w:tr>
      <w:tr w14:paraId="3AED5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2" w:type="pct"/>
            <w:shd w:val="clear" w:color="auto" w:fill="auto"/>
            <w:tcMar>
              <w:top w:w="16" w:type="dxa"/>
              <w:left w:w="16" w:type="dxa"/>
              <w:right w:w="16" w:type="dxa"/>
            </w:tcMar>
            <w:vAlign w:val="center"/>
          </w:tcPr>
          <w:p w14:paraId="1C390354">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rPr>
            </w:pPr>
            <w:r>
              <w:rPr>
                <w:rFonts w:hint="default" w:cs="Times New Roman"/>
                <w:color w:val="auto"/>
                <w:sz w:val="24"/>
                <w:szCs w:val="24"/>
              </w:rPr>
              <w:t>建设单位联系人</w:t>
            </w:r>
          </w:p>
        </w:tc>
        <w:tc>
          <w:tcPr>
            <w:tcW w:w="1391" w:type="pct"/>
            <w:shd w:val="clear" w:color="auto" w:fill="auto"/>
            <w:vAlign w:val="center"/>
          </w:tcPr>
          <w:p w14:paraId="129C5A4B">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eastAsia="宋体" w:cs="Times New Roman"/>
                <w:color w:val="auto"/>
                <w:sz w:val="24"/>
                <w:szCs w:val="24"/>
                <w:lang w:val="en-US" w:eastAsia="zh-CN"/>
              </w:rPr>
            </w:pPr>
          </w:p>
        </w:tc>
        <w:tc>
          <w:tcPr>
            <w:tcW w:w="1248" w:type="pct"/>
            <w:shd w:val="clear" w:color="auto" w:fill="auto"/>
            <w:vAlign w:val="center"/>
          </w:tcPr>
          <w:p w14:paraId="31833E53">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rPr>
            </w:pPr>
            <w:r>
              <w:rPr>
                <w:rFonts w:hint="default" w:cs="Times New Roman"/>
                <w:color w:val="auto"/>
                <w:sz w:val="24"/>
                <w:szCs w:val="24"/>
              </w:rPr>
              <w:t>联系方式</w:t>
            </w:r>
          </w:p>
        </w:tc>
        <w:tc>
          <w:tcPr>
            <w:tcW w:w="1807" w:type="pct"/>
            <w:shd w:val="clear" w:color="auto" w:fill="auto"/>
            <w:vAlign w:val="center"/>
          </w:tcPr>
          <w:p w14:paraId="12FACF3F">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eastAsia="宋体" w:cs="Times New Roman"/>
                <w:color w:val="auto"/>
                <w:sz w:val="24"/>
                <w:szCs w:val="24"/>
                <w:lang w:val="en-US" w:eastAsia="zh-CN"/>
              </w:rPr>
            </w:pPr>
          </w:p>
        </w:tc>
      </w:tr>
      <w:tr w14:paraId="153E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2" w:type="pct"/>
            <w:shd w:val="clear" w:color="auto" w:fill="auto"/>
            <w:tcMar>
              <w:top w:w="16" w:type="dxa"/>
              <w:left w:w="16" w:type="dxa"/>
              <w:right w:w="16" w:type="dxa"/>
            </w:tcMar>
            <w:vAlign w:val="center"/>
          </w:tcPr>
          <w:p w14:paraId="3E123E66">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rPr>
            </w:pPr>
            <w:r>
              <w:rPr>
                <w:rFonts w:hint="default" w:cs="Times New Roman"/>
                <w:color w:val="auto"/>
                <w:sz w:val="24"/>
                <w:szCs w:val="24"/>
              </w:rPr>
              <w:t>建设地点</w:t>
            </w:r>
          </w:p>
        </w:tc>
        <w:tc>
          <w:tcPr>
            <w:tcW w:w="4447" w:type="pct"/>
            <w:gridSpan w:val="3"/>
            <w:shd w:val="clear" w:color="auto" w:fill="auto"/>
            <w:vAlign w:val="center"/>
          </w:tcPr>
          <w:p w14:paraId="5CF09988">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eastAsia="宋体" w:cs="Times New Roman"/>
                <w:color w:val="auto"/>
                <w:sz w:val="24"/>
                <w:szCs w:val="24"/>
                <w:lang w:val="en-US" w:eastAsia="zh-CN"/>
              </w:rPr>
            </w:pPr>
            <w:r>
              <w:rPr>
                <w:rFonts w:hint="eastAsia" w:cs="Times New Roman"/>
                <w:color w:val="auto"/>
                <w:sz w:val="24"/>
                <w:szCs w:val="24"/>
                <w:u w:val="single"/>
              </w:rPr>
              <w:t>浙江</w:t>
            </w:r>
            <w:r>
              <w:rPr>
                <w:rFonts w:hint="default" w:cs="Times New Roman"/>
                <w:color w:val="auto"/>
                <w:sz w:val="24"/>
                <w:szCs w:val="24"/>
                <w:u w:val="single"/>
              </w:rPr>
              <w:t xml:space="preserve"> </w:t>
            </w:r>
            <w:r>
              <w:rPr>
                <w:rFonts w:hint="default" w:cs="Times New Roman"/>
                <w:color w:val="auto"/>
                <w:sz w:val="24"/>
                <w:szCs w:val="24"/>
              </w:rPr>
              <w:t>省（自治区）</w:t>
            </w:r>
            <w:r>
              <w:rPr>
                <w:rFonts w:hint="eastAsia" w:cs="Times New Roman"/>
                <w:color w:val="auto"/>
                <w:sz w:val="24"/>
                <w:szCs w:val="24"/>
                <w:u w:val="single"/>
              </w:rPr>
              <w:t>杭州</w:t>
            </w:r>
            <w:r>
              <w:rPr>
                <w:rFonts w:hint="default" w:cs="Times New Roman"/>
                <w:color w:val="auto"/>
                <w:sz w:val="24"/>
                <w:szCs w:val="24"/>
                <w:u w:val="single"/>
              </w:rPr>
              <w:t xml:space="preserve"> </w:t>
            </w:r>
            <w:r>
              <w:rPr>
                <w:rFonts w:hint="default" w:cs="Times New Roman"/>
                <w:color w:val="auto"/>
                <w:sz w:val="24"/>
                <w:szCs w:val="24"/>
              </w:rPr>
              <w:t>市</w:t>
            </w:r>
            <w:r>
              <w:rPr>
                <w:rFonts w:hint="eastAsia" w:cs="Times New Roman"/>
                <w:color w:val="auto"/>
                <w:sz w:val="24"/>
                <w:szCs w:val="24"/>
              </w:rPr>
              <w:t xml:space="preserve"> </w:t>
            </w:r>
            <w:r>
              <w:rPr>
                <w:rFonts w:hint="eastAsia" w:cs="Times New Roman"/>
                <w:color w:val="auto"/>
                <w:sz w:val="24"/>
                <w:szCs w:val="24"/>
                <w:u w:val="single"/>
              </w:rPr>
              <w:t xml:space="preserve">余杭 </w:t>
            </w:r>
            <w:r>
              <w:rPr>
                <w:rFonts w:hint="default" w:cs="Times New Roman"/>
                <w:color w:val="auto"/>
                <w:sz w:val="24"/>
                <w:szCs w:val="24"/>
              </w:rPr>
              <w:t>区（县）</w:t>
            </w:r>
            <w:r>
              <w:rPr>
                <w:rFonts w:hint="eastAsia" w:cs="Times New Roman"/>
                <w:color w:val="auto"/>
                <w:sz w:val="24"/>
                <w:szCs w:val="24"/>
                <w:lang w:val="en-US" w:eastAsia="zh-CN"/>
              </w:rPr>
              <w:t>五常街道绮颐弄10号1号楼301室</w:t>
            </w:r>
            <w:bookmarkStart w:id="14" w:name="_GoBack"/>
            <w:bookmarkEnd w:id="14"/>
          </w:p>
        </w:tc>
      </w:tr>
      <w:tr w14:paraId="0D15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2" w:type="pct"/>
            <w:shd w:val="clear" w:color="auto" w:fill="auto"/>
            <w:tcMar>
              <w:top w:w="16" w:type="dxa"/>
              <w:left w:w="16" w:type="dxa"/>
              <w:right w:w="16" w:type="dxa"/>
            </w:tcMar>
            <w:vAlign w:val="center"/>
          </w:tcPr>
          <w:p w14:paraId="28F26E17">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rPr>
            </w:pPr>
            <w:r>
              <w:rPr>
                <w:rFonts w:hint="default" w:cs="Times New Roman"/>
                <w:color w:val="auto"/>
                <w:sz w:val="24"/>
                <w:szCs w:val="24"/>
              </w:rPr>
              <w:t>地理坐标</w:t>
            </w:r>
          </w:p>
        </w:tc>
        <w:tc>
          <w:tcPr>
            <w:tcW w:w="4447" w:type="pct"/>
            <w:gridSpan w:val="3"/>
            <w:shd w:val="clear" w:color="auto" w:fill="auto"/>
            <w:vAlign w:val="center"/>
          </w:tcPr>
          <w:p w14:paraId="77763681">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4"/>
                <w:szCs w:val="24"/>
              </w:rPr>
            </w:pPr>
            <w:r>
              <w:rPr>
                <w:rFonts w:hint="default" w:cs="Times New Roman"/>
                <w:color w:val="auto"/>
                <w:sz w:val="24"/>
                <w:szCs w:val="24"/>
              </w:rPr>
              <w:t>（东经：</w:t>
            </w:r>
            <w:r>
              <w:rPr>
                <w:rFonts w:hint="default" w:cs="Times New Roman"/>
                <w:color w:val="auto"/>
                <w:sz w:val="24"/>
                <w:szCs w:val="24"/>
                <w:u w:val="single"/>
              </w:rPr>
              <w:t xml:space="preserve"> </w:t>
            </w:r>
            <w:r>
              <w:rPr>
                <w:rFonts w:hint="eastAsia" w:cs="Times New Roman"/>
                <w:color w:val="auto"/>
                <w:sz w:val="24"/>
                <w:szCs w:val="24"/>
                <w:u w:val="single"/>
                <w:lang w:val="en-US" w:eastAsia="zh-CN"/>
              </w:rPr>
              <w:t>120</w:t>
            </w:r>
            <w:r>
              <w:rPr>
                <w:rFonts w:hint="default" w:cs="Times New Roman"/>
                <w:color w:val="auto"/>
                <w:sz w:val="24"/>
                <w:szCs w:val="24"/>
                <w:u w:val="single"/>
              </w:rPr>
              <w:t xml:space="preserve"> </w:t>
            </w:r>
            <w:r>
              <w:rPr>
                <w:rFonts w:hint="default" w:cs="Times New Roman"/>
                <w:color w:val="auto"/>
                <w:sz w:val="24"/>
                <w:szCs w:val="24"/>
              </w:rPr>
              <w:t>度</w:t>
            </w:r>
            <w:r>
              <w:rPr>
                <w:rFonts w:hint="default" w:cs="Times New Roman"/>
                <w:color w:val="auto"/>
                <w:sz w:val="24"/>
                <w:szCs w:val="24"/>
                <w:u w:val="single"/>
              </w:rPr>
              <w:t xml:space="preserve"> </w:t>
            </w:r>
            <w:r>
              <w:rPr>
                <w:rFonts w:hint="eastAsia" w:cs="Times New Roman"/>
                <w:color w:val="auto"/>
                <w:sz w:val="24"/>
                <w:szCs w:val="24"/>
                <w:u w:val="single"/>
                <w:lang w:val="en-US" w:eastAsia="zh-CN"/>
              </w:rPr>
              <w:t>02</w:t>
            </w:r>
            <w:r>
              <w:rPr>
                <w:rFonts w:hint="default" w:cs="Times New Roman"/>
                <w:color w:val="auto"/>
                <w:sz w:val="24"/>
                <w:szCs w:val="24"/>
                <w:u w:val="single"/>
              </w:rPr>
              <w:t xml:space="preserve"> </w:t>
            </w:r>
            <w:r>
              <w:rPr>
                <w:rFonts w:hint="default" w:cs="Times New Roman"/>
                <w:color w:val="auto"/>
                <w:sz w:val="24"/>
                <w:szCs w:val="24"/>
              </w:rPr>
              <w:t>分</w:t>
            </w:r>
            <w:r>
              <w:rPr>
                <w:rFonts w:hint="default" w:cs="Times New Roman"/>
                <w:color w:val="auto"/>
                <w:sz w:val="24"/>
                <w:szCs w:val="24"/>
                <w:u w:val="single"/>
              </w:rPr>
              <w:t xml:space="preserve"> </w:t>
            </w:r>
            <w:r>
              <w:rPr>
                <w:rFonts w:hint="eastAsia" w:cs="Times New Roman"/>
                <w:color w:val="auto"/>
                <w:sz w:val="24"/>
                <w:szCs w:val="24"/>
                <w:u w:val="single"/>
                <w:lang w:val="en-US" w:eastAsia="zh-CN"/>
              </w:rPr>
              <w:t>0.631</w:t>
            </w:r>
            <w:r>
              <w:rPr>
                <w:rFonts w:hint="default" w:cs="Times New Roman"/>
                <w:color w:val="auto"/>
                <w:sz w:val="24"/>
                <w:szCs w:val="24"/>
                <w:u w:val="single"/>
              </w:rPr>
              <w:t xml:space="preserve"> </w:t>
            </w:r>
            <w:r>
              <w:rPr>
                <w:rFonts w:hint="default" w:cs="Times New Roman"/>
                <w:color w:val="auto"/>
                <w:sz w:val="24"/>
                <w:szCs w:val="24"/>
              </w:rPr>
              <w:t>秒，北纬：</w:t>
            </w:r>
            <w:r>
              <w:rPr>
                <w:rFonts w:hint="default" w:cs="Times New Roman"/>
                <w:color w:val="auto"/>
                <w:sz w:val="24"/>
                <w:szCs w:val="24"/>
                <w:u w:val="single"/>
              </w:rPr>
              <w:t xml:space="preserve"> 3</w:t>
            </w:r>
            <w:r>
              <w:rPr>
                <w:rFonts w:hint="eastAsia" w:cs="Times New Roman"/>
                <w:color w:val="auto"/>
                <w:sz w:val="24"/>
                <w:szCs w:val="24"/>
                <w:u w:val="single"/>
              </w:rPr>
              <w:t>0</w:t>
            </w:r>
            <w:r>
              <w:rPr>
                <w:rFonts w:hint="default" w:cs="Times New Roman"/>
                <w:color w:val="auto"/>
                <w:sz w:val="24"/>
                <w:szCs w:val="24"/>
                <w:u w:val="single"/>
              </w:rPr>
              <w:t xml:space="preserve"> </w:t>
            </w:r>
            <w:r>
              <w:rPr>
                <w:rFonts w:hint="default" w:cs="Times New Roman"/>
                <w:color w:val="auto"/>
                <w:sz w:val="24"/>
                <w:szCs w:val="24"/>
              </w:rPr>
              <w:t>度</w:t>
            </w:r>
            <w:r>
              <w:rPr>
                <w:rFonts w:hint="default" w:cs="Times New Roman"/>
                <w:color w:val="auto"/>
                <w:sz w:val="24"/>
                <w:szCs w:val="24"/>
                <w:u w:val="single"/>
              </w:rPr>
              <w:t xml:space="preserve"> </w:t>
            </w:r>
            <w:r>
              <w:rPr>
                <w:rFonts w:hint="eastAsia" w:cs="Times New Roman"/>
                <w:color w:val="auto"/>
                <w:sz w:val="24"/>
                <w:szCs w:val="24"/>
                <w:u w:val="single"/>
                <w:lang w:val="en-US" w:eastAsia="zh-CN"/>
              </w:rPr>
              <w:t>15</w:t>
            </w:r>
            <w:r>
              <w:rPr>
                <w:rFonts w:hint="default" w:cs="Times New Roman"/>
                <w:color w:val="auto"/>
                <w:sz w:val="24"/>
                <w:szCs w:val="24"/>
                <w:u w:val="single"/>
              </w:rPr>
              <w:t xml:space="preserve"> </w:t>
            </w:r>
            <w:r>
              <w:rPr>
                <w:rFonts w:hint="default" w:cs="Times New Roman"/>
                <w:color w:val="auto"/>
                <w:sz w:val="24"/>
                <w:szCs w:val="24"/>
              </w:rPr>
              <w:t>分</w:t>
            </w:r>
            <w:r>
              <w:rPr>
                <w:rFonts w:hint="default" w:cs="Times New Roman"/>
                <w:color w:val="auto"/>
                <w:sz w:val="24"/>
                <w:szCs w:val="24"/>
                <w:u w:val="single"/>
              </w:rPr>
              <w:t xml:space="preserve"> </w:t>
            </w:r>
            <w:r>
              <w:rPr>
                <w:rFonts w:hint="eastAsia" w:cs="Times New Roman"/>
                <w:color w:val="auto"/>
                <w:sz w:val="24"/>
                <w:szCs w:val="24"/>
                <w:u w:val="single"/>
                <w:lang w:val="en-US" w:eastAsia="zh-CN"/>
              </w:rPr>
              <w:t>10.371</w:t>
            </w:r>
            <w:r>
              <w:rPr>
                <w:rFonts w:hint="default" w:cs="Times New Roman"/>
                <w:color w:val="auto"/>
                <w:sz w:val="24"/>
                <w:szCs w:val="24"/>
                <w:u w:val="single"/>
              </w:rPr>
              <w:t xml:space="preserve"> </w:t>
            </w:r>
            <w:r>
              <w:rPr>
                <w:rFonts w:hint="default" w:cs="Times New Roman"/>
                <w:color w:val="auto"/>
                <w:sz w:val="24"/>
                <w:szCs w:val="24"/>
              </w:rPr>
              <w:t>秒）</w:t>
            </w:r>
          </w:p>
        </w:tc>
      </w:tr>
      <w:tr w14:paraId="01969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2" w:type="pct"/>
            <w:shd w:val="clear" w:color="auto" w:fill="auto"/>
            <w:tcMar>
              <w:top w:w="16" w:type="dxa"/>
              <w:left w:w="16" w:type="dxa"/>
              <w:right w:w="16" w:type="dxa"/>
            </w:tcMar>
            <w:vAlign w:val="center"/>
          </w:tcPr>
          <w:p w14:paraId="1AF2E957">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24"/>
                <w:szCs w:val="24"/>
              </w:rPr>
            </w:pPr>
            <w:r>
              <w:rPr>
                <w:rFonts w:hint="default" w:cs="Times New Roman"/>
                <w:color w:val="auto"/>
                <w:kern w:val="0"/>
                <w:sz w:val="24"/>
                <w:szCs w:val="24"/>
              </w:rPr>
              <w:t>国民经济</w:t>
            </w:r>
            <w:r>
              <w:rPr>
                <w:rFonts w:hint="default" w:cs="Times New Roman"/>
                <w:color w:val="auto"/>
                <w:sz w:val="24"/>
                <w:szCs w:val="24"/>
              </w:rPr>
              <w:t>行业类别</w:t>
            </w:r>
          </w:p>
        </w:tc>
        <w:tc>
          <w:tcPr>
            <w:tcW w:w="1391" w:type="pct"/>
            <w:shd w:val="clear" w:color="auto" w:fill="auto"/>
            <w:vAlign w:val="center"/>
          </w:tcPr>
          <w:p w14:paraId="73EE76AF">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olor w:val="auto"/>
                <w:sz w:val="24"/>
                <w:szCs w:val="24"/>
              </w:rPr>
            </w:pPr>
            <w:r>
              <w:rPr>
                <w:rFonts w:hint="eastAsia" w:cs="Times New Roman"/>
                <w:color w:val="auto"/>
                <w:sz w:val="24"/>
                <w:szCs w:val="24"/>
                <w:lang w:val="en-US" w:eastAsia="zh-CN"/>
              </w:rPr>
              <w:t>M7340</w:t>
            </w:r>
            <w:r>
              <w:rPr>
                <w:rFonts w:hint="eastAsia" w:cs="Times New Roman"/>
                <w:color w:val="auto"/>
                <w:sz w:val="24"/>
                <w:szCs w:val="24"/>
              </w:rPr>
              <w:t xml:space="preserve"> 医学研究和试验发展</w:t>
            </w:r>
          </w:p>
        </w:tc>
        <w:tc>
          <w:tcPr>
            <w:tcW w:w="1248" w:type="pct"/>
            <w:shd w:val="clear" w:color="auto" w:fill="auto"/>
            <w:vAlign w:val="center"/>
          </w:tcPr>
          <w:p w14:paraId="1E4C0DBD">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rPr>
            </w:pPr>
            <w:bookmarkStart w:id="5" w:name="_Hlk49843745"/>
            <w:r>
              <w:rPr>
                <w:rFonts w:hint="default" w:cs="Times New Roman"/>
                <w:color w:val="auto"/>
                <w:sz w:val="24"/>
                <w:szCs w:val="24"/>
              </w:rPr>
              <w:t>建设项目</w:t>
            </w:r>
          </w:p>
          <w:p w14:paraId="66B7D05E">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rPr>
            </w:pPr>
            <w:r>
              <w:rPr>
                <w:rFonts w:hint="default" w:cs="Times New Roman"/>
                <w:color w:val="auto"/>
                <w:sz w:val="24"/>
                <w:szCs w:val="24"/>
              </w:rPr>
              <w:t>行业类别</w:t>
            </w:r>
            <w:bookmarkEnd w:id="5"/>
          </w:p>
        </w:tc>
        <w:tc>
          <w:tcPr>
            <w:tcW w:w="1807" w:type="pct"/>
            <w:shd w:val="clear" w:color="auto" w:fill="auto"/>
            <w:vAlign w:val="center"/>
          </w:tcPr>
          <w:p w14:paraId="41347F66">
            <w:pPr>
              <w:keepNext w:val="0"/>
              <w:keepLines w:val="0"/>
              <w:suppressLineNumbers w:val="0"/>
              <w:adjustRightInd w:val="0"/>
              <w:snapToGrid w:val="0"/>
              <w:spacing w:before="0" w:beforeAutospacing="0" w:after="0" w:afterAutospacing="0" w:line="240" w:lineRule="auto"/>
              <w:ind w:left="0" w:right="0" w:firstLine="0" w:firstLineChars="0"/>
              <w:rPr>
                <w:rFonts w:hint="eastAsia" w:eastAsia="宋体" w:cs="Times New Roman"/>
                <w:color w:val="auto"/>
                <w:sz w:val="24"/>
                <w:szCs w:val="24"/>
                <w:lang w:eastAsia="zh-CN"/>
              </w:rPr>
            </w:pPr>
            <w:r>
              <w:rPr>
                <w:rFonts w:hint="eastAsia" w:cs="Times New Roman"/>
                <w:color w:val="auto"/>
                <w:sz w:val="24"/>
                <w:szCs w:val="24"/>
              </w:rPr>
              <w:t>四十五、研究和试验发展中98、专业实验室、研发（试验）基地</w:t>
            </w:r>
            <w:r>
              <w:rPr>
                <w:rFonts w:hint="eastAsia" w:cs="Times New Roman"/>
                <w:color w:val="auto"/>
                <w:sz w:val="24"/>
                <w:szCs w:val="24"/>
                <w:lang w:eastAsia="zh-CN"/>
              </w:rPr>
              <w:t>。</w:t>
            </w:r>
          </w:p>
        </w:tc>
      </w:tr>
      <w:tr w14:paraId="4B670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2" w:type="pct"/>
            <w:shd w:val="clear" w:color="auto" w:fill="auto"/>
            <w:tcMar>
              <w:top w:w="16" w:type="dxa"/>
              <w:left w:w="16" w:type="dxa"/>
              <w:right w:w="16" w:type="dxa"/>
            </w:tcMar>
            <w:vAlign w:val="center"/>
          </w:tcPr>
          <w:p w14:paraId="09805DEC">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rPr>
            </w:pPr>
            <w:r>
              <w:rPr>
                <w:rFonts w:hint="default" w:cs="Times New Roman"/>
                <w:color w:val="auto"/>
                <w:sz w:val="24"/>
                <w:szCs w:val="24"/>
              </w:rPr>
              <w:t>建设</w:t>
            </w:r>
          </w:p>
          <w:p w14:paraId="1C9FEE25">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rPr>
            </w:pPr>
            <w:r>
              <w:rPr>
                <w:rFonts w:hint="default" w:cs="Times New Roman"/>
                <w:color w:val="auto"/>
                <w:sz w:val="24"/>
                <w:szCs w:val="24"/>
              </w:rPr>
              <w:t>性质</w:t>
            </w:r>
          </w:p>
        </w:tc>
        <w:tc>
          <w:tcPr>
            <w:tcW w:w="1391" w:type="pct"/>
            <w:shd w:val="clear" w:color="auto" w:fill="auto"/>
            <w:vAlign w:val="center"/>
          </w:tcPr>
          <w:p w14:paraId="3E7FC464">
            <w:pPr>
              <w:keepNext w:val="0"/>
              <w:keepLines w:val="0"/>
              <w:suppressLineNumbers w:val="0"/>
              <w:spacing w:before="0" w:beforeAutospacing="0" w:after="0" w:afterAutospacing="0" w:line="240" w:lineRule="auto"/>
              <w:ind w:left="120" w:leftChars="50" w:right="0" w:firstLine="0" w:firstLineChars="0"/>
              <w:jc w:val="left"/>
              <w:rPr>
                <w:rFonts w:hint="eastAsia" w:ascii="宋体" w:hAnsi="宋体" w:cs="宋体"/>
                <w:color w:val="auto"/>
                <w:sz w:val="24"/>
                <w:szCs w:val="24"/>
              </w:rPr>
            </w:pPr>
            <w:r>
              <w:rPr>
                <w:rFonts w:hint="eastAsia" w:ascii="宋体" w:hAnsi="宋体" w:cs="宋体"/>
                <w:color w:val="auto"/>
                <w:sz w:val="24"/>
                <w:szCs w:val="24"/>
              </w:rPr>
              <w:sym w:font="Wingdings 2" w:char="0052"/>
            </w:r>
            <w:r>
              <w:rPr>
                <w:rFonts w:hint="eastAsia" w:ascii="宋体" w:hAnsi="宋体" w:cs="宋体"/>
                <w:color w:val="auto"/>
                <w:sz w:val="24"/>
                <w:szCs w:val="24"/>
              </w:rPr>
              <w:t>新建（迁建）</w:t>
            </w:r>
          </w:p>
          <w:p w14:paraId="469E0256">
            <w:pPr>
              <w:keepNext w:val="0"/>
              <w:keepLines w:val="0"/>
              <w:suppressLineNumbers w:val="0"/>
              <w:spacing w:before="0" w:beforeAutospacing="0" w:after="0" w:afterAutospacing="0" w:line="240" w:lineRule="auto"/>
              <w:ind w:left="120" w:leftChars="50" w:right="0" w:firstLine="0" w:firstLineChars="0"/>
              <w:jc w:val="left"/>
              <w:rPr>
                <w:rFonts w:hint="eastAsia" w:ascii="宋体" w:hAnsi="宋体" w:cs="宋体"/>
                <w:color w:val="auto"/>
                <w:sz w:val="24"/>
                <w:szCs w:val="24"/>
              </w:rPr>
            </w:pPr>
            <w:r>
              <w:rPr>
                <w:rFonts w:hint="eastAsia" w:ascii="宋体" w:hAnsi="宋体" w:cs="宋体"/>
                <w:color w:val="auto"/>
                <w:sz w:val="24"/>
                <w:szCs w:val="24"/>
              </w:rPr>
              <w:sym w:font="Wingdings 2" w:char="00A3"/>
            </w:r>
            <w:r>
              <w:rPr>
                <w:rFonts w:hint="eastAsia" w:ascii="宋体" w:hAnsi="宋体" w:cs="宋体"/>
                <w:color w:val="auto"/>
                <w:sz w:val="24"/>
                <w:szCs w:val="24"/>
              </w:rPr>
              <w:t>改建</w:t>
            </w:r>
          </w:p>
          <w:p w14:paraId="36CC82D9">
            <w:pPr>
              <w:keepNext w:val="0"/>
              <w:keepLines w:val="0"/>
              <w:suppressLineNumbers w:val="0"/>
              <w:spacing w:before="0" w:beforeAutospacing="0" w:after="0" w:afterAutospacing="0" w:line="240" w:lineRule="auto"/>
              <w:ind w:left="120" w:leftChars="50" w:right="0" w:firstLine="0" w:firstLineChars="0"/>
              <w:jc w:val="left"/>
              <w:rPr>
                <w:rFonts w:hint="eastAsia" w:ascii="宋体" w:hAnsi="宋体" w:cs="宋体"/>
                <w:color w:val="auto"/>
                <w:sz w:val="24"/>
                <w:szCs w:val="24"/>
              </w:rPr>
            </w:pPr>
            <w:r>
              <w:rPr>
                <w:rFonts w:hint="eastAsia" w:ascii="宋体" w:hAnsi="宋体" w:cs="宋体"/>
                <w:color w:val="auto"/>
                <w:sz w:val="24"/>
                <w:szCs w:val="24"/>
              </w:rPr>
              <w:sym w:font="Wingdings 2" w:char="00A3"/>
            </w:r>
            <w:r>
              <w:rPr>
                <w:rFonts w:hint="eastAsia" w:ascii="宋体" w:hAnsi="宋体" w:cs="宋体"/>
                <w:color w:val="auto"/>
                <w:sz w:val="24"/>
                <w:szCs w:val="24"/>
              </w:rPr>
              <w:t>扩建</w:t>
            </w:r>
          </w:p>
          <w:p w14:paraId="5EC47DFF">
            <w:pPr>
              <w:keepNext w:val="0"/>
              <w:keepLines w:val="0"/>
              <w:suppressLineNumbers w:val="0"/>
              <w:spacing w:before="0" w:beforeAutospacing="0" w:after="0" w:afterAutospacing="0" w:line="240" w:lineRule="auto"/>
              <w:ind w:left="120" w:leftChars="50" w:right="0" w:firstLine="0" w:firstLineChars="0"/>
              <w:jc w:val="left"/>
              <w:rPr>
                <w:rFonts w:hint="default" w:cs="Times New Roman"/>
                <w:color w:val="auto"/>
                <w:sz w:val="24"/>
                <w:szCs w:val="24"/>
              </w:rPr>
            </w:pPr>
            <w:r>
              <w:rPr>
                <w:rFonts w:hint="eastAsia" w:ascii="宋体" w:hAnsi="宋体" w:cs="宋体"/>
                <w:color w:val="auto"/>
                <w:sz w:val="24"/>
                <w:szCs w:val="24"/>
              </w:rPr>
              <w:sym w:font="Wingdings 2" w:char="00A3"/>
            </w:r>
            <w:r>
              <w:rPr>
                <w:rFonts w:hint="eastAsia" w:ascii="宋体" w:hAnsi="宋体" w:cs="宋体"/>
                <w:color w:val="auto"/>
                <w:sz w:val="24"/>
                <w:szCs w:val="24"/>
              </w:rPr>
              <w:t>技术改造</w:t>
            </w:r>
          </w:p>
        </w:tc>
        <w:tc>
          <w:tcPr>
            <w:tcW w:w="1248" w:type="pct"/>
            <w:shd w:val="clear" w:color="auto" w:fill="auto"/>
            <w:vAlign w:val="center"/>
          </w:tcPr>
          <w:p w14:paraId="33227E33">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rPr>
            </w:pPr>
            <w:r>
              <w:rPr>
                <w:rFonts w:hint="default" w:cs="Times New Roman"/>
                <w:color w:val="auto"/>
                <w:sz w:val="24"/>
                <w:szCs w:val="24"/>
              </w:rPr>
              <w:t>建设项目</w:t>
            </w:r>
          </w:p>
          <w:p w14:paraId="4D5026D8">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rPr>
            </w:pPr>
            <w:r>
              <w:rPr>
                <w:rFonts w:hint="default" w:cs="Times New Roman"/>
                <w:color w:val="auto"/>
                <w:sz w:val="24"/>
                <w:szCs w:val="24"/>
              </w:rPr>
              <w:t>申报情形</w:t>
            </w:r>
          </w:p>
        </w:tc>
        <w:tc>
          <w:tcPr>
            <w:tcW w:w="1807" w:type="pct"/>
            <w:shd w:val="clear" w:color="auto" w:fill="auto"/>
            <w:vAlign w:val="center"/>
          </w:tcPr>
          <w:p w14:paraId="16EF0EC7">
            <w:pPr>
              <w:keepNext w:val="0"/>
              <w:keepLines w:val="0"/>
              <w:suppressLineNumbers w:val="0"/>
              <w:spacing w:before="0" w:beforeAutospacing="0" w:after="0" w:afterAutospacing="0" w:line="240" w:lineRule="auto"/>
              <w:ind w:left="120" w:leftChars="50" w:right="0" w:firstLine="0" w:firstLineChars="0"/>
              <w:jc w:val="left"/>
              <w:rPr>
                <w:rFonts w:hint="default" w:cs="Times New Roman"/>
                <w:color w:val="auto"/>
                <w:sz w:val="24"/>
                <w:szCs w:val="24"/>
              </w:rPr>
            </w:pPr>
            <w:r>
              <w:rPr>
                <w:rFonts w:hint="default" w:eastAsia="仿宋_GB2312" w:cs="Times New Roman"/>
                <w:color w:val="auto"/>
                <w:sz w:val="24"/>
                <w:szCs w:val="24"/>
              </w:rPr>
              <w:sym w:font="Wingdings 2" w:char="0052"/>
            </w:r>
            <w:r>
              <w:rPr>
                <w:rFonts w:hint="default" w:cs="Times New Roman"/>
                <w:color w:val="auto"/>
                <w:sz w:val="24"/>
                <w:szCs w:val="24"/>
              </w:rPr>
              <w:t>首次申报项目</w:t>
            </w:r>
          </w:p>
          <w:p w14:paraId="6C16A7C1">
            <w:pPr>
              <w:keepNext w:val="0"/>
              <w:keepLines w:val="0"/>
              <w:suppressLineNumbers w:val="0"/>
              <w:spacing w:before="0" w:beforeAutospacing="0" w:after="0" w:afterAutospacing="0" w:line="240" w:lineRule="auto"/>
              <w:ind w:left="120" w:leftChars="50" w:right="0" w:firstLine="0" w:firstLineChars="0"/>
              <w:jc w:val="left"/>
              <w:rPr>
                <w:rFonts w:hint="default" w:cs="Times New Roman"/>
                <w:color w:val="auto"/>
                <w:sz w:val="24"/>
                <w:szCs w:val="24"/>
              </w:rPr>
            </w:pPr>
            <w:r>
              <w:rPr>
                <w:rFonts w:hint="default" w:cs="Times New Roman"/>
                <w:color w:val="auto"/>
                <w:sz w:val="24"/>
                <w:szCs w:val="24"/>
              </w:rPr>
              <w:sym w:font="Wingdings 2" w:char="00A3"/>
            </w:r>
            <w:r>
              <w:rPr>
                <w:rFonts w:hint="default" w:cs="Times New Roman"/>
                <w:color w:val="auto"/>
                <w:sz w:val="24"/>
                <w:szCs w:val="24"/>
              </w:rPr>
              <w:t>不予批准后再次申报项目</w:t>
            </w:r>
          </w:p>
          <w:p w14:paraId="3C2E918C">
            <w:pPr>
              <w:keepNext w:val="0"/>
              <w:keepLines w:val="0"/>
              <w:suppressLineNumbers w:val="0"/>
              <w:spacing w:before="0" w:beforeAutospacing="0" w:after="0" w:afterAutospacing="0" w:line="240" w:lineRule="auto"/>
              <w:ind w:left="120" w:leftChars="50" w:right="0" w:firstLine="0" w:firstLineChars="0"/>
              <w:jc w:val="left"/>
              <w:rPr>
                <w:rFonts w:hint="default" w:cs="Times New Roman"/>
                <w:color w:val="auto"/>
                <w:sz w:val="24"/>
                <w:szCs w:val="24"/>
              </w:rPr>
            </w:pPr>
            <w:r>
              <w:rPr>
                <w:rFonts w:hint="default" w:cs="Times New Roman"/>
                <w:color w:val="auto"/>
                <w:sz w:val="24"/>
                <w:szCs w:val="24"/>
              </w:rPr>
              <w:sym w:font="Wingdings 2" w:char="00A3"/>
            </w:r>
            <w:r>
              <w:rPr>
                <w:rFonts w:hint="default" w:cs="Times New Roman"/>
                <w:color w:val="auto"/>
                <w:sz w:val="24"/>
                <w:szCs w:val="24"/>
              </w:rPr>
              <w:t>超五年重新审核项目</w:t>
            </w:r>
          </w:p>
          <w:p w14:paraId="61927A34">
            <w:pPr>
              <w:keepNext w:val="0"/>
              <w:keepLines w:val="0"/>
              <w:suppressLineNumbers w:val="0"/>
              <w:spacing w:before="0" w:beforeAutospacing="0" w:after="0" w:afterAutospacing="0" w:line="240" w:lineRule="auto"/>
              <w:ind w:left="120" w:leftChars="50" w:right="0" w:firstLine="0" w:firstLineChars="0"/>
              <w:jc w:val="left"/>
              <w:rPr>
                <w:rFonts w:hint="default" w:cs="Times New Roman"/>
                <w:color w:val="auto"/>
                <w:sz w:val="24"/>
                <w:szCs w:val="24"/>
              </w:rPr>
            </w:pPr>
            <w:r>
              <w:rPr>
                <w:rFonts w:hint="default" w:cs="Times New Roman"/>
                <w:color w:val="auto"/>
                <w:sz w:val="24"/>
                <w:szCs w:val="24"/>
              </w:rPr>
              <w:sym w:font="Wingdings 2" w:char="00A3"/>
            </w:r>
            <w:r>
              <w:rPr>
                <w:rFonts w:hint="default" w:cs="Times New Roman"/>
                <w:color w:val="auto"/>
                <w:sz w:val="24"/>
                <w:szCs w:val="24"/>
              </w:rPr>
              <w:t>重大变动重新报批项目</w:t>
            </w:r>
          </w:p>
        </w:tc>
      </w:tr>
      <w:tr w14:paraId="4361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2" w:type="pct"/>
            <w:shd w:val="clear" w:color="auto" w:fill="auto"/>
            <w:tcMar>
              <w:top w:w="16" w:type="dxa"/>
              <w:left w:w="16" w:type="dxa"/>
              <w:right w:w="16" w:type="dxa"/>
            </w:tcMar>
            <w:vAlign w:val="center"/>
          </w:tcPr>
          <w:p w14:paraId="4BA92C5A">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24"/>
                <w:szCs w:val="24"/>
                <w:highlight w:val="none"/>
              </w:rPr>
            </w:pPr>
            <w:r>
              <w:rPr>
                <w:rFonts w:hint="default" w:cs="Times New Roman"/>
                <w:color w:val="auto"/>
                <w:kern w:val="0"/>
                <w:sz w:val="24"/>
                <w:szCs w:val="24"/>
                <w:highlight w:val="none"/>
              </w:rPr>
              <w:t>项目审批</w:t>
            </w:r>
            <w:r>
              <w:rPr>
                <w:rFonts w:hint="default" w:cs="Times New Roman"/>
                <w:color w:val="auto"/>
                <w:sz w:val="24"/>
                <w:szCs w:val="24"/>
                <w:highlight w:val="none"/>
              </w:rPr>
              <w:t>备案部门</w:t>
            </w:r>
          </w:p>
        </w:tc>
        <w:tc>
          <w:tcPr>
            <w:tcW w:w="1391" w:type="pct"/>
            <w:shd w:val="clear" w:color="auto" w:fill="auto"/>
            <w:vAlign w:val="center"/>
          </w:tcPr>
          <w:p w14:paraId="341747D2">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highlight w:val="none"/>
              </w:rPr>
            </w:pPr>
            <w:r>
              <w:rPr>
                <w:rFonts w:hint="eastAsia" w:cs="Times New Roman"/>
                <w:color w:val="auto"/>
                <w:sz w:val="24"/>
                <w:szCs w:val="24"/>
                <w:highlight w:val="none"/>
              </w:rPr>
              <w:t>余杭区</w:t>
            </w:r>
            <w:r>
              <w:rPr>
                <w:rFonts w:hint="eastAsia" w:cs="Times New Roman"/>
                <w:color w:val="auto"/>
                <w:sz w:val="24"/>
                <w:szCs w:val="24"/>
                <w:highlight w:val="none"/>
                <w:lang w:val="en-US" w:eastAsia="zh-CN"/>
              </w:rPr>
              <w:t>经济和信息化</w:t>
            </w:r>
            <w:r>
              <w:rPr>
                <w:rFonts w:hint="eastAsia" w:cs="Times New Roman"/>
                <w:color w:val="auto"/>
                <w:sz w:val="24"/>
                <w:szCs w:val="24"/>
                <w:highlight w:val="none"/>
              </w:rPr>
              <w:t>局</w:t>
            </w:r>
          </w:p>
        </w:tc>
        <w:tc>
          <w:tcPr>
            <w:tcW w:w="1248" w:type="pct"/>
            <w:shd w:val="clear" w:color="auto" w:fill="auto"/>
            <w:vAlign w:val="center"/>
          </w:tcPr>
          <w:p w14:paraId="7C2B15EE">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highlight w:val="none"/>
              </w:rPr>
            </w:pPr>
            <w:r>
              <w:rPr>
                <w:rFonts w:hint="default" w:cs="Times New Roman"/>
                <w:color w:val="auto"/>
                <w:sz w:val="24"/>
                <w:szCs w:val="24"/>
                <w:highlight w:val="none"/>
              </w:rPr>
              <w:t>项目审批（核准/</w:t>
            </w:r>
          </w:p>
          <w:p w14:paraId="1BF55914">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highlight w:val="none"/>
              </w:rPr>
            </w:pPr>
            <w:r>
              <w:rPr>
                <w:rFonts w:hint="default" w:cs="Times New Roman"/>
                <w:color w:val="auto"/>
                <w:sz w:val="24"/>
                <w:szCs w:val="24"/>
                <w:highlight w:val="none"/>
              </w:rPr>
              <w:t>备案）文号（选填）</w:t>
            </w:r>
          </w:p>
        </w:tc>
        <w:tc>
          <w:tcPr>
            <w:tcW w:w="1807" w:type="pct"/>
            <w:shd w:val="clear" w:color="auto" w:fill="auto"/>
            <w:vAlign w:val="center"/>
          </w:tcPr>
          <w:p w14:paraId="2E67136E">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highlight w:val="none"/>
              </w:rPr>
            </w:pPr>
            <w:r>
              <w:rPr>
                <w:rFonts w:hint="default" w:cs="Times New Roman"/>
                <w:color w:val="auto"/>
                <w:sz w:val="24"/>
                <w:szCs w:val="24"/>
                <w:highlight w:val="none"/>
              </w:rPr>
              <w:t>/</w:t>
            </w:r>
          </w:p>
        </w:tc>
      </w:tr>
      <w:tr w14:paraId="7E54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2" w:type="pct"/>
            <w:shd w:val="clear" w:color="auto" w:fill="auto"/>
            <w:tcMar>
              <w:top w:w="16" w:type="dxa"/>
              <w:left w:w="16" w:type="dxa"/>
              <w:right w:w="16" w:type="dxa"/>
            </w:tcMar>
            <w:vAlign w:val="center"/>
          </w:tcPr>
          <w:p w14:paraId="051B6E00">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24"/>
                <w:szCs w:val="24"/>
                <w:highlight w:val="none"/>
              </w:rPr>
            </w:pPr>
            <w:r>
              <w:rPr>
                <w:rFonts w:hint="default" w:cs="Times New Roman"/>
                <w:color w:val="auto"/>
                <w:kern w:val="0"/>
                <w:sz w:val="24"/>
                <w:szCs w:val="24"/>
                <w:highlight w:val="none"/>
              </w:rPr>
              <w:t>总投资</w:t>
            </w:r>
          </w:p>
          <w:p w14:paraId="0857B1F2">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24"/>
                <w:szCs w:val="24"/>
                <w:highlight w:val="none"/>
              </w:rPr>
            </w:pPr>
            <w:r>
              <w:rPr>
                <w:rFonts w:hint="default" w:cs="Times New Roman"/>
                <w:color w:val="auto"/>
                <w:sz w:val="24"/>
                <w:szCs w:val="24"/>
                <w:highlight w:val="none"/>
              </w:rPr>
              <w:t>（万元）</w:t>
            </w:r>
          </w:p>
        </w:tc>
        <w:tc>
          <w:tcPr>
            <w:tcW w:w="1391" w:type="pct"/>
            <w:shd w:val="clear" w:color="auto" w:fill="auto"/>
            <w:vAlign w:val="center"/>
          </w:tcPr>
          <w:p w14:paraId="27525061">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150</w:t>
            </w:r>
          </w:p>
        </w:tc>
        <w:tc>
          <w:tcPr>
            <w:tcW w:w="1248" w:type="pct"/>
            <w:shd w:val="clear" w:color="auto" w:fill="auto"/>
            <w:tcMar>
              <w:top w:w="16" w:type="dxa"/>
              <w:left w:w="16" w:type="dxa"/>
              <w:right w:w="16" w:type="dxa"/>
            </w:tcMar>
            <w:vAlign w:val="center"/>
          </w:tcPr>
          <w:p w14:paraId="1BE26D4F">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highlight w:val="none"/>
              </w:rPr>
            </w:pPr>
            <w:r>
              <w:rPr>
                <w:rFonts w:hint="default" w:cs="Times New Roman"/>
                <w:color w:val="auto"/>
                <w:sz w:val="24"/>
                <w:szCs w:val="24"/>
                <w:highlight w:val="none"/>
              </w:rPr>
              <w:t>环保投资（万元）</w:t>
            </w:r>
          </w:p>
        </w:tc>
        <w:tc>
          <w:tcPr>
            <w:tcW w:w="1807" w:type="pct"/>
            <w:shd w:val="clear" w:color="auto" w:fill="auto"/>
            <w:vAlign w:val="center"/>
          </w:tcPr>
          <w:p w14:paraId="588841E5">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10</w:t>
            </w:r>
          </w:p>
        </w:tc>
      </w:tr>
      <w:tr w14:paraId="329C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2" w:type="pct"/>
            <w:tcMar>
              <w:top w:w="16" w:type="dxa"/>
              <w:left w:w="16" w:type="dxa"/>
              <w:right w:w="16" w:type="dxa"/>
            </w:tcMar>
            <w:vAlign w:val="center"/>
          </w:tcPr>
          <w:p w14:paraId="1708FB61">
            <w:pPr>
              <w:keepNext w:val="0"/>
              <w:keepLines w:val="0"/>
              <w:suppressLineNumbers w:val="0"/>
              <w:spacing w:before="0" w:beforeAutospacing="0" w:after="0" w:afterAutospacing="0" w:line="240" w:lineRule="auto"/>
              <w:ind w:left="0" w:right="0" w:firstLine="0" w:firstLineChars="0"/>
              <w:jc w:val="center"/>
              <w:rPr>
                <w:rFonts w:hint="eastAsia" w:eastAsia="宋体" w:cs="Times New Roman"/>
                <w:color w:val="auto"/>
                <w:kern w:val="0"/>
                <w:sz w:val="24"/>
                <w:szCs w:val="24"/>
                <w:lang w:val="en-US" w:eastAsia="zh-CN"/>
              </w:rPr>
            </w:pPr>
            <w:r>
              <w:rPr>
                <w:rFonts w:hint="default" w:cs="Times New Roman"/>
                <w:color w:val="auto"/>
                <w:kern w:val="0"/>
                <w:sz w:val="24"/>
                <w:szCs w:val="24"/>
              </w:rPr>
              <w:t>环保投资</w:t>
            </w:r>
            <w:r>
              <w:rPr>
                <w:rFonts w:hint="default" w:cs="Times New Roman"/>
                <w:color w:val="auto"/>
                <w:sz w:val="24"/>
                <w:szCs w:val="24"/>
              </w:rPr>
              <w:t>占比</w:t>
            </w:r>
            <w:r>
              <w:rPr>
                <w:rFonts w:hint="eastAsia" w:cs="Times New Roman"/>
                <w:color w:val="auto"/>
                <w:sz w:val="24"/>
                <w:szCs w:val="24"/>
                <w:lang w:val="en-US" w:eastAsia="zh-CN"/>
              </w:rPr>
              <w:t>%</w:t>
            </w:r>
          </w:p>
        </w:tc>
        <w:tc>
          <w:tcPr>
            <w:tcW w:w="1391" w:type="pct"/>
            <w:vAlign w:val="center"/>
          </w:tcPr>
          <w:p w14:paraId="4EA086B0">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eastAsia="宋体" w:cs="Times New Roman"/>
                <w:color w:val="auto"/>
                <w:sz w:val="24"/>
                <w:szCs w:val="24"/>
                <w:lang w:val="en-US" w:eastAsia="zh-CN"/>
              </w:rPr>
            </w:pPr>
            <w:r>
              <w:rPr>
                <w:rFonts w:hint="eastAsia" w:cs="Times New Roman"/>
                <w:color w:val="auto"/>
                <w:sz w:val="24"/>
                <w:szCs w:val="24"/>
                <w:lang w:val="en-US" w:eastAsia="zh-CN"/>
              </w:rPr>
              <w:t>6.67</w:t>
            </w:r>
          </w:p>
        </w:tc>
        <w:tc>
          <w:tcPr>
            <w:tcW w:w="1248" w:type="pct"/>
            <w:tcMar>
              <w:top w:w="16" w:type="dxa"/>
              <w:left w:w="16" w:type="dxa"/>
              <w:right w:w="16" w:type="dxa"/>
            </w:tcMar>
            <w:vAlign w:val="center"/>
          </w:tcPr>
          <w:p w14:paraId="7F5BEE97">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rPr>
            </w:pPr>
            <w:r>
              <w:rPr>
                <w:rFonts w:hint="default" w:cs="Times New Roman"/>
                <w:color w:val="auto"/>
                <w:sz w:val="24"/>
                <w:szCs w:val="24"/>
              </w:rPr>
              <w:t>施工工期</w:t>
            </w:r>
          </w:p>
        </w:tc>
        <w:tc>
          <w:tcPr>
            <w:tcW w:w="1807" w:type="pct"/>
            <w:vAlign w:val="center"/>
          </w:tcPr>
          <w:p w14:paraId="04DD2333">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highlight w:val="yellow"/>
              </w:rPr>
            </w:pPr>
            <w:r>
              <w:rPr>
                <w:rFonts w:hint="eastAsia" w:cs="Times New Roman"/>
                <w:color w:val="auto"/>
                <w:sz w:val="24"/>
                <w:szCs w:val="24"/>
                <w:lang w:val="en-US" w:eastAsia="zh-CN"/>
              </w:rPr>
              <w:t>3</w:t>
            </w:r>
            <w:r>
              <w:rPr>
                <w:rFonts w:hint="default" w:cs="Times New Roman"/>
                <w:color w:val="auto"/>
                <w:sz w:val="24"/>
                <w:szCs w:val="24"/>
              </w:rPr>
              <w:t>个月</w:t>
            </w:r>
          </w:p>
        </w:tc>
      </w:tr>
      <w:tr w14:paraId="63B0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52" w:type="pct"/>
            <w:tcMar>
              <w:top w:w="16" w:type="dxa"/>
              <w:left w:w="16" w:type="dxa"/>
              <w:right w:w="16" w:type="dxa"/>
            </w:tcMar>
            <w:vAlign w:val="center"/>
          </w:tcPr>
          <w:p w14:paraId="29349CD0">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rPr>
            </w:pPr>
            <w:r>
              <w:rPr>
                <w:rFonts w:hint="default" w:cs="Times New Roman"/>
                <w:color w:val="auto"/>
                <w:sz w:val="24"/>
                <w:szCs w:val="24"/>
              </w:rPr>
              <w:t>是否开工建设</w:t>
            </w:r>
          </w:p>
        </w:tc>
        <w:tc>
          <w:tcPr>
            <w:tcW w:w="1391" w:type="pct"/>
            <w:vAlign w:val="center"/>
          </w:tcPr>
          <w:p w14:paraId="627091A1">
            <w:pPr>
              <w:keepNext w:val="0"/>
              <w:keepLines w:val="0"/>
              <w:suppressLineNumbers w:val="0"/>
              <w:adjustRightInd w:val="0"/>
              <w:snapToGrid w:val="0"/>
              <w:spacing w:before="0" w:beforeAutospacing="0" w:after="0" w:afterAutospacing="0" w:line="240" w:lineRule="auto"/>
              <w:ind w:left="120" w:leftChars="50" w:right="0" w:firstLine="0" w:firstLineChars="0"/>
              <w:rPr>
                <w:rFonts w:hint="default" w:cs="Times New Roman"/>
                <w:color w:val="auto"/>
                <w:sz w:val="24"/>
                <w:szCs w:val="24"/>
              </w:rPr>
            </w:pPr>
            <w:r>
              <w:rPr>
                <w:rFonts w:hint="default" w:eastAsia="仿宋_GB2312" w:cs="Times New Roman"/>
                <w:color w:val="auto"/>
                <w:sz w:val="24"/>
                <w:szCs w:val="24"/>
              </w:rPr>
              <w:sym w:font="Wingdings 2" w:char="0052"/>
            </w:r>
            <w:r>
              <w:rPr>
                <w:rFonts w:hint="default" w:cs="Times New Roman"/>
                <w:color w:val="auto"/>
                <w:sz w:val="24"/>
                <w:szCs w:val="24"/>
              </w:rPr>
              <w:t>否</w:t>
            </w:r>
          </w:p>
          <w:p w14:paraId="138FC4ED">
            <w:pPr>
              <w:keepNext w:val="0"/>
              <w:keepLines w:val="0"/>
              <w:suppressLineNumbers w:val="0"/>
              <w:adjustRightInd w:val="0"/>
              <w:snapToGrid w:val="0"/>
              <w:spacing w:before="0" w:beforeAutospacing="0" w:after="0" w:afterAutospacing="0" w:line="240" w:lineRule="auto"/>
              <w:ind w:left="120" w:leftChars="50" w:right="0" w:firstLine="0" w:firstLineChars="0"/>
              <w:rPr>
                <w:rFonts w:hint="default" w:cs="Times New Roman"/>
                <w:color w:val="auto"/>
                <w:sz w:val="24"/>
                <w:szCs w:val="24"/>
              </w:rPr>
            </w:pPr>
            <w:r>
              <w:rPr>
                <w:rFonts w:hint="default" w:cs="Times New Roman"/>
                <w:color w:val="auto"/>
                <w:sz w:val="24"/>
                <w:szCs w:val="24"/>
              </w:rPr>
              <w:sym w:font="Wingdings 2" w:char="00A3"/>
            </w:r>
            <w:r>
              <w:rPr>
                <w:rFonts w:hint="default" w:cs="Times New Roman"/>
                <w:color w:val="auto"/>
                <w:sz w:val="24"/>
                <w:szCs w:val="24"/>
              </w:rPr>
              <w:t>是：</w:t>
            </w:r>
            <w:r>
              <w:rPr>
                <w:rFonts w:hint="default" w:cs="Times New Roman"/>
                <w:color w:val="auto"/>
                <w:sz w:val="24"/>
                <w:szCs w:val="24"/>
                <w:u w:val="single"/>
              </w:rPr>
              <w:t xml:space="preserve">             </w:t>
            </w:r>
          </w:p>
        </w:tc>
        <w:tc>
          <w:tcPr>
            <w:tcW w:w="1248" w:type="pct"/>
            <w:tcMar>
              <w:top w:w="16" w:type="dxa"/>
              <w:left w:w="16" w:type="dxa"/>
              <w:right w:w="16" w:type="dxa"/>
            </w:tcMar>
            <w:vAlign w:val="center"/>
          </w:tcPr>
          <w:p w14:paraId="0D82801B">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pacing w:val="-6"/>
                <w:sz w:val="24"/>
                <w:szCs w:val="24"/>
              </w:rPr>
            </w:pPr>
            <w:r>
              <w:rPr>
                <w:rFonts w:hint="default" w:cs="Times New Roman"/>
                <w:color w:val="auto"/>
                <w:spacing w:val="-6"/>
                <w:sz w:val="24"/>
                <w:szCs w:val="24"/>
              </w:rPr>
              <w:t>用地（用海）面积（m</w:t>
            </w:r>
            <w:r>
              <w:rPr>
                <w:rFonts w:hint="default" w:cs="Times New Roman"/>
                <w:color w:val="auto"/>
                <w:spacing w:val="-6"/>
                <w:sz w:val="24"/>
                <w:szCs w:val="24"/>
                <w:vertAlign w:val="superscript"/>
              </w:rPr>
              <w:t>2</w:t>
            </w:r>
            <w:r>
              <w:rPr>
                <w:rFonts w:hint="default" w:cs="Times New Roman"/>
                <w:color w:val="auto"/>
                <w:spacing w:val="-6"/>
                <w:sz w:val="24"/>
                <w:szCs w:val="24"/>
              </w:rPr>
              <w:t>）</w:t>
            </w:r>
          </w:p>
        </w:tc>
        <w:tc>
          <w:tcPr>
            <w:tcW w:w="1807" w:type="pct"/>
            <w:vAlign w:val="center"/>
          </w:tcPr>
          <w:p w14:paraId="627954A3">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eastAsia="宋体" w:cs="Times New Roman"/>
                <w:color w:val="auto"/>
                <w:sz w:val="24"/>
                <w:szCs w:val="24"/>
                <w:highlight w:val="yellow"/>
                <w:lang w:val="en-US" w:eastAsia="zh-CN"/>
              </w:rPr>
            </w:pPr>
            <w:r>
              <w:rPr>
                <w:rFonts w:hint="eastAsia" w:cs="Times New Roman"/>
                <w:color w:val="auto"/>
                <w:sz w:val="24"/>
                <w:szCs w:val="24"/>
                <w:lang w:val="en-US" w:eastAsia="zh-CN"/>
              </w:rPr>
              <w:t>286</w:t>
            </w:r>
          </w:p>
        </w:tc>
      </w:tr>
      <w:tr w14:paraId="40D9A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2" w:type="pct"/>
            <w:vAlign w:val="center"/>
          </w:tcPr>
          <w:p w14:paraId="139B0508">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24"/>
                <w:szCs w:val="24"/>
              </w:rPr>
            </w:pPr>
            <w:r>
              <w:rPr>
                <w:rFonts w:hint="default" w:cs="Times New Roman"/>
                <w:color w:val="auto"/>
                <w:kern w:val="0"/>
                <w:sz w:val="24"/>
                <w:szCs w:val="24"/>
              </w:rPr>
              <w:t>专项评价</w:t>
            </w:r>
            <w:r>
              <w:rPr>
                <w:rFonts w:hint="default" w:cs="Times New Roman"/>
                <w:color w:val="auto"/>
                <w:sz w:val="24"/>
                <w:szCs w:val="24"/>
              </w:rPr>
              <w:t>设置情况</w:t>
            </w:r>
          </w:p>
        </w:tc>
        <w:tc>
          <w:tcPr>
            <w:tcW w:w="4447" w:type="pct"/>
            <w:gridSpan w:val="3"/>
            <w:vAlign w:val="center"/>
          </w:tcPr>
          <w:p w14:paraId="3D1CC9D1">
            <w:pPr>
              <w:keepNext w:val="0"/>
              <w:keepLines w:val="0"/>
              <w:suppressLineNumbers w:val="0"/>
              <w:autoSpaceDE w:val="0"/>
              <w:autoSpaceDN w:val="0"/>
              <w:adjustRightInd w:val="0"/>
              <w:snapToGrid w:val="0"/>
              <w:spacing w:before="0" w:beforeAutospacing="0" w:after="0" w:afterAutospacing="0"/>
              <w:ind w:left="0" w:right="0" w:firstLine="420"/>
              <w:rPr>
                <w:rFonts w:hint="default" w:cs="Times New Roman"/>
                <w:color w:val="auto"/>
                <w:kern w:val="0"/>
                <w:sz w:val="24"/>
                <w:szCs w:val="24"/>
              </w:rPr>
            </w:pPr>
            <w:r>
              <w:rPr>
                <w:rFonts w:hint="default" w:cs="Times New Roman"/>
                <w:color w:val="auto"/>
                <w:kern w:val="0"/>
                <w:sz w:val="24"/>
                <w:szCs w:val="24"/>
              </w:rPr>
              <w:t>根据《建设项目环境影响报告表编制技术指南（污染影响类）（试行）》，需要编制专项评价设置要求及本项目设置情况如下：</w:t>
            </w:r>
          </w:p>
          <w:p w14:paraId="14771C76">
            <w:pPr>
              <w:keepNext w:val="0"/>
              <w:keepLines w:val="0"/>
              <w:suppressLineNumbers w:val="0"/>
              <w:spacing w:before="0" w:beforeAutospacing="0" w:after="0" w:afterAutospacing="0"/>
              <w:ind w:left="0" w:right="0" w:firstLine="0" w:firstLineChars="0"/>
              <w:jc w:val="center"/>
              <w:rPr>
                <w:rFonts w:hint="default" w:eastAsia="黑体" w:cs="Times New Roman"/>
                <w:bCs/>
                <w:color w:val="auto"/>
                <w:sz w:val="24"/>
                <w:szCs w:val="24"/>
              </w:rPr>
            </w:pPr>
            <w:r>
              <w:rPr>
                <w:rFonts w:hint="default" w:eastAsia="黑体" w:cs="Times New Roman"/>
                <w:bCs/>
                <w:color w:val="auto"/>
                <w:sz w:val="24"/>
                <w:szCs w:val="24"/>
              </w:rPr>
              <w:t>表1-1  本项目专项评价设置情况说明表</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3"/>
              <w:gridCol w:w="3047"/>
              <w:gridCol w:w="2577"/>
              <w:gridCol w:w="673"/>
            </w:tblGrid>
            <w:tr w14:paraId="3DF2A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3" w:type="dxa"/>
                  <w:shd w:val="clear" w:color="auto" w:fill="auto"/>
                  <w:vAlign w:val="center"/>
                </w:tcPr>
                <w:p w14:paraId="388BA3EC">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21"/>
                      <w:szCs w:val="21"/>
                    </w:rPr>
                  </w:pPr>
                  <w:r>
                    <w:rPr>
                      <w:rFonts w:hint="default" w:cs="Times New Roman"/>
                      <w:color w:val="auto"/>
                      <w:sz w:val="21"/>
                      <w:szCs w:val="21"/>
                    </w:rPr>
                    <w:t>专项评价类别</w:t>
                  </w:r>
                </w:p>
              </w:tc>
              <w:tc>
                <w:tcPr>
                  <w:tcW w:w="2868" w:type="dxa"/>
                  <w:shd w:val="clear" w:color="auto" w:fill="auto"/>
                  <w:vAlign w:val="center"/>
                </w:tcPr>
                <w:p w14:paraId="601C7265">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21"/>
                      <w:szCs w:val="21"/>
                    </w:rPr>
                  </w:pPr>
                  <w:r>
                    <w:rPr>
                      <w:rFonts w:hint="default" w:cs="Times New Roman"/>
                      <w:color w:val="auto"/>
                      <w:sz w:val="21"/>
                      <w:szCs w:val="21"/>
                    </w:rPr>
                    <w:t>设置原则</w:t>
                  </w:r>
                </w:p>
              </w:tc>
              <w:tc>
                <w:tcPr>
                  <w:tcW w:w="2427" w:type="dxa"/>
                  <w:shd w:val="clear" w:color="auto" w:fill="auto"/>
                  <w:vAlign w:val="center"/>
                </w:tcPr>
                <w:p w14:paraId="3E5D687B">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21"/>
                      <w:szCs w:val="21"/>
                    </w:rPr>
                  </w:pPr>
                  <w:r>
                    <w:rPr>
                      <w:rFonts w:hint="default" w:cs="Times New Roman"/>
                      <w:color w:val="auto"/>
                      <w:sz w:val="21"/>
                      <w:szCs w:val="21"/>
                    </w:rPr>
                    <w:t>本项目建设情况</w:t>
                  </w:r>
                </w:p>
              </w:tc>
              <w:tc>
                <w:tcPr>
                  <w:tcW w:w="633" w:type="dxa"/>
                  <w:shd w:val="clear" w:color="auto" w:fill="auto"/>
                  <w:vAlign w:val="center"/>
                </w:tcPr>
                <w:p w14:paraId="207DFDB8">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default" w:cs="Times New Roman"/>
                      <w:color w:val="auto"/>
                      <w:sz w:val="21"/>
                      <w:szCs w:val="21"/>
                    </w:rPr>
                    <w:t>设置</w:t>
                  </w:r>
                </w:p>
                <w:p w14:paraId="1C7B36D1">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21"/>
                      <w:szCs w:val="21"/>
                    </w:rPr>
                  </w:pPr>
                  <w:r>
                    <w:rPr>
                      <w:rFonts w:hint="default" w:cs="Times New Roman"/>
                      <w:color w:val="auto"/>
                      <w:sz w:val="21"/>
                      <w:szCs w:val="21"/>
                    </w:rPr>
                    <w:t>情况</w:t>
                  </w:r>
                </w:p>
              </w:tc>
            </w:tr>
            <w:tr w14:paraId="0C02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3" w:type="dxa"/>
                  <w:shd w:val="clear" w:color="auto" w:fill="auto"/>
                  <w:vAlign w:val="center"/>
                </w:tcPr>
                <w:p w14:paraId="202B9B53">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21"/>
                      <w:szCs w:val="21"/>
                    </w:rPr>
                  </w:pPr>
                  <w:r>
                    <w:rPr>
                      <w:rFonts w:hint="default" w:cs="Times New Roman"/>
                      <w:color w:val="auto"/>
                      <w:sz w:val="21"/>
                      <w:szCs w:val="21"/>
                    </w:rPr>
                    <w:t>大气</w:t>
                  </w:r>
                </w:p>
              </w:tc>
              <w:tc>
                <w:tcPr>
                  <w:tcW w:w="2868" w:type="dxa"/>
                  <w:shd w:val="clear" w:color="auto" w:fill="auto"/>
                  <w:vAlign w:val="center"/>
                </w:tcPr>
                <w:p w14:paraId="43F28C7A">
                  <w:pPr>
                    <w:keepNext w:val="0"/>
                    <w:keepLines w:val="0"/>
                    <w:suppressLineNumbers w:val="0"/>
                    <w:spacing w:before="0" w:beforeAutospacing="0" w:after="0" w:afterAutospacing="0" w:line="240" w:lineRule="auto"/>
                    <w:ind w:left="0" w:right="0" w:firstLine="0" w:firstLineChars="0"/>
                    <w:jc w:val="left"/>
                    <w:rPr>
                      <w:rFonts w:hint="default" w:cs="Times New Roman"/>
                      <w:color w:val="auto"/>
                      <w:kern w:val="0"/>
                      <w:sz w:val="21"/>
                      <w:szCs w:val="21"/>
                    </w:rPr>
                  </w:pPr>
                  <w:r>
                    <w:rPr>
                      <w:rFonts w:hint="default" w:cs="Times New Roman"/>
                      <w:color w:val="auto"/>
                      <w:sz w:val="21"/>
                      <w:szCs w:val="21"/>
                    </w:rPr>
                    <w:t>排放废气含有毒有害污染物</w:t>
                  </w:r>
                  <w:r>
                    <w:rPr>
                      <w:rFonts w:hint="default" w:cs="Times New Roman"/>
                      <w:color w:val="auto"/>
                      <w:sz w:val="21"/>
                      <w:szCs w:val="21"/>
                      <w:vertAlign w:val="superscript"/>
                    </w:rPr>
                    <w:t>1</w:t>
                  </w:r>
                  <w:r>
                    <w:rPr>
                      <w:rFonts w:hint="default" w:cs="Times New Roman"/>
                      <w:color w:val="auto"/>
                      <w:sz w:val="21"/>
                      <w:szCs w:val="21"/>
                    </w:rPr>
                    <w:t>、二噁英、苯并[a]芘、氰化物、氯气且厂界外500米范围内有环境空气保护目标</w:t>
                  </w:r>
                  <w:r>
                    <w:rPr>
                      <w:rFonts w:hint="default" w:cs="Times New Roman"/>
                      <w:color w:val="auto"/>
                      <w:sz w:val="21"/>
                      <w:szCs w:val="21"/>
                      <w:vertAlign w:val="superscript"/>
                    </w:rPr>
                    <w:t>2</w:t>
                  </w:r>
                  <w:r>
                    <w:rPr>
                      <w:rFonts w:hint="default" w:cs="Times New Roman"/>
                      <w:color w:val="auto"/>
                      <w:sz w:val="21"/>
                      <w:szCs w:val="21"/>
                    </w:rPr>
                    <w:t>的建设项目</w:t>
                  </w:r>
                </w:p>
              </w:tc>
              <w:tc>
                <w:tcPr>
                  <w:tcW w:w="2427" w:type="dxa"/>
                  <w:shd w:val="clear" w:color="auto" w:fill="auto"/>
                  <w:vAlign w:val="center"/>
                </w:tcPr>
                <w:p w14:paraId="4B040F8B">
                  <w:pPr>
                    <w:keepNext w:val="0"/>
                    <w:keepLines w:val="0"/>
                    <w:suppressLineNumbers w:val="0"/>
                    <w:spacing w:before="0" w:beforeAutospacing="0" w:after="0" w:afterAutospacing="0" w:line="240" w:lineRule="auto"/>
                    <w:ind w:left="0" w:right="0" w:firstLine="0" w:firstLineChars="0"/>
                    <w:jc w:val="left"/>
                    <w:rPr>
                      <w:rFonts w:hint="default" w:cs="Times New Roman"/>
                      <w:kern w:val="0"/>
                      <w:sz w:val="21"/>
                      <w:szCs w:val="21"/>
                    </w:rPr>
                  </w:pPr>
                  <w:r>
                    <w:rPr>
                      <w:rFonts w:hint="eastAsia" w:cs="Times New Roman"/>
                      <w:color w:val="auto"/>
                      <w:sz w:val="21"/>
                      <w:szCs w:val="21"/>
                    </w:rPr>
                    <w:t>本项目废气污染物不含有毒有害污染物1、二噁英、苯并[a]芘、氰化物、氯气。</w:t>
                  </w:r>
                </w:p>
              </w:tc>
              <w:tc>
                <w:tcPr>
                  <w:tcW w:w="633" w:type="dxa"/>
                  <w:shd w:val="clear" w:color="auto" w:fill="auto"/>
                  <w:vAlign w:val="center"/>
                </w:tcPr>
                <w:p w14:paraId="75D51E8F">
                  <w:pPr>
                    <w:keepNext w:val="0"/>
                    <w:keepLines w:val="0"/>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eastAsia" w:cs="Times New Roman"/>
                      <w:kern w:val="0"/>
                      <w:sz w:val="21"/>
                      <w:szCs w:val="21"/>
                      <w:lang w:val="en-US" w:eastAsia="zh-CN"/>
                    </w:rPr>
                    <w:t>无</w:t>
                  </w:r>
                </w:p>
              </w:tc>
            </w:tr>
            <w:tr w14:paraId="6F08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3" w:type="dxa"/>
                  <w:shd w:val="clear" w:color="auto" w:fill="auto"/>
                  <w:vAlign w:val="center"/>
                </w:tcPr>
                <w:p w14:paraId="50C4E984">
                  <w:pPr>
                    <w:keepNext w:val="0"/>
                    <w:keepLines w:val="0"/>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sz w:val="21"/>
                      <w:szCs w:val="21"/>
                    </w:rPr>
                    <w:t>地表水</w:t>
                  </w:r>
                </w:p>
              </w:tc>
              <w:tc>
                <w:tcPr>
                  <w:tcW w:w="2868" w:type="dxa"/>
                  <w:shd w:val="clear" w:color="auto" w:fill="auto"/>
                  <w:vAlign w:val="center"/>
                </w:tcPr>
                <w:p w14:paraId="2D3F5AA6">
                  <w:pPr>
                    <w:keepNext w:val="0"/>
                    <w:keepLines w:val="0"/>
                    <w:suppressLineNumbers w:val="0"/>
                    <w:spacing w:before="0" w:beforeAutospacing="0" w:after="0" w:afterAutospacing="0" w:line="240" w:lineRule="auto"/>
                    <w:ind w:left="0" w:right="0" w:firstLine="0" w:firstLineChars="0"/>
                    <w:jc w:val="left"/>
                    <w:rPr>
                      <w:rFonts w:hint="default" w:cs="Times New Roman"/>
                      <w:kern w:val="0"/>
                      <w:sz w:val="21"/>
                      <w:szCs w:val="21"/>
                    </w:rPr>
                  </w:pPr>
                  <w:r>
                    <w:rPr>
                      <w:rFonts w:hint="default" w:cs="Times New Roman"/>
                      <w:sz w:val="21"/>
                      <w:szCs w:val="21"/>
                    </w:rPr>
                    <w:t>新增工业废水直排建设项目（槽罐车外送污水处理厂的除外）；新增废水直排的污水集中处理厂</w:t>
                  </w:r>
                </w:p>
              </w:tc>
              <w:tc>
                <w:tcPr>
                  <w:tcW w:w="2427" w:type="dxa"/>
                  <w:shd w:val="clear" w:color="auto" w:fill="auto"/>
                  <w:vAlign w:val="center"/>
                </w:tcPr>
                <w:p w14:paraId="72856925">
                  <w:pPr>
                    <w:keepNext w:val="0"/>
                    <w:keepLines w:val="0"/>
                    <w:suppressLineNumbers w:val="0"/>
                    <w:spacing w:before="0" w:beforeAutospacing="0" w:after="0" w:afterAutospacing="0" w:line="240" w:lineRule="auto"/>
                    <w:ind w:left="0" w:right="0" w:firstLine="0" w:firstLineChars="0"/>
                    <w:jc w:val="left"/>
                    <w:rPr>
                      <w:rFonts w:hint="default" w:cs="Times New Roman"/>
                      <w:kern w:val="0"/>
                      <w:sz w:val="21"/>
                      <w:szCs w:val="21"/>
                    </w:rPr>
                  </w:pPr>
                  <w:r>
                    <w:rPr>
                      <w:rFonts w:hint="default" w:cs="Times New Roman"/>
                      <w:sz w:val="21"/>
                      <w:szCs w:val="21"/>
                    </w:rPr>
                    <w:t>本项目</w:t>
                  </w:r>
                  <w:r>
                    <w:rPr>
                      <w:rFonts w:hint="eastAsia" w:cs="Times New Roman"/>
                      <w:sz w:val="21"/>
                      <w:szCs w:val="21"/>
                    </w:rPr>
                    <w:t>废水纳管排放</w:t>
                  </w:r>
                </w:p>
              </w:tc>
              <w:tc>
                <w:tcPr>
                  <w:tcW w:w="633" w:type="dxa"/>
                  <w:shd w:val="clear" w:color="auto" w:fill="auto"/>
                  <w:vAlign w:val="center"/>
                </w:tcPr>
                <w:p w14:paraId="031F9E4A">
                  <w:pPr>
                    <w:keepNext w:val="0"/>
                    <w:keepLines w:val="0"/>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sz w:val="21"/>
                      <w:szCs w:val="21"/>
                    </w:rPr>
                    <w:t>无</w:t>
                  </w:r>
                </w:p>
              </w:tc>
            </w:tr>
            <w:tr w14:paraId="38EB7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3" w:type="dxa"/>
                  <w:shd w:val="clear" w:color="auto" w:fill="auto"/>
                  <w:vAlign w:val="center"/>
                </w:tcPr>
                <w:p w14:paraId="29DD77F5">
                  <w:pPr>
                    <w:keepNext w:val="0"/>
                    <w:keepLines w:val="0"/>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sz w:val="21"/>
                      <w:szCs w:val="21"/>
                    </w:rPr>
                    <w:t>环境风险</w:t>
                  </w:r>
                </w:p>
              </w:tc>
              <w:tc>
                <w:tcPr>
                  <w:tcW w:w="2868" w:type="dxa"/>
                  <w:shd w:val="clear" w:color="auto" w:fill="auto"/>
                  <w:vAlign w:val="center"/>
                </w:tcPr>
                <w:p w14:paraId="304FC001">
                  <w:pPr>
                    <w:keepNext w:val="0"/>
                    <w:keepLines w:val="0"/>
                    <w:suppressLineNumbers w:val="0"/>
                    <w:spacing w:before="0" w:beforeAutospacing="0" w:after="0" w:afterAutospacing="0" w:line="240" w:lineRule="auto"/>
                    <w:ind w:left="0" w:right="0" w:firstLine="0" w:firstLineChars="0"/>
                    <w:jc w:val="left"/>
                    <w:rPr>
                      <w:rFonts w:hint="default" w:cs="Times New Roman"/>
                      <w:kern w:val="0"/>
                      <w:sz w:val="21"/>
                      <w:szCs w:val="21"/>
                    </w:rPr>
                  </w:pPr>
                  <w:r>
                    <w:rPr>
                      <w:rFonts w:hint="default" w:cs="Times New Roman"/>
                      <w:sz w:val="21"/>
                      <w:szCs w:val="21"/>
                    </w:rPr>
                    <w:t>有毒有害和易燃易爆危险物质存储量超过临界量</w:t>
                  </w:r>
                  <w:r>
                    <w:rPr>
                      <w:rFonts w:hint="default" w:cs="Times New Roman"/>
                      <w:sz w:val="21"/>
                      <w:szCs w:val="21"/>
                      <w:vertAlign w:val="superscript"/>
                    </w:rPr>
                    <w:t>3</w:t>
                  </w:r>
                  <w:r>
                    <w:rPr>
                      <w:rFonts w:hint="default" w:cs="Times New Roman"/>
                      <w:sz w:val="21"/>
                      <w:szCs w:val="21"/>
                    </w:rPr>
                    <w:t>的建设项目</w:t>
                  </w:r>
                </w:p>
              </w:tc>
              <w:tc>
                <w:tcPr>
                  <w:tcW w:w="2427" w:type="dxa"/>
                  <w:shd w:val="clear" w:color="auto" w:fill="auto"/>
                  <w:vAlign w:val="center"/>
                </w:tcPr>
                <w:p w14:paraId="7E85C392">
                  <w:pPr>
                    <w:keepNext w:val="0"/>
                    <w:keepLines w:val="0"/>
                    <w:suppressLineNumbers w:val="0"/>
                    <w:spacing w:before="0" w:beforeAutospacing="0" w:after="0" w:afterAutospacing="0" w:line="240" w:lineRule="auto"/>
                    <w:ind w:left="0" w:right="0" w:firstLine="0" w:firstLineChars="0"/>
                    <w:jc w:val="left"/>
                    <w:rPr>
                      <w:rFonts w:hint="default" w:cs="Times New Roman"/>
                      <w:kern w:val="0"/>
                      <w:sz w:val="21"/>
                      <w:szCs w:val="21"/>
                    </w:rPr>
                  </w:pPr>
                  <w:r>
                    <w:rPr>
                      <w:rFonts w:hint="default" w:cs="Times New Roman"/>
                      <w:sz w:val="21"/>
                      <w:szCs w:val="21"/>
                    </w:rPr>
                    <w:t>本项目危险物质</w:t>
                  </w:r>
                  <w:r>
                    <w:rPr>
                      <w:rFonts w:hint="eastAsia" w:cs="Times New Roman"/>
                      <w:sz w:val="21"/>
                      <w:szCs w:val="21"/>
                    </w:rPr>
                    <w:t>存储量</w:t>
                  </w:r>
                  <w:r>
                    <w:rPr>
                      <w:rFonts w:hint="default" w:cs="Times New Roman"/>
                      <w:sz w:val="21"/>
                      <w:szCs w:val="21"/>
                    </w:rPr>
                    <w:t>未超过临界量</w:t>
                  </w:r>
                </w:p>
              </w:tc>
              <w:tc>
                <w:tcPr>
                  <w:tcW w:w="633" w:type="dxa"/>
                  <w:shd w:val="clear" w:color="auto" w:fill="auto"/>
                  <w:vAlign w:val="center"/>
                </w:tcPr>
                <w:p w14:paraId="6CACB6BE">
                  <w:pPr>
                    <w:keepNext w:val="0"/>
                    <w:keepLines w:val="0"/>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sz w:val="21"/>
                      <w:szCs w:val="21"/>
                    </w:rPr>
                    <w:t>无</w:t>
                  </w:r>
                </w:p>
              </w:tc>
            </w:tr>
            <w:tr w14:paraId="70017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3" w:type="dxa"/>
                  <w:shd w:val="clear" w:color="auto" w:fill="auto"/>
                  <w:vAlign w:val="center"/>
                </w:tcPr>
                <w:p w14:paraId="3C3B95B0">
                  <w:pPr>
                    <w:keepNext w:val="0"/>
                    <w:keepLines w:val="0"/>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sz w:val="21"/>
                      <w:szCs w:val="21"/>
                    </w:rPr>
                    <w:t>生态</w:t>
                  </w:r>
                </w:p>
              </w:tc>
              <w:tc>
                <w:tcPr>
                  <w:tcW w:w="2868" w:type="dxa"/>
                  <w:shd w:val="clear" w:color="auto" w:fill="auto"/>
                  <w:vAlign w:val="center"/>
                </w:tcPr>
                <w:p w14:paraId="54EA4A84">
                  <w:pPr>
                    <w:keepNext w:val="0"/>
                    <w:keepLines w:val="0"/>
                    <w:suppressLineNumbers w:val="0"/>
                    <w:spacing w:before="0" w:beforeAutospacing="0" w:after="0" w:afterAutospacing="0" w:line="240" w:lineRule="auto"/>
                    <w:ind w:left="0" w:right="0" w:firstLine="0" w:firstLineChars="0"/>
                    <w:jc w:val="left"/>
                    <w:rPr>
                      <w:rFonts w:hint="default" w:cs="Times New Roman"/>
                      <w:kern w:val="0"/>
                      <w:sz w:val="21"/>
                      <w:szCs w:val="21"/>
                    </w:rPr>
                  </w:pPr>
                  <w:r>
                    <w:rPr>
                      <w:rFonts w:hint="default" w:cs="Times New Roman"/>
                      <w:sz w:val="21"/>
                      <w:szCs w:val="21"/>
                    </w:rPr>
                    <w:t>取水口下游500米范围内有重要水生生物的自然产卵场、索饵场、越冬场和洄游通道的新增河道取水的污染类建设项目</w:t>
                  </w:r>
                </w:p>
              </w:tc>
              <w:tc>
                <w:tcPr>
                  <w:tcW w:w="2427" w:type="dxa"/>
                  <w:shd w:val="clear" w:color="auto" w:fill="auto"/>
                  <w:vAlign w:val="center"/>
                </w:tcPr>
                <w:p w14:paraId="3B399207">
                  <w:pPr>
                    <w:keepNext w:val="0"/>
                    <w:keepLines w:val="0"/>
                    <w:suppressLineNumbers w:val="0"/>
                    <w:spacing w:before="0" w:beforeAutospacing="0" w:after="0" w:afterAutospacing="0" w:line="240" w:lineRule="auto"/>
                    <w:ind w:left="0" w:right="0" w:firstLine="0" w:firstLineChars="0"/>
                    <w:jc w:val="left"/>
                    <w:rPr>
                      <w:rFonts w:hint="eastAsia" w:eastAsia="宋体" w:cs="Times New Roman"/>
                      <w:kern w:val="0"/>
                      <w:sz w:val="21"/>
                      <w:szCs w:val="21"/>
                      <w:lang w:eastAsia="zh-CN"/>
                    </w:rPr>
                  </w:pPr>
                  <w:r>
                    <w:rPr>
                      <w:rFonts w:hint="default" w:cs="Times New Roman"/>
                      <w:sz w:val="21"/>
                      <w:szCs w:val="21"/>
                    </w:rPr>
                    <w:t>本项目供水来自</w:t>
                  </w:r>
                  <w:r>
                    <w:rPr>
                      <w:rFonts w:hint="eastAsia" w:cs="Times New Roman"/>
                      <w:sz w:val="21"/>
                      <w:szCs w:val="21"/>
                    </w:rPr>
                    <w:t>园区</w:t>
                  </w:r>
                  <w:r>
                    <w:rPr>
                      <w:rFonts w:hint="default" w:cs="Times New Roman"/>
                      <w:sz w:val="21"/>
                      <w:szCs w:val="21"/>
                    </w:rPr>
                    <w:t>供水管网，不涉及取水口</w:t>
                  </w:r>
                  <w:r>
                    <w:rPr>
                      <w:rFonts w:hint="eastAsia" w:cs="Times New Roman"/>
                      <w:sz w:val="21"/>
                      <w:szCs w:val="21"/>
                      <w:lang w:eastAsia="zh-CN"/>
                    </w:rPr>
                    <w:t>。</w:t>
                  </w:r>
                </w:p>
              </w:tc>
              <w:tc>
                <w:tcPr>
                  <w:tcW w:w="633" w:type="dxa"/>
                  <w:shd w:val="clear" w:color="auto" w:fill="auto"/>
                  <w:vAlign w:val="center"/>
                </w:tcPr>
                <w:p w14:paraId="2AA3FBD9">
                  <w:pPr>
                    <w:keepNext w:val="0"/>
                    <w:keepLines w:val="0"/>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sz w:val="21"/>
                      <w:szCs w:val="21"/>
                    </w:rPr>
                    <w:t>无</w:t>
                  </w:r>
                </w:p>
              </w:tc>
            </w:tr>
            <w:tr w14:paraId="1A145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3" w:type="dxa"/>
                  <w:shd w:val="clear" w:color="auto" w:fill="auto"/>
                  <w:vAlign w:val="center"/>
                </w:tcPr>
                <w:p w14:paraId="0437ED18">
                  <w:pPr>
                    <w:keepNext w:val="0"/>
                    <w:keepLines w:val="0"/>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sz w:val="21"/>
                      <w:szCs w:val="21"/>
                    </w:rPr>
                    <w:t>海洋</w:t>
                  </w:r>
                </w:p>
              </w:tc>
              <w:tc>
                <w:tcPr>
                  <w:tcW w:w="2868" w:type="dxa"/>
                  <w:shd w:val="clear" w:color="auto" w:fill="auto"/>
                  <w:vAlign w:val="center"/>
                </w:tcPr>
                <w:p w14:paraId="708F6CAF">
                  <w:pPr>
                    <w:keepNext w:val="0"/>
                    <w:keepLines w:val="0"/>
                    <w:suppressLineNumbers w:val="0"/>
                    <w:spacing w:before="0" w:beforeAutospacing="0" w:after="0" w:afterAutospacing="0" w:line="240" w:lineRule="auto"/>
                    <w:ind w:left="0" w:right="0" w:firstLine="0" w:firstLineChars="0"/>
                    <w:jc w:val="left"/>
                    <w:rPr>
                      <w:rFonts w:hint="default" w:cs="Times New Roman"/>
                      <w:kern w:val="0"/>
                      <w:sz w:val="21"/>
                      <w:szCs w:val="21"/>
                    </w:rPr>
                  </w:pPr>
                  <w:r>
                    <w:rPr>
                      <w:rFonts w:hint="default" w:cs="Times New Roman"/>
                      <w:sz w:val="21"/>
                      <w:szCs w:val="21"/>
                    </w:rPr>
                    <w:t>直接向海排放污染物的海洋工程建设项目</w:t>
                  </w:r>
                </w:p>
              </w:tc>
              <w:tc>
                <w:tcPr>
                  <w:tcW w:w="2427" w:type="dxa"/>
                  <w:shd w:val="clear" w:color="auto" w:fill="auto"/>
                  <w:vAlign w:val="center"/>
                </w:tcPr>
                <w:p w14:paraId="494973E7">
                  <w:pPr>
                    <w:keepNext w:val="0"/>
                    <w:keepLines w:val="0"/>
                    <w:suppressLineNumbers w:val="0"/>
                    <w:spacing w:before="0" w:beforeAutospacing="0" w:after="0" w:afterAutospacing="0" w:line="240" w:lineRule="auto"/>
                    <w:ind w:left="0" w:right="0" w:firstLine="0" w:firstLineChars="0"/>
                    <w:jc w:val="left"/>
                    <w:rPr>
                      <w:rFonts w:hint="default" w:cs="Times New Roman"/>
                      <w:kern w:val="0"/>
                      <w:sz w:val="21"/>
                      <w:szCs w:val="21"/>
                    </w:rPr>
                  </w:pPr>
                  <w:r>
                    <w:rPr>
                      <w:rFonts w:hint="default" w:cs="Times New Roman"/>
                      <w:sz w:val="21"/>
                      <w:szCs w:val="21"/>
                    </w:rPr>
                    <w:t>本项目不涉及向海排放污染物</w:t>
                  </w:r>
                </w:p>
              </w:tc>
              <w:tc>
                <w:tcPr>
                  <w:tcW w:w="633" w:type="dxa"/>
                  <w:shd w:val="clear" w:color="auto" w:fill="auto"/>
                  <w:vAlign w:val="center"/>
                </w:tcPr>
                <w:p w14:paraId="21F0485A">
                  <w:pPr>
                    <w:keepNext w:val="0"/>
                    <w:keepLines w:val="0"/>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sz w:val="21"/>
                      <w:szCs w:val="21"/>
                    </w:rPr>
                    <w:t>无</w:t>
                  </w:r>
                </w:p>
              </w:tc>
            </w:tr>
            <w:tr w14:paraId="53D9F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1" w:type="dxa"/>
                  <w:gridSpan w:val="4"/>
                  <w:shd w:val="clear" w:color="auto" w:fill="auto"/>
                  <w:vAlign w:val="center"/>
                </w:tcPr>
                <w:p w14:paraId="19BDFF34">
                  <w:pPr>
                    <w:keepNext w:val="0"/>
                    <w:keepLines w:val="0"/>
                    <w:suppressLineNumbers w:val="0"/>
                    <w:spacing w:before="0" w:beforeAutospacing="0" w:after="0" w:afterAutospacing="0" w:line="240" w:lineRule="auto"/>
                    <w:ind w:left="0" w:right="0" w:firstLine="0" w:firstLineChars="0"/>
                    <w:jc w:val="left"/>
                    <w:rPr>
                      <w:rFonts w:hint="default" w:cs="Times New Roman"/>
                      <w:sz w:val="21"/>
                      <w:szCs w:val="21"/>
                    </w:rPr>
                  </w:pPr>
                  <w:r>
                    <w:rPr>
                      <w:rFonts w:hint="default" w:cs="Times New Roman"/>
                      <w:sz w:val="21"/>
                      <w:szCs w:val="21"/>
                    </w:rPr>
                    <w:t>注：1.废气中有毒有害污染物指纳入《有毒有害大气污染物名录》的污染物（不包括无排放标准的污染物）。</w:t>
                  </w:r>
                </w:p>
                <w:p w14:paraId="28F41F58">
                  <w:pPr>
                    <w:keepNext w:val="0"/>
                    <w:keepLines w:val="0"/>
                    <w:suppressLineNumbers w:val="0"/>
                    <w:spacing w:before="0" w:beforeAutospacing="0" w:after="0" w:afterAutospacing="0" w:line="240" w:lineRule="auto"/>
                    <w:ind w:left="0" w:right="0" w:firstLine="0" w:firstLineChars="0"/>
                    <w:jc w:val="left"/>
                    <w:rPr>
                      <w:rFonts w:hint="default" w:cs="Times New Roman"/>
                      <w:sz w:val="21"/>
                      <w:szCs w:val="21"/>
                    </w:rPr>
                  </w:pPr>
                  <w:r>
                    <w:rPr>
                      <w:rFonts w:hint="default" w:cs="Times New Roman"/>
                      <w:sz w:val="21"/>
                      <w:szCs w:val="21"/>
                    </w:rPr>
                    <w:t>2.环境空气保护目标指自然保护区、风景名胜区、居住区、文化区和农村地区中人群较集中的区域。</w:t>
                  </w:r>
                </w:p>
                <w:p w14:paraId="38634850">
                  <w:pPr>
                    <w:keepNext w:val="0"/>
                    <w:keepLines w:val="0"/>
                    <w:suppressLineNumbers w:val="0"/>
                    <w:spacing w:before="0" w:beforeAutospacing="0" w:after="0" w:afterAutospacing="0" w:line="240" w:lineRule="auto"/>
                    <w:ind w:left="0" w:right="0" w:firstLine="0" w:firstLineChars="0"/>
                    <w:jc w:val="left"/>
                    <w:rPr>
                      <w:rFonts w:hint="default" w:cs="Times New Roman"/>
                      <w:sz w:val="21"/>
                      <w:szCs w:val="21"/>
                    </w:rPr>
                  </w:pPr>
                  <w:r>
                    <w:rPr>
                      <w:rFonts w:hint="default" w:cs="Times New Roman"/>
                      <w:sz w:val="21"/>
                      <w:szCs w:val="21"/>
                    </w:rPr>
                    <w:t>3.临界量及其计算方法可参考《建设项目环境风险评价技术导则》（HJ 169）附录B、附录C。</w:t>
                  </w:r>
                </w:p>
              </w:tc>
            </w:tr>
          </w:tbl>
          <w:p w14:paraId="6C70DCF6">
            <w:pPr>
              <w:keepNext w:val="0"/>
              <w:keepLines w:val="0"/>
              <w:suppressLineNumbers w:val="0"/>
              <w:autoSpaceDE w:val="0"/>
              <w:autoSpaceDN w:val="0"/>
              <w:adjustRightInd w:val="0"/>
              <w:snapToGrid w:val="0"/>
              <w:spacing w:before="156" w:beforeLines="50" w:beforeAutospacing="0" w:after="0" w:afterAutospacing="0"/>
              <w:ind w:left="0" w:right="0" w:firstLine="420"/>
              <w:jc w:val="left"/>
              <w:rPr>
                <w:rFonts w:hint="default" w:cs="Times New Roman"/>
                <w:kern w:val="0"/>
                <w:sz w:val="24"/>
                <w:szCs w:val="24"/>
              </w:rPr>
            </w:pPr>
            <w:r>
              <w:rPr>
                <w:rFonts w:hint="default" w:cs="Times New Roman"/>
                <w:kern w:val="0"/>
                <w:sz w:val="24"/>
                <w:szCs w:val="24"/>
              </w:rPr>
              <w:t>依据表1-1，本项目</w:t>
            </w:r>
            <w:r>
              <w:rPr>
                <w:rFonts w:hint="eastAsia" w:cs="Times New Roman"/>
                <w:kern w:val="0"/>
                <w:sz w:val="24"/>
                <w:szCs w:val="24"/>
                <w:lang w:val="en-US" w:eastAsia="zh-CN"/>
              </w:rPr>
              <w:t>无</w:t>
            </w:r>
            <w:r>
              <w:rPr>
                <w:rFonts w:hint="default" w:cs="Times New Roman"/>
                <w:kern w:val="0"/>
                <w:sz w:val="24"/>
                <w:szCs w:val="24"/>
              </w:rPr>
              <w:t>需设置专项评价。</w:t>
            </w:r>
          </w:p>
        </w:tc>
      </w:tr>
      <w:tr w14:paraId="190AB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2" w:type="pct"/>
            <w:vAlign w:val="center"/>
          </w:tcPr>
          <w:p w14:paraId="78FAD28D">
            <w:pPr>
              <w:keepNext w:val="0"/>
              <w:keepLines w:val="0"/>
              <w:suppressLineNumbers w:val="0"/>
              <w:spacing w:before="0" w:beforeAutospacing="0" w:after="0" w:afterAutospacing="0" w:line="240" w:lineRule="auto"/>
              <w:ind w:left="0" w:right="0" w:firstLine="0" w:firstLineChars="0"/>
              <w:jc w:val="center"/>
              <w:rPr>
                <w:rFonts w:hint="default" w:cs="Times New Roman"/>
                <w:kern w:val="0"/>
                <w:sz w:val="24"/>
                <w:szCs w:val="24"/>
              </w:rPr>
            </w:pPr>
            <w:r>
              <w:rPr>
                <w:rFonts w:hint="default" w:cs="Times New Roman"/>
                <w:kern w:val="0"/>
                <w:sz w:val="24"/>
                <w:szCs w:val="24"/>
              </w:rPr>
              <w:t>规划情况</w:t>
            </w:r>
          </w:p>
        </w:tc>
        <w:tc>
          <w:tcPr>
            <w:tcW w:w="4447" w:type="pct"/>
            <w:gridSpan w:val="3"/>
            <w:vAlign w:val="center"/>
          </w:tcPr>
          <w:p w14:paraId="176625AB">
            <w:pPr>
              <w:keepNext w:val="0"/>
              <w:keepLines w:val="0"/>
              <w:suppressLineNumbers w:val="0"/>
              <w:spacing w:before="0" w:beforeAutospacing="0" w:after="0" w:afterAutospacing="0"/>
              <w:ind w:left="0" w:right="0" w:firstLine="0" w:firstLineChars="0"/>
              <w:jc w:val="left"/>
              <w:rPr>
                <w:rStyle w:val="21"/>
                <w:rFonts w:hint="eastAsia"/>
                <w:color w:val="auto"/>
                <w:sz w:val="24"/>
                <w:szCs w:val="24"/>
              </w:rPr>
            </w:pPr>
            <w:r>
              <w:rPr>
                <w:rStyle w:val="21"/>
                <w:rFonts w:hint="eastAsia"/>
                <w:color w:val="auto"/>
                <w:sz w:val="24"/>
                <w:szCs w:val="24"/>
              </w:rPr>
              <w:t>规划名称</w:t>
            </w:r>
            <w:r>
              <w:rPr>
                <w:rStyle w:val="21"/>
                <w:rFonts w:hint="eastAsia"/>
                <w:color w:val="auto"/>
                <w:sz w:val="24"/>
                <w:szCs w:val="24"/>
                <w:lang w:val="en-US" w:eastAsia="zh-CN"/>
              </w:rPr>
              <w:t>：</w:t>
            </w:r>
            <w:r>
              <w:rPr>
                <w:rStyle w:val="21"/>
                <w:rFonts w:hint="eastAsia"/>
                <w:color w:val="auto"/>
                <w:sz w:val="24"/>
                <w:szCs w:val="24"/>
              </w:rPr>
              <w:t>《杭州市余杭区</w:t>
            </w:r>
            <w:r>
              <w:rPr>
                <w:rStyle w:val="21"/>
                <w:rFonts w:hint="eastAsia"/>
                <w:color w:val="auto"/>
                <w:sz w:val="24"/>
                <w:szCs w:val="24"/>
                <w:lang w:val="en-US" w:eastAsia="zh-CN"/>
              </w:rPr>
              <w:t>未来科技城</w:t>
            </w:r>
            <w:r>
              <w:rPr>
                <w:rStyle w:val="21"/>
                <w:rFonts w:hint="eastAsia"/>
                <w:color w:val="auto"/>
                <w:sz w:val="24"/>
                <w:szCs w:val="24"/>
              </w:rPr>
              <w:t>单元详细规划》</w:t>
            </w:r>
          </w:p>
          <w:p w14:paraId="39E3328C">
            <w:pPr>
              <w:keepNext w:val="0"/>
              <w:keepLines w:val="0"/>
              <w:suppressLineNumbers w:val="0"/>
              <w:spacing w:before="0" w:beforeAutospacing="0" w:after="0" w:afterAutospacing="0"/>
              <w:ind w:left="0" w:right="0" w:firstLine="0" w:firstLineChars="0"/>
              <w:jc w:val="left"/>
              <w:rPr>
                <w:rStyle w:val="21"/>
                <w:rFonts w:hint="eastAsia"/>
                <w:color w:val="auto"/>
                <w:sz w:val="24"/>
                <w:szCs w:val="24"/>
              </w:rPr>
            </w:pPr>
            <w:r>
              <w:rPr>
                <w:rStyle w:val="21"/>
                <w:rFonts w:hint="eastAsia"/>
                <w:color w:val="auto"/>
                <w:sz w:val="24"/>
                <w:szCs w:val="24"/>
              </w:rPr>
              <w:t>审批机关</w:t>
            </w:r>
            <w:r>
              <w:rPr>
                <w:rStyle w:val="21"/>
                <w:rFonts w:hint="eastAsia"/>
                <w:color w:val="auto"/>
                <w:sz w:val="24"/>
                <w:szCs w:val="24"/>
                <w:lang w:val="en-US" w:eastAsia="zh-CN"/>
              </w:rPr>
              <w:t>：</w:t>
            </w:r>
            <w:r>
              <w:rPr>
                <w:rStyle w:val="21"/>
                <w:rFonts w:hint="eastAsia"/>
                <w:color w:val="auto"/>
                <w:sz w:val="24"/>
                <w:szCs w:val="24"/>
              </w:rPr>
              <w:t>杭州市人民政府</w:t>
            </w:r>
          </w:p>
          <w:p w14:paraId="53D5A434">
            <w:pPr>
              <w:keepNext w:val="0"/>
              <w:keepLines w:val="0"/>
              <w:suppressLineNumbers w:val="0"/>
              <w:spacing w:before="0" w:beforeAutospacing="0" w:after="0" w:afterAutospacing="0"/>
              <w:ind w:left="0" w:right="0" w:firstLine="0" w:firstLineChars="0"/>
              <w:jc w:val="left"/>
              <w:rPr>
                <w:rStyle w:val="21"/>
                <w:rFonts w:hint="default"/>
                <w:color w:val="auto"/>
                <w:sz w:val="24"/>
                <w:szCs w:val="24"/>
              </w:rPr>
            </w:pPr>
            <w:r>
              <w:rPr>
                <w:rStyle w:val="21"/>
                <w:rFonts w:hint="eastAsia"/>
                <w:color w:val="auto"/>
                <w:sz w:val="24"/>
                <w:szCs w:val="24"/>
              </w:rPr>
              <w:t>审批文件名称及文号</w:t>
            </w:r>
            <w:r>
              <w:rPr>
                <w:rStyle w:val="21"/>
                <w:rFonts w:hint="eastAsia"/>
                <w:color w:val="auto"/>
                <w:sz w:val="24"/>
                <w:szCs w:val="24"/>
                <w:lang w:eastAsia="zh-CN"/>
              </w:rPr>
              <w:t>：</w:t>
            </w:r>
            <w:r>
              <w:rPr>
                <w:rStyle w:val="21"/>
                <w:rFonts w:hint="eastAsia"/>
                <w:color w:val="auto"/>
                <w:sz w:val="24"/>
                <w:szCs w:val="24"/>
              </w:rPr>
              <w:t>《杭州市人民政府关于杭州城西科创大走廊14个单元详细规划的批复》(杭政函(2023)87号)</w:t>
            </w:r>
          </w:p>
        </w:tc>
      </w:tr>
      <w:tr w14:paraId="3CF2D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2" w:type="pct"/>
            <w:vAlign w:val="center"/>
          </w:tcPr>
          <w:p w14:paraId="4A6F71A1">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color w:val="auto"/>
                <w:sz w:val="24"/>
                <w:szCs w:val="24"/>
              </w:rPr>
            </w:pPr>
            <w:r>
              <w:rPr>
                <w:rFonts w:hint="default" w:cs="Times New Roman"/>
                <w:color w:val="auto"/>
                <w:sz w:val="24"/>
                <w:szCs w:val="24"/>
              </w:rPr>
              <w:t>规划环境影响评价情况</w:t>
            </w:r>
          </w:p>
        </w:tc>
        <w:tc>
          <w:tcPr>
            <w:tcW w:w="4447" w:type="pct"/>
            <w:gridSpan w:val="3"/>
            <w:vAlign w:val="center"/>
          </w:tcPr>
          <w:p w14:paraId="62C50F8F">
            <w:pPr>
              <w:keepNext w:val="0"/>
              <w:keepLines w:val="0"/>
              <w:suppressLineNumbers w:val="0"/>
              <w:spacing w:before="0" w:beforeAutospacing="0" w:after="0" w:afterAutospacing="0"/>
              <w:ind w:left="0" w:right="0" w:firstLine="0" w:firstLineChars="0"/>
              <w:jc w:val="left"/>
              <w:rPr>
                <w:rFonts w:hint="default" w:cs="Times New Roman"/>
                <w:color w:val="auto"/>
                <w:kern w:val="0"/>
                <w:sz w:val="24"/>
                <w:szCs w:val="24"/>
              </w:rPr>
            </w:pPr>
            <w:r>
              <w:rPr>
                <w:rFonts w:hint="eastAsia" w:cs="Times New Roman"/>
                <w:color w:val="auto"/>
                <w:kern w:val="0"/>
                <w:sz w:val="24"/>
                <w:szCs w:val="24"/>
                <w:lang w:val="en-US" w:eastAsia="zh-CN"/>
              </w:rPr>
              <w:t>无</w:t>
            </w:r>
          </w:p>
        </w:tc>
      </w:tr>
      <w:tr w14:paraId="276CF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2" w:type="pct"/>
            <w:vAlign w:val="center"/>
          </w:tcPr>
          <w:p w14:paraId="4B2D786E">
            <w:pPr>
              <w:keepNext w:val="0"/>
              <w:keepLines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cs="Times New Roman"/>
                <w:color w:val="auto"/>
                <w:kern w:val="0"/>
                <w:sz w:val="24"/>
                <w:szCs w:val="24"/>
              </w:rPr>
            </w:pPr>
            <w:r>
              <w:rPr>
                <w:rFonts w:hint="default" w:cs="Times New Roman"/>
                <w:color w:val="auto"/>
                <w:kern w:val="0"/>
                <w:sz w:val="24"/>
                <w:szCs w:val="24"/>
              </w:rPr>
              <w:t>规划及规划环境影响评价符合性分析</w:t>
            </w:r>
          </w:p>
        </w:tc>
        <w:tc>
          <w:tcPr>
            <w:tcW w:w="4447" w:type="pct"/>
            <w:gridSpan w:val="3"/>
            <w:vAlign w:val="center"/>
          </w:tcPr>
          <w:p w14:paraId="6435FCE3">
            <w:pPr>
              <w:keepNext w:val="0"/>
              <w:keepLines w:val="0"/>
              <w:numPr>
                <w:ilvl w:val="0"/>
                <w:numId w:val="0"/>
              </w:numPr>
              <w:suppressLineNumbers w:val="0"/>
              <w:spacing w:before="0" w:beforeAutospacing="0" w:after="0" w:afterAutospacing="0"/>
              <w:ind w:left="0" w:right="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1.1与《</w:t>
            </w:r>
            <w:r>
              <w:rPr>
                <w:rStyle w:val="21"/>
                <w:rFonts w:hint="eastAsia"/>
                <w:color w:val="auto"/>
                <w:sz w:val="24"/>
                <w:szCs w:val="24"/>
              </w:rPr>
              <w:t>杭州市余杭区</w:t>
            </w:r>
            <w:r>
              <w:rPr>
                <w:rStyle w:val="21"/>
                <w:rFonts w:hint="eastAsia"/>
                <w:color w:val="auto"/>
                <w:sz w:val="24"/>
                <w:szCs w:val="24"/>
                <w:lang w:val="en-US" w:eastAsia="zh-CN"/>
              </w:rPr>
              <w:t>未来科技城</w:t>
            </w:r>
            <w:r>
              <w:rPr>
                <w:rStyle w:val="21"/>
                <w:rFonts w:hint="eastAsia"/>
                <w:color w:val="auto"/>
                <w:sz w:val="24"/>
                <w:szCs w:val="24"/>
              </w:rPr>
              <w:t>单元详细规划</w:t>
            </w:r>
            <w:r>
              <w:rPr>
                <w:rFonts w:hint="default" w:ascii="Times New Roman" w:hAnsi="Times New Roman" w:eastAsia="宋体" w:cs="Times New Roman"/>
                <w:color w:val="auto"/>
                <w:sz w:val="24"/>
                <w:szCs w:val="24"/>
              </w:rPr>
              <w:t>》符合性分析</w:t>
            </w:r>
          </w:p>
          <w:p w14:paraId="685D9335">
            <w:pPr>
              <w:keepNext w:val="0"/>
              <w:keepLines w:val="0"/>
              <w:numPr>
                <w:ilvl w:val="0"/>
                <w:numId w:val="0"/>
              </w:numPr>
              <w:suppressLineNumbers w:val="0"/>
              <w:spacing w:before="0" w:beforeAutospacing="0" w:after="0" w:afterAutospacing="0"/>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规划范围</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规划范围南至杭徽高速（天目山西路），西至运溪快速路，北至余杭塘河，东至绕城高速公路，面积45.6平方公里。涉及仓前、五常、闲林、余杭四个街道。</w:t>
            </w:r>
          </w:p>
          <w:p w14:paraId="5324DFFA">
            <w:pPr>
              <w:keepNext w:val="0"/>
              <w:keepLines w:val="0"/>
              <w:numPr>
                <w:ilvl w:val="0"/>
                <w:numId w:val="0"/>
              </w:numPr>
              <w:suppressLineNumbers w:val="0"/>
              <w:spacing w:before="0" w:beforeAutospacing="0" w:after="0" w:afterAutospacing="0"/>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lang w:val="en-US" w:eastAsia="zh-CN"/>
              </w:rPr>
              <w:t>（2）</w:t>
            </w:r>
            <w:r>
              <w:rPr>
                <w:rFonts w:hint="default" w:ascii="Times New Roman" w:hAnsi="Times New Roman" w:eastAsia="宋体" w:cs="Times New Roman"/>
                <w:color w:val="auto"/>
                <w:sz w:val="24"/>
                <w:szCs w:val="24"/>
              </w:rPr>
              <w:t>规划目标</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建设具有全球领先水准、辐射全省的数字经济总部</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建设服务杭州城西地区、引领未来的城市活力中心</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建设代表杭州前沿科技、展现杭韵的城市科文视窗</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建设串联千年文化轴带、诗情画意的湿地湖链水乡</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建设展现未来生活图景、水城交融的宜居未来城区。</w:t>
            </w:r>
          </w:p>
          <w:p w14:paraId="743A5668">
            <w:pPr>
              <w:keepNext w:val="0"/>
              <w:keepLines w:val="0"/>
              <w:numPr>
                <w:ilvl w:val="0"/>
                <w:numId w:val="0"/>
              </w:numPr>
              <w:suppressLineNumbers w:val="0"/>
              <w:spacing w:before="0" w:beforeAutospacing="0" w:after="0" w:afterAutospacing="0"/>
              <w:ind w:left="0" w:right="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rPr>
              <w:t>功能定位</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以《杭州市国土空间总体规划》《城西科创大走廊概念性城市设计》等作为指导，结合现状情况,遵守底线约束及现状建设情况，统筹三生空间，充分挖掘土地开发潜力，建设布局合理、配套齐全、交通便捷、环境优美、富有水城魅力的科创中心核心功能区、数字经济创源地和产居融合样板区</w:t>
            </w:r>
            <w:r>
              <w:rPr>
                <w:rFonts w:hint="default" w:ascii="Times New Roman" w:hAnsi="Times New Roman" w:cs="Times New Roman"/>
                <w:color w:val="auto"/>
                <w:sz w:val="24"/>
                <w:szCs w:val="24"/>
                <w:lang w:val="en-US" w:eastAsia="zh-CN"/>
              </w:rPr>
              <w:t>。</w:t>
            </w:r>
          </w:p>
          <w:p w14:paraId="1E54D38A">
            <w:pPr>
              <w:keepNext w:val="0"/>
              <w:keepLines w:val="0"/>
              <w:numPr>
                <w:ilvl w:val="0"/>
                <w:numId w:val="0"/>
              </w:numPr>
              <w:suppressLineNumbers w:val="0"/>
              <w:spacing w:before="0" w:beforeAutospacing="0" w:after="0" w:afterAutospacing="0"/>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(4)规划结构</w:t>
            </w:r>
          </w:p>
          <w:p w14:paraId="66A5294E">
            <w:pPr>
              <w:keepNext w:val="0"/>
              <w:keepLines w:val="0"/>
              <w:numPr>
                <w:ilvl w:val="0"/>
                <w:numId w:val="0"/>
              </w:numPr>
              <w:suppressLineNumbers w:val="0"/>
              <w:spacing w:before="0" w:beforeAutospacing="0" w:after="0" w:afterAutospacing="0"/>
              <w:ind w:left="0" w:right="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双</w:t>
            </w:r>
            <w:r>
              <w:rPr>
                <w:rFonts w:hint="eastAsia" w:cs="Times New Roman"/>
                <w:color w:val="auto"/>
                <w:sz w:val="24"/>
                <w:szCs w:val="24"/>
                <w:lang w:val="en-US" w:eastAsia="zh-CN"/>
              </w:rPr>
              <w:t>廊</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城西科创产业走廊与湿地湖链风情廊。</w:t>
            </w:r>
          </w:p>
          <w:p w14:paraId="304BE54F">
            <w:pPr>
              <w:keepNext w:val="0"/>
              <w:keepLines w:val="0"/>
              <w:numPr>
                <w:ilvl w:val="0"/>
                <w:numId w:val="0"/>
              </w:numPr>
              <w:suppressLineNumbers w:val="0"/>
              <w:spacing w:before="0" w:beforeAutospacing="0" w:after="0" w:afterAutospacing="0"/>
              <w:ind w:left="0" w:right="0" w:firstLine="480" w:firstLineChars="200"/>
              <w:rPr>
                <w:rFonts w:hint="default" w:ascii="Times New Roman" w:hAnsi="Times New Roman" w:eastAsia="宋体" w:cs="Times New Roman"/>
                <w:color w:val="auto"/>
                <w:sz w:val="24"/>
                <w:szCs w:val="24"/>
                <w:lang w:eastAsia="zh-CN"/>
              </w:rPr>
            </w:pPr>
            <w:r>
              <w:rPr>
                <w:rFonts w:hint="eastAsia" w:cs="Times New Roman"/>
                <w:color w:val="auto"/>
                <w:sz w:val="24"/>
                <w:szCs w:val="24"/>
                <w:lang w:val="en-US" w:eastAsia="zh-CN"/>
              </w:rPr>
              <w:t>双轴</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古今文化活力轴和文一西路城市发展轴</w:t>
            </w:r>
            <w:r>
              <w:rPr>
                <w:rFonts w:hint="default" w:ascii="Times New Roman" w:hAnsi="Times New Roman" w:cs="Times New Roman"/>
                <w:color w:val="auto"/>
                <w:sz w:val="24"/>
                <w:szCs w:val="24"/>
                <w:lang w:eastAsia="zh-CN"/>
              </w:rPr>
              <w:t>。</w:t>
            </w:r>
          </w:p>
          <w:p w14:paraId="77427D92">
            <w:pPr>
              <w:keepNext w:val="0"/>
              <w:keepLines w:val="0"/>
              <w:numPr>
                <w:ilvl w:val="0"/>
                <w:numId w:val="0"/>
              </w:numPr>
              <w:suppressLineNumbers w:val="0"/>
              <w:spacing w:before="0" w:beforeAutospacing="0" w:after="0" w:afterAutospacing="0"/>
              <w:ind w:left="0" w:right="0" w:firstLine="480" w:firstLineChars="200"/>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两</w:t>
            </w:r>
            <w:r>
              <w:rPr>
                <w:rFonts w:hint="default" w:ascii="Times New Roman" w:hAnsi="Times New Roman" w:eastAsia="宋体" w:cs="Times New Roman"/>
                <w:color w:val="auto"/>
                <w:sz w:val="24"/>
                <w:szCs w:val="24"/>
              </w:rPr>
              <w:t>区</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科技总部CBD活力区、未来科技文化核心区。</w:t>
            </w:r>
          </w:p>
          <w:p w14:paraId="644C21DD">
            <w:pPr>
              <w:keepNext w:val="0"/>
              <w:keepLines w:val="0"/>
              <w:numPr>
                <w:ilvl w:val="0"/>
                <w:numId w:val="0"/>
              </w:numPr>
              <w:suppressLineNumbers w:val="0"/>
              <w:spacing w:before="0" w:beforeAutospacing="0" w:after="0" w:afterAutospacing="0"/>
              <w:ind w:left="0" w:right="0" w:firstLine="480" w:firstLineChars="200"/>
              <w:rPr>
                <w:rFonts w:hint="eastAsia"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多片：科创产城融合片、数字经济创新片、五常水乡风貌片、和睦水乡风貌片、国际宜居生活片。</w:t>
            </w:r>
          </w:p>
          <w:p w14:paraId="6EB40F7D">
            <w:pPr>
              <w:keepNext w:val="0"/>
              <w:keepLines w:val="0"/>
              <w:numPr>
                <w:ilvl w:val="0"/>
                <w:numId w:val="0"/>
              </w:numPr>
              <w:suppressLineNumbers w:val="0"/>
              <w:spacing w:before="0" w:beforeAutospacing="0" w:after="0" w:afterAutospacing="0"/>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5）</w:t>
            </w:r>
            <w:r>
              <w:rPr>
                <w:rFonts w:hint="default" w:ascii="Times New Roman" w:hAnsi="Times New Roman" w:eastAsia="宋体" w:cs="Times New Roman"/>
                <w:color w:val="auto"/>
                <w:sz w:val="24"/>
                <w:szCs w:val="24"/>
              </w:rPr>
              <w:t>空间规划</w:t>
            </w:r>
          </w:p>
          <w:p w14:paraId="07952C4E">
            <w:pPr>
              <w:keepNext w:val="0"/>
              <w:keepLines w:val="0"/>
              <w:numPr>
                <w:ilvl w:val="0"/>
                <w:numId w:val="0"/>
              </w:numPr>
              <w:suppressLineNumbers w:val="0"/>
              <w:spacing w:before="0" w:beforeAutospacing="0" w:after="0" w:afterAutospacing="0"/>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规划形成“一链一轴、四核多点，绿网成环”的蓝绿空间格局。</w:t>
            </w:r>
          </w:p>
          <w:p w14:paraId="6E79C7D1">
            <w:pPr>
              <w:keepNext w:val="0"/>
              <w:keepLines w:val="0"/>
              <w:numPr>
                <w:ilvl w:val="0"/>
                <w:numId w:val="0"/>
              </w:numPr>
              <w:suppressLineNumbers w:val="0"/>
              <w:spacing w:before="0" w:beforeAutospacing="0" w:after="0" w:afterAutospacing="0"/>
              <w:ind w:left="0" w:right="0" w:firstLine="480" w:firstLineChars="200"/>
              <w:rPr>
                <w:rFonts w:hint="eastAsia" w:ascii="Times New Roman" w:hAnsi="Times New Roman" w:eastAsia="宋体" w:cs="Times New Roman"/>
                <w:color w:val="auto"/>
                <w:sz w:val="24"/>
                <w:szCs w:val="24"/>
                <w:lang w:eastAsia="zh-CN"/>
              </w:rPr>
            </w:pPr>
            <w:r>
              <w:rPr>
                <w:rFonts w:hint="eastAsia" w:cs="Times New Roman"/>
                <w:color w:val="auto"/>
                <w:sz w:val="24"/>
                <w:szCs w:val="24"/>
                <w:lang w:val="en-US" w:eastAsia="zh-CN"/>
              </w:rPr>
              <w:t>一</w:t>
            </w:r>
            <w:r>
              <w:rPr>
                <w:rFonts w:hint="default" w:ascii="Times New Roman" w:hAnsi="Times New Roman" w:eastAsia="宋体" w:cs="Times New Roman"/>
                <w:color w:val="auto"/>
                <w:sz w:val="24"/>
                <w:szCs w:val="24"/>
              </w:rPr>
              <w:t>链</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湿地湖链，以五常水乡、和睦水乡为核心，营造大走廊独特韵味的标志性开放空间体系</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一轴</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中央绿轴，自余杭塘河生态廊道至未来科技文化核心区的南北向生态活力中轴</w:t>
            </w:r>
            <w:r>
              <w:rPr>
                <w:rFonts w:hint="eastAsia" w:cs="Times New Roman"/>
                <w:color w:val="auto"/>
                <w:sz w:val="24"/>
                <w:szCs w:val="24"/>
                <w:lang w:eastAsia="zh-CN"/>
              </w:rPr>
              <w:t>；</w:t>
            </w:r>
          </w:p>
          <w:p w14:paraId="3612C5B8">
            <w:pPr>
              <w:keepNext w:val="0"/>
              <w:keepLines w:val="0"/>
              <w:numPr>
                <w:ilvl w:val="0"/>
                <w:numId w:val="0"/>
              </w:numPr>
              <w:suppressLineNumbers w:val="0"/>
              <w:spacing w:before="0" w:beforeAutospacing="0" w:after="0" w:afterAutospacing="0"/>
              <w:ind w:left="0" w:right="0" w:firstLine="480" w:firstLineChars="200"/>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四核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围绕核心岛景观湖区、五常水乡、和睦水乡、万金山形成的四个核心景观区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多点</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单元内主要的绿化景观节点</w:t>
            </w:r>
            <w:r>
              <w:rPr>
                <w:rFonts w:hint="eastAsia" w:cs="Times New Roman"/>
                <w:color w:val="auto"/>
                <w:sz w:val="24"/>
                <w:szCs w:val="24"/>
                <w:lang w:eastAsia="zh-CN"/>
              </w:rPr>
              <w:t>；</w:t>
            </w:r>
          </w:p>
          <w:p w14:paraId="63714578">
            <w:pPr>
              <w:keepNext w:val="0"/>
              <w:keepLines w:val="0"/>
              <w:numPr>
                <w:ilvl w:val="0"/>
                <w:numId w:val="0"/>
              </w:numPr>
              <w:suppressLineNumbers w:val="0"/>
              <w:spacing w:before="0" w:beforeAutospacing="0" w:after="0" w:afterAutospacing="0"/>
              <w:ind w:left="0" w:right="0"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绿网成环</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沿着河道和道路两侧绿带打造绿网，形成轴网相连的绿化景观体系，主要包括余杭塘河生态廊道、闲林港生态廊道、何过港生态廊道、方家桥港生态廊道、梧桐港生态廊道，以及文一西路绿廊、文二西路绿廊、杭徽高速绿廊、运溪路绿廊、绕城高速绿廊等。</w:t>
            </w:r>
          </w:p>
          <w:p w14:paraId="098C9B79">
            <w:pPr>
              <w:keepNext w:val="0"/>
              <w:keepLines w:val="0"/>
              <w:numPr>
                <w:ilvl w:val="0"/>
                <w:numId w:val="1"/>
              </w:numPr>
              <w:suppressLineNumbers w:val="0"/>
              <w:spacing w:before="0" w:beforeAutospacing="0" w:after="0" w:afterAutospacing="0"/>
              <w:ind w:left="0" w:right="0" w:firstLine="420"/>
              <w:rPr>
                <w:rFonts w:hint="eastAsia" w:eastAsia="宋体"/>
                <w:sz w:val="24"/>
                <w:szCs w:val="24"/>
                <w:lang w:eastAsia="zh-CN"/>
              </w:rPr>
            </w:pPr>
            <w:r>
              <w:rPr>
                <w:rFonts w:hint="default" w:ascii="Times New Roman" w:hAnsi="Times New Roman" w:eastAsia="宋体" w:cs="Times New Roman"/>
                <w:color w:val="auto"/>
                <w:sz w:val="24"/>
                <w:szCs w:val="24"/>
              </w:rPr>
              <w:t>规划符合性分析</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对照《</w:t>
            </w:r>
            <w:r>
              <w:rPr>
                <w:rStyle w:val="21"/>
                <w:rFonts w:hint="eastAsia"/>
                <w:color w:val="auto"/>
                <w:sz w:val="24"/>
                <w:szCs w:val="24"/>
              </w:rPr>
              <w:t>杭州市余杭区</w:t>
            </w:r>
            <w:r>
              <w:rPr>
                <w:rStyle w:val="21"/>
                <w:rFonts w:hint="eastAsia"/>
                <w:color w:val="auto"/>
                <w:sz w:val="24"/>
                <w:szCs w:val="24"/>
                <w:lang w:val="en-US" w:eastAsia="zh-CN"/>
              </w:rPr>
              <w:t>未来科技城</w:t>
            </w:r>
            <w:r>
              <w:rPr>
                <w:rStyle w:val="21"/>
                <w:rFonts w:hint="eastAsia"/>
                <w:color w:val="auto"/>
                <w:sz w:val="24"/>
                <w:szCs w:val="24"/>
              </w:rPr>
              <w:t>单元详细规划</w:t>
            </w:r>
            <w:r>
              <w:rPr>
                <w:rFonts w:hint="default" w:ascii="Times New Roman" w:hAnsi="Times New Roman" w:eastAsia="宋体" w:cs="Times New Roman"/>
                <w:color w:val="auto"/>
                <w:sz w:val="24"/>
                <w:szCs w:val="24"/>
              </w:rPr>
              <w:t>》，项目</w:t>
            </w:r>
            <w:r>
              <w:rPr>
                <w:rFonts w:hint="default" w:ascii="Times New Roman" w:hAnsi="Times New Roman" w:cs="Times New Roman"/>
                <w:color w:val="auto"/>
                <w:sz w:val="24"/>
                <w:szCs w:val="24"/>
                <w:lang w:val="en-US" w:eastAsia="zh-CN"/>
              </w:rPr>
              <w:t>位于</w:t>
            </w:r>
            <w:r>
              <w:rPr>
                <w:rFonts w:hint="eastAsia" w:cs="Times New Roman"/>
                <w:color w:val="auto"/>
                <w:sz w:val="24"/>
                <w:szCs w:val="24"/>
                <w:lang w:val="en-US" w:eastAsia="zh-CN"/>
              </w:rPr>
              <w:t>科创</w:t>
            </w:r>
            <w:r>
              <w:rPr>
                <w:rFonts w:hint="default" w:ascii="Times New Roman" w:hAnsi="Times New Roman" w:eastAsia="宋体" w:cs="Times New Roman"/>
                <w:color w:val="auto"/>
                <w:sz w:val="24"/>
                <w:szCs w:val="24"/>
              </w:rPr>
              <w:t>产城融合片</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所在地用地规划为</w:t>
            </w:r>
            <w:r>
              <w:rPr>
                <w:rFonts w:hint="default" w:ascii="Times New Roman" w:hAnsi="Times New Roman" w:cs="Times New Roman"/>
                <w:color w:val="auto"/>
                <w:sz w:val="24"/>
                <w:szCs w:val="24"/>
                <w:lang w:val="en-US" w:eastAsia="zh-CN"/>
              </w:rPr>
              <w:t>工业</w:t>
            </w:r>
            <w:r>
              <w:rPr>
                <w:rFonts w:hint="default" w:ascii="Times New Roman" w:hAnsi="Times New Roman" w:eastAsia="宋体" w:cs="Times New Roman"/>
                <w:color w:val="auto"/>
                <w:sz w:val="24"/>
                <w:szCs w:val="24"/>
              </w:rPr>
              <w:t>用地，详见附图</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根据企业提供不动产权证(</w:t>
            </w:r>
            <w:r>
              <w:rPr>
                <w:rFonts w:hint="default" w:ascii="Times New Roman" w:hAnsi="Times New Roman" w:eastAsia="宋体" w:cs="Times New Roman"/>
                <w:color w:val="auto"/>
                <w:sz w:val="24"/>
                <w:szCs w:val="24"/>
                <w:lang w:val="en-US" w:eastAsia="zh-CN"/>
              </w:rPr>
              <w:t>见</w:t>
            </w:r>
            <w:r>
              <w:rPr>
                <w:rFonts w:hint="default" w:ascii="Times New Roman" w:hAnsi="Times New Roman" w:eastAsia="宋体" w:cs="Times New Roman"/>
                <w:color w:val="auto"/>
                <w:sz w:val="24"/>
                <w:szCs w:val="24"/>
              </w:rPr>
              <w:t>附件)，项目所在地用途为工业用地。</w:t>
            </w:r>
            <w:r>
              <w:rPr>
                <w:rFonts w:hint="default" w:ascii="Times New Roman" w:hAnsi="Times New Roman" w:eastAsia="宋体" w:cs="Times New Roman"/>
                <w:color w:val="auto"/>
                <w:sz w:val="24"/>
                <w:szCs w:val="24"/>
                <w:lang w:val="en-US" w:eastAsia="zh-CN"/>
              </w:rPr>
              <w:t>本项目为医学研究和试验发展</w:t>
            </w:r>
            <w:r>
              <w:rPr>
                <w:rFonts w:hint="default" w:ascii="Times New Roman" w:hAnsi="Times New Roman" w:cs="Times New Roman"/>
                <w:color w:val="auto"/>
                <w:sz w:val="24"/>
                <w:szCs w:val="24"/>
                <w:lang w:val="en-US" w:eastAsia="zh-CN"/>
              </w:rPr>
              <w:t>，符合本片规划目标和功能定位</w:t>
            </w:r>
            <w:r>
              <w:rPr>
                <w:rFonts w:hint="default" w:ascii="Times New Roman" w:hAnsi="Times New Roman" w:eastAsia="宋体" w:cs="Times New Roman"/>
                <w:color w:val="auto"/>
                <w:sz w:val="24"/>
                <w:szCs w:val="24"/>
              </w:rPr>
              <w:t>，因此选址符合相关规划。</w:t>
            </w:r>
          </w:p>
        </w:tc>
      </w:tr>
    </w:tbl>
    <w:p w14:paraId="6CA038E7">
      <w:pPr>
        <w:ind w:firstLine="0" w:firstLineChars="0"/>
        <w:sectPr>
          <w:footerReference r:id="rId5" w:type="default"/>
          <w:pgSz w:w="11906" w:h="16838"/>
          <w:pgMar w:top="1440" w:right="1800" w:bottom="1440" w:left="1800" w:header="851" w:footer="992" w:gutter="0"/>
          <w:pgNumType w:start="1"/>
          <w:cols w:space="425" w:num="1"/>
          <w:docGrid w:type="lines"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7878"/>
      </w:tblGrid>
      <w:tr w14:paraId="26C40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4" w:type="dxa"/>
            <w:vAlign w:val="center"/>
          </w:tcPr>
          <w:p w14:paraId="0EB2FF54">
            <w:pPr>
              <w:keepNext w:val="0"/>
              <w:keepLines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color w:val="auto"/>
                <w:sz w:val="24"/>
                <w:szCs w:val="24"/>
              </w:rPr>
            </w:pPr>
            <w:r>
              <w:rPr>
                <w:rFonts w:hint="default" w:cs="Times New Roman"/>
                <w:color w:val="auto"/>
                <w:kern w:val="0"/>
                <w:sz w:val="24"/>
                <w:szCs w:val="24"/>
              </w:rPr>
              <w:t>其他符合性分析</w:t>
            </w:r>
          </w:p>
        </w:tc>
        <w:tc>
          <w:tcPr>
            <w:tcW w:w="7878" w:type="dxa"/>
            <w:vAlign w:val="center"/>
          </w:tcPr>
          <w:p w14:paraId="16A1C251">
            <w:pPr>
              <w:keepNext w:val="0"/>
              <w:keepLines w:val="0"/>
              <w:suppressLineNumbers w:val="0"/>
              <w:spacing w:before="0" w:beforeAutospacing="0" w:after="0" w:afterAutospacing="0"/>
              <w:ind w:left="0" w:right="0" w:firstLine="420" w:firstLineChars="0"/>
              <w:rPr>
                <w:rFonts w:hint="default" w:cs="Times New Roman"/>
                <w:b/>
                <w:bCs/>
                <w:color w:val="auto"/>
                <w:kern w:val="0"/>
                <w:sz w:val="24"/>
                <w:szCs w:val="24"/>
              </w:rPr>
            </w:pPr>
            <w:r>
              <w:rPr>
                <w:rFonts w:hint="eastAsia" w:cs="Times New Roman"/>
                <w:b/>
                <w:bCs/>
                <w:color w:val="auto"/>
                <w:kern w:val="0"/>
                <w:sz w:val="24"/>
                <w:szCs w:val="24"/>
              </w:rPr>
              <w:t>1</w:t>
            </w:r>
            <w:r>
              <w:rPr>
                <w:rFonts w:hint="default" w:cs="Times New Roman"/>
                <w:b/>
                <w:bCs/>
                <w:color w:val="auto"/>
                <w:kern w:val="0"/>
                <w:sz w:val="24"/>
                <w:szCs w:val="24"/>
              </w:rPr>
              <w:t>、</w:t>
            </w:r>
            <w:r>
              <w:rPr>
                <w:rFonts w:hint="eastAsia" w:cs="Times New Roman"/>
                <w:b/>
                <w:bCs/>
                <w:color w:val="auto"/>
                <w:kern w:val="0"/>
                <w:sz w:val="24"/>
                <w:szCs w:val="24"/>
              </w:rPr>
              <w:t>审批原则符合性分析</w:t>
            </w:r>
          </w:p>
          <w:p w14:paraId="692440A6">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rPr>
              <w:t>一、建设项目环保审批原则</w:t>
            </w:r>
          </w:p>
          <w:p w14:paraId="1C2C7454">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rPr>
              <w:t>（1）生态环境分区管控动态更新方案符合性分析</w:t>
            </w:r>
          </w:p>
          <w:p w14:paraId="31A954BA">
            <w:pPr>
              <w:keepNext w:val="0"/>
              <w:keepLines w:val="0"/>
              <w:suppressLineNumbers w:val="0"/>
              <w:spacing w:before="0" w:beforeAutospacing="0" w:after="0" w:afterAutospacing="0"/>
              <w:ind w:left="0" w:right="0" w:firstLine="420"/>
              <w:rPr>
                <w:rFonts w:hint="eastAsia" w:eastAsia="宋体" w:cs="Times New Roman"/>
                <w:color w:val="auto"/>
                <w:sz w:val="24"/>
                <w:szCs w:val="24"/>
                <w:lang w:val="en-US" w:eastAsia="zh-CN"/>
              </w:rPr>
            </w:pPr>
            <w:r>
              <w:rPr>
                <w:rFonts w:hint="default" w:cs="Times New Roman"/>
                <w:color w:val="auto"/>
                <w:sz w:val="24"/>
                <w:szCs w:val="24"/>
              </w:rPr>
              <w:t>项目位于</w:t>
            </w:r>
            <w:r>
              <w:rPr>
                <w:rFonts w:hint="default" w:cs="Times New Roman"/>
                <w:color w:val="auto"/>
                <w:sz w:val="24"/>
                <w:szCs w:val="24"/>
                <w:lang w:val="en-US" w:eastAsia="zh-CN"/>
              </w:rPr>
              <w:t>浙江省杭州市</w:t>
            </w:r>
            <w:r>
              <w:rPr>
                <w:rFonts w:hint="eastAsia" w:cs="Times New Roman"/>
                <w:color w:val="auto"/>
                <w:sz w:val="24"/>
                <w:szCs w:val="24"/>
                <w:lang w:val="en-US" w:eastAsia="zh-CN"/>
              </w:rPr>
              <w:t>余杭区五常街道绮颐弄10号1幢301室</w:t>
            </w:r>
            <w:r>
              <w:rPr>
                <w:rFonts w:hint="eastAsia" w:cs="Times New Roman"/>
                <w:color w:val="auto"/>
                <w:sz w:val="24"/>
                <w:szCs w:val="24"/>
              </w:rPr>
              <w:t>，</w:t>
            </w:r>
            <w:r>
              <w:rPr>
                <w:rFonts w:hint="default" w:cs="Times New Roman"/>
                <w:color w:val="auto"/>
                <w:sz w:val="24"/>
                <w:szCs w:val="24"/>
              </w:rPr>
              <w:t>对照</w:t>
            </w:r>
            <w:r>
              <w:rPr>
                <w:rFonts w:hint="default" w:cs="Times New Roman"/>
                <w:color w:val="auto"/>
                <w:sz w:val="24"/>
                <w:szCs w:val="24"/>
                <w:lang w:val="en-GB"/>
              </w:rPr>
              <w:t>《</w:t>
            </w:r>
            <w:r>
              <w:rPr>
                <w:rFonts w:hint="default" w:cs="Times New Roman"/>
                <w:color w:val="auto"/>
                <w:sz w:val="24"/>
                <w:szCs w:val="24"/>
              </w:rPr>
              <w:t>杭州市生态环境分区管控动态更新方案》(杭环发〔</w:t>
            </w:r>
            <w:r>
              <w:rPr>
                <w:rFonts w:hint="eastAsia" w:cs="Times New Roman"/>
                <w:color w:val="auto"/>
                <w:sz w:val="24"/>
                <w:szCs w:val="24"/>
                <w:lang w:val="en-US" w:eastAsia="zh-CN"/>
              </w:rPr>
              <w:t>2024</w:t>
            </w:r>
            <w:r>
              <w:rPr>
                <w:rFonts w:hint="default" w:cs="Times New Roman"/>
                <w:color w:val="auto"/>
                <w:sz w:val="24"/>
                <w:szCs w:val="24"/>
              </w:rPr>
              <w:t>〕49号)，本项目属于余杭组团产业集聚重点管控单元</w:t>
            </w:r>
            <w:r>
              <w:rPr>
                <w:rFonts w:hint="eastAsia" w:cs="Times New Roman"/>
                <w:color w:val="auto"/>
                <w:sz w:val="24"/>
                <w:szCs w:val="24"/>
                <w:lang w:eastAsia="zh-CN"/>
              </w:rPr>
              <w:t>ZH3301102000</w:t>
            </w:r>
            <w:r>
              <w:rPr>
                <w:rFonts w:hint="eastAsia" w:cs="Times New Roman"/>
                <w:color w:val="auto"/>
                <w:sz w:val="24"/>
                <w:szCs w:val="24"/>
                <w:lang w:val="en-US" w:eastAsia="zh-CN"/>
              </w:rPr>
              <w:t>7</w:t>
            </w:r>
            <w:r>
              <w:rPr>
                <w:rFonts w:hint="default" w:cs="Times New Roman"/>
                <w:color w:val="auto"/>
                <w:sz w:val="24"/>
                <w:szCs w:val="24"/>
              </w:rPr>
              <w:t>，符合性分析见下表。</w:t>
            </w:r>
          </w:p>
          <w:p w14:paraId="2E2AD7D4">
            <w:pPr>
              <w:keepNext w:val="0"/>
              <w:keepLines w:val="0"/>
              <w:suppressLineNumbers w:val="0"/>
              <w:spacing w:before="0" w:beforeAutospacing="0" w:after="0" w:afterAutospacing="0"/>
              <w:ind w:left="0" w:right="0" w:firstLine="0" w:firstLineChars="0"/>
              <w:jc w:val="center"/>
              <w:rPr>
                <w:rFonts w:hint="eastAsia" w:ascii="黑体" w:hAnsi="黑体" w:eastAsia="黑体" w:cs="黑体"/>
                <w:color w:val="auto"/>
                <w:sz w:val="24"/>
                <w:szCs w:val="24"/>
              </w:rPr>
            </w:pPr>
            <w:r>
              <w:rPr>
                <w:rFonts w:hint="eastAsia" w:ascii="黑体" w:hAnsi="黑体" w:eastAsia="黑体" w:cs="黑体"/>
                <w:color w:val="auto"/>
                <w:sz w:val="24"/>
                <w:szCs w:val="24"/>
              </w:rPr>
              <w:t>表</w:t>
            </w:r>
            <w:r>
              <w:rPr>
                <w:rFonts w:hint="default" w:eastAsia="黑体" w:cs="Times New Roman"/>
                <w:color w:val="auto"/>
                <w:sz w:val="24"/>
                <w:szCs w:val="24"/>
              </w:rPr>
              <w:t>1-</w:t>
            </w:r>
            <w:r>
              <w:rPr>
                <w:rFonts w:hint="eastAsia" w:eastAsia="黑体" w:cs="Times New Roman"/>
                <w:color w:val="auto"/>
                <w:sz w:val="24"/>
                <w:szCs w:val="24"/>
                <w:lang w:val="en-US" w:eastAsia="zh-CN"/>
              </w:rPr>
              <w:t>2</w:t>
            </w:r>
            <w:r>
              <w:rPr>
                <w:rFonts w:hint="default" w:eastAsia="黑体" w:cs="Times New Roman"/>
                <w:color w:val="auto"/>
                <w:sz w:val="24"/>
                <w:szCs w:val="24"/>
              </w:rPr>
              <w:t xml:space="preserve">  </w:t>
            </w:r>
            <w:r>
              <w:rPr>
                <w:rFonts w:hint="eastAsia" w:ascii="黑体" w:hAnsi="黑体" w:eastAsia="黑体" w:cs="黑体"/>
                <w:color w:val="auto"/>
                <w:sz w:val="24"/>
                <w:szCs w:val="24"/>
              </w:rPr>
              <w:t>生态环境分区管控动态更新方案符合性分析</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3450"/>
              <w:gridCol w:w="2478"/>
              <w:gridCol w:w="885"/>
            </w:tblGrid>
            <w:tr w14:paraId="5D61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89" w:type="dxa"/>
                  <w:gridSpan w:val="2"/>
                  <w:vAlign w:val="center"/>
                </w:tcPr>
                <w:p w14:paraId="738E4F29">
                  <w:pPr>
                    <w:keepNext w:val="0"/>
                    <w:keepLines w:val="0"/>
                    <w:suppressLineNumbers w:val="0"/>
                    <w:spacing w:before="0" w:beforeAutospacing="0" w:after="0" w:afterAutospacing="0" w:line="240" w:lineRule="auto"/>
                    <w:ind w:left="0" w:right="0" w:firstLine="0" w:firstLineChars="0"/>
                    <w:jc w:val="center"/>
                    <w:rPr>
                      <w:rFonts w:hint="default" w:cs="Times New Roman"/>
                      <w:b/>
                      <w:bCs/>
                      <w:color w:val="auto"/>
                      <w:sz w:val="21"/>
                      <w:szCs w:val="21"/>
                    </w:rPr>
                  </w:pPr>
                  <w:r>
                    <w:rPr>
                      <w:rFonts w:hint="eastAsia" w:cs="Times New Roman"/>
                      <w:b/>
                      <w:bCs/>
                      <w:color w:val="auto"/>
                      <w:sz w:val="21"/>
                      <w:szCs w:val="21"/>
                    </w:rPr>
                    <w:t>相关要求</w:t>
                  </w:r>
                </w:p>
              </w:tc>
              <w:tc>
                <w:tcPr>
                  <w:tcW w:w="2478" w:type="dxa"/>
                  <w:vAlign w:val="center"/>
                </w:tcPr>
                <w:p w14:paraId="2C49512D">
                  <w:pPr>
                    <w:keepNext w:val="0"/>
                    <w:keepLines w:val="0"/>
                    <w:suppressLineNumbers w:val="0"/>
                    <w:spacing w:before="0" w:beforeAutospacing="0" w:after="0" w:afterAutospacing="0" w:line="240" w:lineRule="auto"/>
                    <w:ind w:left="0" w:right="0" w:firstLine="0" w:firstLineChars="0"/>
                    <w:jc w:val="center"/>
                    <w:rPr>
                      <w:rFonts w:hint="default" w:cs="Times New Roman"/>
                      <w:b/>
                      <w:bCs/>
                      <w:color w:val="auto"/>
                      <w:sz w:val="21"/>
                      <w:szCs w:val="21"/>
                    </w:rPr>
                  </w:pPr>
                  <w:r>
                    <w:rPr>
                      <w:rFonts w:hint="eastAsia" w:cs="Times New Roman"/>
                      <w:b/>
                      <w:bCs/>
                      <w:color w:val="auto"/>
                      <w:sz w:val="21"/>
                      <w:szCs w:val="21"/>
                    </w:rPr>
                    <w:t>本项目情况</w:t>
                  </w:r>
                </w:p>
              </w:tc>
              <w:tc>
                <w:tcPr>
                  <w:tcW w:w="885" w:type="dxa"/>
                  <w:vAlign w:val="center"/>
                </w:tcPr>
                <w:p w14:paraId="181A98DE">
                  <w:pPr>
                    <w:keepNext w:val="0"/>
                    <w:keepLines w:val="0"/>
                    <w:suppressLineNumbers w:val="0"/>
                    <w:spacing w:before="0" w:beforeAutospacing="0" w:after="0" w:afterAutospacing="0" w:line="240" w:lineRule="auto"/>
                    <w:ind w:left="0" w:right="0" w:firstLine="0" w:firstLineChars="0"/>
                    <w:jc w:val="center"/>
                    <w:rPr>
                      <w:rFonts w:hint="default" w:cs="Times New Roman"/>
                      <w:b/>
                      <w:bCs/>
                      <w:color w:val="auto"/>
                      <w:sz w:val="21"/>
                      <w:szCs w:val="21"/>
                    </w:rPr>
                  </w:pPr>
                  <w:r>
                    <w:rPr>
                      <w:rFonts w:hint="eastAsia" w:cs="Times New Roman"/>
                      <w:b/>
                      <w:bCs/>
                      <w:color w:val="auto"/>
                      <w:sz w:val="21"/>
                      <w:szCs w:val="21"/>
                    </w:rPr>
                    <w:t>是否符合</w:t>
                  </w:r>
                </w:p>
              </w:tc>
            </w:tr>
            <w:tr w14:paraId="375B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9" w:type="dxa"/>
                  <w:vAlign w:val="center"/>
                </w:tcPr>
                <w:p w14:paraId="4E07E96B">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空间布局约束</w:t>
                  </w:r>
                </w:p>
              </w:tc>
              <w:tc>
                <w:tcPr>
                  <w:tcW w:w="3450" w:type="dxa"/>
                  <w:vAlign w:val="center"/>
                </w:tcPr>
                <w:p w14:paraId="22DE357A">
                  <w:pPr>
                    <w:keepNext w:val="0"/>
                    <w:keepLines w:val="0"/>
                    <w:suppressLineNumbers w:val="0"/>
                    <w:spacing w:before="0" w:beforeAutospacing="0" w:after="0" w:afterAutospacing="0" w:line="240" w:lineRule="auto"/>
                    <w:ind w:left="0" w:right="0" w:firstLine="0" w:firstLineChars="0"/>
                    <w:rPr>
                      <w:rFonts w:hint="default" w:cs="Times New Roman"/>
                      <w:color w:val="auto"/>
                      <w:sz w:val="21"/>
                      <w:szCs w:val="21"/>
                    </w:rPr>
                  </w:pPr>
                  <w:r>
                    <w:rPr>
                      <w:rFonts w:hint="default" w:cs="Times New Roman"/>
                      <w:color w:val="auto"/>
                      <w:sz w:val="21"/>
                      <w:szCs w:val="21"/>
                    </w:rPr>
                    <w:t>根据产业集聚区块的功能定位，建立分区差别化的产业准入条件。合理规划布局居住、医疗卫生、文化教育等功能区块，与工业区块、工业企业之间设置防护绿地、生活绿地等隔离带。</w:t>
                  </w:r>
                </w:p>
              </w:tc>
              <w:tc>
                <w:tcPr>
                  <w:tcW w:w="2478" w:type="dxa"/>
                  <w:vAlign w:val="center"/>
                </w:tcPr>
                <w:p w14:paraId="30FABBA7">
                  <w:pPr>
                    <w:keepNext w:val="0"/>
                    <w:keepLines w:val="0"/>
                    <w:suppressLineNumbers w:val="0"/>
                    <w:spacing w:before="0" w:beforeAutospacing="0" w:after="0" w:afterAutospacing="0" w:line="240" w:lineRule="auto"/>
                    <w:ind w:left="0" w:right="0" w:firstLine="0" w:firstLineChars="0"/>
                    <w:rPr>
                      <w:rFonts w:hint="default" w:cs="Times New Roman"/>
                      <w:color w:val="auto"/>
                      <w:sz w:val="21"/>
                      <w:szCs w:val="21"/>
                    </w:rPr>
                  </w:pPr>
                  <w:r>
                    <w:rPr>
                      <w:rFonts w:hint="default" w:cs="Times New Roman"/>
                      <w:color w:val="auto"/>
                      <w:sz w:val="21"/>
                      <w:szCs w:val="21"/>
                    </w:rPr>
                    <w:t>本项目位于余杭组团产业集聚重点管控单元内，厂区周边设置绿化带，</w:t>
                  </w:r>
                  <w:r>
                    <w:rPr>
                      <w:rFonts w:hint="eastAsia" w:cs="Times New Roman"/>
                      <w:color w:val="auto"/>
                      <w:sz w:val="21"/>
                      <w:szCs w:val="21"/>
                      <w:lang w:val="en-US" w:eastAsia="zh-CN"/>
                    </w:rPr>
                    <w:t>与周边居住用地形成有效隔离，</w:t>
                  </w:r>
                  <w:r>
                    <w:rPr>
                      <w:rFonts w:hint="default" w:cs="Times New Roman"/>
                      <w:color w:val="auto"/>
                      <w:sz w:val="21"/>
                      <w:szCs w:val="21"/>
                    </w:rPr>
                    <w:t>符合空间布局要求。</w:t>
                  </w:r>
                </w:p>
              </w:tc>
              <w:tc>
                <w:tcPr>
                  <w:tcW w:w="885" w:type="dxa"/>
                  <w:vAlign w:val="center"/>
                </w:tcPr>
                <w:p w14:paraId="713D44C3">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符合</w:t>
                  </w:r>
                </w:p>
              </w:tc>
            </w:tr>
            <w:tr w14:paraId="6AA7C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9" w:type="dxa"/>
                  <w:vAlign w:val="center"/>
                </w:tcPr>
                <w:p w14:paraId="348516FA">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污染物排放管控</w:t>
                  </w:r>
                </w:p>
              </w:tc>
              <w:tc>
                <w:tcPr>
                  <w:tcW w:w="3450" w:type="dxa"/>
                  <w:vAlign w:val="center"/>
                </w:tcPr>
                <w:p w14:paraId="64731435">
                  <w:pPr>
                    <w:keepNext w:val="0"/>
                    <w:keepLines w:val="0"/>
                    <w:suppressLineNumbers w:val="0"/>
                    <w:spacing w:before="0" w:beforeAutospacing="0" w:after="0" w:afterAutospacing="0" w:line="240" w:lineRule="auto"/>
                    <w:ind w:left="0" w:right="0" w:firstLine="0" w:firstLineChars="0"/>
                    <w:rPr>
                      <w:rFonts w:hint="default" w:cs="Times New Roman"/>
                      <w:color w:val="auto"/>
                      <w:sz w:val="21"/>
                      <w:szCs w:val="21"/>
                    </w:rPr>
                  </w:pPr>
                  <w:r>
                    <w:rPr>
                      <w:rFonts w:hint="default" w:cs="Times New Roman"/>
                      <w:color w:val="auto"/>
                      <w:sz w:val="21"/>
                      <w:szCs w:val="21"/>
                    </w:rPr>
                    <w:t>严格实施污染物总量控制制度，根据区域环境质量改善目标，削减污染物排放总量。所有企业实现雨污分流。</w:t>
                  </w:r>
                </w:p>
              </w:tc>
              <w:tc>
                <w:tcPr>
                  <w:tcW w:w="2478" w:type="dxa"/>
                  <w:vAlign w:val="center"/>
                </w:tcPr>
                <w:p w14:paraId="7F4CF9BB">
                  <w:pPr>
                    <w:keepNext w:val="0"/>
                    <w:keepLines w:val="0"/>
                    <w:suppressLineNumbers w:val="0"/>
                    <w:spacing w:before="0" w:beforeAutospacing="0" w:after="0" w:afterAutospacing="0" w:line="240" w:lineRule="auto"/>
                    <w:ind w:left="0" w:right="0" w:firstLine="0" w:firstLineChars="0"/>
                    <w:rPr>
                      <w:rFonts w:hint="default" w:cs="Times New Roman"/>
                      <w:color w:val="auto"/>
                      <w:sz w:val="21"/>
                      <w:szCs w:val="21"/>
                    </w:rPr>
                  </w:pPr>
                  <w:r>
                    <w:rPr>
                      <w:rFonts w:hint="default" w:cs="Times New Roman"/>
                      <w:color w:val="auto"/>
                      <w:sz w:val="21"/>
                      <w:szCs w:val="21"/>
                    </w:rPr>
                    <w:t>本项目会严格实施污染物总量控制制度，且本项目排放的污染物均达标排放。</w:t>
                  </w:r>
                </w:p>
              </w:tc>
              <w:tc>
                <w:tcPr>
                  <w:tcW w:w="885" w:type="dxa"/>
                  <w:vAlign w:val="center"/>
                </w:tcPr>
                <w:p w14:paraId="312CE902">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符合</w:t>
                  </w:r>
                </w:p>
              </w:tc>
            </w:tr>
            <w:tr w14:paraId="10A7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9" w:type="dxa"/>
                  <w:vAlign w:val="center"/>
                </w:tcPr>
                <w:p w14:paraId="4975E837">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环境风险防控</w:t>
                  </w:r>
                </w:p>
              </w:tc>
              <w:tc>
                <w:tcPr>
                  <w:tcW w:w="3450" w:type="dxa"/>
                  <w:vAlign w:val="center"/>
                </w:tcPr>
                <w:p w14:paraId="3C6875E1">
                  <w:pPr>
                    <w:keepNext w:val="0"/>
                    <w:keepLines w:val="0"/>
                    <w:suppressLineNumbers w:val="0"/>
                    <w:spacing w:before="0" w:beforeAutospacing="0" w:after="0" w:afterAutospacing="0" w:line="240" w:lineRule="auto"/>
                    <w:ind w:left="0" w:right="0" w:firstLine="0" w:firstLineChars="0"/>
                    <w:rPr>
                      <w:rFonts w:hint="default" w:cs="Times New Roman"/>
                      <w:color w:val="auto"/>
                      <w:sz w:val="21"/>
                      <w:szCs w:val="21"/>
                    </w:rPr>
                  </w:pPr>
                  <w:r>
                    <w:rPr>
                      <w:rFonts w:hint="default" w:cs="Times New Roman"/>
                      <w:color w:val="auto"/>
                      <w:sz w:val="21"/>
                      <w:szCs w:val="21"/>
                    </w:rPr>
                    <w:t>强化工业集聚区企业环境风险防范设施设备建设和正常运行监管，加强重点环境风险管控企业应急预案制定，建立常态化的企业隐患排查整治监管机制，加强风险防控体系建设。</w:t>
                  </w:r>
                </w:p>
              </w:tc>
              <w:tc>
                <w:tcPr>
                  <w:tcW w:w="2478" w:type="dxa"/>
                  <w:vAlign w:val="center"/>
                </w:tcPr>
                <w:p w14:paraId="3EBDF707">
                  <w:pPr>
                    <w:keepNext w:val="0"/>
                    <w:keepLines w:val="0"/>
                    <w:suppressLineNumbers w:val="0"/>
                    <w:spacing w:before="0" w:beforeAutospacing="0" w:after="0" w:afterAutospacing="0" w:line="240" w:lineRule="auto"/>
                    <w:ind w:left="0" w:right="0" w:firstLine="0" w:firstLineChars="0"/>
                    <w:rPr>
                      <w:rFonts w:hint="default" w:cs="Times New Roman"/>
                      <w:color w:val="auto"/>
                      <w:sz w:val="21"/>
                      <w:szCs w:val="21"/>
                    </w:rPr>
                  </w:pPr>
                  <w:r>
                    <w:rPr>
                      <w:rFonts w:hint="default" w:cs="Times New Roman"/>
                      <w:color w:val="auto"/>
                      <w:sz w:val="21"/>
                      <w:szCs w:val="21"/>
                    </w:rPr>
                    <w:t>本项目排放的污染物均达标排放，要求企业建成后做好风险防范措施，加强环境风险防控。</w:t>
                  </w:r>
                </w:p>
              </w:tc>
              <w:tc>
                <w:tcPr>
                  <w:tcW w:w="885" w:type="dxa"/>
                  <w:vAlign w:val="center"/>
                </w:tcPr>
                <w:p w14:paraId="420CD751">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符合</w:t>
                  </w:r>
                </w:p>
              </w:tc>
            </w:tr>
          </w:tbl>
          <w:p w14:paraId="072FEAAA">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default" w:cs="Times New Roman"/>
                <w:color w:val="auto"/>
                <w:sz w:val="24"/>
                <w:szCs w:val="24"/>
              </w:rPr>
              <w:t>综上，本项目符合《杭州市生态环境分区管控动态更新方案》相关要求</w:t>
            </w:r>
            <w:r>
              <w:rPr>
                <w:rFonts w:hint="eastAsia" w:cs="Times New Roman"/>
                <w:color w:val="auto"/>
                <w:sz w:val="24"/>
                <w:szCs w:val="24"/>
              </w:rPr>
              <w:t>。</w:t>
            </w:r>
          </w:p>
          <w:p w14:paraId="01D58CB3">
            <w:pPr>
              <w:keepNext w:val="0"/>
              <w:keepLines w:val="0"/>
              <w:suppressLineNumbers w:val="0"/>
              <w:spacing w:before="0" w:beforeAutospacing="0" w:after="0" w:afterAutospacing="0"/>
              <w:ind w:left="0" w:right="0" w:firstLine="420"/>
              <w:rPr>
                <w:rFonts w:hint="eastAsia" w:eastAsia="宋体" w:cs="Times New Roman"/>
                <w:color w:val="auto"/>
                <w:sz w:val="24"/>
                <w:szCs w:val="24"/>
                <w:lang w:val="en-US" w:eastAsia="zh-CN"/>
              </w:rPr>
            </w:pPr>
            <w:r>
              <w:rPr>
                <w:rFonts w:hint="eastAsia" w:cs="Times New Roman"/>
                <w:color w:val="auto"/>
                <w:sz w:val="24"/>
                <w:szCs w:val="24"/>
              </w:rPr>
              <w:t>（2）《关于以改善环境质量为核心加强环境影响评价管理的通知》（环环评[2016]150号）中“三线一单”符合性分析</w:t>
            </w:r>
          </w:p>
          <w:p w14:paraId="5B12EE25">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default" w:cs="Times New Roman"/>
                <w:color w:val="auto"/>
                <w:sz w:val="24"/>
                <w:szCs w:val="24"/>
              </w:rPr>
              <w:t>根据《浙江省建设项目环境保护管理办法》（2021年修正）等相关要求，本次环境影响评价与“三线一单”（即生态保护红线、环境质量底线、资源利用上线和生态环境准入清单）进行对照分析，本项目符合性分析如下：</w:t>
            </w:r>
          </w:p>
          <w:p w14:paraId="7FEDE541">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rPr>
              <w:t>a、生态保护红线</w:t>
            </w:r>
          </w:p>
          <w:p w14:paraId="004213A1">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default" w:cs="Times New Roman"/>
                <w:color w:val="auto"/>
                <w:sz w:val="24"/>
                <w:szCs w:val="24"/>
              </w:rPr>
              <w:t>本项目位于</w:t>
            </w:r>
            <w:r>
              <w:rPr>
                <w:rFonts w:hint="default" w:cs="Times New Roman"/>
                <w:color w:val="auto"/>
                <w:sz w:val="24"/>
                <w:szCs w:val="24"/>
                <w:lang w:val="en-US" w:eastAsia="zh-CN"/>
              </w:rPr>
              <w:t>浙江省杭州市</w:t>
            </w:r>
            <w:r>
              <w:rPr>
                <w:rFonts w:hint="eastAsia" w:cs="Times New Roman"/>
                <w:color w:val="auto"/>
                <w:sz w:val="24"/>
                <w:szCs w:val="24"/>
                <w:lang w:val="en-US" w:eastAsia="zh-CN"/>
              </w:rPr>
              <w:t>余杭区五常街道绮颐弄10号1幢301室</w:t>
            </w:r>
            <w:r>
              <w:rPr>
                <w:rFonts w:hint="default" w:cs="Times New Roman"/>
                <w:color w:val="auto"/>
                <w:sz w:val="24"/>
                <w:szCs w:val="24"/>
              </w:rPr>
              <w:t>。</w:t>
            </w:r>
            <w:r>
              <w:rPr>
                <w:rFonts w:hint="eastAsia" w:cs="Times New Roman"/>
                <w:color w:val="auto"/>
                <w:sz w:val="24"/>
                <w:szCs w:val="24"/>
              </w:rPr>
              <w:t>根据余杭区“三区三线”图，本项目位于城镇开发边界内，不涉及永久基本农田和生态保护红线，满足生态保护红线要求。</w:t>
            </w:r>
          </w:p>
          <w:p w14:paraId="2F976F33">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rPr>
              <w:t>b、环境质量底线</w:t>
            </w:r>
          </w:p>
          <w:p w14:paraId="37B50574">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rPr>
              <w:t>①大气环境质量现状：根</w:t>
            </w:r>
            <w:r>
              <w:rPr>
                <w:rFonts w:hint="default" w:cs="Times New Roman"/>
                <w:color w:val="auto"/>
                <w:sz w:val="24"/>
                <w:szCs w:val="24"/>
              </w:rPr>
              <w:t>据</w:t>
            </w:r>
            <w:r>
              <w:rPr>
                <w:rFonts w:hint="eastAsia" w:cs="Times New Roman"/>
                <w:color w:val="auto"/>
                <w:sz w:val="24"/>
                <w:szCs w:val="24"/>
              </w:rPr>
              <w:t>《202</w:t>
            </w:r>
            <w:r>
              <w:rPr>
                <w:rFonts w:hint="eastAsia" w:cs="Times New Roman"/>
                <w:color w:val="auto"/>
                <w:sz w:val="24"/>
                <w:szCs w:val="24"/>
                <w:lang w:val="en-US" w:eastAsia="zh-CN"/>
              </w:rPr>
              <w:t>4</w:t>
            </w:r>
            <w:r>
              <w:rPr>
                <w:rFonts w:hint="eastAsia" w:cs="Times New Roman"/>
                <w:color w:val="auto"/>
                <w:sz w:val="24"/>
                <w:szCs w:val="24"/>
              </w:rPr>
              <w:t>年杭州市余杭区生态环境状况公报》，</w:t>
            </w:r>
            <w:r>
              <w:rPr>
                <w:rFonts w:hint="default" w:cs="Times New Roman"/>
                <w:color w:val="auto"/>
                <w:sz w:val="24"/>
                <w:szCs w:val="24"/>
              </w:rPr>
              <w:t>杭州市</w:t>
            </w:r>
            <w:r>
              <w:rPr>
                <w:rFonts w:hint="eastAsia" w:cs="Times New Roman"/>
                <w:color w:val="auto"/>
                <w:sz w:val="24"/>
                <w:szCs w:val="24"/>
              </w:rPr>
              <w:t>余杭区大气环境质量现状为</w:t>
            </w:r>
            <w:r>
              <w:rPr>
                <w:rFonts w:hint="eastAsia" w:cs="Times New Roman"/>
                <w:color w:val="auto"/>
                <w:sz w:val="24"/>
                <w:szCs w:val="24"/>
                <w:lang w:val="en-US" w:eastAsia="zh-CN"/>
              </w:rPr>
              <w:t>不</w:t>
            </w:r>
            <w:r>
              <w:rPr>
                <w:rFonts w:hint="eastAsia" w:cs="Times New Roman"/>
                <w:color w:val="auto"/>
                <w:sz w:val="24"/>
                <w:szCs w:val="24"/>
              </w:rPr>
              <w:t>达标区。</w:t>
            </w:r>
          </w:p>
          <w:p w14:paraId="102855BB">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default" w:cs="Times New Roman"/>
                <w:color w:val="auto"/>
                <w:sz w:val="24"/>
                <w:szCs w:val="24"/>
              </w:rPr>
              <w:t>本项目运营期产生的</w:t>
            </w:r>
            <w:r>
              <w:rPr>
                <w:rFonts w:hint="eastAsia" w:cs="Times New Roman"/>
                <w:color w:val="auto"/>
                <w:sz w:val="24"/>
                <w:szCs w:val="24"/>
                <w:lang w:val="en-US" w:eastAsia="zh-CN"/>
              </w:rPr>
              <w:t>实验</w:t>
            </w:r>
            <w:r>
              <w:rPr>
                <w:rFonts w:hint="default" w:cs="Times New Roman"/>
                <w:color w:val="auto"/>
                <w:sz w:val="24"/>
                <w:szCs w:val="24"/>
              </w:rPr>
              <w:t>废气</w:t>
            </w:r>
            <w:r>
              <w:rPr>
                <w:rFonts w:hint="eastAsia" w:cs="Times New Roman"/>
                <w:color w:val="auto"/>
                <w:sz w:val="24"/>
                <w:szCs w:val="24"/>
                <w:lang w:val="en-US" w:eastAsia="zh-CN"/>
              </w:rPr>
              <w:t>由集气罩收集，经过活性炭吸附装置处理后通过1根不低于15m高的排气筒</w:t>
            </w:r>
            <w:r>
              <w:rPr>
                <w:rFonts w:hint="default" w:cs="Times New Roman"/>
                <w:color w:val="auto"/>
                <w:sz w:val="24"/>
                <w:szCs w:val="24"/>
              </w:rPr>
              <w:t>能够达标排放，不会对环境空气质量底线造成冲击。</w:t>
            </w:r>
          </w:p>
          <w:p w14:paraId="62928F46">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default" w:cs="Times New Roman"/>
                <w:color w:val="auto"/>
                <w:sz w:val="24"/>
                <w:szCs w:val="24"/>
              </w:rPr>
              <w:t>②</w:t>
            </w:r>
            <w:r>
              <w:rPr>
                <w:rFonts w:hint="eastAsia" w:cs="Times New Roman"/>
                <w:color w:val="auto"/>
                <w:sz w:val="24"/>
                <w:szCs w:val="24"/>
              </w:rPr>
              <w:t>声环境质量现状：本项目运营期噪声设备安置在厂房内，同时通过采取安装减振装置等措施，能够确保厂界噪声达标排放，能够维持项目所在区域声环境质量。</w:t>
            </w:r>
          </w:p>
          <w:p w14:paraId="1B532590">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default" w:cs="Times New Roman"/>
                <w:color w:val="auto"/>
                <w:sz w:val="24"/>
                <w:szCs w:val="24"/>
              </w:rPr>
              <w:t>③</w:t>
            </w:r>
            <w:r>
              <w:rPr>
                <w:rFonts w:hint="eastAsia" w:cs="Times New Roman"/>
                <w:color w:val="auto"/>
                <w:sz w:val="24"/>
                <w:szCs w:val="24"/>
              </w:rPr>
              <w:t>水环境质量现状：本项目附近水体各类监测指标均能达到《地表</w:t>
            </w:r>
            <w:r>
              <w:rPr>
                <w:rFonts w:hint="default" w:cs="Times New Roman"/>
                <w:color w:val="auto"/>
                <w:sz w:val="24"/>
                <w:szCs w:val="24"/>
              </w:rPr>
              <w:t>水环境质量标准》(GB3838-2002)中</w:t>
            </w:r>
            <w:r>
              <w:rPr>
                <w:rFonts w:hint="eastAsia" w:cs="Times New Roman"/>
                <w:color w:val="auto"/>
                <w:sz w:val="24"/>
                <w:szCs w:val="24"/>
              </w:rPr>
              <w:t>相应</w:t>
            </w:r>
            <w:r>
              <w:rPr>
                <w:rFonts w:hint="default" w:cs="Times New Roman"/>
                <w:color w:val="auto"/>
                <w:sz w:val="24"/>
                <w:szCs w:val="24"/>
              </w:rPr>
              <w:t>标</w:t>
            </w:r>
            <w:r>
              <w:rPr>
                <w:rFonts w:hint="eastAsia" w:cs="Times New Roman"/>
                <w:color w:val="auto"/>
                <w:sz w:val="24"/>
                <w:szCs w:val="24"/>
              </w:rPr>
              <w:t>准</w:t>
            </w:r>
            <w:r>
              <w:rPr>
                <w:rFonts w:hint="eastAsia" w:cs="Times New Roman"/>
                <w:color w:val="auto"/>
                <w:sz w:val="24"/>
                <w:szCs w:val="24"/>
                <w:lang w:val="en-US" w:eastAsia="zh-CN"/>
              </w:rPr>
              <w:t>限值</w:t>
            </w:r>
            <w:r>
              <w:rPr>
                <w:rFonts w:hint="eastAsia" w:cs="Times New Roman"/>
                <w:color w:val="auto"/>
                <w:sz w:val="24"/>
                <w:szCs w:val="24"/>
              </w:rPr>
              <w:t>要求。</w:t>
            </w:r>
          </w:p>
          <w:p w14:paraId="424BD76A">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default" w:cs="Times New Roman"/>
                <w:color w:val="auto"/>
                <w:sz w:val="24"/>
                <w:szCs w:val="24"/>
              </w:rPr>
              <w:t>本项目运营期污水</w:t>
            </w:r>
            <w:r>
              <w:rPr>
                <w:rFonts w:hint="eastAsia" w:cs="Times New Roman"/>
                <w:color w:val="auto"/>
                <w:sz w:val="24"/>
                <w:szCs w:val="24"/>
              </w:rPr>
              <w:t>依托</w:t>
            </w:r>
            <w:r>
              <w:rPr>
                <w:rFonts w:hint="eastAsia" w:cs="Times New Roman"/>
                <w:color w:val="auto"/>
                <w:sz w:val="24"/>
                <w:szCs w:val="24"/>
                <w:lang w:val="en-US" w:eastAsia="zh-CN"/>
              </w:rPr>
              <w:t>余杭</w:t>
            </w:r>
            <w:r>
              <w:rPr>
                <w:rFonts w:hint="eastAsia" w:cs="Times New Roman"/>
                <w:color w:val="auto"/>
                <w:sz w:val="24"/>
                <w:szCs w:val="24"/>
              </w:rPr>
              <w:t>污水处理厂处理，</w:t>
            </w:r>
            <w:r>
              <w:rPr>
                <w:rFonts w:hint="default" w:cs="Times New Roman"/>
                <w:color w:val="auto"/>
                <w:sz w:val="24"/>
                <w:szCs w:val="24"/>
              </w:rPr>
              <w:t>不会对地表水质量底线造成冲击。</w:t>
            </w:r>
          </w:p>
          <w:p w14:paraId="1154D2DB">
            <w:pPr>
              <w:keepNext w:val="0"/>
              <w:keepLines w:val="0"/>
              <w:suppressLineNumbers w:val="0"/>
              <w:spacing w:before="0" w:beforeAutospacing="0" w:after="0" w:afterAutospacing="0"/>
              <w:ind w:left="0" w:right="0" w:firstLine="420"/>
              <w:rPr>
                <w:rFonts w:hint="default" w:eastAsia="宋体" w:cs="Times New Roman"/>
                <w:color w:val="auto"/>
                <w:sz w:val="24"/>
                <w:szCs w:val="24"/>
                <w:lang w:val="en-US" w:eastAsia="zh-CN"/>
              </w:rPr>
            </w:pPr>
            <w:r>
              <w:rPr>
                <w:rFonts w:hint="default" w:cs="Times New Roman"/>
                <w:color w:val="auto"/>
                <w:sz w:val="24"/>
                <w:szCs w:val="24"/>
              </w:rPr>
              <w:t>综上，本项目实施后废气、废水、噪声经治理后均能达标排放，各类固废有效处置。根据环境影响分析，在采取本环评提出的相关防治措施后，各类污染物可达标排放，环境质量不会产生超标现象，本项目的实施不会对区域环境质量底线造成冲击。</w:t>
            </w:r>
          </w:p>
          <w:p w14:paraId="15E3B38F">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rPr>
              <w:t>c、资源利用上线</w:t>
            </w:r>
          </w:p>
          <w:p w14:paraId="6BC59692">
            <w:pPr>
              <w:keepNext w:val="0"/>
              <w:keepLines w:val="0"/>
              <w:suppressLineNumbers w:val="0"/>
              <w:spacing w:before="0" w:beforeAutospacing="0" w:after="0" w:afterAutospacing="0"/>
              <w:ind w:left="0" w:right="0" w:firstLine="420"/>
              <w:rPr>
                <w:rFonts w:hint="default" w:eastAsia="宋体" w:cs="Times New Roman"/>
                <w:color w:val="auto"/>
                <w:sz w:val="24"/>
                <w:szCs w:val="24"/>
                <w:lang w:val="en-US" w:eastAsia="zh-CN"/>
              </w:rPr>
            </w:pPr>
            <w:r>
              <w:rPr>
                <w:rFonts w:hint="default" w:cs="Times New Roman"/>
                <w:color w:val="auto"/>
                <w:sz w:val="24"/>
                <w:szCs w:val="24"/>
              </w:rPr>
              <w:t>本项目用水来自</w:t>
            </w:r>
            <w:r>
              <w:rPr>
                <w:rFonts w:hint="eastAsia" w:cs="Times New Roman"/>
                <w:color w:val="auto"/>
                <w:sz w:val="24"/>
                <w:szCs w:val="24"/>
              </w:rPr>
              <w:t>市政</w:t>
            </w:r>
            <w:r>
              <w:rPr>
                <w:rFonts w:hint="default" w:cs="Times New Roman"/>
                <w:color w:val="auto"/>
                <w:sz w:val="24"/>
                <w:szCs w:val="24"/>
              </w:rPr>
              <w:t>供水管网。本项目建成运行后通过内部管理、设备选择、原辅材料的选用和管理、废物回收利用、污染治理等多方面采取合理可行的防治措施，以“节能、降耗、减污”为目标，有效地控制污染。项目的水、气等资源利用不会突破区域的资源利用上线</w:t>
            </w:r>
            <w:r>
              <w:rPr>
                <w:rFonts w:hint="eastAsia" w:cs="Times New Roman"/>
                <w:color w:val="auto"/>
                <w:sz w:val="24"/>
                <w:szCs w:val="24"/>
              </w:rPr>
              <w:t>。</w:t>
            </w:r>
          </w:p>
          <w:p w14:paraId="606FA4FA">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rPr>
              <w:t>d、环境准入负面清单</w:t>
            </w:r>
          </w:p>
          <w:p w14:paraId="41F40EB6">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default" w:cs="Times New Roman"/>
                <w:color w:val="auto"/>
                <w:sz w:val="24"/>
                <w:szCs w:val="24"/>
              </w:rPr>
              <w:t>根据《产业结构调整指导目录（2024年本）</w:t>
            </w:r>
            <w:r>
              <w:rPr>
                <w:rFonts w:hint="eastAsia" w:cs="Times New Roman"/>
                <w:color w:val="auto"/>
                <w:sz w:val="24"/>
                <w:szCs w:val="24"/>
                <w:lang w:eastAsia="zh-CN"/>
              </w:rPr>
              <w:t>》</w:t>
            </w:r>
            <w:r>
              <w:rPr>
                <w:rFonts w:hint="default" w:cs="Times New Roman"/>
                <w:color w:val="auto"/>
                <w:sz w:val="24"/>
                <w:szCs w:val="24"/>
              </w:rPr>
              <w:t>《杭州市生态环境分区管控动态更新方案》，本项目不属于负面清单内的项目。</w:t>
            </w:r>
          </w:p>
          <w:p w14:paraId="6ECED3DB">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default" w:cs="Times New Roman"/>
                <w:color w:val="auto"/>
                <w:sz w:val="24"/>
                <w:szCs w:val="24"/>
              </w:rPr>
              <w:t>综上，本项目符合“三线一单”控制要求。</w:t>
            </w:r>
          </w:p>
          <w:p w14:paraId="050171A2">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rPr>
              <w:t>（3）三区三线符合性分析</w:t>
            </w:r>
          </w:p>
          <w:p w14:paraId="397F2803">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rPr>
              <w:t>根据《关于启用"三区三线"划定成果的通知》及杭州市“三区三线”划定成果；</w:t>
            </w:r>
            <w:r>
              <w:rPr>
                <w:rFonts w:hint="default" w:cs="Times New Roman"/>
                <w:color w:val="auto"/>
                <w:sz w:val="24"/>
                <w:szCs w:val="24"/>
              </w:rPr>
              <w:t>本项目位于杭州市</w:t>
            </w:r>
            <w:r>
              <w:rPr>
                <w:rFonts w:hint="eastAsia" w:cs="Times New Roman"/>
                <w:color w:val="auto"/>
                <w:sz w:val="24"/>
                <w:szCs w:val="24"/>
                <w:lang w:val="en-US" w:eastAsia="zh-CN"/>
              </w:rPr>
              <w:t>余杭区五常街道绮颐弄10号1幢301室</w:t>
            </w:r>
            <w:r>
              <w:rPr>
                <w:rFonts w:hint="default" w:cs="Times New Roman"/>
                <w:color w:val="auto"/>
                <w:sz w:val="24"/>
                <w:szCs w:val="24"/>
              </w:rPr>
              <w:t>，用地性质为工业用地。项目在生态空间划定的生态保护红线范围外，且周边无自然生态红线区，不触及生态保护红线</w:t>
            </w:r>
            <w:r>
              <w:rPr>
                <w:rFonts w:hint="eastAsia" w:cs="Times New Roman"/>
                <w:color w:val="auto"/>
                <w:sz w:val="24"/>
                <w:szCs w:val="24"/>
              </w:rPr>
              <w:t>。</w:t>
            </w:r>
          </w:p>
          <w:p w14:paraId="0A6D120D">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rPr>
              <w:t>二、排放污染物应当符合国家、省规定的污染物排放标准和重点污染物排放总量控制要求</w:t>
            </w:r>
          </w:p>
          <w:p w14:paraId="6A265925">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default" w:cs="Times New Roman"/>
                <w:color w:val="auto"/>
                <w:sz w:val="24"/>
                <w:szCs w:val="24"/>
              </w:rPr>
              <w:t>根据环境影响分析，预计项目实施后，废气经处理后可实现达标排放，</w:t>
            </w:r>
            <w:r>
              <w:rPr>
                <w:rFonts w:hint="eastAsia" w:cs="Times New Roman"/>
                <w:color w:val="auto"/>
                <w:sz w:val="24"/>
                <w:szCs w:val="24"/>
              </w:rPr>
              <w:t>生活污水</w:t>
            </w:r>
            <w:r>
              <w:rPr>
                <w:rFonts w:hint="eastAsia" w:cs="Times New Roman"/>
                <w:color w:val="auto"/>
                <w:sz w:val="24"/>
                <w:szCs w:val="24"/>
                <w:lang w:eastAsia="zh-CN"/>
              </w:rPr>
              <w:t>、</w:t>
            </w:r>
            <w:r>
              <w:rPr>
                <w:rFonts w:hint="eastAsia" w:cs="Times New Roman"/>
                <w:color w:val="auto"/>
                <w:sz w:val="24"/>
                <w:szCs w:val="24"/>
                <w:lang w:val="en-US" w:eastAsia="zh-CN"/>
              </w:rPr>
              <w:t>实验废水</w:t>
            </w:r>
            <w:r>
              <w:rPr>
                <w:rFonts w:hint="eastAsia" w:cs="Times New Roman"/>
                <w:color w:val="auto"/>
                <w:sz w:val="24"/>
                <w:szCs w:val="24"/>
              </w:rPr>
              <w:t>经预处理进入市政污水管网，排入</w:t>
            </w:r>
            <w:r>
              <w:rPr>
                <w:rFonts w:hint="eastAsia" w:cs="Times New Roman"/>
                <w:color w:val="auto"/>
                <w:sz w:val="24"/>
                <w:szCs w:val="24"/>
                <w:lang w:val="en-US" w:eastAsia="zh-CN"/>
              </w:rPr>
              <w:t>余杭</w:t>
            </w:r>
            <w:r>
              <w:rPr>
                <w:rFonts w:hint="eastAsia" w:cs="Times New Roman"/>
                <w:color w:val="auto"/>
                <w:sz w:val="24"/>
                <w:szCs w:val="24"/>
              </w:rPr>
              <w:t>污水处理厂处理；</w:t>
            </w:r>
            <w:r>
              <w:rPr>
                <w:rFonts w:hint="default" w:cs="Times New Roman"/>
                <w:color w:val="auto"/>
                <w:sz w:val="24"/>
                <w:szCs w:val="24"/>
              </w:rPr>
              <w:t>噪声可达标排放，各类固废均能得到合理化处置。项目排放污染物符合国家、省规定的污染物排放标准。</w:t>
            </w:r>
          </w:p>
          <w:p w14:paraId="518FC3F8">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default" w:cs="Times New Roman"/>
                <w:color w:val="auto"/>
                <w:sz w:val="24"/>
                <w:szCs w:val="24"/>
              </w:rPr>
              <w:t>本项目污染物排放总量新增指标可通过区域削减等途径解决。因此，本建设项目排放污染物符合国家、省规定的主要污染物排放总量控制要求</w:t>
            </w:r>
            <w:r>
              <w:rPr>
                <w:rFonts w:hint="eastAsia" w:cs="Times New Roman"/>
                <w:color w:val="auto"/>
                <w:sz w:val="24"/>
                <w:szCs w:val="24"/>
              </w:rPr>
              <w:t>。</w:t>
            </w:r>
          </w:p>
          <w:p w14:paraId="7988FCCF">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rPr>
              <w:t>三、国土空间规划、国家和省产业政策符合性分析</w:t>
            </w:r>
          </w:p>
          <w:p w14:paraId="74A58F81">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rPr>
              <w:t>①土地利用规划符合性</w:t>
            </w:r>
          </w:p>
          <w:p w14:paraId="78C205AC">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default" w:cs="Times New Roman"/>
                <w:color w:val="auto"/>
                <w:sz w:val="24"/>
                <w:szCs w:val="24"/>
              </w:rPr>
              <w:t>本项目位于杭州市</w:t>
            </w:r>
            <w:r>
              <w:rPr>
                <w:rFonts w:hint="eastAsia" w:cs="Times New Roman"/>
                <w:color w:val="auto"/>
                <w:sz w:val="24"/>
                <w:szCs w:val="24"/>
                <w:lang w:val="en-US" w:eastAsia="zh-CN"/>
              </w:rPr>
              <w:t>余杭区五常街道绮颐弄10号1幢301室</w:t>
            </w:r>
            <w:r>
              <w:rPr>
                <w:rFonts w:hint="default" w:cs="Times New Roman"/>
                <w:color w:val="auto"/>
                <w:sz w:val="24"/>
                <w:szCs w:val="24"/>
              </w:rPr>
              <w:t>。根据</w:t>
            </w:r>
            <w:r>
              <w:rPr>
                <w:rFonts w:hint="eastAsia" w:cs="Times New Roman"/>
                <w:color w:val="auto"/>
                <w:sz w:val="24"/>
                <w:szCs w:val="24"/>
              </w:rPr>
              <w:t>杭州市余杭区</w:t>
            </w:r>
            <w:r>
              <w:rPr>
                <w:rFonts w:hint="default" w:cs="Times New Roman"/>
                <w:color w:val="auto"/>
                <w:sz w:val="24"/>
                <w:szCs w:val="24"/>
              </w:rPr>
              <w:t>土地利用规划图</w:t>
            </w:r>
            <w:r>
              <w:rPr>
                <w:rFonts w:hint="eastAsia" w:cs="Times New Roman"/>
                <w:color w:val="auto"/>
                <w:sz w:val="24"/>
                <w:szCs w:val="24"/>
                <w:lang w:eastAsia="zh-CN"/>
              </w:rPr>
              <w:t>，</w:t>
            </w:r>
            <w:r>
              <w:rPr>
                <w:rFonts w:hint="eastAsia" w:cs="Times New Roman"/>
                <w:color w:val="auto"/>
                <w:sz w:val="24"/>
                <w:szCs w:val="24"/>
                <w:lang w:val="en-US" w:eastAsia="zh-CN"/>
              </w:rPr>
              <w:t>项目用地规划为工业用地；根据本项目</w:t>
            </w:r>
            <w:r>
              <w:rPr>
                <w:rFonts w:hint="default" w:cs="Times New Roman"/>
                <w:color w:val="auto"/>
                <w:sz w:val="24"/>
                <w:szCs w:val="24"/>
              </w:rPr>
              <w:t>不动产权证，项目用地性质为工业用地，符合</w:t>
            </w:r>
            <w:r>
              <w:rPr>
                <w:rFonts w:hint="eastAsia" w:cs="Times New Roman"/>
                <w:color w:val="auto"/>
                <w:sz w:val="24"/>
                <w:szCs w:val="24"/>
              </w:rPr>
              <w:t>用地</w:t>
            </w:r>
            <w:r>
              <w:rPr>
                <w:rFonts w:hint="default" w:cs="Times New Roman"/>
                <w:color w:val="auto"/>
                <w:sz w:val="24"/>
                <w:szCs w:val="24"/>
              </w:rPr>
              <w:t>规划要求</w:t>
            </w:r>
            <w:r>
              <w:rPr>
                <w:rFonts w:hint="eastAsia" w:cs="Times New Roman"/>
                <w:color w:val="auto"/>
                <w:sz w:val="24"/>
                <w:szCs w:val="24"/>
              </w:rPr>
              <w:t>。</w:t>
            </w:r>
          </w:p>
          <w:p w14:paraId="2DFDE3B5">
            <w:pPr>
              <w:keepNext w:val="0"/>
              <w:keepLines w:val="0"/>
              <w:suppressLineNumbers w:val="0"/>
              <w:spacing w:before="0" w:beforeAutospacing="0" w:after="0" w:afterAutospacing="0"/>
              <w:ind w:left="0" w:right="0" w:firstLine="420"/>
              <w:rPr>
                <w:rFonts w:hint="default" w:cs="Times New Roman"/>
                <w:color w:val="auto"/>
                <w:sz w:val="24"/>
                <w:szCs w:val="24"/>
                <w:highlight w:val="none"/>
              </w:rPr>
            </w:pPr>
            <w:r>
              <w:rPr>
                <w:rFonts w:hint="default" w:cs="Times New Roman"/>
                <w:color w:val="auto"/>
                <w:sz w:val="24"/>
                <w:szCs w:val="24"/>
              </w:rPr>
              <w:t>②</w:t>
            </w:r>
            <w:r>
              <w:rPr>
                <w:rFonts w:hint="eastAsia" w:cs="Times New Roman"/>
                <w:color w:val="auto"/>
                <w:sz w:val="24"/>
                <w:szCs w:val="24"/>
              </w:rPr>
              <w:t>产业</w:t>
            </w:r>
            <w:r>
              <w:rPr>
                <w:rFonts w:hint="eastAsia" w:cs="Times New Roman"/>
                <w:color w:val="auto"/>
                <w:sz w:val="24"/>
                <w:szCs w:val="24"/>
                <w:highlight w:val="none"/>
              </w:rPr>
              <w:t>政策符合性分析</w:t>
            </w:r>
          </w:p>
          <w:p w14:paraId="197F04EA">
            <w:pPr>
              <w:keepNext w:val="0"/>
              <w:keepLines w:val="0"/>
              <w:suppressLineNumbers w:val="0"/>
              <w:spacing w:before="0" w:beforeAutospacing="0" w:after="0" w:afterAutospacing="0"/>
              <w:ind w:left="0" w:right="0" w:firstLine="420"/>
              <w:rPr>
                <w:rFonts w:hint="default" w:cs="Times New Roman"/>
                <w:color w:val="auto"/>
                <w:sz w:val="24"/>
                <w:szCs w:val="24"/>
                <w:highlight w:val="none"/>
              </w:rPr>
            </w:pPr>
            <w:r>
              <w:rPr>
                <w:rFonts w:hint="eastAsia" w:cs="Times New Roman"/>
                <w:color w:val="auto"/>
                <w:sz w:val="24"/>
                <w:szCs w:val="24"/>
                <w:highlight w:val="none"/>
              </w:rPr>
              <w:t>根据《产业结构调整指导目录（2024年本）》，本项目属于</w:t>
            </w:r>
            <w:r>
              <w:rPr>
                <w:rFonts w:hint="eastAsia" w:cs="Times New Roman"/>
                <w:color w:val="auto"/>
                <w:sz w:val="24"/>
                <w:szCs w:val="24"/>
                <w:highlight w:val="none"/>
                <w:lang w:val="en-US" w:eastAsia="zh-CN"/>
              </w:rPr>
              <w:t>鼓励类项目</w:t>
            </w:r>
            <w:r>
              <w:rPr>
                <w:rFonts w:hint="eastAsia" w:cs="Times New Roman"/>
                <w:color w:val="auto"/>
                <w:sz w:val="24"/>
                <w:szCs w:val="24"/>
                <w:highlight w:val="none"/>
                <w:lang w:eastAsia="zh-CN"/>
              </w:rPr>
              <w:t>；不属于《市场准入负面清单（202</w:t>
            </w:r>
            <w:r>
              <w:rPr>
                <w:rFonts w:hint="eastAsia" w:cs="Times New Roman"/>
                <w:color w:val="auto"/>
                <w:sz w:val="24"/>
                <w:szCs w:val="24"/>
                <w:highlight w:val="none"/>
                <w:lang w:val="en-US" w:eastAsia="zh-CN"/>
              </w:rPr>
              <w:t>5</w:t>
            </w:r>
            <w:r>
              <w:rPr>
                <w:rFonts w:hint="eastAsia" w:cs="Times New Roman"/>
                <w:color w:val="auto"/>
                <w:sz w:val="24"/>
                <w:szCs w:val="24"/>
                <w:highlight w:val="none"/>
                <w:lang w:eastAsia="zh-CN"/>
              </w:rPr>
              <w:t>年版）》中禁止建设的项目；不属于《长江经济带发展负面清单指南（试行，2022年版）浙江省实施细则》(浙长江办[2022]6号)中禁止建设的项目；</w:t>
            </w:r>
            <w:r>
              <w:rPr>
                <w:rFonts w:hint="eastAsia" w:cs="Times New Roman"/>
                <w:color w:val="auto"/>
                <w:sz w:val="24"/>
                <w:szCs w:val="24"/>
                <w:highlight w:val="none"/>
              </w:rPr>
              <w:t>对照《杭州市产业发展导向目录（2024年本）》，本项目属于</w:t>
            </w:r>
            <w:r>
              <w:rPr>
                <w:rFonts w:hint="eastAsia" w:cs="Times New Roman"/>
                <w:color w:val="auto"/>
                <w:sz w:val="24"/>
                <w:szCs w:val="24"/>
                <w:highlight w:val="none"/>
                <w:lang w:val="en-US" w:eastAsia="zh-CN"/>
              </w:rPr>
              <w:t>鼓励类项目</w:t>
            </w:r>
            <w:r>
              <w:rPr>
                <w:rFonts w:hint="eastAsia" w:cs="Times New Roman"/>
                <w:color w:val="auto"/>
                <w:sz w:val="24"/>
                <w:szCs w:val="24"/>
                <w:highlight w:val="none"/>
              </w:rPr>
              <w:t>。因此，本项目建设符合国家及地方的相关产业政策要求。</w:t>
            </w:r>
          </w:p>
          <w:p w14:paraId="0DDD1989">
            <w:pPr>
              <w:keepNext w:val="0"/>
              <w:keepLines w:val="0"/>
              <w:suppressLineNumbers w:val="0"/>
              <w:spacing w:before="0" w:beforeAutospacing="0" w:after="0" w:afterAutospacing="0"/>
              <w:ind w:left="0" w:right="0" w:firstLine="420" w:firstLineChars="0"/>
              <w:rPr>
                <w:rFonts w:hint="default" w:cs="Times New Roman"/>
                <w:b/>
                <w:bCs/>
                <w:color w:val="auto"/>
                <w:kern w:val="0"/>
                <w:sz w:val="24"/>
                <w:szCs w:val="24"/>
              </w:rPr>
            </w:pPr>
            <w:r>
              <w:rPr>
                <w:rFonts w:hint="default" w:cs="Times New Roman"/>
                <w:b/>
                <w:bCs/>
                <w:color w:val="auto"/>
                <w:kern w:val="0"/>
                <w:sz w:val="24"/>
                <w:szCs w:val="24"/>
              </w:rPr>
              <w:t>2、与其他政策符合性分析</w:t>
            </w:r>
          </w:p>
          <w:p w14:paraId="6EE051B2">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rPr>
              <w:t>一、“四性五不准”符合性分析</w:t>
            </w:r>
          </w:p>
          <w:p w14:paraId="3C05269F">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default" w:cs="Times New Roman"/>
                <w:color w:val="auto"/>
                <w:sz w:val="24"/>
                <w:szCs w:val="24"/>
              </w:rPr>
              <w:t>根据</w:t>
            </w:r>
            <w:r>
              <w:rPr>
                <w:rFonts w:hint="eastAsia" w:cs="Times New Roman"/>
                <w:color w:val="auto"/>
                <w:sz w:val="24"/>
                <w:szCs w:val="24"/>
              </w:rPr>
              <w:t>《</w:t>
            </w:r>
            <w:r>
              <w:rPr>
                <w:rFonts w:hint="default" w:cs="Times New Roman"/>
                <w:color w:val="auto"/>
                <w:sz w:val="24"/>
                <w:szCs w:val="24"/>
              </w:rPr>
              <w:t>建设项目环境保护管理条例</w:t>
            </w:r>
            <w:r>
              <w:rPr>
                <w:rFonts w:hint="eastAsia" w:cs="Times New Roman"/>
                <w:color w:val="auto"/>
                <w:sz w:val="24"/>
                <w:szCs w:val="24"/>
              </w:rPr>
              <w:t>》</w:t>
            </w:r>
            <w:r>
              <w:rPr>
                <w:rFonts w:hint="default" w:cs="Times New Roman"/>
                <w:color w:val="auto"/>
                <w:sz w:val="24"/>
                <w:szCs w:val="24"/>
              </w:rPr>
              <w:t>（2017年07月16日修正版），本项目“四性五不准”符合性分析如下：</w:t>
            </w:r>
          </w:p>
          <w:p w14:paraId="68060244">
            <w:pPr>
              <w:keepNext w:val="0"/>
              <w:keepLines w:val="0"/>
              <w:suppressLineNumbers w:val="0"/>
              <w:spacing w:before="0" w:beforeAutospacing="0" w:after="0" w:afterAutospacing="0"/>
              <w:ind w:left="0" w:right="0" w:firstLine="0" w:firstLineChars="0"/>
              <w:jc w:val="center"/>
              <w:rPr>
                <w:rFonts w:hint="default" w:cs="Times New Roman"/>
                <w:color w:val="auto"/>
                <w:kern w:val="0"/>
                <w:sz w:val="24"/>
                <w:szCs w:val="24"/>
              </w:rPr>
            </w:pPr>
            <w:r>
              <w:rPr>
                <w:rFonts w:hint="default" w:eastAsia="黑体" w:cs="Times New Roman"/>
                <w:color w:val="auto"/>
                <w:sz w:val="24"/>
                <w:szCs w:val="24"/>
              </w:rPr>
              <w:t>表1-</w:t>
            </w:r>
            <w:r>
              <w:rPr>
                <w:rFonts w:hint="eastAsia" w:eastAsia="黑体" w:cs="Times New Roman"/>
                <w:color w:val="auto"/>
                <w:sz w:val="24"/>
                <w:szCs w:val="24"/>
                <w:lang w:val="en-US" w:eastAsia="zh-CN"/>
              </w:rPr>
              <w:t>3</w:t>
            </w:r>
            <w:r>
              <w:rPr>
                <w:rFonts w:hint="default" w:eastAsia="黑体" w:cs="Times New Roman"/>
                <w:color w:val="auto"/>
                <w:sz w:val="24"/>
                <w:szCs w:val="24"/>
              </w:rPr>
              <w:t xml:space="preserve">  “四性五不准”符合性分析</w:t>
            </w:r>
          </w:p>
          <w:tbl>
            <w:tblPr>
              <w:tblStyle w:val="1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3"/>
              <w:gridCol w:w="2525"/>
              <w:gridCol w:w="3457"/>
              <w:gridCol w:w="1051"/>
            </w:tblGrid>
            <w:tr w14:paraId="6BB40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52" w:type="pct"/>
                  <w:gridSpan w:val="2"/>
                  <w:vAlign w:val="center"/>
                </w:tcPr>
                <w:p w14:paraId="13982E32">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内容</w:t>
                  </w:r>
                </w:p>
              </w:tc>
              <w:tc>
                <w:tcPr>
                  <w:tcW w:w="2260" w:type="pct"/>
                  <w:vAlign w:val="center"/>
                </w:tcPr>
                <w:p w14:paraId="60B46039">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本项目情况</w:t>
                  </w:r>
                </w:p>
              </w:tc>
              <w:tc>
                <w:tcPr>
                  <w:tcW w:w="687" w:type="pct"/>
                  <w:vAlign w:val="center"/>
                </w:tcPr>
                <w:p w14:paraId="0337483D">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是否</w:t>
                  </w:r>
                  <w:r>
                    <w:rPr>
                      <w:rFonts w:hint="default" w:cs="Times New Roman"/>
                      <w:bCs/>
                      <w:color w:val="auto"/>
                      <w:kern w:val="0"/>
                      <w:sz w:val="21"/>
                      <w:szCs w:val="21"/>
                    </w:rPr>
                    <w:t>符合</w:t>
                  </w:r>
                </w:p>
              </w:tc>
            </w:tr>
            <w:tr w14:paraId="17B65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1" w:type="pct"/>
                  <w:vMerge w:val="restart"/>
                  <w:vAlign w:val="center"/>
                </w:tcPr>
                <w:p w14:paraId="2A9EF15C">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四性</w:t>
                  </w:r>
                </w:p>
              </w:tc>
              <w:tc>
                <w:tcPr>
                  <w:tcW w:w="1650" w:type="pct"/>
                  <w:vAlign w:val="center"/>
                </w:tcPr>
                <w:p w14:paraId="541ACE8F">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建设项目的环境可行性</w:t>
                  </w:r>
                </w:p>
              </w:tc>
              <w:tc>
                <w:tcPr>
                  <w:tcW w:w="2260" w:type="pct"/>
                  <w:vAlign w:val="center"/>
                </w:tcPr>
                <w:p w14:paraId="210BD5FF">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本项目符合产业政策、达标排放、选址规划、《杭州市生态环境分区管控动态更新方案》、总量控制原则及环境质量要求等，从环保角度看，本项目在所选场地上实施是可行的。</w:t>
                  </w:r>
                </w:p>
              </w:tc>
              <w:tc>
                <w:tcPr>
                  <w:tcW w:w="687" w:type="pct"/>
                  <w:vAlign w:val="center"/>
                </w:tcPr>
                <w:p w14:paraId="69A54333">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58F18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1" w:type="pct"/>
                  <w:vMerge w:val="continue"/>
                  <w:vAlign w:val="center"/>
                </w:tcPr>
                <w:p w14:paraId="0D2BD1D9">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p>
              </w:tc>
              <w:tc>
                <w:tcPr>
                  <w:tcW w:w="1650" w:type="pct"/>
                  <w:vAlign w:val="center"/>
                </w:tcPr>
                <w:p w14:paraId="6F8CBD2F">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环境影响分析预测评估的可靠性</w:t>
                  </w:r>
                </w:p>
              </w:tc>
              <w:tc>
                <w:tcPr>
                  <w:tcW w:w="2260" w:type="pct"/>
                  <w:vAlign w:val="center"/>
                </w:tcPr>
                <w:p w14:paraId="03EC57B7">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本评价类比同类型企业并根据本项目设计产能、原辅材料消耗量等进行废水、废气环境影响分析预测，参考《环境影响评价技术导则 声环境》（HJT2.4-2021）要求，对噪声影响进行了预测分析，其环境影响分析预测评估具有可靠性。</w:t>
                  </w:r>
                </w:p>
              </w:tc>
              <w:tc>
                <w:tcPr>
                  <w:tcW w:w="687" w:type="pct"/>
                  <w:vAlign w:val="center"/>
                </w:tcPr>
                <w:p w14:paraId="1BA8B758">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11A07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1" w:type="pct"/>
                  <w:vMerge w:val="continue"/>
                  <w:vAlign w:val="center"/>
                </w:tcPr>
                <w:p w14:paraId="406FBD71">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p>
              </w:tc>
              <w:tc>
                <w:tcPr>
                  <w:tcW w:w="1650" w:type="pct"/>
                  <w:vAlign w:val="center"/>
                </w:tcPr>
                <w:p w14:paraId="723C98C0">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环境保护措施的有效性</w:t>
                  </w:r>
                </w:p>
              </w:tc>
              <w:tc>
                <w:tcPr>
                  <w:tcW w:w="2260" w:type="pct"/>
                  <w:vAlign w:val="center"/>
                </w:tcPr>
                <w:p w14:paraId="639BFFE8">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本项目只要切实落实本环评报告提出的各项污染防治措施，各类污染物均可得到有效控制并能做到达标排放，因此其环境保护措施</w:t>
                  </w:r>
                  <w:r>
                    <w:rPr>
                      <w:rFonts w:hint="eastAsia" w:cs="Times New Roman"/>
                      <w:bCs/>
                      <w:color w:val="auto"/>
                      <w:kern w:val="0"/>
                      <w:sz w:val="21"/>
                      <w:szCs w:val="21"/>
                      <w:lang w:val="en-US" w:eastAsia="zh-CN"/>
                    </w:rPr>
                    <w:t>是</w:t>
                  </w:r>
                  <w:r>
                    <w:rPr>
                      <w:rFonts w:hint="eastAsia" w:cs="Times New Roman"/>
                      <w:bCs/>
                      <w:color w:val="auto"/>
                      <w:kern w:val="0"/>
                      <w:sz w:val="21"/>
                      <w:szCs w:val="21"/>
                    </w:rPr>
                    <w:t>可靠合理的。</w:t>
                  </w:r>
                </w:p>
              </w:tc>
              <w:tc>
                <w:tcPr>
                  <w:tcW w:w="687" w:type="pct"/>
                  <w:vAlign w:val="center"/>
                </w:tcPr>
                <w:p w14:paraId="621359D4">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0CC5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1" w:type="pct"/>
                  <w:vMerge w:val="continue"/>
                  <w:vAlign w:val="center"/>
                </w:tcPr>
                <w:p w14:paraId="061F7E62">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p>
              </w:tc>
              <w:tc>
                <w:tcPr>
                  <w:tcW w:w="1650" w:type="pct"/>
                  <w:vAlign w:val="center"/>
                </w:tcPr>
                <w:p w14:paraId="3C8569AC">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环境影响评价结论的科学性</w:t>
                  </w:r>
                </w:p>
              </w:tc>
              <w:tc>
                <w:tcPr>
                  <w:tcW w:w="2260" w:type="pct"/>
                  <w:vAlign w:val="center"/>
                </w:tcPr>
                <w:p w14:paraId="45B9950F">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本环评结论客观、过程公开、评价公正，并综合考虑建设项目实施后对各种环境因素可能造成的影响，环境结论是科学的。</w:t>
                  </w:r>
                </w:p>
              </w:tc>
              <w:tc>
                <w:tcPr>
                  <w:tcW w:w="687" w:type="pct"/>
                  <w:vAlign w:val="center"/>
                </w:tcPr>
                <w:p w14:paraId="23AD71F2">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0BE4D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1" w:type="pct"/>
                  <w:vMerge w:val="restart"/>
                  <w:vAlign w:val="center"/>
                </w:tcPr>
                <w:p w14:paraId="5E07EFAC">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五不准</w:t>
                  </w:r>
                </w:p>
              </w:tc>
              <w:tc>
                <w:tcPr>
                  <w:tcW w:w="1650" w:type="pct"/>
                  <w:vAlign w:val="center"/>
                </w:tcPr>
                <w:p w14:paraId="752CC32B">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建设项目类型及其选址、布局、规模等不符合环境保护法律法规和相关法定规定</w:t>
                  </w:r>
                </w:p>
              </w:tc>
              <w:tc>
                <w:tcPr>
                  <w:tcW w:w="2260" w:type="pct"/>
                  <w:vAlign w:val="center"/>
                </w:tcPr>
                <w:p w14:paraId="37454D89">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本项目的建设符合当地国土空间规划，符合国家、地方产业政策，各类污染物均可得到有效控制并能做到达标排放或者不对外直接排放，对环境影响不大，环境风险很小，项目实施不会改变所在地环境质量水平和环境功能，可实现经济效益、社会效益、环境效益的统一，符合环境保护法律法规和相关法定规划。</w:t>
                  </w:r>
                </w:p>
              </w:tc>
              <w:tc>
                <w:tcPr>
                  <w:tcW w:w="687" w:type="pct"/>
                  <w:vAlign w:val="center"/>
                </w:tcPr>
                <w:p w14:paraId="7168DD1B">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3068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1" w:type="pct"/>
                  <w:vMerge w:val="continue"/>
                  <w:vAlign w:val="center"/>
                </w:tcPr>
                <w:p w14:paraId="167FBC4F">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p>
              </w:tc>
              <w:tc>
                <w:tcPr>
                  <w:tcW w:w="1650" w:type="pct"/>
                  <w:vAlign w:val="center"/>
                </w:tcPr>
                <w:p w14:paraId="28081AE3">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所在区域环境质量未达到国家或者地方环境质量标准，且建设项目拟采取的措施不能满足区域环境质量改善目标管理要求</w:t>
                  </w:r>
                </w:p>
              </w:tc>
              <w:tc>
                <w:tcPr>
                  <w:tcW w:w="2260" w:type="pct"/>
                  <w:vAlign w:val="center"/>
                </w:tcPr>
                <w:p w14:paraId="79A7FDDA">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本项目所在区域地表水、声环境及大气环境指标均满足相应的环境质量标准，在采取相关污染防治措施基础上，项目建成后不会降低区域环境质量等级。</w:t>
                  </w:r>
                </w:p>
              </w:tc>
              <w:tc>
                <w:tcPr>
                  <w:tcW w:w="687" w:type="pct"/>
                  <w:vAlign w:val="center"/>
                </w:tcPr>
                <w:p w14:paraId="12FC35E6">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216C9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1" w:type="pct"/>
                  <w:vMerge w:val="continue"/>
                  <w:vAlign w:val="center"/>
                </w:tcPr>
                <w:p w14:paraId="4976581F">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p>
              </w:tc>
              <w:tc>
                <w:tcPr>
                  <w:tcW w:w="1650" w:type="pct"/>
                  <w:vAlign w:val="center"/>
                </w:tcPr>
                <w:p w14:paraId="4770986A">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建设项目采取的污染防治措施无法确保污染物排放达到国家和地方排放标准，或者未采取必要措施预防和控制生态破坏</w:t>
                  </w:r>
                </w:p>
              </w:tc>
              <w:tc>
                <w:tcPr>
                  <w:tcW w:w="2260" w:type="pct"/>
                  <w:vAlign w:val="center"/>
                </w:tcPr>
                <w:p w14:paraId="262B5549">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只要切实落实本环评报告提出的各项污染防治措施，各类污染物均可得到有效控制并能做到达标排放，因此其环境保护措施是可靠合理的。</w:t>
                  </w:r>
                </w:p>
              </w:tc>
              <w:tc>
                <w:tcPr>
                  <w:tcW w:w="687" w:type="pct"/>
                  <w:vAlign w:val="center"/>
                </w:tcPr>
                <w:p w14:paraId="610F0630">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32136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1" w:type="pct"/>
                  <w:vMerge w:val="continue"/>
                  <w:vAlign w:val="center"/>
                </w:tcPr>
                <w:p w14:paraId="72BE9990">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p>
              </w:tc>
              <w:tc>
                <w:tcPr>
                  <w:tcW w:w="1650" w:type="pct"/>
                  <w:vAlign w:val="center"/>
                </w:tcPr>
                <w:p w14:paraId="51A30EDA">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改建、扩建和技术改造项目，未针对项目原有环境污染和生态破坏提出有效防治措施</w:t>
                  </w:r>
                </w:p>
              </w:tc>
              <w:tc>
                <w:tcPr>
                  <w:tcW w:w="2260" w:type="pct"/>
                  <w:vAlign w:val="center"/>
                </w:tcPr>
                <w:p w14:paraId="215C9CE5">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本项目属于</w:t>
                  </w:r>
                  <w:r>
                    <w:rPr>
                      <w:rFonts w:hint="eastAsia" w:cs="Times New Roman"/>
                      <w:bCs/>
                      <w:color w:val="auto"/>
                      <w:kern w:val="0"/>
                      <w:sz w:val="21"/>
                      <w:szCs w:val="21"/>
                      <w:lang w:val="en-US" w:eastAsia="zh-CN"/>
                    </w:rPr>
                    <w:t>新建</w:t>
                  </w:r>
                  <w:r>
                    <w:rPr>
                      <w:rFonts w:hint="eastAsia" w:cs="Times New Roman"/>
                      <w:bCs/>
                      <w:color w:val="auto"/>
                      <w:kern w:val="0"/>
                      <w:sz w:val="21"/>
                      <w:szCs w:val="21"/>
                    </w:rPr>
                    <w:t>项目，</w:t>
                  </w:r>
                  <w:r>
                    <w:rPr>
                      <w:rFonts w:hint="eastAsia" w:cs="Times New Roman"/>
                      <w:bCs/>
                      <w:color w:val="auto"/>
                      <w:kern w:val="0"/>
                      <w:sz w:val="21"/>
                      <w:szCs w:val="21"/>
                      <w:lang w:val="en-US" w:eastAsia="zh-CN"/>
                    </w:rPr>
                    <w:t>本项目不涉及原有环境</w:t>
                  </w:r>
                  <w:r>
                    <w:rPr>
                      <w:rFonts w:hint="eastAsia" w:cs="Times New Roman"/>
                      <w:bCs/>
                      <w:color w:val="auto"/>
                      <w:kern w:val="0"/>
                      <w:sz w:val="21"/>
                      <w:szCs w:val="21"/>
                    </w:rPr>
                    <w:t>污染</w:t>
                  </w:r>
                  <w:r>
                    <w:rPr>
                      <w:rFonts w:hint="eastAsia" w:cs="Times New Roman"/>
                      <w:bCs/>
                      <w:color w:val="auto"/>
                      <w:kern w:val="0"/>
                      <w:sz w:val="21"/>
                      <w:szCs w:val="21"/>
                      <w:lang w:val="en-US" w:eastAsia="zh-CN"/>
                    </w:rPr>
                    <w:t>问题</w:t>
                  </w:r>
                </w:p>
              </w:tc>
              <w:tc>
                <w:tcPr>
                  <w:tcW w:w="687" w:type="pct"/>
                  <w:vAlign w:val="center"/>
                </w:tcPr>
                <w:p w14:paraId="75E181AE">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7F80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1" w:type="pct"/>
                  <w:vMerge w:val="continue"/>
                  <w:vAlign w:val="center"/>
                </w:tcPr>
                <w:p w14:paraId="607EB2A7">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p>
              </w:tc>
              <w:tc>
                <w:tcPr>
                  <w:tcW w:w="1650" w:type="pct"/>
                  <w:vAlign w:val="center"/>
                </w:tcPr>
                <w:p w14:paraId="7ABCA510">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建设项目的环境影响报告书、环境影响报告表的基础资料数据明显不实，内容存在重大缺陷、遗漏，或者环境影响评价结论不明确、不合理</w:t>
                  </w:r>
                </w:p>
              </w:tc>
              <w:tc>
                <w:tcPr>
                  <w:tcW w:w="2260" w:type="pct"/>
                  <w:vAlign w:val="center"/>
                </w:tcPr>
                <w:p w14:paraId="79728C70">
                  <w:pPr>
                    <w:keepNext w:val="0"/>
                    <w:keepLines w:val="0"/>
                    <w:suppressLineNumbers w:val="0"/>
                    <w:spacing w:before="0" w:beforeAutospacing="0" w:after="0" w:afterAutospacing="0" w:line="240" w:lineRule="auto"/>
                    <w:ind w:left="0" w:right="0" w:firstLine="0" w:firstLineChars="0"/>
                    <w:jc w:val="left"/>
                    <w:rPr>
                      <w:rFonts w:hint="default" w:cs="Times New Roman"/>
                      <w:bCs/>
                      <w:color w:val="auto"/>
                      <w:kern w:val="0"/>
                      <w:sz w:val="21"/>
                      <w:szCs w:val="21"/>
                    </w:rPr>
                  </w:pPr>
                  <w:r>
                    <w:rPr>
                      <w:rFonts w:hint="eastAsia" w:cs="Times New Roman"/>
                      <w:bCs/>
                      <w:color w:val="auto"/>
                      <w:kern w:val="0"/>
                      <w:sz w:val="21"/>
                      <w:szCs w:val="21"/>
                    </w:rPr>
                    <w:t>本报告基础资料数据具有真实性。</w:t>
                  </w:r>
                </w:p>
              </w:tc>
              <w:tc>
                <w:tcPr>
                  <w:tcW w:w="687" w:type="pct"/>
                  <w:vAlign w:val="center"/>
                </w:tcPr>
                <w:p w14:paraId="34ADFF0D">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bl>
          <w:p w14:paraId="78992043">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rPr>
              <w:t>二、关于印发太湖流域水环境综合治理总体方案的通知（发改地区〔2022〕959号）的符合性分析</w:t>
            </w:r>
          </w:p>
          <w:p w14:paraId="74B04D46">
            <w:pPr>
              <w:keepNext w:val="0"/>
              <w:keepLines w:val="0"/>
              <w:suppressLineNumbers w:val="0"/>
              <w:spacing w:before="0" w:beforeAutospacing="0" w:after="0" w:afterAutospacing="0"/>
              <w:ind w:left="0" w:right="0" w:firstLine="420"/>
              <w:rPr>
                <w:rFonts w:hint="eastAsia" w:eastAsia="宋体" w:cs="Times New Roman"/>
                <w:color w:val="auto"/>
                <w:sz w:val="24"/>
                <w:szCs w:val="24"/>
                <w:lang w:eastAsia="zh-CN"/>
              </w:rPr>
            </w:pPr>
            <w:r>
              <w:rPr>
                <w:rFonts w:hint="eastAsia" w:cs="Times New Roman"/>
                <w:color w:val="auto"/>
                <w:sz w:val="24"/>
                <w:szCs w:val="24"/>
              </w:rPr>
              <w:t>根据发改地区〔2022〕959号关于印发《太湖流域水环境综合治理总体方案》的通知，本项目具体相符性分析如下</w:t>
            </w:r>
            <w:r>
              <w:rPr>
                <w:rFonts w:hint="eastAsia" w:cs="Times New Roman"/>
                <w:color w:val="auto"/>
                <w:sz w:val="24"/>
                <w:szCs w:val="24"/>
                <w:lang w:eastAsia="zh-CN"/>
              </w:rPr>
              <w:t>：</w:t>
            </w:r>
          </w:p>
          <w:p w14:paraId="0520BB12">
            <w:pPr>
              <w:keepNext w:val="0"/>
              <w:keepLines w:val="0"/>
              <w:suppressLineNumbers w:val="0"/>
              <w:spacing w:before="0" w:beforeAutospacing="0" w:after="0" w:afterAutospacing="0"/>
              <w:ind w:left="0" w:right="0" w:firstLine="0" w:firstLineChars="0"/>
              <w:jc w:val="center"/>
              <w:rPr>
                <w:rFonts w:hint="eastAsia" w:ascii="黑体" w:hAnsi="黑体" w:eastAsia="黑体" w:cs="黑体"/>
                <w:color w:val="auto"/>
                <w:sz w:val="24"/>
                <w:szCs w:val="24"/>
              </w:rPr>
            </w:pPr>
            <w:r>
              <w:rPr>
                <w:rFonts w:hint="eastAsia" w:ascii="黑体" w:hAnsi="黑体" w:eastAsia="黑体" w:cs="黑体"/>
                <w:color w:val="auto"/>
                <w:sz w:val="24"/>
                <w:szCs w:val="24"/>
              </w:rPr>
              <w:t>表</w:t>
            </w:r>
            <w:r>
              <w:rPr>
                <w:rFonts w:hint="default" w:eastAsia="黑体" w:cs="Times New Roman"/>
                <w:color w:val="auto"/>
                <w:sz w:val="24"/>
                <w:szCs w:val="24"/>
              </w:rPr>
              <w:t>1</w:t>
            </w:r>
            <w:r>
              <w:rPr>
                <w:rFonts w:hint="eastAsia" w:eastAsia="黑体" w:cs="Times New Roman"/>
                <w:color w:val="auto"/>
                <w:sz w:val="24"/>
                <w:szCs w:val="24"/>
              </w:rPr>
              <w:t>-</w:t>
            </w:r>
            <w:r>
              <w:rPr>
                <w:rFonts w:hint="eastAsia" w:eastAsia="黑体" w:cs="Times New Roman"/>
                <w:color w:val="auto"/>
                <w:sz w:val="24"/>
                <w:szCs w:val="24"/>
                <w:lang w:val="en-US" w:eastAsia="zh-CN"/>
              </w:rPr>
              <w:t>4</w:t>
            </w:r>
            <w:r>
              <w:rPr>
                <w:rFonts w:hint="default" w:eastAsia="黑体" w:cs="Times New Roman"/>
                <w:color w:val="auto"/>
                <w:sz w:val="24"/>
                <w:szCs w:val="24"/>
              </w:rPr>
              <w:t xml:space="preserve"> </w:t>
            </w:r>
            <w:r>
              <w:rPr>
                <w:rFonts w:hint="eastAsia" w:ascii="黑体" w:hAnsi="黑体" w:eastAsia="黑体" w:cs="黑体"/>
                <w:color w:val="auto"/>
                <w:sz w:val="24"/>
                <w:szCs w:val="24"/>
              </w:rPr>
              <w:t xml:space="preserve"> 《太湖流域水环境综合治理总体方案》符合性分析</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121"/>
              <w:gridCol w:w="2107"/>
              <w:gridCol w:w="693"/>
            </w:tblGrid>
            <w:tr w14:paraId="31D7B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6" w:type="pct"/>
                  <w:vAlign w:val="center"/>
                </w:tcPr>
                <w:p w14:paraId="01093DAB">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序号</w:t>
                  </w:r>
                </w:p>
              </w:tc>
              <w:tc>
                <w:tcPr>
                  <w:tcW w:w="2693" w:type="pct"/>
                  <w:vAlign w:val="center"/>
                </w:tcPr>
                <w:p w14:paraId="106DC442">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文件要求</w:t>
                  </w:r>
                </w:p>
              </w:tc>
              <w:tc>
                <w:tcPr>
                  <w:tcW w:w="1377" w:type="pct"/>
                  <w:vAlign w:val="center"/>
                </w:tcPr>
                <w:p w14:paraId="6163617F">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本项目情况</w:t>
                  </w:r>
                </w:p>
              </w:tc>
              <w:tc>
                <w:tcPr>
                  <w:tcW w:w="452" w:type="pct"/>
                  <w:vAlign w:val="center"/>
                </w:tcPr>
                <w:p w14:paraId="338FD0FA">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是否符合</w:t>
                  </w:r>
                </w:p>
              </w:tc>
            </w:tr>
            <w:tr w14:paraId="0A91B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6" w:type="pct"/>
                  <w:vAlign w:val="center"/>
                </w:tcPr>
                <w:p w14:paraId="3C1B3D8B">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1</w:t>
                  </w:r>
                </w:p>
              </w:tc>
              <w:tc>
                <w:tcPr>
                  <w:tcW w:w="2693" w:type="pct"/>
                  <w:vAlign w:val="center"/>
                </w:tcPr>
                <w:p w14:paraId="0DE2C9B0">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督促企业依法持证排污、按证排污，严格落实总磷许可排放浓度和许可排放量要求。持续强化涉水行业污染整治，基于水生态环境质量改善需要，大力推进印染、化工、造纸、钢铁、电镀、食品(啤酒、味精)等重点行业企业废水深度处理。实施工业园区限值限量管理，全面推进工业园区污水管网排查整治和污水收集处理设施建设，加快实施管网混错接改造、管网更新、破损修复改造等，依法推动园区生产废水应纳尽纳。推进化工园区雨污分流改造和初期雨水收集处理，鼓励有条件的园区实施化工企业废水分类收集、分质处理、一企一管、明管输送、实时监测。</w:t>
                  </w:r>
                </w:p>
              </w:tc>
              <w:tc>
                <w:tcPr>
                  <w:tcW w:w="1377" w:type="pct"/>
                  <w:vAlign w:val="center"/>
                </w:tcPr>
                <w:p w14:paraId="023203B2">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本项目</w:t>
                  </w:r>
                  <w:r>
                    <w:rPr>
                      <w:rFonts w:hint="eastAsia" w:cs="Times New Roman"/>
                      <w:bCs/>
                      <w:color w:val="auto"/>
                      <w:kern w:val="0"/>
                      <w:sz w:val="21"/>
                      <w:szCs w:val="21"/>
                      <w:lang w:val="en-US" w:eastAsia="zh-CN"/>
                    </w:rPr>
                    <w:t>属于实验研发类项目，无需纳入排污许可管理</w:t>
                  </w:r>
                  <w:r>
                    <w:rPr>
                      <w:rFonts w:hint="eastAsia" w:cs="Times New Roman"/>
                      <w:bCs/>
                      <w:color w:val="auto"/>
                      <w:kern w:val="0"/>
                      <w:sz w:val="21"/>
                      <w:szCs w:val="21"/>
                    </w:rPr>
                    <w:t>，本项目不属于重点行业企业，项目厂区实施雨污分流制。</w:t>
                  </w:r>
                </w:p>
              </w:tc>
              <w:tc>
                <w:tcPr>
                  <w:tcW w:w="452" w:type="pct"/>
                  <w:vAlign w:val="center"/>
                </w:tcPr>
                <w:p w14:paraId="38684F16">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29D99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6" w:type="pct"/>
                  <w:vAlign w:val="center"/>
                </w:tcPr>
                <w:p w14:paraId="27187A82">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2</w:t>
                  </w:r>
                </w:p>
              </w:tc>
              <w:tc>
                <w:tcPr>
                  <w:tcW w:w="2693" w:type="pct"/>
                  <w:vAlign w:val="center"/>
                </w:tcPr>
                <w:p w14:paraId="7AF50EFD">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加快城中村、老旧城区、新建小区、城乡结合部污水收集管网建设，加强洗车、洗衣等服务行业污水收集，加快补齐城镇污水收集管网短板。加快完善城镇污水管网修复改造，实施混错接、漏接、老旧破损管网更新修复，提升污水收集效能。加强新改建地区雨污分流，逐步推进雨污分流管网改造。因地制宜实施排水管网改造，降低溢流污染。到2025年，基本实现城市和县城污水管网全覆盖。因地制宜加快连接港区管网建设，做好船舶生活污水收集处理。</w:t>
                  </w:r>
                </w:p>
              </w:tc>
              <w:tc>
                <w:tcPr>
                  <w:tcW w:w="1377" w:type="pct"/>
                  <w:vAlign w:val="center"/>
                </w:tcPr>
                <w:p w14:paraId="3B27C94B">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本项目运营期污水依托</w:t>
                  </w:r>
                  <w:r>
                    <w:rPr>
                      <w:rFonts w:hint="eastAsia" w:cs="Times New Roman"/>
                      <w:bCs/>
                      <w:color w:val="auto"/>
                      <w:kern w:val="0"/>
                      <w:sz w:val="21"/>
                      <w:szCs w:val="21"/>
                      <w:lang w:val="en-US" w:eastAsia="zh-CN"/>
                    </w:rPr>
                    <w:t>余杭</w:t>
                  </w:r>
                  <w:r>
                    <w:rPr>
                      <w:rFonts w:hint="eastAsia" w:cs="Times New Roman"/>
                      <w:bCs/>
                      <w:color w:val="auto"/>
                      <w:kern w:val="0"/>
                      <w:sz w:val="21"/>
                      <w:szCs w:val="21"/>
                    </w:rPr>
                    <w:t>污水处理厂处理，项目所在区域污水管网已铺设到位，可以满足本项目废水</w:t>
                  </w:r>
                  <w:r>
                    <w:rPr>
                      <w:rFonts w:hint="eastAsia" w:cs="Times New Roman"/>
                      <w:bCs/>
                      <w:color w:val="auto"/>
                      <w:kern w:val="0"/>
                      <w:sz w:val="21"/>
                      <w:szCs w:val="21"/>
                      <w:lang w:val="en-US" w:eastAsia="zh-CN"/>
                    </w:rPr>
                    <w:t>纳管</w:t>
                  </w:r>
                  <w:r>
                    <w:rPr>
                      <w:rFonts w:hint="eastAsia" w:cs="Times New Roman"/>
                      <w:bCs/>
                      <w:color w:val="auto"/>
                      <w:kern w:val="0"/>
                      <w:sz w:val="21"/>
                      <w:szCs w:val="21"/>
                    </w:rPr>
                    <w:t>排放</w:t>
                  </w:r>
                  <w:r>
                    <w:rPr>
                      <w:rFonts w:hint="eastAsia" w:cs="Times New Roman"/>
                      <w:bCs/>
                      <w:color w:val="auto"/>
                      <w:kern w:val="0"/>
                      <w:sz w:val="21"/>
                      <w:szCs w:val="21"/>
                      <w:lang w:val="en-US" w:eastAsia="zh-CN"/>
                    </w:rPr>
                    <w:t>需求</w:t>
                  </w:r>
                  <w:r>
                    <w:rPr>
                      <w:rFonts w:hint="eastAsia" w:cs="Times New Roman"/>
                      <w:bCs/>
                      <w:color w:val="auto"/>
                      <w:kern w:val="0"/>
                      <w:sz w:val="21"/>
                      <w:szCs w:val="21"/>
                    </w:rPr>
                    <w:t>。</w:t>
                  </w:r>
                </w:p>
              </w:tc>
              <w:tc>
                <w:tcPr>
                  <w:tcW w:w="452" w:type="pct"/>
                  <w:vAlign w:val="center"/>
                </w:tcPr>
                <w:p w14:paraId="4963DEBE">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03414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6" w:type="pct"/>
                  <w:vAlign w:val="center"/>
                </w:tcPr>
                <w:p w14:paraId="2911DCD9">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3</w:t>
                  </w:r>
                </w:p>
              </w:tc>
              <w:tc>
                <w:tcPr>
                  <w:tcW w:w="2693" w:type="pct"/>
                  <w:vAlign w:val="center"/>
                </w:tcPr>
                <w:p w14:paraId="1CA268D1">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严禁落地国家和本地产业结构调整目录明确的限制类、淘汰类工艺、装备、产品与项目，依法推动污染企业退出。继续推进城市建成区内造纸、印染、化工等污染较重企业有序搬迁改造或依法关闭，推动环太湖生态环境敏感区内不符合产业发展政策、存在重大安全隐患且不具备整治条件的企业依法关闭或搬迁至合规工业园。推进太湖流域等重要饮用水水源地300米范围内重点排污企业逐步退出。除战略性新兴产业项目外，太湖流域原则上不再审批其他生产性新增氮磷污染物的工业类建设项目。</w:t>
                  </w:r>
                </w:p>
              </w:tc>
              <w:tc>
                <w:tcPr>
                  <w:tcW w:w="1377" w:type="pct"/>
                  <w:vAlign w:val="center"/>
                </w:tcPr>
                <w:p w14:paraId="541BA7BB">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本项目不属于国家和本地产业结构调整目录明确的限制类、淘汰类；不属于工业类建设项目。</w:t>
                  </w:r>
                </w:p>
              </w:tc>
              <w:tc>
                <w:tcPr>
                  <w:tcW w:w="452" w:type="pct"/>
                  <w:vAlign w:val="center"/>
                </w:tcPr>
                <w:p w14:paraId="08FC20DB">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bl>
          <w:p w14:paraId="6FE11BB8">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rPr>
              <w:t>由上表可知，本项目的建设符合国家发展改革委等部门关于印发</w:t>
            </w:r>
            <w:r>
              <w:rPr>
                <w:rFonts w:hint="eastAsia" w:cs="Times New Roman"/>
                <w:color w:val="auto"/>
                <w:sz w:val="24"/>
                <w:szCs w:val="24"/>
                <w:lang w:eastAsia="zh-CN"/>
              </w:rPr>
              <w:t>《</w:t>
            </w:r>
            <w:r>
              <w:rPr>
                <w:rFonts w:hint="eastAsia" w:cs="Times New Roman"/>
                <w:color w:val="auto"/>
                <w:sz w:val="24"/>
                <w:szCs w:val="24"/>
              </w:rPr>
              <w:t>太湖流域水环境综合治理总体方案</w:t>
            </w:r>
            <w:r>
              <w:rPr>
                <w:rFonts w:hint="eastAsia" w:cs="Times New Roman"/>
                <w:color w:val="auto"/>
                <w:sz w:val="24"/>
                <w:szCs w:val="24"/>
                <w:lang w:eastAsia="zh-CN"/>
              </w:rPr>
              <w:t>》</w:t>
            </w:r>
            <w:r>
              <w:rPr>
                <w:rFonts w:hint="eastAsia" w:cs="Times New Roman"/>
                <w:color w:val="auto"/>
                <w:sz w:val="24"/>
                <w:szCs w:val="24"/>
              </w:rPr>
              <w:t>的通知（发改地区〔2022〕959号）中的要求。</w:t>
            </w:r>
          </w:p>
          <w:p w14:paraId="4BCFB5C4">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lang w:val="en-US" w:eastAsia="zh-CN"/>
              </w:rPr>
              <w:t>三</w:t>
            </w:r>
            <w:r>
              <w:rPr>
                <w:rFonts w:hint="eastAsia" w:cs="Times New Roman"/>
                <w:color w:val="auto"/>
                <w:sz w:val="24"/>
                <w:szCs w:val="24"/>
              </w:rPr>
              <w:t>、与《太湖流域管理条例》符合性分析</w:t>
            </w:r>
          </w:p>
          <w:p w14:paraId="55D66C8C">
            <w:pPr>
              <w:keepNext w:val="0"/>
              <w:keepLines w:val="0"/>
              <w:suppressLineNumbers w:val="0"/>
              <w:spacing w:before="0" w:beforeAutospacing="0" w:after="0" w:afterAutospacing="0"/>
              <w:ind w:left="0" w:right="0" w:firstLine="420"/>
              <w:rPr>
                <w:rFonts w:hint="eastAsia" w:cs="Times New Roman"/>
                <w:color w:val="auto"/>
                <w:sz w:val="24"/>
                <w:szCs w:val="24"/>
              </w:rPr>
            </w:pPr>
            <w:r>
              <w:rPr>
                <w:rFonts w:hint="eastAsia" w:cs="Times New Roman"/>
                <w:color w:val="auto"/>
                <w:sz w:val="24"/>
                <w:szCs w:val="24"/>
              </w:rPr>
              <w:t>《太湖流域管理条例》已经于2011年8月24日国务院第169次常务会议通过，自2011年11月1日起施行。该条例所称太湖流域，包括江苏省、浙江省、上海市(以下称两省一市)长江以南，钱塘江以北，天目山、茅山流域分水岭以东的区域，本项目所在的浙江省杭州市余杭区位于太湖流域内。项目与《太湖流域管理条例》相关要求符合性分析详见下表。</w:t>
            </w:r>
          </w:p>
          <w:p w14:paraId="1E0DA579">
            <w:pPr>
              <w:keepNext w:val="0"/>
              <w:keepLines w:val="0"/>
              <w:suppressLineNumbers w:val="0"/>
              <w:spacing w:before="0" w:beforeAutospacing="0" w:after="0" w:afterAutospacing="0"/>
              <w:ind w:left="0" w:right="0" w:firstLine="0" w:firstLineChars="0"/>
              <w:jc w:val="center"/>
              <w:rPr>
                <w:rFonts w:hint="default" w:cs="Times New Roman"/>
                <w:color w:val="auto"/>
                <w:kern w:val="0"/>
                <w:sz w:val="24"/>
                <w:szCs w:val="24"/>
              </w:rPr>
            </w:pPr>
            <w:r>
              <w:rPr>
                <w:rFonts w:hint="eastAsia" w:ascii="黑体" w:hAnsi="黑体" w:eastAsia="黑体" w:cs="黑体"/>
                <w:color w:val="auto"/>
                <w:sz w:val="24"/>
                <w:szCs w:val="24"/>
              </w:rPr>
              <w:t>表</w:t>
            </w:r>
            <w:r>
              <w:rPr>
                <w:rFonts w:hint="default" w:eastAsia="黑体" w:cs="Times New Roman"/>
                <w:color w:val="auto"/>
                <w:sz w:val="24"/>
                <w:szCs w:val="24"/>
              </w:rPr>
              <w:t>1-</w:t>
            </w:r>
            <w:r>
              <w:rPr>
                <w:rFonts w:hint="eastAsia" w:eastAsia="黑体" w:cs="Times New Roman"/>
                <w:color w:val="auto"/>
                <w:sz w:val="24"/>
                <w:szCs w:val="24"/>
                <w:lang w:val="en-US" w:eastAsia="zh-CN"/>
              </w:rPr>
              <w:t>5</w:t>
            </w:r>
            <w:r>
              <w:rPr>
                <w:rFonts w:hint="default" w:eastAsia="黑体" w:cs="Times New Roman"/>
                <w:color w:val="auto"/>
                <w:sz w:val="24"/>
                <w:szCs w:val="24"/>
              </w:rPr>
              <w:t xml:space="preserve"> </w:t>
            </w:r>
            <w:r>
              <w:rPr>
                <w:rFonts w:hint="eastAsia" w:ascii="黑体" w:hAnsi="黑体" w:eastAsia="黑体" w:cs="黑体"/>
                <w:color w:val="auto"/>
                <w:sz w:val="24"/>
                <w:szCs w:val="24"/>
              </w:rPr>
              <w:t xml:space="preserve"> 《太湖流域管理条例》符合性分析</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9"/>
              <w:gridCol w:w="3916"/>
              <w:gridCol w:w="2412"/>
              <w:gridCol w:w="742"/>
            </w:tblGrid>
            <w:tr w14:paraId="454D9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9" w:type="pct"/>
                  <w:vAlign w:val="center"/>
                </w:tcPr>
                <w:p w14:paraId="33B495B0">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default" w:cs="Times New Roman"/>
                      <w:bCs/>
                      <w:color w:val="auto"/>
                      <w:kern w:val="0"/>
                      <w:sz w:val="21"/>
                      <w:szCs w:val="21"/>
                    </w:rPr>
                    <w:t>序号</w:t>
                  </w:r>
                </w:p>
              </w:tc>
              <w:tc>
                <w:tcPr>
                  <w:tcW w:w="2559" w:type="pct"/>
                  <w:vAlign w:val="center"/>
                </w:tcPr>
                <w:p w14:paraId="65614FC2">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default" w:cs="Times New Roman"/>
                      <w:bCs/>
                      <w:color w:val="auto"/>
                      <w:kern w:val="0"/>
                      <w:sz w:val="21"/>
                      <w:szCs w:val="21"/>
                    </w:rPr>
                    <w:t>相关要求</w:t>
                  </w:r>
                </w:p>
              </w:tc>
              <w:tc>
                <w:tcPr>
                  <w:tcW w:w="1576" w:type="pct"/>
                  <w:vAlign w:val="center"/>
                </w:tcPr>
                <w:p w14:paraId="770C9BB9">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本项目情况</w:t>
                  </w:r>
                </w:p>
              </w:tc>
              <w:tc>
                <w:tcPr>
                  <w:tcW w:w="485" w:type="pct"/>
                  <w:vAlign w:val="center"/>
                </w:tcPr>
                <w:p w14:paraId="3EAA4F79">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是否符合</w:t>
                  </w:r>
                </w:p>
              </w:tc>
            </w:tr>
            <w:tr w14:paraId="4627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9" w:type="pct"/>
                  <w:vAlign w:val="center"/>
                </w:tcPr>
                <w:p w14:paraId="7B51E50F">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default" w:cs="Times New Roman"/>
                      <w:bCs/>
                      <w:color w:val="auto"/>
                      <w:kern w:val="0"/>
                      <w:sz w:val="21"/>
                      <w:szCs w:val="21"/>
                    </w:rPr>
                    <w:t>1</w:t>
                  </w:r>
                </w:p>
              </w:tc>
              <w:tc>
                <w:tcPr>
                  <w:tcW w:w="2559" w:type="pct"/>
                  <w:vAlign w:val="center"/>
                </w:tcPr>
                <w:p w14:paraId="2DED54D1">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排污单位排放水污染物，不得超过经核定的水污染物排放总量，并应当按照规定设置便于检查、采样的规范化排污口，悬挂标志牌；不得私设暗管或者采取其他规避监管的方式排放水污染物。禁止在太湖流域设置不符合国家产业政策和水环境综合治理要求的造纸、制革、酒精、淀粉、冶金、酿造、印染、电镀等排放水污染物的生产项目，现有的生产项目不能实现达标排放的，应当依法关闭。</w:t>
                  </w:r>
                </w:p>
              </w:tc>
              <w:tc>
                <w:tcPr>
                  <w:tcW w:w="1576" w:type="pct"/>
                  <w:vAlign w:val="center"/>
                </w:tcPr>
                <w:p w14:paraId="411D0089">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项目严格按照总量控制原则，并设置规范排污口；本项目实施后，在采取评价要求的环境保护措施的前提下，可以确保本项目外排污染物达标排放。项目不属于造纸、制革、酒精、淀粉、冶金、酿造、印染、电镀行业，符合太湖流域产业政策及清洁生产要求。</w:t>
                  </w:r>
                </w:p>
              </w:tc>
              <w:tc>
                <w:tcPr>
                  <w:tcW w:w="485" w:type="pct"/>
                  <w:vAlign w:val="center"/>
                </w:tcPr>
                <w:p w14:paraId="020D955F">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default" w:cs="Times New Roman"/>
                      <w:bCs/>
                      <w:color w:val="auto"/>
                      <w:kern w:val="0"/>
                      <w:sz w:val="21"/>
                      <w:szCs w:val="21"/>
                    </w:rPr>
                    <w:t>符合</w:t>
                  </w:r>
                </w:p>
              </w:tc>
            </w:tr>
            <w:tr w14:paraId="317E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9" w:type="pct"/>
                  <w:vAlign w:val="center"/>
                </w:tcPr>
                <w:p w14:paraId="0413905C">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default" w:cs="Times New Roman"/>
                      <w:bCs/>
                      <w:color w:val="auto"/>
                      <w:kern w:val="0"/>
                      <w:sz w:val="21"/>
                      <w:szCs w:val="21"/>
                    </w:rPr>
                    <w:t>2</w:t>
                  </w:r>
                </w:p>
              </w:tc>
              <w:tc>
                <w:tcPr>
                  <w:tcW w:w="2559" w:type="pct"/>
                  <w:vAlign w:val="center"/>
                </w:tcPr>
                <w:p w14:paraId="515A33CD">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新孟河、望虞河以外的其他主要入太湖河道，自河口1万m上溯至5万m河道岸线内及其岸线两侧各1000m范围内，禁止下列行为：</w:t>
                  </w:r>
                </w:p>
                <w:p w14:paraId="74943C02">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(一)新建、扩建化工、医药生产项目；</w:t>
                  </w:r>
                </w:p>
                <w:p w14:paraId="5C6A4CD9">
                  <w:pPr>
                    <w:keepNext w:val="0"/>
                    <w:keepLines w:val="0"/>
                    <w:suppressLineNumbers w:val="0"/>
                    <w:spacing w:before="0" w:beforeAutospacing="0" w:after="0" w:afterAutospacing="0" w:line="240" w:lineRule="auto"/>
                    <w:ind w:left="0" w:right="0" w:firstLine="0" w:firstLineChars="0"/>
                    <w:rPr>
                      <w:rFonts w:hint="default" w:eastAsia="宋体" w:cs="Times New Roman"/>
                      <w:bCs/>
                      <w:color w:val="auto"/>
                      <w:kern w:val="0"/>
                      <w:sz w:val="21"/>
                      <w:szCs w:val="21"/>
                      <w:lang w:val="en-US" w:eastAsia="zh-CN"/>
                    </w:rPr>
                  </w:pPr>
                  <w:r>
                    <w:rPr>
                      <w:rFonts w:hint="eastAsia" w:cs="Times New Roman"/>
                      <w:bCs/>
                      <w:color w:val="auto"/>
                      <w:kern w:val="0"/>
                      <w:sz w:val="21"/>
                      <w:szCs w:val="21"/>
                    </w:rPr>
                    <w:t>(二)新建、扩建污水集中处理设施排污口以外的排污口；</w:t>
                  </w:r>
                </w:p>
                <w:p w14:paraId="6121820B">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(三)扩大水产养殖规模。</w:t>
                  </w:r>
                </w:p>
              </w:tc>
              <w:tc>
                <w:tcPr>
                  <w:tcW w:w="1576" w:type="pct"/>
                  <w:vAlign w:val="center"/>
                </w:tcPr>
                <w:p w14:paraId="3F90F4D9">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本项目选址不属于太湖及主要入太湖河道相关岸线范围内。</w:t>
                  </w:r>
                </w:p>
              </w:tc>
              <w:tc>
                <w:tcPr>
                  <w:tcW w:w="485" w:type="pct"/>
                  <w:vAlign w:val="center"/>
                </w:tcPr>
                <w:p w14:paraId="41DE2515">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default" w:cs="Times New Roman"/>
                      <w:bCs/>
                      <w:color w:val="auto"/>
                      <w:kern w:val="0"/>
                      <w:sz w:val="21"/>
                      <w:szCs w:val="21"/>
                    </w:rPr>
                    <w:t>符合</w:t>
                  </w:r>
                </w:p>
              </w:tc>
            </w:tr>
            <w:tr w14:paraId="3168D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9" w:type="pct"/>
                  <w:vAlign w:val="center"/>
                </w:tcPr>
                <w:p w14:paraId="1E58FDAE">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default" w:cs="Times New Roman"/>
                      <w:bCs/>
                      <w:color w:val="auto"/>
                      <w:kern w:val="0"/>
                      <w:sz w:val="21"/>
                      <w:szCs w:val="21"/>
                    </w:rPr>
                    <w:t>3</w:t>
                  </w:r>
                </w:p>
              </w:tc>
              <w:tc>
                <w:tcPr>
                  <w:tcW w:w="2559" w:type="pct"/>
                  <w:vAlign w:val="center"/>
                </w:tcPr>
                <w:p w14:paraId="415DBF6E">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太湖岸线内和岸线周边5000米范围内，淀山湖岸线内和岸线周边2000米范围内，太浦河、新孟河、望虞河岸线内和岸线两侧各1000米范围内，其他主要入太湖河道自河口上溯至1万米河道岸线内及其岸线两侧各1000米范围内，禁止下列行为：</w:t>
                  </w:r>
                </w:p>
                <w:p w14:paraId="736C50E2">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(一)设置剧毒物质、危险化学品的贮存、输送设施和废物回收场、垃圾场；</w:t>
                  </w:r>
                </w:p>
                <w:p w14:paraId="07276327">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(二)设置水上餐饮经营设施；</w:t>
                  </w:r>
                </w:p>
                <w:p w14:paraId="2B3EA568">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(三)新建、扩建高尔夫球场；</w:t>
                  </w:r>
                </w:p>
                <w:p w14:paraId="56A37501">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(四)新建、扩建畜禽养殖场；</w:t>
                  </w:r>
                </w:p>
                <w:p w14:paraId="00897415">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(五)新建、扩建向水体排放污染物的建设项目；</w:t>
                  </w:r>
                </w:p>
                <w:p w14:paraId="44D8A66A">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(六)本条例第二十九条规定的行为。</w:t>
                  </w:r>
                </w:p>
              </w:tc>
              <w:tc>
                <w:tcPr>
                  <w:tcW w:w="1576" w:type="pct"/>
                  <w:vAlign w:val="center"/>
                </w:tcPr>
                <w:p w14:paraId="16F7BB70">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本项目选址不属于太湖及主要入太湖河道相关岸线范围内。</w:t>
                  </w:r>
                </w:p>
              </w:tc>
              <w:tc>
                <w:tcPr>
                  <w:tcW w:w="485" w:type="pct"/>
                  <w:vAlign w:val="center"/>
                </w:tcPr>
                <w:p w14:paraId="013B17AF">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default" w:cs="Times New Roman"/>
                      <w:bCs/>
                      <w:color w:val="auto"/>
                      <w:kern w:val="0"/>
                      <w:sz w:val="21"/>
                      <w:szCs w:val="21"/>
                    </w:rPr>
                    <w:t>符合</w:t>
                  </w:r>
                </w:p>
              </w:tc>
            </w:tr>
          </w:tbl>
          <w:p w14:paraId="614311C6">
            <w:pPr>
              <w:keepNext w:val="0"/>
              <w:keepLines w:val="0"/>
              <w:suppressLineNumbers w:val="0"/>
              <w:spacing w:before="0" w:beforeAutospacing="0" w:after="0" w:afterAutospacing="0" w:line="360" w:lineRule="auto"/>
              <w:ind w:left="0" w:right="0"/>
              <w:jc w:val="both"/>
              <w:rPr>
                <w:rFonts w:hint="default" w:ascii="Arial" w:hAnsi="Arial" w:cs="Arial"/>
                <w:b w:val="0"/>
                <w:bCs w:val="0"/>
                <w:color w:val="auto"/>
                <w:sz w:val="24"/>
                <w:szCs w:val="24"/>
              </w:rPr>
            </w:pPr>
            <w:r>
              <w:rPr>
                <w:rFonts w:hint="eastAsia" w:ascii="Arial" w:hAnsi="Arial" w:cs="Arial"/>
                <w:b w:val="0"/>
                <w:bCs w:val="0"/>
                <w:color w:val="auto"/>
                <w:sz w:val="24"/>
                <w:szCs w:val="24"/>
                <w:lang w:val="en-US" w:eastAsia="zh-CN"/>
              </w:rPr>
              <w:t>四、</w:t>
            </w:r>
            <w:r>
              <w:rPr>
                <w:rFonts w:hint="default" w:ascii="Arial" w:hAnsi="Arial" w:cs="Arial"/>
                <w:b w:val="0"/>
                <w:bCs w:val="0"/>
                <w:color w:val="auto"/>
                <w:sz w:val="24"/>
                <w:szCs w:val="24"/>
              </w:rPr>
              <w:t xml:space="preserve"> 《关于落实&lt;水污染防治行动计划&gt;实施区域差别化环境准入的指导意见》（环环评[2016]190号）符合性分析 </w:t>
            </w:r>
          </w:p>
          <w:p w14:paraId="48832BA8">
            <w:pPr>
              <w:keepNext w:val="0"/>
              <w:keepLines w:val="0"/>
              <w:suppressLineNumbers w:val="0"/>
              <w:spacing w:before="0" w:beforeAutospacing="0" w:after="0" w:afterAutospacing="0" w:line="360" w:lineRule="auto"/>
              <w:ind w:left="0" w:right="0" w:firstLine="480" w:firstLineChars="200"/>
              <w:jc w:val="both"/>
              <w:rPr>
                <w:rFonts w:hint="default" w:ascii="Arial" w:hAnsi="Arial" w:eastAsia="宋体" w:cs="Arial"/>
                <w:color w:val="auto"/>
                <w:sz w:val="24"/>
                <w:szCs w:val="24"/>
                <w:lang w:val="en-US" w:eastAsia="zh-CN"/>
              </w:rPr>
            </w:pPr>
            <w:r>
              <w:rPr>
                <w:rFonts w:hint="default" w:ascii="Arial" w:hAnsi="Arial" w:cs="Arial"/>
                <w:color w:val="auto"/>
                <w:sz w:val="24"/>
                <w:szCs w:val="24"/>
              </w:rPr>
              <w:t>项目与《关于落实&lt;水污染防治行动计划&gt;实施区域差别化环境准入的指导意见》(环环评[2016]190号)有关要求符合性分析如下：</w:t>
            </w:r>
          </w:p>
          <w:p w14:paraId="132B1884">
            <w:pPr>
              <w:keepNext w:val="0"/>
              <w:keepLines w:val="0"/>
              <w:suppressLineNumbers w:val="0"/>
              <w:spacing w:before="0" w:beforeAutospacing="0" w:after="0" w:afterAutospacing="0"/>
              <w:ind w:left="0" w:right="0" w:firstLine="0" w:firstLineChars="0"/>
              <w:jc w:val="center"/>
              <w:rPr>
                <w:rFonts w:hint="default" w:ascii="Times New Roman" w:hAnsi="Times New Roman" w:eastAsia="黑体" w:cs="Times New Roman"/>
                <w:color w:val="auto"/>
                <w:sz w:val="24"/>
                <w:szCs w:val="24"/>
                <w:lang w:val="zh-CN"/>
              </w:rPr>
            </w:pPr>
            <w:r>
              <w:rPr>
                <w:rFonts w:hint="default" w:ascii="Times New Roman" w:hAnsi="Times New Roman" w:eastAsia="黑体" w:cs="Times New Roman"/>
                <w:color w:val="auto"/>
                <w:sz w:val="24"/>
                <w:szCs w:val="24"/>
                <w:lang w:val="zh-CN"/>
              </w:rPr>
              <w:t>表</w:t>
            </w:r>
            <w:r>
              <w:rPr>
                <w:rFonts w:hint="default" w:ascii="Times New Roman" w:hAnsi="Times New Roman" w:eastAsia="黑体" w:cs="Times New Roman"/>
                <w:color w:val="auto"/>
                <w:sz w:val="24"/>
                <w:szCs w:val="24"/>
              </w:rPr>
              <w:t>1-</w:t>
            </w:r>
            <w:r>
              <w:rPr>
                <w:rFonts w:hint="eastAsia" w:ascii="Times New Roman" w:hAnsi="Times New Roman" w:eastAsia="黑体" w:cs="Times New Roman"/>
                <w:color w:val="auto"/>
                <w:sz w:val="24"/>
                <w:szCs w:val="24"/>
                <w:lang w:val="en-US" w:eastAsia="zh-CN"/>
              </w:rPr>
              <w:t xml:space="preserve">6 </w:t>
            </w:r>
            <w:r>
              <w:rPr>
                <w:rFonts w:hint="default" w:ascii="Times New Roman" w:hAnsi="Times New Roman" w:eastAsia="黑体" w:cs="Times New Roman"/>
                <w:color w:val="auto"/>
                <w:sz w:val="24"/>
                <w:szCs w:val="24"/>
              </w:rPr>
              <w:t xml:space="preserve"> </w:t>
            </w:r>
            <w:r>
              <w:rPr>
                <w:rFonts w:hint="default" w:ascii="Times New Roman" w:hAnsi="Times New Roman" w:eastAsia="黑体" w:cs="Times New Roman"/>
                <w:color w:val="auto"/>
                <w:sz w:val="24"/>
                <w:szCs w:val="24"/>
                <w:lang w:val="zh-CN"/>
              </w:rPr>
              <w:t>项目与环环评[2016]190号有关内容符合性分析</w:t>
            </w:r>
          </w:p>
          <w:tbl>
            <w:tblPr>
              <w:tblStyle w:val="16"/>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57" w:type="dxa"/>
                <w:bottom w:w="0" w:type="dxa"/>
                <w:right w:w="57" w:type="dxa"/>
              </w:tblCellMar>
            </w:tblPr>
            <w:tblGrid>
              <w:gridCol w:w="356"/>
              <w:gridCol w:w="3472"/>
              <w:gridCol w:w="3440"/>
              <w:gridCol w:w="389"/>
            </w:tblGrid>
            <w:tr w14:paraId="3C9459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283" w:hRule="atLeast"/>
              </w:trPr>
              <w:tc>
                <w:tcPr>
                  <w:tcW w:w="0" w:type="auto"/>
                  <w:noWrap w:val="0"/>
                  <w:vAlign w:val="center"/>
                </w:tcPr>
                <w:p w14:paraId="150EF89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0" w:lineRule="atLeast"/>
                    <w:ind w:left="0" w:right="0" w:firstLine="0" w:firstLineChars="0"/>
                    <w:jc w:val="center"/>
                    <w:textAlignment w:val="auto"/>
                    <w:rPr>
                      <w:rFonts w:hint="default" w:ascii="Arial" w:hAnsi="Arial" w:cs="Arial"/>
                      <w:color w:val="auto"/>
                      <w:sz w:val="21"/>
                      <w:szCs w:val="21"/>
                    </w:rPr>
                  </w:pPr>
                  <w:r>
                    <w:rPr>
                      <w:rFonts w:hint="default" w:ascii="Arial" w:hAnsi="Arial" w:cs="Arial"/>
                      <w:color w:val="auto"/>
                      <w:sz w:val="21"/>
                      <w:szCs w:val="21"/>
                    </w:rPr>
                    <w:t>序号</w:t>
                  </w:r>
                </w:p>
              </w:tc>
              <w:tc>
                <w:tcPr>
                  <w:tcW w:w="0" w:type="auto"/>
                  <w:noWrap w:val="0"/>
                  <w:vAlign w:val="center"/>
                </w:tcPr>
                <w:p w14:paraId="2263216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0" w:lineRule="atLeast"/>
                    <w:ind w:left="0" w:right="0" w:firstLine="0" w:firstLineChars="0"/>
                    <w:jc w:val="center"/>
                    <w:textAlignment w:val="auto"/>
                    <w:rPr>
                      <w:rFonts w:hint="default" w:ascii="Arial" w:hAnsi="Arial" w:cs="Arial"/>
                      <w:color w:val="auto"/>
                      <w:sz w:val="21"/>
                      <w:szCs w:val="21"/>
                    </w:rPr>
                  </w:pPr>
                  <w:r>
                    <w:rPr>
                      <w:rFonts w:hint="default" w:ascii="Arial" w:hAnsi="Arial" w:cs="Arial"/>
                      <w:color w:val="auto"/>
                      <w:sz w:val="21"/>
                      <w:szCs w:val="21"/>
                    </w:rPr>
                    <w:t>有关要求</w:t>
                  </w:r>
                </w:p>
              </w:tc>
              <w:tc>
                <w:tcPr>
                  <w:tcW w:w="0" w:type="auto"/>
                  <w:noWrap w:val="0"/>
                  <w:vAlign w:val="center"/>
                </w:tcPr>
                <w:p w14:paraId="1453C0C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0" w:lineRule="atLeast"/>
                    <w:ind w:left="0" w:right="0" w:firstLine="0" w:firstLineChars="0"/>
                    <w:jc w:val="center"/>
                    <w:textAlignment w:val="auto"/>
                    <w:rPr>
                      <w:rFonts w:hint="default" w:ascii="Arial" w:hAnsi="Arial" w:cs="Arial"/>
                      <w:color w:val="auto"/>
                      <w:sz w:val="21"/>
                      <w:szCs w:val="21"/>
                    </w:rPr>
                  </w:pPr>
                  <w:r>
                    <w:rPr>
                      <w:rFonts w:hint="default" w:ascii="Arial" w:hAnsi="Arial" w:cs="Arial"/>
                      <w:color w:val="auto"/>
                      <w:sz w:val="21"/>
                      <w:szCs w:val="21"/>
                    </w:rPr>
                    <w:t>项目情况</w:t>
                  </w:r>
                </w:p>
              </w:tc>
              <w:tc>
                <w:tcPr>
                  <w:tcW w:w="0" w:type="auto"/>
                  <w:noWrap w:val="0"/>
                  <w:vAlign w:val="center"/>
                </w:tcPr>
                <w:p w14:paraId="43620DD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0" w:lineRule="atLeast"/>
                    <w:ind w:left="0" w:right="0" w:firstLine="0" w:firstLineChars="0"/>
                    <w:jc w:val="center"/>
                    <w:textAlignment w:val="auto"/>
                    <w:rPr>
                      <w:rFonts w:hint="default" w:ascii="Arial" w:hAnsi="Arial" w:cs="Arial"/>
                      <w:color w:val="auto"/>
                      <w:sz w:val="21"/>
                      <w:szCs w:val="21"/>
                    </w:rPr>
                  </w:pPr>
                  <w:r>
                    <w:rPr>
                      <w:rFonts w:hint="default" w:ascii="Arial" w:hAnsi="Arial" w:cs="Arial"/>
                      <w:color w:val="auto"/>
                      <w:sz w:val="21"/>
                      <w:szCs w:val="21"/>
                    </w:rPr>
                    <w:t>符合性</w:t>
                  </w:r>
                </w:p>
              </w:tc>
            </w:tr>
            <w:tr w14:paraId="3091FC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283" w:hRule="atLeast"/>
              </w:trPr>
              <w:tc>
                <w:tcPr>
                  <w:tcW w:w="0" w:type="auto"/>
                  <w:noWrap w:val="0"/>
                  <w:vAlign w:val="center"/>
                </w:tcPr>
                <w:p w14:paraId="4603B54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0" w:lineRule="atLeast"/>
                    <w:ind w:left="0" w:right="0" w:firstLine="0" w:firstLineChars="0"/>
                    <w:jc w:val="center"/>
                    <w:textAlignment w:val="auto"/>
                    <w:rPr>
                      <w:rFonts w:hint="default" w:ascii="Arial" w:hAnsi="Arial" w:cs="Arial"/>
                      <w:color w:val="auto"/>
                      <w:sz w:val="21"/>
                      <w:szCs w:val="21"/>
                    </w:rPr>
                  </w:pPr>
                  <w:r>
                    <w:rPr>
                      <w:rFonts w:hint="default" w:ascii="Arial" w:hAnsi="Arial" w:cs="Arial"/>
                      <w:color w:val="auto"/>
                      <w:sz w:val="21"/>
                      <w:szCs w:val="21"/>
                    </w:rPr>
                    <w:t>1</w:t>
                  </w:r>
                </w:p>
              </w:tc>
              <w:tc>
                <w:tcPr>
                  <w:tcW w:w="0" w:type="auto"/>
                  <w:noWrap w:val="0"/>
                  <w:vAlign w:val="center"/>
                </w:tcPr>
                <w:p w14:paraId="074A075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0" w:lineRule="atLeast"/>
                    <w:ind w:left="0" w:right="0" w:firstLine="0" w:firstLineChars="0"/>
                    <w:jc w:val="center"/>
                    <w:textAlignment w:val="auto"/>
                    <w:rPr>
                      <w:rFonts w:hint="default" w:ascii="Arial" w:hAnsi="Arial" w:cs="Arial"/>
                      <w:color w:val="auto"/>
                      <w:sz w:val="21"/>
                      <w:szCs w:val="21"/>
                    </w:rPr>
                  </w:pPr>
                  <w:r>
                    <w:rPr>
                      <w:rFonts w:hint="default" w:ascii="Arial" w:hAnsi="Arial" w:cs="Arial"/>
                      <w:color w:val="auto"/>
                      <w:sz w:val="21"/>
                      <w:szCs w:val="21"/>
                    </w:rPr>
                    <w:t>对太湖流域新建原料化工、燃料、颜料及排放氮磷污染物的工业项目，不予环境准入；实施江、湖一体的氮、磷污染控制，防范和治理江、湖富营养化。严格沿江港口码头项目环境准入，强化环境风险防范措施。</w:t>
                  </w:r>
                </w:p>
              </w:tc>
              <w:tc>
                <w:tcPr>
                  <w:tcW w:w="0" w:type="auto"/>
                  <w:noWrap w:val="0"/>
                  <w:vAlign w:val="center"/>
                </w:tcPr>
                <w:p w14:paraId="27C02D1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0" w:lineRule="atLeast"/>
                    <w:ind w:left="0" w:right="0" w:firstLine="0" w:firstLineChars="0"/>
                    <w:jc w:val="both"/>
                    <w:textAlignment w:val="auto"/>
                    <w:rPr>
                      <w:rFonts w:hint="default" w:ascii="Arial" w:hAnsi="Arial" w:cs="Arial"/>
                      <w:color w:val="auto"/>
                      <w:sz w:val="21"/>
                      <w:szCs w:val="21"/>
                    </w:rPr>
                  </w:pPr>
                  <w:r>
                    <w:rPr>
                      <w:rFonts w:hint="default" w:ascii="Arial" w:hAnsi="Arial" w:cs="Arial"/>
                      <w:color w:val="auto"/>
                      <w:sz w:val="21"/>
                      <w:szCs w:val="21"/>
                    </w:rPr>
                    <w:t>本项目</w:t>
                  </w:r>
                  <w:r>
                    <w:rPr>
                      <w:rFonts w:hint="eastAsia" w:ascii="Arial" w:hAnsi="Arial" w:cs="Arial"/>
                      <w:color w:val="auto"/>
                      <w:sz w:val="21"/>
                      <w:szCs w:val="21"/>
                      <w:lang w:val="en-US" w:eastAsia="zh-CN"/>
                    </w:rPr>
                    <w:t>属于实验研发项目</w:t>
                  </w:r>
                  <w:r>
                    <w:rPr>
                      <w:rFonts w:hint="default" w:ascii="Arial" w:hAnsi="Arial" w:cs="Arial"/>
                      <w:color w:val="auto"/>
                      <w:sz w:val="21"/>
                      <w:szCs w:val="21"/>
                    </w:rPr>
                    <w:t>，不属于原料化工、燃料、颜料工业项目，生活污水经化粪池处理达标后纳管排放，</w:t>
                  </w:r>
                  <w:r>
                    <w:rPr>
                      <w:rFonts w:hint="eastAsia" w:ascii="Arial" w:hAnsi="Arial" w:cs="Arial"/>
                      <w:color w:val="auto"/>
                      <w:sz w:val="21"/>
                      <w:szCs w:val="21"/>
                      <w:lang w:val="en-US" w:eastAsia="zh-CN"/>
                    </w:rPr>
                    <w:t>实验研发产生的清洗废水等经处理后可直接纳管排放，</w:t>
                  </w:r>
                  <w:r>
                    <w:rPr>
                      <w:rFonts w:hint="default" w:ascii="Arial" w:hAnsi="Arial" w:cs="Arial"/>
                      <w:color w:val="auto"/>
                      <w:sz w:val="21"/>
                      <w:szCs w:val="21"/>
                    </w:rPr>
                    <w:t>最终由</w:t>
                  </w:r>
                  <w:r>
                    <w:rPr>
                      <w:rFonts w:hint="eastAsia" w:ascii="Arial" w:hAnsi="Arial" w:cs="Arial"/>
                      <w:color w:val="auto"/>
                      <w:sz w:val="21"/>
                      <w:szCs w:val="21"/>
                      <w:lang w:val="en-US" w:eastAsia="zh-CN"/>
                    </w:rPr>
                    <w:t>余杭</w:t>
                  </w:r>
                  <w:r>
                    <w:rPr>
                      <w:rFonts w:hint="default" w:ascii="Arial" w:hAnsi="Arial" w:cs="Arial"/>
                      <w:color w:val="auto"/>
                      <w:sz w:val="21"/>
                      <w:szCs w:val="21"/>
                    </w:rPr>
                    <w:t>污水处理厂集中处理后达标排放。</w:t>
                  </w:r>
                </w:p>
              </w:tc>
              <w:tc>
                <w:tcPr>
                  <w:tcW w:w="0" w:type="auto"/>
                  <w:noWrap w:val="0"/>
                  <w:vAlign w:val="center"/>
                </w:tcPr>
                <w:p w14:paraId="1524BC0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0" w:lineRule="atLeast"/>
                    <w:ind w:left="0" w:right="0" w:firstLine="0" w:firstLineChars="0"/>
                    <w:jc w:val="center"/>
                    <w:textAlignment w:val="auto"/>
                    <w:rPr>
                      <w:rFonts w:hint="default" w:ascii="Arial" w:hAnsi="Arial" w:cs="Arial"/>
                      <w:color w:val="auto"/>
                      <w:sz w:val="21"/>
                      <w:szCs w:val="21"/>
                    </w:rPr>
                  </w:pPr>
                  <w:r>
                    <w:rPr>
                      <w:rFonts w:hint="default" w:ascii="Arial" w:hAnsi="Arial" w:cs="Arial"/>
                      <w:color w:val="auto"/>
                      <w:sz w:val="21"/>
                      <w:szCs w:val="21"/>
                    </w:rPr>
                    <w:t>符合</w:t>
                  </w:r>
                </w:p>
              </w:tc>
            </w:tr>
          </w:tbl>
          <w:p w14:paraId="48E75444">
            <w:pPr>
              <w:keepNext w:val="0"/>
              <w:keepLines w:val="0"/>
              <w:suppressLineNumbers w:val="0"/>
              <w:spacing w:before="0" w:beforeAutospacing="0" w:after="0" w:afterAutospacing="0" w:line="360" w:lineRule="auto"/>
              <w:ind w:left="0" w:right="0" w:firstLine="480" w:firstLineChars="200"/>
              <w:jc w:val="both"/>
              <w:rPr>
                <w:rFonts w:hint="default" w:ascii="Arial" w:hAnsi="Arial" w:cs="Arial"/>
                <w:color w:val="auto"/>
                <w:sz w:val="24"/>
                <w:szCs w:val="24"/>
              </w:rPr>
            </w:pPr>
            <w:r>
              <w:rPr>
                <w:rFonts w:hint="default" w:ascii="Arial" w:hAnsi="Arial" w:cs="Arial"/>
                <w:color w:val="auto"/>
                <w:sz w:val="24"/>
                <w:szCs w:val="24"/>
              </w:rPr>
              <w:t>由上可知，项目符合《关于落实&lt;水污染防治行动计划&gt;实施区域差别化环境准入的指导意见》有关要求。</w:t>
            </w:r>
          </w:p>
          <w:p w14:paraId="49FD6816">
            <w:pPr>
              <w:keepNext w:val="0"/>
              <w:keepLines w:val="0"/>
              <w:numPr>
                <w:ilvl w:val="0"/>
                <w:numId w:val="0"/>
              </w:numPr>
              <w:suppressLineNumbers w:val="0"/>
              <w:spacing w:before="0" w:beforeAutospacing="0" w:after="0" w:afterAutospacing="0"/>
              <w:ind w:left="0" w:right="0" w:firstLine="480" w:firstLineChars="200"/>
              <w:rPr>
                <w:rFonts w:hint="default" w:eastAsia="宋体" w:cs="Times New Roman"/>
                <w:color w:val="auto"/>
                <w:sz w:val="24"/>
                <w:szCs w:val="24"/>
                <w:lang w:val="en-US" w:eastAsia="zh-CN"/>
              </w:rPr>
            </w:pPr>
            <w:r>
              <w:rPr>
                <w:rFonts w:hint="eastAsia" w:cs="Times New Roman"/>
                <w:color w:val="auto"/>
                <w:kern w:val="2"/>
                <w:sz w:val="24"/>
                <w:szCs w:val="24"/>
                <w:lang w:val="en-US" w:eastAsia="zh-CN" w:bidi="ar-SA"/>
              </w:rPr>
              <w:t>五</w:t>
            </w:r>
            <w:r>
              <w:rPr>
                <w:rFonts w:hint="eastAsia" w:ascii="Times New Roman" w:hAnsi="Times New Roman" w:eastAsia="宋体" w:cs="Times New Roman"/>
                <w:color w:val="auto"/>
                <w:kern w:val="2"/>
                <w:sz w:val="24"/>
                <w:szCs w:val="24"/>
                <w:lang w:val="en-US" w:eastAsia="zh-CN" w:bidi="ar-SA"/>
              </w:rPr>
              <w:t>、</w:t>
            </w:r>
            <w:r>
              <w:rPr>
                <w:rFonts w:hint="eastAsia" w:cs="Times New Roman"/>
                <w:color w:val="auto"/>
                <w:kern w:val="2"/>
                <w:sz w:val="24"/>
                <w:szCs w:val="24"/>
                <w:lang w:val="en-US" w:eastAsia="zh-CN" w:bidi="ar-SA"/>
              </w:rPr>
              <w:t>与</w:t>
            </w:r>
            <w:r>
              <w:rPr>
                <w:rFonts w:hint="eastAsia" w:ascii="Times New Roman" w:hAnsi="Times New Roman" w:eastAsia="宋体" w:cs="Times New Roman"/>
                <w:color w:val="auto"/>
                <w:kern w:val="2"/>
                <w:sz w:val="24"/>
                <w:szCs w:val="24"/>
                <w:lang w:val="en-US" w:eastAsia="zh-CN" w:bidi="ar-SA"/>
              </w:rPr>
              <w:t>《关于进一步加强实验室废物处置监管工作的通知》(浙环发(2019)</w:t>
            </w:r>
            <w:r>
              <w:rPr>
                <w:rFonts w:hint="eastAsia" w:cs="Times New Roman"/>
                <w:color w:val="auto"/>
                <w:sz w:val="24"/>
                <w:szCs w:val="24"/>
              </w:rPr>
              <w:t>的符合性分析</w:t>
            </w:r>
          </w:p>
          <w:p w14:paraId="305AD3D5">
            <w:pPr>
              <w:keepNext w:val="0"/>
              <w:keepLines w:val="0"/>
              <w:suppressLineNumbers w:val="0"/>
              <w:spacing w:before="0" w:beforeAutospacing="0" w:after="0" w:afterAutospacing="0"/>
              <w:ind w:left="0" w:right="0" w:firstLine="0" w:firstLineChars="0"/>
              <w:jc w:val="center"/>
              <w:rPr>
                <w:rFonts w:hint="eastAsia" w:ascii="黑体" w:hAnsi="黑体" w:eastAsia="黑体" w:cs="黑体"/>
                <w:color w:val="auto"/>
                <w:sz w:val="24"/>
                <w:szCs w:val="24"/>
              </w:rPr>
            </w:pPr>
            <w:r>
              <w:rPr>
                <w:rFonts w:hint="eastAsia" w:ascii="黑体" w:hAnsi="黑体" w:eastAsia="黑体" w:cs="黑体"/>
                <w:color w:val="auto"/>
                <w:sz w:val="24"/>
                <w:szCs w:val="24"/>
              </w:rPr>
              <w:t>表</w:t>
            </w:r>
            <w:r>
              <w:rPr>
                <w:rFonts w:hint="default" w:eastAsia="黑体" w:cs="Times New Roman"/>
                <w:color w:val="auto"/>
                <w:sz w:val="24"/>
                <w:szCs w:val="24"/>
              </w:rPr>
              <w:t>1-</w:t>
            </w:r>
            <w:r>
              <w:rPr>
                <w:rFonts w:hint="eastAsia" w:eastAsia="黑体" w:cs="Times New Roman"/>
                <w:color w:val="auto"/>
                <w:sz w:val="24"/>
                <w:szCs w:val="24"/>
                <w:lang w:val="en-US" w:eastAsia="zh-CN"/>
              </w:rPr>
              <w:t>7</w:t>
            </w:r>
            <w:r>
              <w:rPr>
                <w:rFonts w:hint="eastAsia" w:eastAsia="黑体" w:cs="Times New Roman"/>
                <w:color w:val="auto"/>
                <w:sz w:val="24"/>
                <w:szCs w:val="24"/>
              </w:rPr>
              <w:t xml:space="preserve"> </w:t>
            </w:r>
            <w:r>
              <w:rPr>
                <w:rFonts w:hint="eastAsia" w:ascii="黑体" w:hAnsi="黑体" w:eastAsia="黑体" w:cs="黑体"/>
                <w:color w:val="auto"/>
                <w:sz w:val="24"/>
                <w:szCs w:val="24"/>
              </w:rPr>
              <w:t xml:space="preserve"> </w:t>
            </w:r>
            <w:r>
              <w:rPr>
                <w:rFonts w:hint="eastAsia" w:ascii="黑体" w:hAnsi="黑体" w:eastAsia="黑体" w:cs="黑体"/>
                <w:color w:val="auto"/>
                <w:sz w:val="24"/>
                <w:szCs w:val="24"/>
                <w:lang w:val="en-US" w:eastAsia="zh-CN"/>
              </w:rPr>
              <w:t>《关于进一步加强实验室废物处置监管工作的通知》</w:t>
            </w:r>
            <w:r>
              <w:rPr>
                <w:rFonts w:hint="eastAsia" w:ascii="黑体" w:hAnsi="黑体" w:eastAsia="黑体" w:cs="黑体"/>
                <w:color w:val="auto"/>
                <w:sz w:val="24"/>
                <w:szCs w:val="24"/>
              </w:rPr>
              <w:t>符合性分析</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3803"/>
              <w:gridCol w:w="2346"/>
              <w:gridCol w:w="837"/>
            </w:tblGrid>
            <w:tr w14:paraId="14905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vAlign w:val="center"/>
                </w:tcPr>
                <w:p w14:paraId="5BBDC185">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序号</w:t>
                  </w:r>
                </w:p>
              </w:tc>
              <w:tc>
                <w:tcPr>
                  <w:tcW w:w="3803" w:type="dxa"/>
                  <w:vAlign w:val="center"/>
                </w:tcPr>
                <w:p w14:paraId="593E9465">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方案要求</w:t>
                  </w:r>
                </w:p>
              </w:tc>
              <w:tc>
                <w:tcPr>
                  <w:tcW w:w="2346" w:type="dxa"/>
                  <w:vAlign w:val="center"/>
                </w:tcPr>
                <w:p w14:paraId="02FCDB96">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本项目</w:t>
                  </w:r>
                </w:p>
              </w:tc>
              <w:tc>
                <w:tcPr>
                  <w:tcW w:w="837" w:type="dxa"/>
                  <w:vAlign w:val="center"/>
                </w:tcPr>
                <w:p w14:paraId="76479E41">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是否符合</w:t>
                  </w:r>
                </w:p>
              </w:tc>
            </w:tr>
            <w:tr w14:paraId="1DB6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vAlign w:val="center"/>
                </w:tcPr>
                <w:p w14:paraId="5AF00ABD">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1</w:t>
                  </w:r>
                </w:p>
              </w:tc>
              <w:tc>
                <w:tcPr>
                  <w:tcW w:w="3803" w:type="dxa"/>
                  <w:vAlign w:val="center"/>
                </w:tcPr>
                <w:p w14:paraId="7FFEA752">
                  <w:pPr>
                    <w:keepNext w:val="0"/>
                    <w:keepLines w:val="0"/>
                    <w:suppressLineNumbers w:val="0"/>
                    <w:spacing w:before="0" w:beforeAutospacing="0" w:after="0" w:afterAutospacing="0" w:line="240" w:lineRule="auto"/>
                    <w:ind w:left="0" w:right="0" w:firstLine="0" w:firstLineChars="0"/>
                    <w:jc w:val="both"/>
                    <w:rPr>
                      <w:rFonts w:hint="default" w:cs="Times New Roman"/>
                      <w:color w:val="auto"/>
                      <w:sz w:val="21"/>
                      <w:szCs w:val="21"/>
                    </w:rPr>
                  </w:pPr>
                  <w:r>
                    <w:rPr>
                      <w:rFonts w:hint="default" w:cs="Times New Roman"/>
                      <w:color w:val="auto"/>
                      <w:sz w:val="21"/>
                      <w:szCs w:val="21"/>
                    </w:rPr>
                    <w:t>强化源头管理。根据法律法规的有关规定，教育、科研、医疗卫生、检测机构等实验室废物产生者是实验室度物规范管理的责任主体。各实验室度物产生单位应加强实验室度物基础信息管理，根据相关法规对照经批准(备案)的环境影响评价、“三同时”验收文件或固废核查结果，结合教学科研实际，理清产废环节，摸清实验室废物产生种类与数量、贮存设施以及委托处置等情况，并登录浙江省固体废物管理信息系统填报相关情况。本文所述实验室废物外的固体度物，无需在信息系统填报。</w:t>
                  </w:r>
                </w:p>
              </w:tc>
              <w:tc>
                <w:tcPr>
                  <w:tcW w:w="2346" w:type="dxa"/>
                  <w:vAlign w:val="center"/>
                </w:tcPr>
                <w:p w14:paraId="06F3F476">
                  <w:pPr>
                    <w:keepNext w:val="0"/>
                    <w:keepLines w:val="0"/>
                    <w:suppressLineNumbers w:val="0"/>
                    <w:spacing w:before="0" w:beforeAutospacing="0" w:after="0" w:afterAutospacing="0" w:line="240" w:lineRule="auto"/>
                    <w:ind w:left="0" w:right="0" w:firstLine="0" w:firstLineChars="0"/>
                    <w:jc w:val="both"/>
                    <w:rPr>
                      <w:rFonts w:hint="default" w:eastAsia="宋体" w:cs="Times New Roman"/>
                      <w:color w:val="auto"/>
                      <w:sz w:val="21"/>
                      <w:szCs w:val="21"/>
                      <w:lang w:val="en-US" w:eastAsia="zh-CN"/>
                    </w:rPr>
                  </w:pPr>
                  <w:r>
                    <w:rPr>
                      <w:rFonts w:hint="default" w:eastAsia="宋体" w:cs="Times New Roman"/>
                      <w:color w:val="auto"/>
                      <w:sz w:val="21"/>
                      <w:szCs w:val="21"/>
                      <w:lang w:val="en-US" w:eastAsia="zh-CN"/>
                    </w:rPr>
                    <w:t>本项目实验过程产生的沾染化学品的废包装材料、实</w:t>
                  </w:r>
                  <w:r>
                    <w:rPr>
                      <w:rFonts w:hint="default" w:eastAsia="宋体" w:cs="Times New Roman"/>
                      <w:color w:val="auto"/>
                      <w:sz w:val="21"/>
                      <w:szCs w:val="21"/>
                      <w:highlight w:val="none"/>
                      <w:lang w:val="en-US" w:eastAsia="zh-CN"/>
                    </w:rPr>
                    <w:t>验废液等危废，严格按照危险</w:t>
                  </w:r>
                  <w:r>
                    <w:rPr>
                      <w:rFonts w:hint="eastAsia" w:cs="Times New Roman"/>
                      <w:color w:val="auto"/>
                      <w:sz w:val="21"/>
                      <w:szCs w:val="21"/>
                      <w:highlight w:val="none"/>
                      <w:lang w:val="en-US" w:eastAsia="zh-CN"/>
                    </w:rPr>
                    <w:t>废</w:t>
                  </w:r>
                  <w:r>
                    <w:rPr>
                      <w:rFonts w:hint="default" w:eastAsia="宋体" w:cs="Times New Roman"/>
                      <w:color w:val="auto"/>
                      <w:sz w:val="21"/>
                      <w:szCs w:val="21"/>
                      <w:highlight w:val="none"/>
                      <w:lang w:val="en-US" w:eastAsia="zh-CN"/>
                    </w:rPr>
                    <w:t>物要求进行贮存和处置，</w:t>
                  </w:r>
                  <w:r>
                    <w:rPr>
                      <w:rFonts w:hint="default" w:eastAsia="宋体" w:cs="Times New Roman"/>
                      <w:color w:val="auto"/>
                      <w:sz w:val="21"/>
                      <w:szCs w:val="21"/>
                      <w:lang w:val="en-US" w:eastAsia="zh-CN"/>
                    </w:rPr>
                    <w:t>并记录危废台账保留在案。同时要求项目建成后及时登录浙江省固体废物管理信息系统填报相关固体废物情况。</w:t>
                  </w:r>
                </w:p>
              </w:tc>
              <w:tc>
                <w:tcPr>
                  <w:tcW w:w="837" w:type="dxa"/>
                  <w:vAlign w:val="center"/>
                </w:tcPr>
                <w:p w14:paraId="766ABAC2">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符合</w:t>
                  </w:r>
                </w:p>
              </w:tc>
            </w:tr>
            <w:tr w14:paraId="2EF6A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vAlign w:val="center"/>
                </w:tcPr>
                <w:p w14:paraId="5189692E">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2</w:t>
                  </w:r>
                </w:p>
              </w:tc>
              <w:tc>
                <w:tcPr>
                  <w:tcW w:w="3803" w:type="dxa"/>
                  <w:vAlign w:val="center"/>
                </w:tcPr>
                <w:p w14:paraId="3BC2B8A8">
                  <w:pPr>
                    <w:keepNext w:val="0"/>
                    <w:keepLines w:val="0"/>
                    <w:suppressLineNumbers w:val="0"/>
                    <w:spacing w:before="0" w:beforeAutospacing="0" w:after="0" w:afterAutospacing="0" w:line="240" w:lineRule="auto"/>
                    <w:ind w:left="0" w:right="0" w:firstLine="0" w:firstLineChars="0"/>
                    <w:jc w:val="both"/>
                    <w:rPr>
                      <w:rFonts w:hint="default" w:cs="Times New Roman"/>
                      <w:color w:val="auto"/>
                      <w:sz w:val="21"/>
                      <w:szCs w:val="21"/>
                    </w:rPr>
                  </w:pPr>
                  <w:r>
                    <w:rPr>
                      <w:rFonts w:hint="default" w:cs="Times New Roman"/>
                      <w:color w:val="auto"/>
                      <w:sz w:val="21"/>
                      <w:szCs w:val="21"/>
                    </w:rPr>
                    <w:t>落实“三化”措施。各实验室废物产生单位应按照固废处置的“减量化、资源化、无害化”原则，制定管理措施，将其纳入日常工作计划。督促各实验室责任人进一步减少有毒有害原料使用与资源浪费，鼓励采取资源循环利用与就地减量化措施，支持实验室废物产生单位购置设备对实验室废物进行净化和达标处理，切实减轻实验活动对生态环境的影响。</w:t>
                  </w:r>
                </w:p>
              </w:tc>
              <w:tc>
                <w:tcPr>
                  <w:tcW w:w="2346" w:type="dxa"/>
                  <w:vAlign w:val="center"/>
                </w:tcPr>
                <w:p w14:paraId="496D1940">
                  <w:pPr>
                    <w:keepNext w:val="0"/>
                    <w:keepLines w:val="0"/>
                    <w:suppressLineNumbers w:val="0"/>
                    <w:spacing w:before="0" w:beforeAutospacing="0" w:after="0" w:afterAutospacing="0" w:line="240" w:lineRule="auto"/>
                    <w:ind w:left="0" w:right="0" w:firstLine="0" w:firstLineChars="0"/>
                    <w:jc w:val="both"/>
                    <w:rPr>
                      <w:rFonts w:hint="default" w:cs="Times New Roman"/>
                      <w:color w:val="auto"/>
                      <w:sz w:val="21"/>
                      <w:szCs w:val="21"/>
                    </w:rPr>
                  </w:pPr>
                  <w:r>
                    <w:rPr>
                      <w:rFonts w:hint="default" w:cs="Times New Roman"/>
                      <w:color w:val="auto"/>
                      <w:sz w:val="21"/>
                      <w:szCs w:val="21"/>
                    </w:rPr>
                    <w:t>本项目实验室废物按照“三化”措施进行处置，并纳入日常工作计划。同时对实验室负责人进行定期培训，督促减少有毒有害原料使用与资源浪费，减轻实验活动对生态环境影响。</w:t>
                  </w:r>
                </w:p>
              </w:tc>
              <w:tc>
                <w:tcPr>
                  <w:tcW w:w="837" w:type="dxa"/>
                  <w:vAlign w:val="center"/>
                </w:tcPr>
                <w:p w14:paraId="4C7D7139">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符合</w:t>
                  </w:r>
                </w:p>
              </w:tc>
            </w:tr>
            <w:tr w14:paraId="3D13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vAlign w:val="center"/>
                </w:tcPr>
                <w:p w14:paraId="157CD80A">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3</w:t>
                  </w:r>
                </w:p>
              </w:tc>
              <w:tc>
                <w:tcPr>
                  <w:tcW w:w="3803" w:type="dxa"/>
                  <w:vAlign w:val="center"/>
                </w:tcPr>
                <w:p w14:paraId="5498F2B1">
                  <w:pPr>
                    <w:keepNext w:val="0"/>
                    <w:keepLines w:val="0"/>
                    <w:suppressLineNumbers w:val="0"/>
                    <w:spacing w:before="0" w:beforeAutospacing="0" w:after="0" w:afterAutospacing="0" w:line="240" w:lineRule="auto"/>
                    <w:ind w:left="0" w:right="0" w:firstLine="0" w:firstLineChars="0"/>
                    <w:jc w:val="both"/>
                    <w:rPr>
                      <w:rFonts w:hint="default" w:cs="Times New Roman"/>
                      <w:color w:val="auto"/>
                      <w:sz w:val="21"/>
                      <w:szCs w:val="21"/>
                    </w:rPr>
                  </w:pPr>
                  <w:r>
                    <w:rPr>
                      <w:rFonts w:hint="default" w:cs="Times New Roman"/>
                      <w:color w:val="auto"/>
                      <w:sz w:val="21"/>
                      <w:szCs w:val="21"/>
                    </w:rPr>
                    <w:t>分类收集处置。各实验室废物产生单位要按照、《实验室废弃化学品收集技术规范》(GB/T31190-2014)、《危险废物贮存污染控制标准》(GB185972001)有关要求做好分类收集工作，建设规范且满足防渗防漏需求的贮存设施，并按普通有机类、普通无机类、含重金属类、含汞等高危物质(除剧毒品外)类、剧毒废试剂类、易燃易爆类、实验室产生的医疗废物等七分法进行分类存放，要按照相关法律法规要求执行危险废物申报登记、管理计划备案、转移联单等管理制度，做到分类收集贮存、依法委托处置。</w:t>
                  </w:r>
                </w:p>
              </w:tc>
              <w:tc>
                <w:tcPr>
                  <w:tcW w:w="2346" w:type="dxa"/>
                  <w:vAlign w:val="center"/>
                </w:tcPr>
                <w:p w14:paraId="4ADFD8A0">
                  <w:pPr>
                    <w:keepNext w:val="0"/>
                    <w:keepLines w:val="0"/>
                    <w:suppressLineNumbers w:val="0"/>
                    <w:spacing w:before="0" w:beforeAutospacing="0" w:after="0" w:afterAutospacing="0" w:line="240" w:lineRule="auto"/>
                    <w:ind w:left="0" w:right="0" w:firstLine="0" w:firstLineChars="0"/>
                    <w:jc w:val="both"/>
                    <w:rPr>
                      <w:rFonts w:hint="default" w:cs="Times New Roman"/>
                      <w:color w:val="auto"/>
                      <w:sz w:val="21"/>
                      <w:szCs w:val="21"/>
                      <w:lang w:val="en-US"/>
                    </w:rPr>
                  </w:pPr>
                  <w:r>
                    <w:rPr>
                      <w:rFonts w:hint="eastAsia" w:cs="Times New Roman"/>
                      <w:color w:val="auto"/>
                      <w:sz w:val="21"/>
                      <w:szCs w:val="21"/>
                      <w:lang w:val="en-US" w:eastAsia="zh-CN"/>
                    </w:rPr>
                    <w:t>要求实验室产生的危废分类按照相关要求做好分类收集、分类存放，并按照相关要求进行申报登记、管理计划备案、转移联单等管理制度，做到分类收集贮存、依法委托处置。</w:t>
                  </w:r>
                </w:p>
              </w:tc>
              <w:tc>
                <w:tcPr>
                  <w:tcW w:w="837" w:type="dxa"/>
                  <w:vAlign w:val="center"/>
                </w:tcPr>
                <w:p w14:paraId="41A18F35">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符合</w:t>
                  </w:r>
                </w:p>
              </w:tc>
            </w:tr>
          </w:tbl>
          <w:p w14:paraId="3A1EEE03">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lang w:val="en-US" w:eastAsia="zh-CN"/>
              </w:rPr>
              <w:t>六</w:t>
            </w:r>
            <w:r>
              <w:rPr>
                <w:rFonts w:hint="eastAsia" w:cs="Times New Roman"/>
                <w:color w:val="auto"/>
                <w:sz w:val="24"/>
                <w:szCs w:val="24"/>
              </w:rPr>
              <w:t>、与《长江经济带发展负面清单指南（试行，2022年版）浙江省实施细则》符合性分析</w:t>
            </w:r>
          </w:p>
          <w:p w14:paraId="7FA21DE9">
            <w:pPr>
              <w:keepNext w:val="0"/>
              <w:keepLines w:val="0"/>
              <w:suppressLineNumbers w:val="0"/>
              <w:spacing w:before="0" w:beforeAutospacing="0" w:after="0" w:afterAutospacing="0"/>
              <w:ind w:left="0" w:right="0" w:firstLine="420"/>
              <w:rPr>
                <w:rFonts w:hint="default" w:cs="Times New Roman"/>
                <w:color w:val="auto"/>
                <w:sz w:val="24"/>
                <w:szCs w:val="24"/>
              </w:rPr>
            </w:pPr>
            <w:r>
              <w:rPr>
                <w:rFonts w:hint="eastAsia" w:cs="Times New Roman"/>
                <w:color w:val="auto"/>
                <w:sz w:val="24"/>
                <w:szCs w:val="24"/>
              </w:rPr>
              <w:t>对照文件要求，本项目符合性分析具体见下表。</w:t>
            </w:r>
          </w:p>
          <w:p w14:paraId="0CC5C4E9">
            <w:pPr>
              <w:keepNext w:val="0"/>
              <w:keepLines w:val="0"/>
              <w:suppressLineNumbers w:val="0"/>
              <w:spacing w:before="0" w:beforeAutospacing="0" w:after="0" w:afterAutospacing="0"/>
              <w:ind w:left="0" w:right="0" w:firstLine="0" w:firstLineChars="0"/>
              <w:jc w:val="center"/>
              <w:rPr>
                <w:rFonts w:hint="eastAsia" w:ascii="黑体" w:hAnsi="黑体" w:eastAsia="黑体" w:cs="黑体"/>
                <w:color w:val="auto"/>
                <w:sz w:val="24"/>
                <w:szCs w:val="24"/>
              </w:rPr>
            </w:pPr>
            <w:r>
              <w:rPr>
                <w:rFonts w:hint="eastAsia" w:ascii="黑体" w:hAnsi="黑体" w:eastAsia="黑体" w:cs="黑体"/>
                <w:color w:val="auto"/>
                <w:sz w:val="24"/>
                <w:szCs w:val="24"/>
              </w:rPr>
              <w:t>表</w:t>
            </w:r>
            <w:r>
              <w:rPr>
                <w:rFonts w:hint="default" w:eastAsia="黑体" w:cs="Times New Roman"/>
                <w:color w:val="auto"/>
                <w:sz w:val="24"/>
                <w:szCs w:val="24"/>
              </w:rPr>
              <w:t>1-</w:t>
            </w:r>
            <w:r>
              <w:rPr>
                <w:rFonts w:hint="eastAsia" w:eastAsia="黑体" w:cs="Times New Roman"/>
                <w:color w:val="auto"/>
                <w:sz w:val="24"/>
                <w:szCs w:val="24"/>
                <w:lang w:val="en-US" w:eastAsia="zh-CN"/>
              </w:rPr>
              <w:t>8</w:t>
            </w:r>
            <w:r>
              <w:rPr>
                <w:rFonts w:hint="eastAsia" w:eastAsia="黑体" w:cs="Times New Roman"/>
                <w:color w:val="auto"/>
                <w:sz w:val="24"/>
                <w:szCs w:val="24"/>
              </w:rPr>
              <w:t xml:space="preserve"> </w:t>
            </w:r>
            <w:r>
              <w:rPr>
                <w:rFonts w:hint="eastAsia" w:ascii="黑体" w:hAnsi="黑体" w:eastAsia="黑体" w:cs="黑体"/>
                <w:color w:val="auto"/>
                <w:sz w:val="24"/>
                <w:szCs w:val="24"/>
              </w:rPr>
              <w:t xml:space="preserve"> 长江经济带发展负面清单符合性分析</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4527"/>
              <w:gridCol w:w="1816"/>
              <w:gridCol w:w="650"/>
            </w:tblGrid>
            <w:tr w14:paraId="59F7D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0EE2E132">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序号</w:t>
                  </w:r>
                </w:p>
              </w:tc>
              <w:tc>
                <w:tcPr>
                  <w:tcW w:w="4976" w:type="dxa"/>
                  <w:vAlign w:val="center"/>
                </w:tcPr>
                <w:p w14:paraId="2FABC82E">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具体要求</w:t>
                  </w:r>
                </w:p>
              </w:tc>
              <w:tc>
                <w:tcPr>
                  <w:tcW w:w="1960" w:type="dxa"/>
                  <w:vAlign w:val="center"/>
                </w:tcPr>
                <w:p w14:paraId="7D1B9A43">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本项目情况</w:t>
                  </w:r>
                </w:p>
              </w:tc>
              <w:tc>
                <w:tcPr>
                  <w:tcW w:w="677" w:type="dxa"/>
                  <w:vAlign w:val="center"/>
                </w:tcPr>
                <w:p w14:paraId="478690F2">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是否符合</w:t>
                  </w:r>
                </w:p>
              </w:tc>
            </w:tr>
            <w:tr w14:paraId="7C86F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266985E2">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1</w:t>
                  </w:r>
                </w:p>
              </w:tc>
              <w:tc>
                <w:tcPr>
                  <w:tcW w:w="4976" w:type="dxa"/>
                  <w:vAlign w:val="center"/>
                </w:tcPr>
                <w:p w14:paraId="69059751">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港口码头项目建设必须严格遵守《中华人民共和国港口法》、交通运输部《港口规划管理规定》《港口工程建设管理规定》以及《浙江省港口管理条例》的规定。</w:t>
                  </w:r>
                </w:p>
              </w:tc>
              <w:tc>
                <w:tcPr>
                  <w:tcW w:w="1960" w:type="dxa"/>
                  <w:vAlign w:val="center"/>
                </w:tcPr>
                <w:p w14:paraId="084971F5">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w:t>
                  </w:r>
                  <w:r>
                    <w:rPr>
                      <w:rFonts w:hint="default" w:cs="Times New Roman"/>
                      <w:bCs/>
                      <w:color w:val="auto"/>
                      <w:kern w:val="0"/>
                      <w:sz w:val="21"/>
                      <w:szCs w:val="21"/>
                    </w:rPr>
                    <w:t>项目不属于港口码头项目。</w:t>
                  </w:r>
                </w:p>
              </w:tc>
              <w:tc>
                <w:tcPr>
                  <w:tcW w:w="677" w:type="dxa"/>
                  <w:vAlign w:val="center"/>
                </w:tcPr>
                <w:p w14:paraId="5D54D467">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512C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7C54BD37">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2</w:t>
                  </w:r>
                </w:p>
              </w:tc>
              <w:tc>
                <w:tcPr>
                  <w:tcW w:w="4976" w:type="dxa"/>
                  <w:vAlign w:val="center"/>
                </w:tcPr>
                <w:p w14:paraId="43612B5F">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禁止建设不符合《全国沿海港口布局规划》《全国内河航道与港口布局规划》《浙江省沿海港口布局规划》、《浙江省内河航运发展规划》以及项目所在地港口总体规划、国土空间规划的港口码头项目。经国务院或国家发展改革委审批、核准的港口码头项目，军事和渔业港口码头项目，按照国家有关规定执行。城市休闲旅游配套码头、陆岛交通码头等涉及民生的港口码头项目，结合国土空间规划和督导交通专项规划等另行研究执行。</w:t>
                  </w:r>
                </w:p>
              </w:tc>
              <w:tc>
                <w:tcPr>
                  <w:tcW w:w="1960" w:type="dxa"/>
                  <w:vAlign w:val="center"/>
                </w:tcPr>
                <w:p w14:paraId="2EEA8F53">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w:t>
                  </w:r>
                  <w:r>
                    <w:rPr>
                      <w:rFonts w:hint="default" w:cs="Times New Roman"/>
                      <w:bCs/>
                      <w:color w:val="auto"/>
                      <w:kern w:val="0"/>
                      <w:sz w:val="21"/>
                      <w:szCs w:val="21"/>
                    </w:rPr>
                    <w:t>项目不属于港口码头项目。</w:t>
                  </w:r>
                </w:p>
              </w:tc>
              <w:tc>
                <w:tcPr>
                  <w:tcW w:w="677" w:type="dxa"/>
                  <w:vAlign w:val="center"/>
                </w:tcPr>
                <w:p w14:paraId="78C2B1FB">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37B7C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1B789670">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3</w:t>
                  </w:r>
                </w:p>
              </w:tc>
              <w:tc>
                <w:tcPr>
                  <w:tcW w:w="4976" w:type="dxa"/>
                  <w:vAlign w:val="center"/>
                </w:tcPr>
                <w:p w14:paraId="192E6815">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禁止在自然保护地的岸线和河段范围内投资建设不符合《浙江省自然保护地建设项目准入负面清单（试行）》的项目。禁止在自然保护地的岸线和河段范围内采石、采砂、采土、砍伐及其他严重改变地形地貌、破坏自然生态、影响自然景观的开发利用行为。禁止在I级林地、一级国家级公益林内建设项目。自然保护地由省林业局会同相关管理机构界定。</w:t>
                  </w:r>
                </w:p>
              </w:tc>
              <w:tc>
                <w:tcPr>
                  <w:tcW w:w="1960" w:type="dxa"/>
                  <w:vAlign w:val="center"/>
                </w:tcPr>
                <w:p w14:paraId="7477EEFE">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w:t>
                  </w:r>
                  <w:r>
                    <w:rPr>
                      <w:rFonts w:hint="default" w:cs="Times New Roman"/>
                      <w:bCs/>
                      <w:color w:val="auto"/>
                      <w:kern w:val="0"/>
                      <w:sz w:val="21"/>
                      <w:szCs w:val="21"/>
                    </w:rPr>
                    <w:t>项目不在自然保护地的岸线和河段范围内，不在I级林地、一级国家级公益林内。</w:t>
                  </w:r>
                </w:p>
              </w:tc>
              <w:tc>
                <w:tcPr>
                  <w:tcW w:w="677" w:type="dxa"/>
                  <w:vAlign w:val="center"/>
                </w:tcPr>
                <w:p w14:paraId="48DD8F0B">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106C0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7ABFA314">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4</w:t>
                  </w:r>
                </w:p>
              </w:tc>
              <w:tc>
                <w:tcPr>
                  <w:tcW w:w="4976" w:type="dxa"/>
                  <w:vAlign w:val="center"/>
                </w:tcPr>
                <w:p w14:paraId="15A82DFE">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禁止在饮用水水源一级保护区、二级保护区、准保护区的岸线和河段范围内投资建设不符合《浙江省饮用水源保护条例》的项目。饮用水水源一级保护区、二级保护区、准保护区由省生态环境厅会同相关管理机构界定。</w:t>
                  </w:r>
                </w:p>
              </w:tc>
              <w:tc>
                <w:tcPr>
                  <w:tcW w:w="1960" w:type="dxa"/>
                  <w:vAlign w:val="center"/>
                </w:tcPr>
                <w:p w14:paraId="1EF437B3">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w:t>
                  </w:r>
                  <w:r>
                    <w:rPr>
                      <w:rFonts w:hint="default" w:cs="Times New Roman"/>
                      <w:bCs/>
                      <w:color w:val="auto"/>
                      <w:kern w:val="0"/>
                      <w:sz w:val="21"/>
                      <w:szCs w:val="21"/>
                    </w:rPr>
                    <w:t>项目不在饮用水水源一级保护区、二级保护区、准保护区的岸线和河段范围内。</w:t>
                  </w:r>
                </w:p>
              </w:tc>
              <w:tc>
                <w:tcPr>
                  <w:tcW w:w="677" w:type="dxa"/>
                  <w:vAlign w:val="center"/>
                </w:tcPr>
                <w:p w14:paraId="59E5B517">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29CC7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5DE33708">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5</w:t>
                  </w:r>
                </w:p>
              </w:tc>
              <w:tc>
                <w:tcPr>
                  <w:tcW w:w="4976" w:type="dxa"/>
                  <w:vAlign w:val="center"/>
                </w:tcPr>
                <w:p w14:paraId="5F10F0DA">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禁止在水产种质资源保护区的岸线和河段范围内新建围湖造田、围海造地或围填海等投资建设项目。水产种质资源保护区由省农业农村厅会同相关管理机构界定。</w:t>
                  </w:r>
                </w:p>
              </w:tc>
              <w:tc>
                <w:tcPr>
                  <w:tcW w:w="1960" w:type="dxa"/>
                  <w:vAlign w:val="center"/>
                </w:tcPr>
                <w:p w14:paraId="7D06AAD7">
                  <w:pPr>
                    <w:keepNext w:val="0"/>
                    <w:keepLines w:val="0"/>
                    <w:suppressLineNumbers w:val="0"/>
                    <w:spacing w:before="0" w:beforeAutospacing="0" w:after="0" w:afterAutospacing="0" w:line="240" w:lineRule="auto"/>
                    <w:ind w:left="0" w:right="0" w:firstLine="0" w:firstLineChars="0"/>
                    <w:rPr>
                      <w:rFonts w:hint="eastAsia" w:eastAsia="宋体" w:cs="Times New Roman"/>
                      <w:bCs/>
                      <w:color w:val="auto"/>
                      <w:kern w:val="0"/>
                      <w:sz w:val="21"/>
                      <w:szCs w:val="21"/>
                      <w:lang w:eastAsia="zh-CN"/>
                    </w:rPr>
                  </w:pPr>
                  <w:r>
                    <w:rPr>
                      <w:rFonts w:hint="eastAsia" w:cs="Times New Roman"/>
                      <w:bCs/>
                      <w:color w:val="auto"/>
                      <w:kern w:val="0"/>
                      <w:sz w:val="21"/>
                      <w:szCs w:val="21"/>
                    </w:rPr>
                    <w:t>本</w:t>
                  </w:r>
                  <w:r>
                    <w:rPr>
                      <w:rFonts w:hint="default" w:cs="Times New Roman"/>
                      <w:bCs/>
                      <w:color w:val="auto"/>
                      <w:kern w:val="0"/>
                      <w:sz w:val="21"/>
                      <w:szCs w:val="21"/>
                    </w:rPr>
                    <w:t>项目不在水产种质资源保护区的岸线和河段范围内</w:t>
                  </w:r>
                  <w:r>
                    <w:rPr>
                      <w:rFonts w:hint="eastAsia" w:cs="Times New Roman"/>
                      <w:bCs/>
                      <w:color w:val="auto"/>
                      <w:kern w:val="0"/>
                      <w:sz w:val="21"/>
                      <w:szCs w:val="21"/>
                      <w:lang w:eastAsia="zh-CN"/>
                    </w:rPr>
                    <w:t>。</w:t>
                  </w:r>
                </w:p>
              </w:tc>
              <w:tc>
                <w:tcPr>
                  <w:tcW w:w="677" w:type="dxa"/>
                  <w:vAlign w:val="center"/>
                </w:tcPr>
                <w:p w14:paraId="155C456F">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47AA8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5BFFBE07">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6</w:t>
                  </w:r>
                </w:p>
              </w:tc>
              <w:tc>
                <w:tcPr>
                  <w:tcW w:w="4976" w:type="dxa"/>
                  <w:vAlign w:val="center"/>
                </w:tcPr>
                <w:p w14:paraId="5035BB31">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在国家湿地公园的岸线和河段范围内：</w:t>
                  </w:r>
                </w:p>
                <w:p w14:paraId="26DAF0ED">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（一）禁止挖沙、采矿；</w:t>
                  </w:r>
                </w:p>
                <w:p w14:paraId="3A39A0F4">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（二）禁止任何不符合主体功能定位的投资建设项目；</w:t>
                  </w:r>
                </w:p>
                <w:p w14:paraId="16E6E9C4">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（三）禁止开（围）垦、填埋或者排干湿地；</w:t>
                  </w:r>
                </w:p>
                <w:p w14:paraId="14DB15AE">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（四）禁止截断湿地水源；</w:t>
                  </w:r>
                </w:p>
                <w:p w14:paraId="6E151A0D">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（五）禁止倾倒有毒有害物质、废弃物、垃圾；</w:t>
                  </w:r>
                </w:p>
                <w:p w14:paraId="5E37E8FF">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（六）禁止破坏野生动物栖息地和迁徙通道、鱼类洄游通道，禁止滥采滥捕野生动植物；</w:t>
                  </w:r>
                </w:p>
                <w:p w14:paraId="2C0963C4">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（七）禁止引入外来物种；</w:t>
                  </w:r>
                </w:p>
                <w:p w14:paraId="4E3C7647">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（八）禁止擅自放牧、捕捞、取土、取水、排污、放生；</w:t>
                  </w:r>
                </w:p>
                <w:p w14:paraId="2961940E">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（九）禁止其他破坏湿地及其生态功能的活动。</w:t>
                  </w:r>
                </w:p>
                <w:p w14:paraId="73A2B9EA">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国家湿地公园由省林业局会同相关管理机构界定。</w:t>
                  </w:r>
                </w:p>
              </w:tc>
              <w:tc>
                <w:tcPr>
                  <w:tcW w:w="1960" w:type="dxa"/>
                  <w:vAlign w:val="center"/>
                </w:tcPr>
                <w:p w14:paraId="460C2A18">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w:t>
                  </w:r>
                  <w:r>
                    <w:rPr>
                      <w:rFonts w:hint="default" w:cs="Times New Roman"/>
                      <w:bCs/>
                      <w:color w:val="auto"/>
                      <w:kern w:val="0"/>
                      <w:sz w:val="21"/>
                      <w:szCs w:val="21"/>
                    </w:rPr>
                    <w:t>项目不在国家湿地公园的岸线和河段范围内。</w:t>
                  </w:r>
                </w:p>
              </w:tc>
              <w:tc>
                <w:tcPr>
                  <w:tcW w:w="677" w:type="dxa"/>
                  <w:vAlign w:val="center"/>
                </w:tcPr>
                <w:p w14:paraId="0690D5E8">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733B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238B33F1">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7</w:t>
                  </w:r>
                </w:p>
              </w:tc>
              <w:tc>
                <w:tcPr>
                  <w:tcW w:w="4976" w:type="dxa"/>
                  <w:vAlign w:val="center"/>
                </w:tcPr>
                <w:p w14:paraId="606067D9">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禁止违法利用、占用长江流域河湖岸线。</w:t>
                  </w:r>
                </w:p>
              </w:tc>
              <w:tc>
                <w:tcPr>
                  <w:tcW w:w="1960" w:type="dxa"/>
                  <w:vAlign w:val="center"/>
                </w:tcPr>
                <w:p w14:paraId="26CFCA85">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w:t>
                  </w:r>
                  <w:r>
                    <w:rPr>
                      <w:rFonts w:hint="default" w:cs="Times New Roman"/>
                      <w:bCs/>
                      <w:color w:val="auto"/>
                      <w:kern w:val="0"/>
                      <w:sz w:val="21"/>
                      <w:szCs w:val="21"/>
                    </w:rPr>
                    <w:t>项目不在长江流域河湖岸线。</w:t>
                  </w:r>
                </w:p>
              </w:tc>
              <w:tc>
                <w:tcPr>
                  <w:tcW w:w="677" w:type="dxa"/>
                  <w:vAlign w:val="center"/>
                </w:tcPr>
                <w:p w14:paraId="33BA817C">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32D70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4EB06939">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8</w:t>
                  </w:r>
                </w:p>
              </w:tc>
              <w:tc>
                <w:tcPr>
                  <w:tcW w:w="4976" w:type="dxa"/>
                  <w:vAlign w:val="center"/>
                </w:tcPr>
                <w:p w14:paraId="4189C14E">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禁止在《长江岸线保护和开发利用总体规划》划定的岸线保护区和保留区内投资建设除事关公共安全及公众利益的防洪护岸、河道治理、供水、生态环境保护、国家重要基础设施以外的项目。</w:t>
                  </w:r>
                </w:p>
              </w:tc>
              <w:tc>
                <w:tcPr>
                  <w:tcW w:w="1960" w:type="dxa"/>
                  <w:vAlign w:val="center"/>
                </w:tcPr>
                <w:p w14:paraId="14659689">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w:t>
                  </w:r>
                  <w:r>
                    <w:rPr>
                      <w:rFonts w:hint="default" w:cs="Times New Roman"/>
                      <w:bCs/>
                      <w:color w:val="auto"/>
                      <w:kern w:val="0"/>
                      <w:sz w:val="21"/>
                      <w:szCs w:val="21"/>
                    </w:rPr>
                    <w:t>项目不在《长江岸线保护和开发利用总体规划》划定的岸线保护区和保留区内。</w:t>
                  </w:r>
                </w:p>
              </w:tc>
              <w:tc>
                <w:tcPr>
                  <w:tcW w:w="677" w:type="dxa"/>
                  <w:vAlign w:val="center"/>
                </w:tcPr>
                <w:p w14:paraId="30DCBA1A">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3EBCB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2AA83F71">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9</w:t>
                  </w:r>
                </w:p>
              </w:tc>
              <w:tc>
                <w:tcPr>
                  <w:tcW w:w="4976" w:type="dxa"/>
                  <w:vAlign w:val="center"/>
                </w:tcPr>
                <w:p w14:paraId="4CFD8BB7">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禁止在《全国重要江河湖泊水功能区划》划定的河段及湖泊保护区、保留区内投资建设不利于水资源及自然生态保护的项目。</w:t>
                  </w:r>
                </w:p>
              </w:tc>
              <w:tc>
                <w:tcPr>
                  <w:tcW w:w="1960" w:type="dxa"/>
                  <w:vAlign w:val="center"/>
                </w:tcPr>
                <w:p w14:paraId="7EEF2252">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w:t>
                  </w:r>
                  <w:r>
                    <w:rPr>
                      <w:rFonts w:hint="default" w:cs="Times New Roman"/>
                      <w:bCs/>
                      <w:color w:val="auto"/>
                      <w:kern w:val="0"/>
                      <w:sz w:val="21"/>
                      <w:szCs w:val="21"/>
                    </w:rPr>
                    <w:t>项目不在《全国重要江河湖泊水功能区划》划定的河段及湖泊保护区、保留区内。</w:t>
                  </w:r>
                </w:p>
              </w:tc>
              <w:tc>
                <w:tcPr>
                  <w:tcW w:w="677" w:type="dxa"/>
                  <w:vAlign w:val="center"/>
                </w:tcPr>
                <w:p w14:paraId="7E3D645A">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5F237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3C018F29">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10</w:t>
                  </w:r>
                </w:p>
              </w:tc>
              <w:tc>
                <w:tcPr>
                  <w:tcW w:w="4976" w:type="dxa"/>
                  <w:vAlign w:val="center"/>
                </w:tcPr>
                <w:p w14:paraId="67AF6A1E">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禁止未经许可在长江支流及湖泊新设、改设或扩大排污口</w:t>
                  </w:r>
                </w:p>
              </w:tc>
              <w:tc>
                <w:tcPr>
                  <w:tcW w:w="1960" w:type="dxa"/>
                  <w:vAlign w:val="center"/>
                </w:tcPr>
                <w:p w14:paraId="3B837E40">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w:t>
                  </w:r>
                  <w:r>
                    <w:rPr>
                      <w:rFonts w:hint="default" w:cs="Times New Roman"/>
                      <w:bCs/>
                      <w:color w:val="auto"/>
                      <w:kern w:val="0"/>
                      <w:sz w:val="21"/>
                      <w:szCs w:val="21"/>
                    </w:rPr>
                    <w:t>项目不在长江支流及湖泊新设、改设或扩大排污口</w:t>
                  </w:r>
                  <w:r>
                    <w:rPr>
                      <w:rFonts w:hint="eastAsia" w:cs="Times New Roman"/>
                      <w:bCs/>
                      <w:color w:val="auto"/>
                      <w:kern w:val="0"/>
                      <w:sz w:val="21"/>
                      <w:szCs w:val="21"/>
                    </w:rPr>
                    <w:t>。</w:t>
                  </w:r>
                </w:p>
              </w:tc>
              <w:tc>
                <w:tcPr>
                  <w:tcW w:w="677" w:type="dxa"/>
                  <w:vAlign w:val="center"/>
                </w:tcPr>
                <w:p w14:paraId="3610CE8B">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52F0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245575D4">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11</w:t>
                  </w:r>
                </w:p>
              </w:tc>
              <w:tc>
                <w:tcPr>
                  <w:tcW w:w="4976" w:type="dxa"/>
                  <w:vAlign w:val="center"/>
                </w:tcPr>
                <w:p w14:paraId="6336C5DD">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禁止在长江支流、太湖等重要岸线一公里范围内新建、扩建化工园区和化工项目。</w:t>
                  </w:r>
                </w:p>
              </w:tc>
              <w:tc>
                <w:tcPr>
                  <w:tcW w:w="1960" w:type="dxa"/>
                  <w:vAlign w:val="center"/>
                </w:tcPr>
                <w:p w14:paraId="3950D679">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w:t>
                  </w:r>
                  <w:r>
                    <w:rPr>
                      <w:rFonts w:hint="default" w:cs="Times New Roman"/>
                      <w:bCs/>
                      <w:color w:val="auto"/>
                      <w:kern w:val="0"/>
                      <w:sz w:val="21"/>
                      <w:szCs w:val="21"/>
                    </w:rPr>
                    <w:t>项目不在长江支流、太湖等重要岸线一公里范围内。</w:t>
                  </w:r>
                </w:p>
              </w:tc>
              <w:tc>
                <w:tcPr>
                  <w:tcW w:w="677" w:type="dxa"/>
                  <w:vAlign w:val="center"/>
                </w:tcPr>
                <w:p w14:paraId="7F85EE69">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729B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7D054772">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12</w:t>
                  </w:r>
                </w:p>
              </w:tc>
              <w:tc>
                <w:tcPr>
                  <w:tcW w:w="4976" w:type="dxa"/>
                  <w:vAlign w:val="center"/>
                </w:tcPr>
                <w:p w14:paraId="24C383CE">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禁止在长江重要支流岸线一公里范围内新建、改建、扩建尾矿库、冶炼渣库和磷石膏库，以提升安全、生态环境保护水平为目的的改扩建除外。</w:t>
                  </w:r>
                </w:p>
              </w:tc>
              <w:tc>
                <w:tcPr>
                  <w:tcW w:w="1960" w:type="dxa"/>
                  <w:vAlign w:val="center"/>
                </w:tcPr>
                <w:p w14:paraId="79ECD6A9">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w:t>
                  </w:r>
                  <w:r>
                    <w:rPr>
                      <w:rFonts w:hint="default" w:cs="Times New Roman"/>
                      <w:bCs/>
                      <w:color w:val="auto"/>
                      <w:kern w:val="0"/>
                      <w:sz w:val="21"/>
                      <w:szCs w:val="21"/>
                    </w:rPr>
                    <w:t>项目不在长江支流、太湖等重要岸线一公里范围内。</w:t>
                  </w:r>
                </w:p>
              </w:tc>
              <w:tc>
                <w:tcPr>
                  <w:tcW w:w="677" w:type="dxa"/>
                  <w:vAlign w:val="center"/>
                </w:tcPr>
                <w:p w14:paraId="7DD4E4EB">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36C1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6524F2AC">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13</w:t>
                  </w:r>
                </w:p>
              </w:tc>
              <w:tc>
                <w:tcPr>
                  <w:tcW w:w="4976" w:type="dxa"/>
                  <w:vAlign w:val="center"/>
                </w:tcPr>
                <w:p w14:paraId="0D263642">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禁止在合规园区外新建、扩建钢铁、石化、化工、焦化、建材、有色、制浆造纸等高污染项目。高污染项目清单参照生态环境部《环境保护综合目录》中的高污染产品目录执行。</w:t>
                  </w:r>
                </w:p>
              </w:tc>
              <w:tc>
                <w:tcPr>
                  <w:tcW w:w="1960" w:type="dxa"/>
                  <w:vAlign w:val="center"/>
                </w:tcPr>
                <w:p w14:paraId="2F92946D">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本项目不属于钢铁、石化、化工、焦化、建材、有色、制浆造纸等高污染项目</w:t>
                  </w:r>
                </w:p>
              </w:tc>
              <w:tc>
                <w:tcPr>
                  <w:tcW w:w="677" w:type="dxa"/>
                  <w:vAlign w:val="center"/>
                </w:tcPr>
                <w:p w14:paraId="1B54A602">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3D59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7B5EA8E9">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14</w:t>
                  </w:r>
                </w:p>
              </w:tc>
              <w:tc>
                <w:tcPr>
                  <w:tcW w:w="4976" w:type="dxa"/>
                  <w:vAlign w:val="center"/>
                </w:tcPr>
                <w:p w14:paraId="3C39ACF7">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禁止新建、扩建不符合国家石化、现代煤化工等产业布局规划的项目</w:t>
                  </w:r>
                </w:p>
              </w:tc>
              <w:tc>
                <w:tcPr>
                  <w:tcW w:w="1960" w:type="dxa"/>
                  <w:vAlign w:val="center"/>
                </w:tcPr>
                <w:p w14:paraId="2CB40F1D">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w:t>
                  </w:r>
                  <w:r>
                    <w:rPr>
                      <w:rFonts w:hint="default" w:cs="Times New Roman"/>
                      <w:bCs/>
                      <w:color w:val="auto"/>
                      <w:kern w:val="0"/>
                      <w:sz w:val="21"/>
                      <w:szCs w:val="21"/>
                    </w:rPr>
                    <w:t>项目不属于国家石化、现代煤化工等产业布局规划的项目。</w:t>
                  </w:r>
                </w:p>
              </w:tc>
              <w:tc>
                <w:tcPr>
                  <w:tcW w:w="677" w:type="dxa"/>
                  <w:vAlign w:val="center"/>
                </w:tcPr>
                <w:p w14:paraId="3C7B4418">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042A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4F01D720">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15</w:t>
                  </w:r>
                </w:p>
              </w:tc>
              <w:tc>
                <w:tcPr>
                  <w:tcW w:w="4976" w:type="dxa"/>
                  <w:vAlign w:val="center"/>
                </w:tcPr>
                <w:p w14:paraId="5A58983C">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禁止新建、扩建法律法规和相关政策明令禁止的落后产能项目，对列入《产业结构调整指导目录》淘汰类中的落后生产工艺装备、落后产品投资项目，列入《外商投资准入特别管理措施（负面清单）》的外商投资项目，一律不得核准、备案。禁止向落后产能项目和严重过剩产能行业项目供应土地。</w:t>
                  </w:r>
                </w:p>
              </w:tc>
              <w:tc>
                <w:tcPr>
                  <w:tcW w:w="1960" w:type="dxa"/>
                  <w:vAlign w:val="center"/>
                </w:tcPr>
                <w:p w14:paraId="250D109B">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w:t>
                  </w:r>
                  <w:r>
                    <w:rPr>
                      <w:rFonts w:hint="default" w:cs="Times New Roman"/>
                      <w:bCs/>
                      <w:color w:val="auto"/>
                      <w:kern w:val="0"/>
                      <w:sz w:val="21"/>
                      <w:szCs w:val="21"/>
                    </w:rPr>
                    <w:t>项目不属于法律法规和相关政策明令禁止的落后产能项目。</w:t>
                  </w:r>
                </w:p>
              </w:tc>
              <w:tc>
                <w:tcPr>
                  <w:tcW w:w="677" w:type="dxa"/>
                  <w:vAlign w:val="center"/>
                </w:tcPr>
                <w:p w14:paraId="110AB8F9">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3495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6C3F660E">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16</w:t>
                  </w:r>
                </w:p>
              </w:tc>
              <w:tc>
                <w:tcPr>
                  <w:tcW w:w="4976" w:type="dxa"/>
                  <w:vAlign w:val="center"/>
                </w:tcPr>
                <w:p w14:paraId="0CC2FCA9">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禁止新建、扩建不符合国家产能置换要求的严重过剩产能行业的项目。部门、机构禁止办理相关的土地（海域）供应、能评、环评审批和新增授信支持等业务。</w:t>
                  </w:r>
                </w:p>
              </w:tc>
              <w:tc>
                <w:tcPr>
                  <w:tcW w:w="1960" w:type="dxa"/>
                  <w:vAlign w:val="center"/>
                </w:tcPr>
                <w:p w14:paraId="2C6EAAE4">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w:t>
                  </w:r>
                  <w:r>
                    <w:rPr>
                      <w:rFonts w:hint="default" w:cs="Times New Roman"/>
                      <w:bCs/>
                      <w:color w:val="auto"/>
                      <w:kern w:val="0"/>
                      <w:sz w:val="21"/>
                      <w:szCs w:val="21"/>
                    </w:rPr>
                    <w:t>项目不属于国家产能置换要求的严重过剩产能行业的项目。</w:t>
                  </w:r>
                </w:p>
              </w:tc>
              <w:tc>
                <w:tcPr>
                  <w:tcW w:w="677" w:type="dxa"/>
                  <w:vAlign w:val="center"/>
                </w:tcPr>
                <w:p w14:paraId="1EB1ED44">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7BBA7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3A125C62">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17</w:t>
                  </w:r>
                </w:p>
              </w:tc>
              <w:tc>
                <w:tcPr>
                  <w:tcW w:w="4976" w:type="dxa"/>
                  <w:vAlign w:val="center"/>
                </w:tcPr>
                <w:p w14:paraId="3B350E20">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禁止新建、扩建不符合要求的高耗能高排放项目。</w:t>
                  </w:r>
                </w:p>
              </w:tc>
              <w:tc>
                <w:tcPr>
                  <w:tcW w:w="1960" w:type="dxa"/>
                  <w:vAlign w:val="center"/>
                </w:tcPr>
                <w:p w14:paraId="0BC980E0">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eastAsia" w:cs="Times New Roman"/>
                      <w:bCs/>
                      <w:color w:val="auto"/>
                      <w:kern w:val="0"/>
                      <w:sz w:val="21"/>
                      <w:szCs w:val="21"/>
                    </w:rPr>
                    <w:t>本</w:t>
                  </w:r>
                  <w:r>
                    <w:rPr>
                      <w:rFonts w:hint="default" w:cs="Times New Roman"/>
                      <w:bCs/>
                      <w:color w:val="auto"/>
                      <w:kern w:val="0"/>
                      <w:sz w:val="21"/>
                      <w:szCs w:val="21"/>
                    </w:rPr>
                    <w:t>项目不属于高耗能高排放项目</w:t>
                  </w:r>
                  <w:r>
                    <w:rPr>
                      <w:rFonts w:hint="eastAsia" w:cs="Times New Roman"/>
                      <w:bCs/>
                      <w:color w:val="auto"/>
                      <w:kern w:val="0"/>
                      <w:sz w:val="21"/>
                      <w:szCs w:val="21"/>
                    </w:rPr>
                    <w:t>。</w:t>
                  </w:r>
                </w:p>
              </w:tc>
              <w:tc>
                <w:tcPr>
                  <w:tcW w:w="677" w:type="dxa"/>
                  <w:vAlign w:val="center"/>
                </w:tcPr>
                <w:p w14:paraId="134BBD88">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r w14:paraId="3B8FB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8" w:type="dxa"/>
                  <w:vAlign w:val="center"/>
                </w:tcPr>
                <w:p w14:paraId="6D4352BF">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18</w:t>
                  </w:r>
                </w:p>
              </w:tc>
              <w:tc>
                <w:tcPr>
                  <w:tcW w:w="4976" w:type="dxa"/>
                  <w:vAlign w:val="center"/>
                </w:tcPr>
                <w:p w14:paraId="3CDD8D21">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禁止在水库和河湖等水利工程管理范围内堆放物料，倾倒土、石、矿渣、垃圾等物质</w:t>
                  </w:r>
                  <w:r>
                    <w:rPr>
                      <w:rFonts w:hint="eastAsia" w:cs="Times New Roman"/>
                      <w:bCs/>
                      <w:color w:val="auto"/>
                      <w:kern w:val="0"/>
                      <w:sz w:val="21"/>
                      <w:szCs w:val="21"/>
                    </w:rPr>
                    <w:t>。</w:t>
                  </w:r>
                </w:p>
              </w:tc>
              <w:tc>
                <w:tcPr>
                  <w:tcW w:w="1960" w:type="dxa"/>
                  <w:vAlign w:val="center"/>
                </w:tcPr>
                <w:p w14:paraId="7B25C0BB">
                  <w:pPr>
                    <w:keepNext w:val="0"/>
                    <w:keepLines w:val="0"/>
                    <w:suppressLineNumbers w:val="0"/>
                    <w:spacing w:before="0" w:beforeAutospacing="0" w:after="0" w:afterAutospacing="0" w:line="240" w:lineRule="auto"/>
                    <w:ind w:left="0" w:right="0" w:firstLine="0" w:firstLineChars="0"/>
                    <w:rPr>
                      <w:rFonts w:hint="default" w:cs="Times New Roman"/>
                      <w:bCs/>
                      <w:color w:val="auto"/>
                      <w:kern w:val="0"/>
                      <w:sz w:val="21"/>
                      <w:szCs w:val="21"/>
                    </w:rPr>
                  </w:pPr>
                  <w:r>
                    <w:rPr>
                      <w:rFonts w:hint="default" w:cs="Times New Roman"/>
                      <w:bCs/>
                      <w:color w:val="auto"/>
                      <w:kern w:val="0"/>
                      <w:sz w:val="21"/>
                      <w:szCs w:val="21"/>
                    </w:rPr>
                    <w:t>项目不在水库和河湖等水利工程管理范围内。</w:t>
                  </w:r>
                </w:p>
              </w:tc>
              <w:tc>
                <w:tcPr>
                  <w:tcW w:w="677" w:type="dxa"/>
                  <w:vAlign w:val="center"/>
                </w:tcPr>
                <w:p w14:paraId="0ABFB535">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kern w:val="0"/>
                      <w:sz w:val="21"/>
                      <w:szCs w:val="21"/>
                    </w:rPr>
                  </w:pPr>
                  <w:r>
                    <w:rPr>
                      <w:rFonts w:hint="eastAsia" w:cs="Times New Roman"/>
                      <w:bCs/>
                      <w:color w:val="auto"/>
                      <w:kern w:val="0"/>
                      <w:sz w:val="21"/>
                      <w:szCs w:val="21"/>
                    </w:rPr>
                    <w:t>符合</w:t>
                  </w:r>
                </w:p>
              </w:tc>
            </w:tr>
          </w:tbl>
          <w:p w14:paraId="7310D8EF">
            <w:pPr>
              <w:keepNext w:val="0"/>
              <w:keepLines w:val="0"/>
              <w:suppressLineNumbers w:val="0"/>
              <w:bidi w:val="0"/>
              <w:spacing w:before="0" w:beforeAutospacing="0" w:after="0" w:afterAutospacing="0"/>
              <w:ind w:left="0" w:right="0"/>
              <w:rPr>
                <w:rFonts w:hint="default"/>
                <w:sz w:val="24"/>
                <w:szCs w:val="24"/>
              </w:rPr>
            </w:pPr>
            <w:r>
              <w:rPr>
                <w:rFonts w:hint="eastAsia"/>
                <w:sz w:val="24"/>
                <w:szCs w:val="24"/>
                <w:lang w:val="en-US" w:eastAsia="zh-CN"/>
              </w:rPr>
              <w:t>七</w:t>
            </w:r>
            <w:r>
              <w:rPr>
                <w:rFonts w:hint="default"/>
                <w:sz w:val="24"/>
                <w:szCs w:val="24"/>
              </w:rPr>
              <w:t>、《浙江省“十四五”挥发性有机物综合治理方案》相符性分析</w:t>
            </w:r>
          </w:p>
          <w:p w14:paraId="77C9C299">
            <w:pPr>
              <w:keepNext w:val="0"/>
              <w:keepLines w:val="0"/>
              <w:suppressLineNumbers w:val="0"/>
              <w:bidi w:val="0"/>
              <w:spacing w:before="0" w:beforeAutospacing="0" w:after="0" w:afterAutospacing="0"/>
              <w:ind w:left="0" w:right="0"/>
              <w:rPr>
                <w:rFonts w:hint="default" w:eastAsia="宋体"/>
                <w:sz w:val="24"/>
                <w:szCs w:val="24"/>
                <w:lang w:val="en-US" w:eastAsia="zh-CN"/>
              </w:rPr>
            </w:pPr>
            <w:r>
              <w:rPr>
                <w:rFonts w:hint="default"/>
                <w:sz w:val="24"/>
                <w:szCs w:val="24"/>
              </w:rPr>
              <w:t>为深入推进“十四五”挥发性有机物治理，进一步改善环境空气质量，浙江省生态环境厅发布了《浙江省“十四五”挥发性有机物综合治理方案》（浙环发〔2021〕10号），本项目符合性分析见下表。</w:t>
            </w:r>
          </w:p>
          <w:p w14:paraId="2C43BD0E">
            <w:pPr>
              <w:keepNext w:val="0"/>
              <w:keepLines w:val="0"/>
              <w:suppressLineNumbers w:val="0"/>
              <w:spacing w:before="0" w:beforeAutospacing="0" w:after="0" w:afterAutospacing="0"/>
              <w:ind w:left="0" w:right="0" w:firstLine="0" w:firstLineChars="0"/>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表</w:t>
            </w:r>
            <w:r>
              <w:rPr>
                <w:rFonts w:hint="default" w:ascii="Times New Roman" w:hAnsi="Times New Roman" w:eastAsia="黑体" w:cs="Times New Roman"/>
                <w:color w:val="auto"/>
                <w:sz w:val="24"/>
                <w:szCs w:val="24"/>
                <w:lang w:val="en-US" w:eastAsia="zh-CN"/>
              </w:rPr>
              <w:t>1-9</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项目与挥发性有机物综合治理方案符合性分析</w:t>
            </w:r>
          </w:p>
          <w:tbl>
            <w:tblPr>
              <w:tblStyle w:val="16"/>
              <w:tblW w:w="499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774"/>
              <w:gridCol w:w="4447"/>
              <w:gridCol w:w="1694"/>
              <w:gridCol w:w="733"/>
            </w:tblGrid>
            <w:tr w14:paraId="7C536F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506" w:type="pct"/>
                  <w:noWrap w:val="0"/>
                  <w:vAlign w:val="center"/>
                </w:tcPr>
                <w:p w14:paraId="2C95FA60">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项目</w:t>
                  </w:r>
                </w:p>
              </w:tc>
              <w:tc>
                <w:tcPr>
                  <w:tcW w:w="2906" w:type="pct"/>
                  <w:noWrap w:val="0"/>
                  <w:vAlign w:val="center"/>
                </w:tcPr>
                <w:p w14:paraId="4ADFF510">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方案要求（部分内容）</w:t>
                  </w:r>
                </w:p>
              </w:tc>
              <w:tc>
                <w:tcPr>
                  <w:tcW w:w="1107" w:type="pct"/>
                  <w:noWrap w:val="0"/>
                  <w:vAlign w:val="center"/>
                </w:tcPr>
                <w:p w14:paraId="682DFA6E">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本项目情况</w:t>
                  </w:r>
                </w:p>
              </w:tc>
              <w:tc>
                <w:tcPr>
                  <w:tcW w:w="479" w:type="pct"/>
                  <w:noWrap w:val="0"/>
                  <w:vAlign w:val="center"/>
                </w:tcPr>
                <w:p w14:paraId="7865ED57">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相符性</w:t>
                  </w:r>
                </w:p>
              </w:tc>
            </w:tr>
            <w:tr w14:paraId="219805D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6" w:type="pct"/>
                  <w:noWrap w:val="0"/>
                  <w:vAlign w:val="center"/>
                </w:tcPr>
                <w:p w14:paraId="6EEDC027">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优化产业结构</w:t>
                  </w:r>
                </w:p>
              </w:tc>
              <w:tc>
                <w:tcPr>
                  <w:tcW w:w="2906" w:type="pct"/>
                  <w:noWrap w:val="0"/>
                  <w:vAlign w:val="center"/>
                </w:tcPr>
                <w:p w14:paraId="79A6ECDE">
                  <w:pPr>
                    <w:pStyle w:val="6"/>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color w:val="auto"/>
                      <w:sz w:val="21"/>
                      <w:szCs w:val="21"/>
                    </w:rPr>
                  </w:pPr>
                  <w:r>
                    <w:rPr>
                      <w:rFonts w:hint="default" w:ascii="Times New Roman" w:hAnsi="Times New Roman"/>
                      <w:color w:val="auto"/>
                      <w:sz w:val="21"/>
                      <w:szCs w:val="21"/>
                    </w:rPr>
                    <w:t>引导石化、化工、工业涂装、包装印刷、合成革、化纤、纺织印染等重点行业合理布局，限制高VOCs排放化工类建设项目，禁止建设生产和使用VOCs含量限值不符合国家标准的涂料、油墨、胶粘剂、清洗剂等项目。贯彻落实《产业结构调整指导目录》《国家鼓励的有毒有害原料（产品）替代品目录》，依法依规淘汰涉VOCs排放工艺和装备，加大引导退出限制类工艺和装备力度，从源头减少涉VOCs污染物产生。</w:t>
                  </w:r>
                </w:p>
              </w:tc>
              <w:tc>
                <w:tcPr>
                  <w:tcW w:w="1107" w:type="pct"/>
                  <w:noWrap w:val="0"/>
                  <w:vAlign w:val="center"/>
                </w:tcPr>
                <w:p w14:paraId="2EDF757A">
                  <w:pPr>
                    <w:pStyle w:val="6"/>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color w:val="auto"/>
                      <w:sz w:val="21"/>
                      <w:szCs w:val="21"/>
                    </w:rPr>
                  </w:pPr>
                  <w:r>
                    <w:rPr>
                      <w:rFonts w:hint="default" w:ascii="Times New Roman" w:hAnsi="Times New Roman"/>
                      <w:color w:val="auto"/>
                      <w:sz w:val="21"/>
                      <w:szCs w:val="21"/>
                    </w:rPr>
                    <w:t>项目位于杭州市</w:t>
                  </w:r>
                  <w:r>
                    <w:rPr>
                      <w:rFonts w:hint="eastAsia" w:ascii="Times New Roman" w:hAnsi="Times New Roman"/>
                      <w:color w:val="auto"/>
                      <w:sz w:val="21"/>
                      <w:szCs w:val="21"/>
                      <w:lang w:val="en-US" w:eastAsia="zh-CN"/>
                    </w:rPr>
                    <w:t>余杭区五常街道绮颐弄10号1幢301室</w:t>
                  </w:r>
                  <w:r>
                    <w:rPr>
                      <w:rFonts w:hint="default" w:ascii="Times New Roman" w:hAnsi="Times New Roman"/>
                      <w:color w:val="auto"/>
                      <w:sz w:val="21"/>
                      <w:szCs w:val="21"/>
                    </w:rPr>
                    <w:t>，符合产业布局要求；项目不使用涂料、油墨、胶粘剂、清洗剂。</w:t>
                  </w:r>
                </w:p>
              </w:tc>
              <w:tc>
                <w:tcPr>
                  <w:tcW w:w="479" w:type="pct"/>
                  <w:noWrap w:val="0"/>
                  <w:vAlign w:val="center"/>
                </w:tcPr>
                <w:p w14:paraId="722EEC4F">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符合</w:t>
                  </w:r>
                </w:p>
              </w:tc>
            </w:tr>
            <w:tr w14:paraId="3482EA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6" w:type="pct"/>
                  <w:noWrap w:val="0"/>
                  <w:vAlign w:val="center"/>
                </w:tcPr>
                <w:p w14:paraId="4C7FF38A">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kern w:val="0"/>
                      <w:sz w:val="21"/>
                      <w:szCs w:val="21"/>
                    </w:rPr>
                    <w:t>严格环境准入</w:t>
                  </w:r>
                </w:p>
              </w:tc>
              <w:tc>
                <w:tcPr>
                  <w:tcW w:w="2906" w:type="pct"/>
                  <w:noWrap w:val="0"/>
                  <w:vAlign w:val="center"/>
                </w:tcPr>
                <w:p w14:paraId="22BD3C1F">
                  <w:pPr>
                    <w:pStyle w:val="6"/>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color w:val="auto"/>
                      <w:sz w:val="21"/>
                      <w:szCs w:val="21"/>
                    </w:rPr>
                  </w:pPr>
                  <w:r>
                    <w:rPr>
                      <w:rFonts w:hint="default" w:ascii="Times New Roman" w:hAnsi="Times New Roman"/>
                      <w:color w:val="auto"/>
                      <w:kern w:val="0"/>
                      <w:sz w:val="21"/>
                      <w:szCs w:val="21"/>
                    </w:rPr>
                    <w:t>严</w:t>
                  </w:r>
                  <w:r>
                    <w:rPr>
                      <w:rFonts w:hint="default" w:ascii="Times New Roman" w:hAnsi="Times New Roman"/>
                      <w:bCs/>
                      <w:color w:val="auto"/>
                      <w:sz w:val="21"/>
                      <w:szCs w:val="21"/>
                    </w:rPr>
                    <w:t>格执行“三线一单”为核心的生态环境分区管控体系，制（修）订纺织印染（数码喷印）等行业绿色准入指导意见。严格执行建设项目新增VOCs排放量区域削减替代规定，削减措施原则上应优先来源于纳入排污许可管理的排污单位采取的治理措施，并与建设项目位于同一设区市。上一年度环境空气质量达标的区域，对石化等行业的建设项目VOCs排放量实行等量削减；上一年度环境空气质量不达标的区域，对石化等行业的建设项目VOCs排放量实行2倍量削减，直至达标后的下一年再恢复等量削减。</w:t>
                  </w:r>
                </w:p>
              </w:tc>
              <w:tc>
                <w:tcPr>
                  <w:tcW w:w="1107" w:type="pct"/>
                  <w:noWrap w:val="0"/>
                  <w:vAlign w:val="center"/>
                </w:tcPr>
                <w:p w14:paraId="05BE68E5">
                  <w:pPr>
                    <w:pStyle w:val="6"/>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color w:val="auto"/>
                      <w:sz w:val="21"/>
                      <w:szCs w:val="21"/>
                    </w:rPr>
                  </w:pPr>
                  <w:r>
                    <w:rPr>
                      <w:rFonts w:hint="default" w:ascii="Times New Roman" w:hAnsi="Times New Roman"/>
                      <w:color w:val="auto"/>
                      <w:sz w:val="21"/>
                      <w:szCs w:val="21"/>
                    </w:rPr>
                    <w:t>项目符合</w:t>
                  </w:r>
                  <w:r>
                    <w:rPr>
                      <w:rFonts w:hint="default" w:ascii="Times New Roman" w:hAnsi="Times New Roman"/>
                      <w:color w:val="auto"/>
                      <w:sz w:val="21"/>
                      <w:szCs w:val="21"/>
                      <w:lang w:val="en-GB"/>
                    </w:rPr>
                    <w:t>《</w:t>
                  </w:r>
                  <w:r>
                    <w:rPr>
                      <w:rFonts w:hint="default" w:ascii="Times New Roman" w:hAnsi="Times New Roman"/>
                      <w:color w:val="auto"/>
                      <w:sz w:val="21"/>
                      <w:szCs w:val="21"/>
                    </w:rPr>
                    <w:t>杭州市生态环境分区管控动态更新方案》(杭环发[2024]49号)相关要求；项目新增</w:t>
                  </w:r>
                  <w:r>
                    <w:rPr>
                      <w:rFonts w:hint="eastAsia" w:ascii="Times New Roman" w:hAnsi="Times New Roman"/>
                      <w:color w:val="auto"/>
                      <w:sz w:val="21"/>
                      <w:szCs w:val="21"/>
                      <w:lang w:val="en-US" w:eastAsia="zh-CN"/>
                    </w:rPr>
                    <w:t>污染物排放量</w:t>
                  </w:r>
                  <w:r>
                    <w:rPr>
                      <w:rFonts w:hint="default" w:ascii="Times New Roman" w:hAnsi="Times New Roman"/>
                      <w:bCs/>
                      <w:color w:val="auto"/>
                      <w:sz w:val="21"/>
                      <w:szCs w:val="21"/>
                    </w:rPr>
                    <w:t>可在区域削减替代。</w:t>
                  </w:r>
                </w:p>
              </w:tc>
              <w:tc>
                <w:tcPr>
                  <w:tcW w:w="479" w:type="pct"/>
                  <w:noWrap w:val="0"/>
                  <w:vAlign w:val="center"/>
                </w:tcPr>
                <w:p w14:paraId="7CDD5803">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符合</w:t>
                  </w:r>
                </w:p>
              </w:tc>
            </w:tr>
            <w:tr w14:paraId="338D4A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6" w:type="pct"/>
                  <w:noWrap w:val="0"/>
                  <w:vAlign w:val="center"/>
                </w:tcPr>
                <w:p w14:paraId="75B8BBB9">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kern w:val="0"/>
                      <w:sz w:val="21"/>
                      <w:szCs w:val="21"/>
                    </w:rPr>
                    <w:t>全面提升生产工艺绿色化水平</w:t>
                  </w:r>
                </w:p>
              </w:tc>
              <w:tc>
                <w:tcPr>
                  <w:tcW w:w="2906" w:type="pct"/>
                  <w:noWrap w:val="0"/>
                  <w:vAlign w:val="center"/>
                </w:tcPr>
                <w:p w14:paraId="379F49E8">
                  <w:pPr>
                    <w:pStyle w:val="6"/>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color w:val="auto"/>
                      <w:sz w:val="21"/>
                      <w:szCs w:val="21"/>
                    </w:rPr>
                  </w:pPr>
                  <w:r>
                    <w:rPr>
                      <w:rFonts w:hint="default" w:ascii="Times New Roman" w:hAnsi="Times New Roman"/>
                      <w:color w:val="auto"/>
                      <w:kern w:val="0"/>
                      <w:sz w:val="21"/>
                      <w:szCs w:val="21"/>
                    </w:rPr>
                    <w:t>石化、化工等行业应采用原辅材料利用率高、废弃物产生量少的生产工艺，提升生产装备水平，采用密闭化、连续化、自动化、</w:t>
                  </w:r>
                  <w:r>
                    <w:rPr>
                      <w:rFonts w:hint="default" w:ascii="Times New Roman" w:hAnsi="Times New Roman"/>
                      <w:bCs/>
                      <w:color w:val="auto"/>
                      <w:kern w:val="0"/>
                      <w:sz w:val="21"/>
                      <w:szCs w:val="21"/>
                    </w:rPr>
                    <w:t>管道化</w:t>
                  </w:r>
                  <w:r>
                    <w:rPr>
                      <w:rFonts w:hint="default" w:ascii="Times New Roman" w:hAnsi="Times New Roman"/>
                      <w:color w:val="auto"/>
                      <w:kern w:val="0"/>
                      <w:sz w:val="21"/>
                      <w:szCs w:val="21"/>
                    </w:rPr>
                    <w:t>等生产技术，</w:t>
                  </w:r>
                  <w:r>
                    <w:rPr>
                      <w:rFonts w:hint="default" w:ascii="Times New Roman" w:hAnsi="Times New Roman"/>
                      <w:bCs/>
                      <w:color w:val="auto"/>
                      <w:kern w:val="0"/>
                      <w:sz w:val="21"/>
                      <w:szCs w:val="21"/>
                    </w:rPr>
                    <w:t>鼓励工艺装置采取重力流布置，</w:t>
                  </w:r>
                  <w:r>
                    <w:rPr>
                      <w:rFonts w:hint="default" w:ascii="Times New Roman" w:hAnsi="Times New Roman"/>
                      <w:color w:val="auto"/>
                      <w:kern w:val="0"/>
                      <w:sz w:val="21"/>
                      <w:szCs w:val="21"/>
                    </w:rPr>
                    <w:t>推广采用油品在线调和技术、密闭式循环水冷却系统等。工业涂装行业重点推进使用紧凑式涂装工艺，推广采用辊涂、静电喷涂、高压无气喷涂、空气辅助无气喷涂、热喷涂、超临界二氧化碳喷涂等技术，鼓励企业采用自动化、智能化喷涂设备替代人工喷涂，减少使用空气喷涂技术。包装印刷行业推广使用无溶剂复合、共挤出复合技术，鼓励采用水性凹印、醇水凹印、辐射固化凹印、柔版印刷、无水胶印等印刷工艺。鼓励生产工艺装备落后、在既有基础上整改困难的企业推倒重建，从车间布局、工艺装备等方面全面提升治理水平。</w:t>
                  </w:r>
                </w:p>
              </w:tc>
              <w:tc>
                <w:tcPr>
                  <w:tcW w:w="1107" w:type="pct"/>
                  <w:noWrap w:val="0"/>
                  <w:vAlign w:val="center"/>
                </w:tcPr>
                <w:p w14:paraId="1C5F247F">
                  <w:pPr>
                    <w:pStyle w:val="6"/>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color w:val="auto"/>
                      <w:sz w:val="21"/>
                      <w:szCs w:val="21"/>
                    </w:rPr>
                  </w:pPr>
                  <w:r>
                    <w:rPr>
                      <w:rFonts w:hint="default" w:ascii="Times New Roman" w:hAnsi="Times New Roman"/>
                      <w:color w:val="auto"/>
                      <w:kern w:val="0"/>
                      <w:sz w:val="21"/>
                      <w:szCs w:val="21"/>
                    </w:rPr>
                    <w:t>项目生产工艺先进，清洁生产水平高。</w:t>
                  </w:r>
                </w:p>
              </w:tc>
              <w:tc>
                <w:tcPr>
                  <w:tcW w:w="479" w:type="pct"/>
                  <w:noWrap w:val="0"/>
                  <w:vAlign w:val="center"/>
                </w:tcPr>
                <w:p w14:paraId="2C2CE75D">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符合</w:t>
                  </w:r>
                </w:p>
              </w:tc>
            </w:tr>
            <w:tr w14:paraId="258339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6" w:type="pct"/>
                  <w:noWrap w:val="0"/>
                  <w:vAlign w:val="center"/>
                </w:tcPr>
                <w:p w14:paraId="04E3F49E">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kern w:val="0"/>
                      <w:sz w:val="21"/>
                      <w:szCs w:val="21"/>
                    </w:rPr>
                    <w:t>大力推进低VOCs含量原辅材料的源头替代</w:t>
                  </w:r>
                </w:p>
              </w:tc>
              <w:tc>
                <w:tcPr>
                  <w:tcW w:w="2906" w:type="pct"/>
                  <w:noWrap w:val="0"/>
                  <w:vAlign w:val="center"/>
                </w:tcPr>
                <w:p w14:paraId="570D4A27">
                  <w:pPr>
                    <w:pStyle w:val="6"/>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color w:val="auto"/>
                      <w:sz w:val="21"/>
                      <w:szCs w:val="21"/>
                    </w:rPr>
                  </w:pPr>
                  <w:r>
                    <w:rPr>
                      <w:rFonts w:hint="default" w:ascii="Times New Roman" w:hAnsi="Times New Roman"/>
                      <w:color w:val="auto"/>
                      <w:sz w:val="21"/>
                      <w:szCs w:val="21"/>
                    </w:rPr>
                    <w:t>全面排查</w:t>
                  </w:r>
                  <w:r>
                    <w:rPr>
                      <w:rFonts w:hint="default" w:ascii="Times New Roman" w:hAnsi="Times New Roman"/>
                      <w:bCs/>
                      <w:color w:val="auto"/>
                      <w:sz w:val="21"/>
                      <w:szCs w:val="21"/>
                    </w:rPr>
                    <w:t>使用溶剂型工业</w:t>
                  </w:r>
                  <w:r>
                    <w:rPr>
                      <w:rFonts w:hint="default" w:ascii="Times New Roman" w:hAnsi="Times New Roman"/>
                      <w:color w:val="auto"/>
                      <w:sz w:val="21"/>
                      <w:szCs w:val="21"/>
                    </w:rPr>
                    <w:t>涂料、油墨、胶粘剂</w:t>
                  </w:r>
                  <w:r>
                    <w:rPr>
                      <w:rFonts w:hint="default" w:ascii="Times New Roman" w:hAnsi="Times New Roman"/>
                      <w:bCs/>
                      <w:color w:val="auto"/>
                      <w:sz w:val="21"/>
                      <w:szCs w:val="21"/>
                    </w:rPr>
                    <w:t>、清洗剂等原辅材料的企业，</w:t>
                  </w:r>
                  <w:r>
                    <w:rPr>
                      <w:rFonts w:hint="default" w:ascii="Times New Roman" w:hAnsi="Times New Roman"/>
                      <w:color w:val="auto"/>
                      <w:sz w:val="21"/>
                      <w:szCs w:val="21"/>
                    </w:rPr>
                    <w:t>各地应结合本地产业特点和本方案指导目录，制定低VOCs含量原辅材料源头替代实施计划，明确分行业源头替代时间表，按照“可替尽替、应代尽代”的原则，实施一批替代溶剂型原辅材料的项目</w:t>
                  </w:r>
                  <w:r>
                    <w:rPr>
                      <w:rFonts w:hint="default" w:ascii="Times New Roman" w:hAnsi="Times New Roman"/>
                      <w:color w:val="auto"/>
                      <w:kern w:val="0"/>
                      <w:sz w:val="21"/>
                      <w:szCs w:val="21"/>
                    </w:rPr>
                    <w:t>。</w:t>
                  </w:r>
                  <w:r>
                    <w:rPr>
                      <w:rFonts w:hint="default" w:ascii="Times New Roman" w:hAnsi="Times New Roman"/>
                      <w:bCs/>
                      <w:color w:val="auto"/>
                      <w:kern w:val="0"/>
                      <w:sz w:val="21"/>
                      <w:szCs w:val="21"/>
                    </w:rPr>
                    <w:t>加快低VOCs含量原辅材料研发、生产和应用，在更多技术成熟领域逐渐推广使用低VOCs含量原辅材料，</w:t>
                  </w:r>
                  <w:r>
                    <w:rPr>
                      <w:rFonts w:hint="default" w:ascii="Times New Roman" w:hAnsi="Times New Roman"/>
                      <w:color w:val="auto"/>
                      <w:sz w:val="21"/>
                      <w:szCs w:val="21"/>
                    </w:rPr>
                    <w:t>到2025 年，溶剂型工业涂料、油墨、胶粘剂等使用量下降比例达到国家要求。</w:t>
                  </w:r>
                </w:p>
              </w:tc>
              <w:tc>
                <w:tcPr>
                  <w:tcW w:w="1107" w:type="pct"/>
                  <w:noWrap w:val="0"/>
                  <w:vAlign w:val="center"/>
                </w:tcPr>
                <w:p w14:paraId="3B8BC694">
                  <w:pPr>
                    <w:pStyle w:val="6"/>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color w:val="auto"/>
                      <w:sz w:val="21"/>
                      <w:szCs w:val="21"/>
                    </w:rPr>
                  </w:pPr>
                  <w:r>
                    <w:rPr>
                      <w:rFonts w:hint="default" w:ascii="Times New Roman" w:hAnsi="Times New Roman"/>
                      <w:color w:val="auto"/>
                      <w:sz w:val="21"/>
                      <w:szCs w:val="21"/>
                    </w:rPr>
                    <w:t>项目采用的原辅材料大多为</w:t>
                  </w:r>
                  <w:r>
                    <w:rPr>
                      <w:rFonts w:hint="eastAsia" w:ascii="Times New Roman" w:hAnsi="Times New Roman"/>
                      <w:color w:val="auto"/>
                      <w:sz w:val="21"/>
                      <w:szCs w:val="21"/>
                      <w:lang w:val="en-US" w:eastAsia="zh-CN"/>
                    </w:rPr>
                    <w:t>无</w:t>
                  </w:r>
                  <w:r>
                    <w:rPr>
                      <w:rFonts w:hint="default" w:ascii="Times New Roman" w:hAnsi="Times New Roman"/>
                      <w:color w:val="auto"/>
                      <w:sz w:val="21"/>
                      <w:szCs w:val="21"/>
                    </w:rPr>
                    <w:t>毒原料，不涉及溶剂型工业涂料、油墨、胶粘剂等相关替代要求。</w:t>
                  </w:r>
                </w:p>
              </w:tc>
              <w:tc>
                <w:tcPr>
                  <w:tcW w:w="479" w:type="pct"/>
                  <w:noWrap w:val="0"/>
                  <w:vAlign w:val="center"/>
                </w:tcPr>
                <w:p w14:paraId="1B7389DF">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符合</w:t>
                  </w:r>
                </w:p>
              </w:tc>
            </w:tr>
            <w:tr w14:paraId="453AF3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6" w:type="pct"/>
                  <w:noWrap w:val="0"/>
                  <w:vAlign w:val="center"/>
                </w:tcPr>
                <w:p w14:paraId="6E7EDDB2">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kern w:val="0"/>
                      <w:sz w:val="21"/>
                      <w:szCs w:val="21"/>
                    </w:rPr>
                    <w:t>严格控制无组织排放</w:t>
                  </w:r>
                </w:p>
              </w:tc>
              <w:tc>
                <w:tcPr>
                  <w:tcW w:w="2906" w:type="pct"/>
                  <w:noWrap w:val="0"/>
                  <w:vAlign w:val="center"/>
                </w:tcPr>
                <w:p w14:paraId="1D639A4C">
                  <w:pPr>
                    <w:pStyle w:val="6"/>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color w:val="auto"/>
                      <w:sz w:val="21"/>
                      <w:szCs w:val="21"/>
                    </w:rPr>
                  </w:pPr>
                  <w:r>
                    <w:rPr>
                      <w:rFonts w:hint="default" w:ascii="Times New Roman" w:hAnsi="Times New Roman"/>
                      <w:color w:val="auto"/>
                      <w:kern w:val="0"/>
                      <w:sz w:val="21"/>
                      <w:szCs w:val="21"/>
                    </w:rPr>
                    <w:t>在保证安全前提下，加强含VOCs物料全方位、全链条、全环节密闭管理，做好VOCs物料储存、转移和输送、设备与管线组件泄漏、敞开液面逸散以及工艺过程等无组织排放环节的管理。生产应优先采用密闭设备、在密闭空间中操作或采用全密闭集气罩收集方式，原则上应保持微负压状态，并根据相关规范合理设置通风量；采用局部集气罩的，距集气罩开口面最远处的VOCs无组织排放位置控制风速应不低于0.3米/秒。对VOCs物料储罐和污水集输、储存、处理设施开展排查，督促企业按要求开展专项治理。</w:t>
                  </w:r>
                </w:p>
              </w:tc>
              <w:tc>
                <w:tcPr>
                  <w:tcW w:w="1107" w:type="pct"/>
                  <w:noWrap w:val="0"/>
                  <w:vAlign w:val="center"/>
                </w:tcPr>
                <w:p w14:paraId="4A946910">
                  <w:pPr>
                    <w:pStyle w:val="6"/>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color w:val="auto"/>
                      <w:kern w:val="0"/>
                      <w:sz w:val="21"/>
                      <w:szCs w:val="21"/>
                      <w:lang w:val="en-US"/>
                    </w:rPr>
                  </w:pPr>
                  <w:r>
                    <w:rPr>
                      <w:rFonts w:hint="default" w:ascii="Times New Roman" w:hAnsi="Times New Roman"/>
                      <w:color w:val="auto"/>
                      <w:kern w:val="0"/>
                      <w:sz w:val="21"/>
                      <w:szCs w:val="21"/>
                    </w:rPr>
                    <w:t>项目生产车间为洁净车间，内部密闭微负压生产，集中通排风。</w:t>
                  </w:r>
                </w:p>
              </w:tc>
              <w:tc>
                <w:tcPr>
                  <w:tcW w:w="479" w:type="pct"/>
                  <w:noWrap w:val="0"/>
                  <w:vAlign w:val="center"/>
                </w:tcPr>
                <w:p w14:paraId="19107E0C">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符合</w:t>
                  </w:r>
                </w:p>
              </w:tc>
            </w:tr>
            <w:tr w14:paraId="58E684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6" w:type="pct"/>
                  <w:noWrap w:val="0"/>
                  <w:vAlign w:val="center"/>
                </w:tcPr>
                <w:p w14:paraId="736390AD">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kern w:val="0"/>
                      <w:sz w:val="21"/>
                      <w:szCs w:val="21"/>
                    </w:rPr>
                    <w:t>建设适宜高效的治理设施</w:t>
                  </w:r>
                </w:p>
              </w:tc>
              <w:tc>
                <w:tcPr>
                  <w:tcW w:w="2906" w:type="pct"/>
                  <w:noWrap w:val="0"/>
                  <w:vAlign w:val="center"/>
                </w:tcPr>
                <w:p w14:paraId="5C78DDD7">
                  <w:pPr>
                    <w:pStyle w:val="6"/>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color w:val="auto"/>
                      <w:sz w:val="21"/>
                      <w:szCs w:val="21"/>
                    </w:rPr>
                  </w:pPr>
                  <w:r>
                    <w:rPr>
                      <w:rFonts w:hint="default" w:ascii="Times New Roman" w:hAnsi="Times New Roman"/>
                      <w:color w:val="auto"/>
                      <w:kern w:val="0"/>
                      <w:sz w:val="21"/>
                      <w:szCs w:val="21"/>
                    </w:rPr>
                    <w:t>企业新建治理设施或对现有治理设施实施改造，应结合排放VOCs产生特征、生产工况等合理选择治理技术，对治理难度大、单一治理工艺难以稳定达标的，要采用多种技术的组合工艺。采用活性炭吸附技术的，吸附装置和活性炭应符合相关技术要求，并按要求足量添加、定期更换活性炭。组织开展使用光催化、光氧化、低温等离子、一次性活性炭或上述组合技术等VOCs治理设施排查，对达不到要求的，应当更换或升级改造，实现稳定达标排放。到2025年，</w:t>
                  </w:r>
                  <w:r>
                    <w:rPr>
                      <w:rFonts w:hint="default" w:ascii="Times New Roman" w:hAnsi="Times New Roman"/>
                      <w:bCs/>
                      <w:color w:val="auto"/>
                      <w:kern w:val="0"/>
                      <w:sz w:val="21"/>
                      <w:szCs w:val="21"/>
                    </w:rPr>
                    <w:t>完成5000家低效</w:t>
                  </w:r>
                  <w:r>
                    <w:rPr>
                      <w:rFonts w:hint="default" w:ascii="Times New Roman" w:hAnsi="Times New Roman"/>
                      <w:color w:val="auto"/>
                      <w:kern w:val="0"/>
                      <w:sz w:val="21"/>
                      <w:szCs w:val="21"/>
                    </w:rPr>
                    <w:t>VOCs</w:t>
                  </w:r>
                  <w:r>
                    <w:rPr>
                      <w:rFonts w:hint="default" w:ascii="Times New Roman" w:hAnsi="Times New Roman"/>
                      <w:bCs/>
                      <w:color w:val="auto"/>
                      <w:kern w:val="0"/>
                      <w:sz w:val="21"/>
                      <w:szCs w:val="21"/>
                    </w:rPr>
                    <w:t>治理设施改造升级</w:t>
                  </w:r>
                  <w:r>
                    <w:rPr>
                      <w:rFonts w:hint="default" w:ascii="Times New Roman" w:hAnsi="Times New Roman"/>
                      <w:color w:val="auto"/>
                      <w:kern w:val="0"/>
                      <w:sz w:val="21"/>
                      <w:szCs w:val="21"/>
                    </w:rPr>
                    <w:t>，石化行业的VOCs综合去除效率达到70%以上，化工、工业涂装、包装印刷、合成革等行业的VOCs综合去除效率达到60%以上。</w:t>
                  </w:r>
                </w:p>
              </w:tc>
              <w:tc>
                <w:tcPr>
                  <w:tcW w:w="1107" w:type="pct"/>
                  <w:noWrap w:val="0"/>
                  <w:vAlign w:val="center"/>
                </w:tcPr>
                <w:p w14:paraId="7E936C30">
                  <w:pPr>
                    <w:pStyle w:val="6"/>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color w:val="auto"/>
                      <w:kern w:val="0"/>
                      <w:sz w:val="21"/>
                      <w:szCs w:val="21"/>
                    </w:rPr>
                  </w:pPr>
                  <w:r>
                    <w:rPr>
                      <w:rFonts w:hint="default" w:ascii="Times New Roman" w:hAnsi="Times New Roman"/>
                      <w:color w:val="auto"/>
                      <w:kern w:val="0"/>
                      <w:sz w:val="21"/>
                      <w:szCs w:val="21"/>
                    </w:rPr>
                    <w:t>项目生产车间为洁净车间，内部密闭微负压生产，集中通排风。</w:t>
                  </w:r>
                </w:p>
              </w:tc>
              <w:tc>
                <w:tcPr>
                  <w:tcW w:w="479" w:type="pct"/>
                  <w:noWrap w:val="0"/>
                  <w:vAlign w:val="center"/>
                </w:tcPr>
                <w:p w14:paraId="3FE6B30B">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符合</w:t>
                  </w:r>
                </w:p>
              </w:tc>
            </w:tr>
            <w:tr w14:paraId="6B6B4E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6" w:type="pct"/>
                  <w:noWrap w:val="0"/>
                  <w:vAlign w:val="center"/>
                </w:tcPr>
                <w:p w14:paraId="4F446F6F">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kern w:val="0"/>
                      <w:sz w:val="21"/>
                      <w:szCs w:val="21"/>
                    </w:rPr>
                    <w:t>加强治理设施运行管理</w:t>
                  </w:r>
                </w:p>
              </w:tc>
              <w:tc>
                <w:tcPr>
                  <w:tcW w:w="2906" w:type="pct"/>
                  <w:noWrap w:val="0"/>
                  <w:vAlign w:val="center"/>
                </w:tcPr>
                <w:p w14:paraId="6A79AA20">
                  <w:pPr>
                    <w:pStyle w:val="6"/>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color w:val="auto"/>
                      <w:sz w:val="21"/>
                      <w:szCs w:val="21"/>
                    </w:rPr>
                  </w:pPr>
                  <w:r>
                    <w:rPr>
                      <w:rFonts w:hint="default" w:ascii="Times New Roman" w:hAnsi="Times New Roman"/>
                      <w:color w:val="auto"/>
                      <w:kern w:val="0"/>
                      <w:sz w:val="21"/>
                      <w:szCs w:val="21"/>
                    </w:rPr>
                    <w:t>按照治理设施较生产设备“先启后停”的原则提升治理设施投运率。根据处理工艺要求，在治理设施达到正常运行条件后方可启动生产设备，在生产设备停止、残留VOCs收集处理完毕后，方可停运治理设施。VOCs治理设施发生故障或检修时，对应生产设备应停止运行，待检修完毕后投入使用；因安全等因素生产设备不能停止或不能及时停止运行的，应设置废气应急处理设施或采取其他替代措施。</w:t>
                  </w:r>
                </w:p>
              </w:tc>
              <w:tc>
                <w:tcPr>
                  <w:tcW w:w="1107" w:type="pct"/>
                  <w:noWrap w:val="0"/>
                  <w:vAlign w:val="center"/>
                </w:tcPr>
                <w:p w14:paraId="268B40B7">
                  <w:pPr>
                    <w:pStyle w:val="6"/>
                    <w:keepNext w:val="0"/>
                    <w:keepLines w:val="0"/>
                    <w:suppressLineNumbers w:val="0"/>
                    <w:spacing w:before="0" w:beforeAutospacing="0" w:after="0" w:afterAutospacing="0" w:line="240" w:lineRule="atLeast"/>
                    <w:ind w:left="0" w:leftChars="0" w:right="0" w:firstLine="0" w:firstLineChars="0"/>
                    <w:rPr>
                      <w:rFonts w:hint="eastAsia"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企业按照要求进行，治理设施</w:t>
                  </w:r>
                  <w:r>
                    <w:rPr>
                      <w:rFonts w:hint="default" w:ascii="Times New Roman" w:hAnsi="Times New Roman"/>
                      <w:color w:val="auto"/>
                      <w:kern w:val="0"/>
                      <w:sz w:val="21"/>
                      <w:szCs w:val="21"/>
                    </w:rPr>
                    <w:t>“先启后停”</w:t>
                  </w:r>
                  <w:r>
                    <w:rPr>
                      <w:rFonts w:hint="eastAsia" w:ascii="Times New Roman" w:hAnsi="Times New Roman"/>
                      <w:color w:val="auto"/>
                      <w:kern w:val="0"/>
                      <w:sz w:val="21"/>
                      <w:szCs w:val="21"/>
                      <w:lang w:eastAsia="zh-CN"/>
                    </w:rPr>
                    <w:t>，</w:t>
                  </w:r>
                  <w:r>
                    <w:rPr>
                      <w:rFonts w:hint="default" w:ascii="Times New Roman" w:hAnsi="Times New Roman"/>
                      <w:color w:val="auto"/>
                      <w:kern w:val="0"/>
                      <w:sz w:val="21"/>
                      <w:szCs w:val="21"/>
                    </w:rPr>
                    <w:t>VOCs收集处理完毕后，方可停运治理设施</w:t>
                  </w:r>
                  <w:r>
                    <w:rPr>
                      <w:rFonts w:hint="eastAsia" w:ascii="Times New Roman" w:hAnsi="Times New Roman"/>
                      <w:color w:val="auto"/>
                      <w:kern w:val="0"/>
                      <w:sz w:val="21"/>
                      <w:szCs w:val="21"/>
                      <w:lang w:eastAsia="zh-CN"/>
                    </w:rPr>
                    <w:t>，</w:t>
                  </w:r>
                  <w:r>
                    <w:rPr>
                      <w:rFonts w:hint="default" w:ascii="Times New Roman" w:hAnsi="Times New Roman"/>
                      <w:color w:val="auto"/>
                      <w:kern w:val="0"/>
                      <w:sz w:val="21"/>
                      <w:szCs w:val="21"/>
                    </w:rPr>
                    <w:t>VOCs治理设施发生故障或检修时，对应生产设备应停止运行，待检修完毕后投入使用</w:t>
                  </w:r>
                  <w:r>
                    <w:rPr>
                      <w:rFonts w:hint="eastAsia" w:ascii="Times New Roman" w:hAnsi="Times New Roman"/>
                      <w:color w:val="auto"/>
                      <w:kern w:val="0"/>
                      <w:sz w:val="21"/>
                      <w:szCs w:val="21"/>
                      <w:lang w:eastAsia="zh-CN"/>
                    </w:rPr>
                    <w:t>。</w:t>
                  </w:r>
                </w:p>
              </w:tc>
              <w:tc>
                <w:tcPr>
                  <w:tcW w:w="479" w:type="pct"/>
                  <w:noWrap w:val="0"/>
                  <w:vAlign w:val="center"/>
                </w:tcPr>
                <w:p w14:paraId="04DD6400">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符合</w:t>
                  </w:r>
                </w:p>
              </w:tc>
            </w:tr>
            <w:tr w14:paraId="2023C7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752" w:hRule="atLeast"/>
                <w:jc w:val="center"/>
              </w:trPr>
              <w:tc>
                <w:tcPr>
                  <w:tcW w:w="506" w:type="pct"/>
                  <w:noWrap w:val="0"/>
                  <w:vAlign w:val="center"/>
                </w:tcPr>
                <w:p w14:paraId="1A9746D4">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kern w:val="0"/>
                      <w:sz w:val="21"/>
                      <w:szCs w:val="21"/>
                    </w:rPr>
                  </w:pPr>
                  <w:r>
                    <w:rPr>
                      <w:rFonts w:hint="default" w:ascii="Times New Roman" w:hAnsi="Times New Roman"/>
                      <w:color w:val="auto"/>
                      <w:kern w:val="0"/>
                      <w:sz w:val="21"/>
                      <w:szCs w:val="21"/>
                    </w:rPr>
                    <w:t>规范应急旁路排放管理</w:t>
                  </w:r>
                </w:p>
              </w:tc>
              <w:tc>
                <w:tcPr>
                  <w:tcW w:w="2906" w:type="pct"/>
                  <w:noWrap w:val="0"/>
                  <w:vAlign w:val="center"/>
                </w:tcPr>
                <w:p w14:paraId="30E24BFC">
                  <w:pPr>
                    <w:pStyle w:val="6"/>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color w:val="auto"/>
                      <w:kern w:val="0"/>
                      <w:sz w:val="21"/>
                      <w:szCs w:val="21"/>
                    </w:rPr>
                  </w:pPr>
                  <w:r>
                    <w:rPr>
                      <w:rFonts w:hint="default" w:ascii="Times New Roman" w:hAnsi="Times New Roman"/>
                      <w:color w:val="auto"/>
                      <w:kern w:val="0"/>
                      <w:sz w:val="21"/>
                      <w:szCs w:val="21"/>
                    </w:rPr>
                    <w:t>推动取消石化、化工、工业涂装、包装印刷、纺织印染等行业非必要的含VOCs排放的旁路。因安全等因素确须保留的，企业应将保留的应急旁路报当地生态环境部门。应急旁路在非紧急情况下保持关闭，并通过铅封、安装监控（如流量、温度、压差、阀门开度、视频等）设施等加强监管，开启后应做好台账记录并及时向当地生态环境部门报告。</w:t>
                  </w:r>
                </w:p>
              </w:tc>
              <w:tc>
                <w:tcPr>
                  <w:tcW w:w="1107" w:type="pct"/>
                  <w:noWrap w:val="0"/>
                  <w:vAlign w:val="center"/>
                </w:tcPr>
                <w:p w14:paraId="5F7E56EB">
                  <w:pPr>
                    <w:pStyle w:val="6"/>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color w:val="auto"/>
                      <w:sz w:val="21"/>
                      <w:szCs w:val="21"/>
                    </w:rPr>
                  </w:pPr>
                  <w:r>
                    <w:rPr>
                      <w:rFonts w:hint="default" w:ascii="Times New Roman" w:hAnsi="Times New Roman"/>
                      <w:color w:val="auto"/>
                      <w:sz w:val="21"/>
                      <w:szCs w:val="21"/>
                    </w:rPr>
                    <w:t>项目</w:t>
                  </w:r>
                  <w:r>
                    <w:rPr>
                      <w:rFonts w:hint="default" w:ascii="Times New Roman" w:hAnsi="Times New Roman"/>
                      <w:color w:val="auto"/>
                      <w:kern w:val="0"/>
                      <w:sz w:val="21"/>
                      <w:szCs w:val="21"/>
                    </w:rPr>
                    <w:t>废气处理设施</w:t>
                  </w:r>
                  <w:r>
                    <w:rPr>
                      <w:rFonts w:hint="default" w:ascii="Times New Roman" w:hAnsi="Times New Roman"/>
                      <w:color w:val="auto"/>
                      <w:sz w:val="21"/>
                      <w:szCs w:val="21"/>
                    </w:rPr>
                    <w:t>未设置VOCs排放</w:t>
                  </w:r>
                  <w:r>
                    <w:rPr>
                      <w:rFonts w:hint="default" w:ascii="Times New Roman" w:hAnsi="Times New Roman"/>
                      <w:color w:val="auto"/>
                      <w:kern w:val="0"/>
                      <w:sz w:val="21"/>
                      <w:szCs w:val="21"/>
                    </w:rPr>
                    <w:t>旁路。</w:t>
                  </w:r>
                </w:p>
              </w:tc>
              <w:tc>
                <w:tcPr>
                  <w:tcW w:w="479" w:type="pct"/>
                  <w:noWrap w:val="0"/>
                  <w:vAlign w:val="center"/>
                </w:tcPr>
                <w:p w14:paraId="2E3B6CFC">
                  <w:pPr>
                    <w:pStyle w:val="6"/>
                    <w:keepNext w:val="0"/>
                    <w:keepLines w:val="0"/>
                    <w:suppressLineNumbers w:val="0"/>
                    <w:spacing w:before="0" w:beforeAutospacing="0" w:after="0" w:afterAutospacing="0" w:line="240" w:lineRule="atLeast"/>
                    <w:ind w:left="0" w:leftChars="0" w:right="0" w:firstLine="0" w:firstLineChars="0"/>
                    <w:jc w:val="center"/>
                    <w:rPr>
                      <w:rFonts w:hint="default" w:ascii="Times New Roman" w:hAnsi="Times New Roman"/>
                      <w:color w:val="auto"/>
                      <w:sz w:val="21"/>
                      <w:szCs w:val="21"/>
                    </w:rPr>
                  </w:pPr>
                  <w:r>
                    <w:rPr>
                      <w:rFonts w:hint="default" w:ascii="Times New Roman" w:hAnsi="Times New Roman"/>
                      <w:color w:val="auto"/>
                      <w:sz w:val="21"/>
                      <w:szCs w:val="21"/>
                    </w:rPr>
                    <w:t>符合</w:t>
                  </w:r>
                </w:p>
              </w:tc>
            </w:tr>
          </w:tbl>
          <w:p w14:paraId="7E38CEB2">
            <w:pPr>
              <w:keepNext w:val="0"/>
              <w:keepLines w:val="0"/>
              <w:suppressLineNumbers w:val="0"/>
              <w:spacing w:before="0" w:beforeAutospacing="0" w:after="0" w:afterAutospacing="0" w:line="360" w:lineRule="auto"/>
              <w:ind w:left="0" w:right="0" w:firstLine="480" w:firstLineChars="200"/>
              <w:rPr>
                <w:rFonts w:hint="default"/>
                <w:color w:val="auto"/>
                <w:sz w:val="24"/>
                <w:szCs w:val="24"/>
              </w:rPr>
            </w:pPr>
            <w:r>
              <w:rPr>
                <w:rFonts w:hint="default"/>
                <w:color w:val="auto"/>
                <w:sz w:val="24"/>
                <w:szCs w:val="24"/>
              </w:rPr>
              <w:t>由上表可知，本项目符合《浙江省“十四五”挥发性有机物综合治理方案》要求。</w:t>
            </w:r>
          </w:p>
        </w:tc>
      </w:tr>
    </w:tbl>
    <w:p w14:paraId="70B2EE93">
      <w:pPr>
        <w:ind w:firstLine="0" w:firstLineChars="0"/>
        <w:sectPr>
          <w:pgSz w:w="11906" w:h="16838"/>
          <w:pgMar w:top="1440" w:right="1800" w:bottom="1440" w:left="1800" w:header="851" w:footer="992" w:gutter="0"/>
          <w:cols w:space="425" w:num="1"/>
          <w:docGrid w:type="lines" w:linePitch="312" w:charSpace="0"/>
        </w:sectPr>
      </w:pPr>
    </w:p>
    <w:p w14:paraId="39E02164">
      <w:pPr>
        <w:pStyle w:val="3"/>
        <w:rPr>
          <w:b w:val="0"/>
          <w:bCs/>
        </w:rPr>
      </w:pPr>
      <w:bookmarkStart w:id="6" w:name="_Toc11782"/>
      <w:bookmarkStart w:id="7" w:name="_Toc25883"/>
      <w:r>
        <w:rPr>
          <w:rFonts w:hint="eastAsia"/>
          <w:b w:val="0"/>
          <w:bCs/>
        </w:rPr>
        <w:t>二</w:t>
      </w:r>
      <w:r>
        <w:rPr>
          <w:b w:val="0"/>
          <w:bCs/>
        </w:rPr>
        <w:t>、建设项目</w:t>
      </w:r>
      <w:r>
        <w:rPr>
          <w:rFonts w:hint="eastAsia"/>
          <w:b w:val="0"/>
          <w:bCs/>
        </w:rPr>
        <w:t>工程分析</w:t>
      </w:r>
      <w:bookmarkEnd w:id="6"/>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7874"/>
      </w:tblGrid>
      <w:tr w14:paraId="657F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0" w:hRule="atLeast"/>
        </w:trPr>
        <w:tc>
          <w:tcPr>
            <w:tcW w:w="648" w:type="dxa"/>
            <w:vAlign w:val="center"/>
          </w:tcPr>
          <w:p w14:paraId="22FADAF4">
            <w:pPr>
              <w:keepNext w:val="0"/>
              <w:keepLines w:val="0"/>
              <w:suppressLineNumbers w:val="0"/>
              <w:spacing w:before="0" w:beforeAutospacing="0" w:after="0" w:afterAutospacing="0"/>
              <w:ind w:left="0" w:right="0" w:firstLine="0" w:firstLineChars="0"/>
              <w:jc w:val="center"/>
              <w:rPr>
                <w:rFonts w:hint="default" w:eastAsiaTheme="minorEastAsia"/>
                <w:color w:val="auto"/>
              </w:rPr>
            </w:pPr>
            <w:r>
              <w:rPr>
                <w:rFonts w:hint="eastAsia"/>
                <w:color w:val="auto"/>
              </w:rPr>
              <w:t>建设内容</w:t>
            </w:r>
          </w:p>
        </w:tc>
        <w:tc>
          <w:tcPr>
            <w:tcW w:w="7874" w:type="dxa"/>
          </w:tcPr>
          <w:p w14:paraId="2C6466EE">
            <w:pPr>
              <w:keepNext w:val="0"/>
              <w:keepLines w:val="0"/>
              <w:suppressLineNumbers w:val="0"/>
              <w:spacing w:before="0" w:beforeAutospacing="0" w:after="0" w:afterAutospacing="0"/>
              <w:ind w:left="0" w:right="0" w:firstLine="480"/>
              <w:rPr>
                <w:rFonts w:hint="default"/>
                <w:color w:val="auto"/>
              </w:rPr>
            </w:pPr>
            <w:r>
              <w:rPr>
                <w:rFonts w:hint="eastAsia"/>
                <w:color w:val="auto"/>
              </w:rPr>
              <w:t>1、项目由来</w:t>
            </w:r>
          </w:p>
          <w:p w14:paraId="2C1AFA5B">
            <w:pPr>
              <w:keepNext w:val="0"/>
              <w:keepLines w:val="0"/>
              <w:suppressLineNumbers w:val="0"/>
              <w:bidi w:val="0"/>
              <w:spacing w:before="0" w:beforeAutospacing="0" w:after="0" w:afterAutospacing="0"/>
              <w:ind w:left="0" w:right="0"/>
              <w:rPr>
                <w:rFonts w:hint="default"/>
                <w:color w:val="auto"/>
              </w:rPr>
            </w:pPr>
            <w:r>
              <w:rPr>
                <w:rFonts w:hint="eastAsia"/>
                <w:color w:val="auto"/>
              </w:rPr>
              <w:t>浙江中科国康生物医药科技有限公司成立于2015年</w:t>
            </w:r>
            <w:r>
              <w:rPr>
                <w:rFonts w:hint="eastAsia"/>
                <w:color w:val="auto"/>
                <w:lang w:val="en-US" w:eastAsia="zh-CN"/>
              </w:rPr>
              <w:t>1</w:t>
            </w:r>
            <w:r>
              <w:rPr>
                <w:rFonts w:hint="eastAsia"/>
                <w:color w:val="auto"/>
              </w:rPr>
              <w:t>月</w:t>
            </w:r>
            <w:r>
              <w:rPr>
                <w:rFonts w:hint="eastAsia"/>
                <w:color w:val="auto"/>
                <w:lang w:val="en-US" w:eastAsia="zh-CN"/>
              </w:rPr>
              <w:t>9</w:t>
            </w:r>
            <w:r>
              <w:rPr>
                <w:rFonts w:hint="eastAsia"/>
                <w:color w:val="auto"/>
              </w:rPr>
              <w:t>日，注册地位于浙江省杭州市余杭区五常街道绮颐弄10号1幢301室</w:t>
            </w:r>
            <w:r>
              <w:rPr>
                <w:rFonts w:hint="eastAsia"/>
                <w:color w:val="auto"/>
                <w:lang w:eastAsia="zh-CN"/>
              </w:rPr>
              <w:t>，</w:t>
            </w:r>
            <w:r>
              <w:rPr>
                <w:rFonts w:hint="eastAsia"/>
                <w:color w:val="auto"/>
                <w:lang w:val="en-US" w:eastAsia="zh-CN"/>
              </w:rPr>
              <w:t>主要从事医疗器械及配套试剂的销售</w:t>
            </w:r>
            <w:r>
              <w:rPr>
                <w:rFonts w:hint="eastAsia"/>
                <w:color w:val="auto"/>
              </w:rPr>
              <w:t>。</w:t>
            </w:r>
          </w:p>
          <w:p w14:paraId="27C13683">
            <w:pPr>
              <w:keepNext w:val="0"/>
              <w:keepLines w:val="0"/>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根据企业发展需要，</w:t>
            </w:r>
            <w:r>
              <w:rPr>
                <w:rFonts w:hint="eastAsia"/>
                <w:color w:val="auto"/>
              </w:rPr>
              <w:t>浙江中科国康生物医药科技有限公司</w:t>
            </w:r>
            <w:r>
              <w:rPr>
                <w:rFonts w:hint="eastAsia"/>
                <w:color w:val="auto"/>
                <w:lang w:val="en-US" w:eastAsia="zh-CN"/>
              </w:rPr>
              <w:t>于</w:t>
            </w:r>
            <w:r>
              <w:rPr>
                <w:rFonts w:hint="eastAsia"/>
                <w:color w:val="auto"/>
              </w:rPr>
              <w:t>杭州市余杭区五常街道绮颐弄10号1幢301室</w:t>
            </w:r>
            <w:r>
              <w:rPr>
                <w:rFonts w:hint="eastAsia"/>
                <w:color w:val="auto"/>
                <w:lang w:val="en-US" w:eastAsia="zh-CN"/>
              </w:rPr>
              <w:t>拟建设“中科国康人类肠道菌群研发及测试项目”，租赁杭州万控电器成套有限公司1幢楼3层空置厂房，新增低温高速离心机、小型常温离心机、凝胶成像仪等实验研发设备，设计年处理500-1000例肠道菌群样本的规模</w:t>
            </w:r>
            <w:r>
              <w:rPr>
                <w:rFonts w:hint="eastAsia"/>
                <w:color w:val="auto"/>
                <w:sz w:val="24"/>
                <w:szCs w:val="24"/>
                <w:lang w:val="en-US" w:eastAsia="zh-CN"/>
              </w:rPr>
              <w:t>。</w:t>
            </w:r>
          </w:p>
          <w:p w14:paraId="1F89FF29">
            <w:pPr>
              <w:keepNext w:val="0"/>
              <w:keepLines w:val="0"/>
              <w:suppressLineNumbers w:val="0"/>
              <w:bidi w:val="0"/>
              <w:spacing w:before="0" w:beforeAutospacing="0" w:after="0" w:afterAutospacing="0"/>
              <w:ind w:left="0" w:right="0"/>
              <w:rPr>
                <w:rFonts w:hint="eastAsia"/>
                <w:color w:val="auto"/>
              </w:rPr>
            </w:pPr>
            <w:r>
              <w:rPr>
                <w:rFonts w:hint="eastAsia"/>
                <w:color w:val="auto"/>
              </w:rPr>
              <w:t>根据《中华人民共和国环境影响评价法》《建设项目环境影响评价分类管理名录（2021版）》（环境保护部令第16号），拟建项目类别为“</w:t>
            </w:r>
            <w:r>
              <w:rPr>
                <w:rFonts w:hint="eastAsia"/>
                <w:color w:val="auto"/>
                <w:lang w:eastAsia="zh-CN"/>
              </w:rPr>
              <w:t>四十五、研究和试验发展中98、专业实验室、研发（试验）基地”。</w:t>
            </w:r>
            <w:r>
              <w:rPr>
                <w:rFonts w:hint="eastAsia"/>
                <w:color w:val="auto"/>
              </w:rPr>
              <w:t>故拟建项目应编制环境影响报告表。</w:t>
            </w:r>
          </w:p>
          <w:p w14:paraId="6F2A468D">
            <w:pPr>
              <w:pStyle w:val="2"/>
              <w:keepNext w:val="0"/>
              <w:keepLines w:val="0"/>
              <w:suppressLineNumbers w:val="0"/>
              <w:adjustRightInd w:val="0"/>
              <w:spacing w:before="0" w:beforeAutospacing="0" w:after="0" w:afterAutospacing="0"/>
              <w:ind w:left="0" w:right="0" w:firstLine="0" w:firstLineChars="0"/>
              <w:jc w:val="center"/>
              <w:rPr>
                <w:rFonts w:hint="default" w:eastAsia="黑体" w:cs="Times New Roman"/>
                <w:color w:val="auto"/>
                <w:lang w:val="en-US" w:eastAsia="zh-CN"/>
              </w:rPr>
            </w:pPr>
            <w:r>
              <w:rPr>
                <w:rFonts w:hint="default" w:eastAsia="黑体" w:cs="Times New Roman"/>
                <w:color w:val="auto"/>
              </w:rPr>
              <w:t>表2-</w:t>
            </w:r>
            <w:r>
              <w:rPr>
                <w:rFonts w:hint="eastAsia" w:eastAsia="黑体" w:cs="Times New Roman"/>
                <w:color w:val="auto"/>
                <w:lang w:val="en-US" w:eastAsia="zh-CN"/>
              </w:rPr>
              <w:t>1</w:t>
            </w:r>
            <w:r>
              <w:rPr>
                <w:rFonts w:hint="default" w:eastAsia="黑体" w:cs="Times New Roman"/>
                <w:color w:val="auto"/>
              </w:rPr>
              <w:t xml:space="preserve">  项目</w:t>
            </w:r>
            <w:r>
              <w:rPr>
                <w:rFonts w:hint="eastAsia" w:eastAsia="黑体" w:cs="Times New Roman"/>
                <w:color w:val="auto"/>
                <w:lang w:val="en-US" w:eastAsia="zh-CN"/>
              </w:rPr>
              <w:t>环境影响评价分类判定表</w:t>
            </w:r>
          </w:p>
          <w:tbl>
            <w:tblPr>
              <w:tblStyle w:val="16"/>
              <w:tblW w:w="4995"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488"/>
              <w:gridCol w:w="1469"/>
              <w:gridCol w:w="2295"/>
              <w:gridCol w:w="2442"/>
              <w:gridCol w:w="951"/>
            </w:tblGrid>
            <w:tr w14:paraId="79E708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280" w:type="pct"/>
                  <w:gridSpan w:val="2"/>
                  <w:tcBorders>
                    <w:tl2br w:val="single" w:color="auto" w:sz="4" w:space="0"/>
                  </w:tcBorders>
                  <w:noWrap w:val="0"/>
                  <w:vAlign w:val="top"/>
                </w:tcPr>
                <w:p w14:paraId="17BCAB63">
                  <w:pPr>
                    <w:pStyle w:val="45"/>
                    <w:keepNext w:val="0"/>
                    <w:keepLines w:val="0"/>
                    <w:suppressLineNumbers w:val="0"/>
                    <w:bidi w:val="0"/>
                    <w:spacing w:before="0" w:beforeAutospacing="0" w:after="0" w:afterAutospacing="0" w:line="240" w:lineRule="auto"/>
                    <w:jc w:val="right"/>
                    <w:rPr>
                      <w:rFonts w:hint="default"/>
                      <w:color w:val="auto"/>
                      <w:sz w:val="21"/>
                      <w:szCs w:val="21"/>
                    </w:rPr>
                  </w:pPr>
                  <w:r>
                    <w:rPr>
                      <w:rFonts w:hint="default"/>
                      <w:color w:val="auto"/>
                      <w:sz w:val="21"/>
                      <w:szCs w:val="21"/>
                    </w:rPr>
                    <w:t>环评类别</w:t>
                  </w:r>
                </w:p>
                <w:p w14:paraId="6D28501C">
                  <w:pPr>
                    <w:pStyle w:val="45"/>
                    <w:keepNext w:val="0"/>
                    <w:keepLines w:val="0"/>
                    <w:suppressLineNumbers w:val="0"/>
                    <w:bidi w:val="0"/>
                    <w:spacing w:before="0" w:beforeAutospacing="0" w:after="0" w:afterAutospacing="0" w:line="240" w:lineRule="auto"/>
                    <w:jc w:val="left"/>
                    <w:rPr>
                      <w:rFonts w:hint="default"/>
                      <w:color w:val="auto"/>
                      <w:sz w:val="21"/>
                      <w:szCs w:val="21"/>
                    </w:rPr>
                  </w:pPr>
                  <w:r>
                    <w:rPr>
                      <w:rFonts w:hint="default"/>
                      <w:color w:val="auto"/>
                      <w:sz w:val="21"/>
                      <w:szCs w:val="21"/>
                    </w:rPr>
                    <w:t>项目类别</w:t>
                  </w:r>
                </w:p>
              </w:tc>
              <w:tc>
                <w:tcPr>
                  <w:tcW w:w="1501" w:type="pct"/>
                  <w:noWrap w:val="0"/>
                  <w:vAlign w:val="center"/>
                </w:tcPr>
                <w:p w14:paraId="12729276">
                  <w:pPr>
                    <w:pStyle w:val="45"/>
                    <w:keepNext w:val="0"/>
                    <w:keepLines w:val="0"/>
                    <w:suppressLineNumbers w:val="0"/>
                    <w:bidi w:val="0"/>
                    <w:spacing w:before="0" w:beforeAutospacing="0" w:after="0" w:afterAutospacing="0" w:line="240" w:lineRule="auto"/>
                    <w:rPr>
                      <w:rFonts w:hint="default"/>
                      <w:color w:val="auto"/>
                      <w:sz w:val="21"/>
                      <w:szCs w:val="21"/>
                    </w:rPr>
                  </w:pPr>
                  <w:r>
                    <w:rPr>
                      <w:rFonts w:hint="default"/>
                      <w:color w:val="auto"/>
                      <w:sz w:val="21"/>
                      <w:szCs w:val="21"/>
                    </w:rPr>
                    <w:t>报告书</w:t>
                  </w:r>
                </w:p>
              </w:tc>
              <w:tc>
                <w:tcPr>
                  <w:tcW w:w="1597" w:type="pct"/>
                  <w:noWrap w:val="0"/>
                  <w:vAlign w:val="center"/>
                </w:tcPr>
                <w:p w14:paraId="584ECEFB">
                  <w:pPr>
                    <w:pStyle w:val="45"/>
                    <w:keepNext w:val="0"/>
                    <w:keepLines w:val="0"/>
                    <w:suppressLineNumbers w:val="0"/>
                    <w:bidi w:val="0"/>
                    <w:spacing w:before="0" w:beforeAutospacing="0" w:after="0" w:afterAutospacing="0" w:line="240" w:lineRule="auto"/>
                    <w:rPr>
                      <w:rFonts w:hint="default"/>
                      <w:color w:val="auto"/>
                      <w:sz w:val="21"/>
                      <w:szCs w:val="21"/>
                    </w:rPr>
                  </w:pPr>
                  <w:r>
                    <w:rPr>
                      <w:rFonts w:hint="default"/>
                      <w:color w:val="auto"/>
                      <w:sz w:val="21"/>
                      <w:szCs w:val="21"/>
                    </w:rPr>
                    <w:t>报告表</w:t>
                  </w:r>
                </w:p>
              </w:tc>
              <w:tc>
                <w:tcPr>
                  <w:tcW w:w="619" w:type="pct"/>
                  <w:noWrap w:val="0"/>
                  <w:vAlign w:val="center"/>
                </w:tcPr>
                <w:p w14:paraId="310AEE84">
                  <w:pPr>
                    <w:pStyle w:val="45"/>
                    <w:keepNext w:val="0"/>
                    <w:keepLines w:val="0"/>
                    <w:suppressLineNumbers w:val="0"/>
                    <w:bidi w:val="0"/>
                    <w:spacing w:before="0" w:beforeAutospacing="0" w:after="0" w:afterAutospacing="0" w:line="240" w:lineRule="auto"/>
                    <w:rPr>
                      <w:rFonts w:hint="default"/>
                      <w:color w:val="auto"/>
                      <w:sz w:val="21"/>
                      <w:szCs w:val="21"/>
                    </w:rPr>
                  </w:pPr>
                  <w:r>
                    <w:rPr>
                      <w:rFonts w:hint="default"/>
                      <w:color w:val="auto"/>
                      <w:sz w:val="21"/>
                      <w:szCs w:val="21"/>
                    </w:rPr>
                    <w:t>登记表</w:t>
                  </w:r>
                </w:p>
              </w:tc>
            </w:tr>
            <w:tr w14:paraId="39C67F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5000" w:type="pct"/>
                  <w:gridSpan w:val="5"/>
                  <w:noWrap w:val="0"/>
                  <w:vAlign w:val="top"/>
                </w:tcPr>
                <w:p w14:paraId="0BD1BAFD">
                  <w:pPr>
                    <w:pStyle w:val="45"/>
                    <w:keepNext w:val="0"/>
                    <w:keepLines w:val="0"/>
                    <w:suppressLineNumbers w:val="0"/>
                    <w:bidi w:val="0"/>
                    <w:spacing w:before="0" w:beforeAutospacing="0" w:after="0" w:afterAutospacing="0" w:line="240" w:lineRule="auto"/>
                    <w:rPr>
                      <w:rFonts w:hint="default" w:eastAsia="宋体"/>
                      <w:color w:val="auto"/>
                      <w:sz w:val="21"/>
                      <w:szCs w:val="21"/>
                      <w:lang w:val="en-US" w:eastAsia="zh-CN"/>
                    </w:rPr>
                  </w:pPr>
                  <w:r>
                    <w:rPr>
                      <w:rFonts w:hint="eastAsia"/>
                      <w:color w:val="auto"/>
                      <w:sz w:val="21"/>
                      <w:szCs w:val="21"/>
                      <w:lang w:val="en-US" w:eastAsia="zh-CN"/>
                    </w:rPr>
                    <w:t>四十五、研究和试验发展</w:t>
                  </w:r>
                </w:p>
              </w:tc>
            </w:tr>
            <w:tr w14:paraId="00995D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319" w:type="pct"/>
                  <w:noWrap w:val="0"/>
                  <w:vAlign w:val="center"/>
                </w:tcPr>
                <w:p w14:paraId="015F91DF">
                  <w:pPr>
                    <w:pStyle w:val="45"/>
                    <w:keepNext w:val="0"/>
                    <w:keepLines w:val="0"/>
                    <w:suppressLineNumbers w:val="0"/>
                    <w:bidi w:val="0"/>
                    <w:spacing w:before="0" w:beforeAutospacing="0" w:after="0" w:afterAutospacing="0" w:line="240" w:lineRule="auto"/>
                    <w:rPr>
                      <w:rFonts w:hint="default" w:eastAsia="宋体"/>
                      <w:color w:val="auto"/>
                      <w:sz w:val="21"/>
                      <w:szCs w:val="21"/>
                      <w:lang w:val="en-US" w:eastAsia="zh-CN"/>
                    </w:rPr>
                  </w:pPr>
                  <w:r>
                    <w:rPr>
                      <w:rFonts w:hint="eastAsia"/>
                      <w:color w:val="auto"/>
                      <w:sz w:val="21"/>
                      <w:szCs w:val="21"/>
                      <w:lang w:val="en-US" w:eastAsia="zh-CN"/>
                    </w:rPr>
                    <w:t>98</w:t>
                  </w:r>
                </w:p>
              </w:tc>
              <w:tc>
                <w:tcPr>
                  <w:tcW w:w="961" w:type="pct"/>
                  <w:noWrap w:val="0"/>
                  <w:vAlign w:val="center"/>
                </w:tcPr>
                <w:p w14:paraId="5A25C0EC">
                  <w:pPr>
                    <w:pStyle w:val="45"/>
                    <w:keepNext w:val="0"/>
                    <w:keepLines w:val="0"/>
                    <w:suppressLineNumbers w:val="0"/>
                    <w:bidi w:val="0"/>
                    <w:spacing w:before="0" w:beforeAutospacing="0" w:after="0" w:afterAutospacing="0" w:line="240" w:lineRule="auto"/>
                    <w:rPr>
                      <w:rFonts w:hint="default" w:eastAsia="宋体"/>
                      <w:color w:val="auto"/>
                      <w:sz w:val="21"/>
                      <w:szCs w:val="21"/>
                      <w:lang w:val="en-US" w:eastAsia="zh-CN"/>
                    </w:rPr>
                  </w:pPr>
                  <w:r>
                    <w:rPr>
                      <w:rFonts w:hint="eastAsia"/>
                      <w:color w:val="auto"/>
                      <w:sz w:val="21"/>
                      <w:szCs w:val="21"/>
                      <w:lang w:val="en-US" w:eastAsia="zh-CN"/>
                    </w:rPr>
                    <w:t>专业实验室、研发（实验）基地</w:t>
                  </w:r>
                </w:p>
              </w:tc>
              <w:tc>
                <w:tcPr>
                  <w:tcW w:w="1501" w:type="pct"/>
                  <w:noWrap w:val="0"/>
                  <w:vAlign w:val="center"/>
                </w:tcPr>
                <w:p w14:paraId="7C917D97">
                  <w:pPr>
                    <w:pStyle w:val="45"/>
                    <w:keepNext w:val="0"/>
                    <w:keepLines w:val="0"/>
                    <w:suppressLineNumbers w:val="0"/>
                    <w:bidi w:val="0"/>
                    <w:spacing w:before="0" w:beforeAutospacing="0" w:after="0" w:afterAutospacing="0" w:line="240" w:lineRule="auto"/>
                    <w:rPr>
                      <w:rFonts w:hint="default" w:eastAsia="宋体"/>
                      <w:color w:val="auto"/>
                      <w:sz w:val="21"/>
                      <w:szCs w:val="21"/>
                      <w:lang w:val="en-US" w:eastAsia="zh-CN"/>
                    </w:rPr>
                  </w:pPr>
                  <w:r>
                    <w:rPr>
                      <w:rFonts w:hint="eastAsia"/>
                      <w:color w:val="auto"/>
                      <w:sz w:val="21"/>
                      <w:szCs w:val="21"/>
                      <w:lang w:val="en-US" w:eastAsia="zh-CN"/>
                    </w:rPr>
                    <w:t>P3、P4生物实验室；转基因实验室</w:t>
                  </w:r>
                </w:p>
              </w:tc>
              <w:tc>
                <w:tcPr>
                  <w:tcW w:w="1597" w:type="pct"/>
                  <w:noWrap w:val="0"/>
                  <w:vAlign w:val="center"/>
                </w:tcPr>
                <w:p w14:paraId="5A6F2AFC">
                  <w:pPr>
                    <w:pStyle w:val="45"/>
                    <w:keepNext w:val="0"/>
                    <w:keepLines w:val="0"/>
                    <w:suppressLineNumbers w:val="0"/>
                    <w:bidi w:val="0"/>
                    <w:spacing w:before="0" w:beforeAutospacing="0" w:after="0" w:afterAutospacing="0" w:line="240" w:lineRule="auto"/>
                    <w:rPr>
                      <w:rFonts w:hint="eastAsia" w:eastAsia="宋体"/>
                      <w:color w:val="auto"/>
                      <w:sz w:val="21"/>
                      <w:szCs w:val="21"/>
                      <w:lang w:eastAsia="zh-CN"/>
                    </w:rPr>
                  </w:pPr>
                  <w:r>
                    <w:rPr>
                      <w:rFonts w:hint="eastAsia"/>
                      <w:color w:val="auto"/>
                      <w:sz w:val="21"/>
                      <w:szCs w:val="21"/>
                      <w:lang w:val="en-US" w:eastAsia="zh-CN"/>
                    </w:rPr>
                    <w:t>其他（不产生实验废气、废水、危险废物的除外）</w:t>
                  </w:r>
                </w:p>
              </w:tc>
              <w:tc>
                <w:tcPr>
                  <w:tcW w:w="619" w:type="pct"/>
                  <w:noWrap w:val="0"/>
                  <w:vAlign w:val="center"/>
                </w:tcPr>
                <w:p w14:paraId="22565684">
                  <w:pPr>
                    <w:pStyle w:val="45"/>
                    <w:keepNext w:val="0"/>
                    <w:keepLines w:val="0"/>
                    <w:suppressLineNumbers w:val="0"/>
                    <w:bidi w:val="0"/>
                    <w:spacing w:before="0" w:beforeAutospacing="0" w:after="0" w:afterAutospacing="0" w:line="240" w:lineRule="auto"/>
                    <w:rPr>
                      <w:rFonts w:hint="default"/>
                      <w:color w:val="auto"/>
                      <w:sz w:val="21"/>
                      <w:szCs w:val="21"/>
                    </w:rPr>
                  </w:pPr>
                  <w:r>
                    <w:rPr>
                      <w:rFonts w:hint="default"/>
                      <w:color w:val="auto"/>
                      <w:sz w:val="21"/>
                      <w:szCs w:val="21"/>
                    </w:rPr>
                    <w:t>/</w:t>
                  </w:r>
                </w:p>
              </w:tc>
            </w:tr>
            <w:tr w14:paraId="7FD0AE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5000" w:type="pct"/>
                  <w:gridSpan w:val="5"/>
                  <w:noWrap w:val="0"/>
                  <w:vAlign w:val="center"/>
                </w:tcPr>
                <w:p w14:paraId="08C9A0E6">
                  <w:pPr>
                    <w:pStyle w:val="45"/>
                    <w:keepNext w:val="0"/>
                    <w:keepLines w:val="0"/>
                    <w:suppressLineNumbers w:val="0"/>
                    <w:bidi w:val="0"/>
                    <w:spacing w:before="0" w:beforeAutospacing="0" w:after="0" w:afterAutospacing="0" w:line="240" w:lineRule="auto"/>
                    <w:jc w:val="both"/>
                    <w:rPr>
                      <w:rFonts w:hint="default" w:eastAsia="宋体"/>
                      <w:color w:val="auto"/>
                      <w:sz w:val="21"/>
                      <w:szCs w:val="21"/>
                      <w:lang w:val="en-US" w:eastAsia="zh-CN"/>
                    </w:rPr>
                  </w:pPr>
                  <w:r>
                    <w:rPr>
                      <w:rFonts w:hint="eastAsia"/>
                      <w:color w:val="auto"/>
                      <w:sz w:val="21"/>
                      <w:szCs w:val="21"/>
                      <w:lang w:val="en-US" w:eastAsia="zh-CN"/>
                    </w:rPr>
                    <w:t>本项目属于其他（不产生实验废气、废水、危险废物的除外），应编制“环境影响报告表”</w:t>
                  </w:r>
                </w:p>
              </w:tc>
            </w:tr>
          </w:tbl>
          <w:p w14:paraId="03200958">
            <w:pPr>
              <w:keepNext w:val="0"/>
              <w:keepLines w:val="0"/>
              <w:suppressLineNumbers w:val="0"/>
              <w:bidi w:val="0"/>
              <w:spacing w:before="0" w:beforeAutospacing="0" w:after="0" w:afterAutospacing="0"/>
              <w:ind w:left="0" w:right="0"/>
              <w:rPr>
                <w:rFonts w:hint="default"/>
                <w:color w:val="auto"/>
              </w:rPr>
            </w:pPr>
            <w:r>
              <w:rPr>
                <w:rFonts w:hint="eastAsia"/>
                <w:color w:val="auto"/>
              </w:rPr>
              <w:t>因此，</w:t>
            </w:r>
            <w:r>
              <w:rPr>
                <w:rFonts w:hint="eastAsia"/>
                <w:color w:val="auto"/>
                <w:lang w:eastAsia="zh-CN"/>
              </w:rPr>
              <w:t>浙江中科国康生物医药科技有限公司</w:t>
            </w:r>
            <w:r>
              <w:rPr>
                <w:rFonts w:hint="eastAsia"/>
                <w:color w:val="auto"/>
              </w:rPr>
              <w:t>委托浙江百诺数智环境科技股份有限公司承担该项目环境影响评价工作。我公司接受委托后，立即组织相关专业技术人员进行了现场勘查、资料收集，在此基础上，按照国家相关环保法律、法规及有关技术规范要求，编制完成了《</w:t>
            </w:r>
            <w:r>
              <w:rPr>
                <w:rFonts w:hint="eastAsia"/>
                <w:color w:val="auto"/>
                <w:lang w:eastAsia="zh-CN"/>
              </w:rPr>
              <w:t>中科国康人类肠道菌群研发及测试项目</w:t>
            </w:r>
            <w:r>
              <w:rPr>
                <w:rFonts w:hint="eastAsia"/>
                <w:color w:val="auto"/>
                <w:sz w:val="24"/>
                <w:szCs w:val="24"/>
              </w:rPr>
              <w:t>环</w:t>
            </w:r>
            <w:r>
              <w:rPr>
                <w:rFonts w:hint="eastAsia"/>
                <w:color w:val="auto"/>
              </w:rPr>
              <w:t>境影响报告表》。</w:t>
            </w:r>
          </w:p>
          <w:p w14:paraId="60F47237">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eastAsia"/>
                <w:color w:val="auto"/>
              </w:rPr>
              <w:t>2、建设内容</w:t>
            </w:r>
          </w:p>
          <w:p w14:paraId="5BFC2B6F">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(1) 主要工程组成情况</w:t>
            </w:r>
          </w:p>
          <w:p w14:paraId="372045E9">
            <w:pPr>
              <w:pStyle w:val="2"/>
              <w:keepNext w:val="0"/>
              <w:keepLines w:val="0"/>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项目主要建设内容见表2-</w:t>
            </w:r>
            <w:r>
              <w:rPr>
                <w:rFonts w:hint="eastAsia" w:cs="Times New Roman"/>
                <w:color w:val="auto"/>
                <w:szCs w:val="24"/>
                <w:lang w:val="en-US" w:eastAsia="zh-CN"/>
              </w:rPr>
              <w:t>2</w:t>
            </w:r>
            <w:r>
              <w:rPr>
                <w:rFonts w:hint="default" w:cs="Times New Roman"/>
                <w:color w:val="auto"/>
                <w:szCs w:val="24"/>
              </w:rPr>
              <w:t>。</w:t>
            </w:r>
          </w:p>
          <w:p w14:paraId="100B6F06">
            <w:pPr>
              <w:pStyle w:val="2"/>
              <w:keepNext w:val="0"/>
              <w:keepLines w:val="0"/>
              <w:suppressLineNumbers w:val="0"/>
              <w:spacing w:before="0" w:beforeAutospacing="0" w:after="0" w:afterAutospacing="0"/>
              <w:ind w:left="0" w:right="0" w:firstLine="480"/>
              <w:rPr>
                <w:rFonts w:hint="default" w:cs="Times New Roman"/>
                <w:color w:val="auto"/>
                <w:szCs w:val="24"/>
              </w:rPr>
            </w:pPr>
          </w:p>
          <w:p w14:paraId="611A9B3E">
            <w:pPr>
              <w:pStyle w:val="2"/>
              <w:keepNext w:val="0"/>
              <w:keepLines w:val="0"/>
              <w:suppressLineNumbers w:val="0"/>
              <w:adjustRightInd w:val="0"/>
              <w:spacing w:before="0" w:beforeAutospacing="0" w:after="0" w:afterAutospacing="0"/>
              <w:ind w:left="0" w:right="0" w:firstLine="0" w:firstLineChars="0"/>
              <w:jc w:val="center"/>
              <w:rPr>
                <w:rFonts w:hint="default" w:eastAsia="黑体" w:cs="Times New Roman"/>
                <w:color w:val="auto"/>
              </w:rPr>
            </w:pPr>
            <w:r>
              <w:rPr>
                <w:rFonts w:hint="default" w:eastAsia="黑体" w:cs="Times New Roman"/>
                <w:color w:val="auto"/>
              </w:rPr>
              <w:t>表2-</w:t>
            </w:r>
            <w:r>
              <w:rPr>
                <w:rFonts w:hint="eastAsia" w:eastAsia="黑体" w:cs="Times New Roman"/>
                <w:color w:val="auto"/>
                <w:lang w:val="en-US" w:eastAsia="zh-CN"/>
              </w:rPr>
              <w:t>2</w:t>
            </w:r>
            <w:r>
              <w:rPr>
                <w:rFonts w:hint="default" w:eastAsia="黑体" w:cs="Times New Roman"/>
                <w:color w:val="auto"/>
              </w:rPr>
              <w:t xml:space="preserve">  项目主要建设内容一览表</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900"/>
              <w:gridCol w:w="1281"/>
              <w:gridCol w:w="3958"/>
              <w:gridCol w:w="789"/>
            </w:tblGrid>
            <w:tr w14:paraId="2B543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shd w:val="clear" w:color="auto" w:fill="auto"/>
                  <w:vAlign w:val="center"/>
                </w:tcPr>
                <w:p w14:paraId="34E964B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default" w:cs="Times New Roman"/>
                      <w:color w:val="auto"/>
                      <w:kern w:val="0"/>
                      <w:sz w:val="21"/>
                      <w:szCs w:val="21"/>
                      <w:lang w:bidi="ar"/>
                    </w:rPr>
                    <w:t>工程类别</w:t>
                  </w:r>
                </w:p>
              </w:tc>
              <w:tc>
                <w:tcPr>
                  <w:tcW w:w="1426" w:type="pct"/>
                  <w:gridSpan w:val="2"/>
                  <w:shd w:val="clear" w:color="auto" w:fill="auto"/>
                  <w:vAlign w:val="center"/>
                </w:tcPr>
                <w:p w14:paraId="0F631F1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default" w:cs="Times New Roman"/>
                      <w:color w:val="auto"/>
                      <w:kern w:val="0"/>
                      <w:sz w:val="21"/>
                      <w:szCs w:val="21"/>
                      <w:lang w:bidi="ar"/>
                    </w:rPr>
                    <w:t>工程名称</w:t>
                  </w:r>
                </w:p>
              </w:tc>
              <w:tc>
                <w:tcPr>
                  <w:tcW w:w="2588" w:type="pct"/>
                  <w:shd w:val="clear" w:color="auto" w:fill="auto"/>
                  <w:vAlign w:val="center"/>
                </w:tcPr>
                <w:p w14:paraId="3769742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default" w:cs="Times New Roman"/>
                      <w:color w:val="auto"/>
                      <w:kern w:val="0"/>
                      <w:sz w:val="21"/>
                      <w:szCs w:val="21"/>
                      <w:lang w:bidi="ar"/>
                    </w:rPr>
                    <w:t>本项目工程内容及规模</w:t>
                  </w:r>
                </w:p>
              </w:tc>
              <w:tc>
                <w:tcPr>
                  <w:tcW w:w="516" w:type="pct"/>
                  <w:shd w:val="clear" w:color="auto" w:fill="auto"/>
                  <w:vAlign w:val="center"/>
                </w:tcPr>
                <w:p w14:paraId="1597DF5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default" w:cs="Times New Roman"/>
                      <w:color w:val="auto"/>
                      <w:kern w:val="0"/>
                      <w:sz w:val="21"/>
                      <w:szCs w:val="21"/>
                      <w:lang w:bidi="ar"/>
                    </w:rPr>
                    <w:t>备注</w:t>
                  </w:r>
                </w:p>
              </w:tc>
            </w:tr>
            <w:tr w14:paraId="52253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restart"/>
                  <w:shd w:val="clear" w:color="auto" w:fill="auto"/>
                  <w:vAlign w:val="center"/>
                </w:tcPr>
                <w:p w14:paraId="3AB7C7F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default" w:cs="Times New Roman"/>
                      <w:color w:val="auto"/>
                      <w:kern w:val="0"/>
                      <w:sz w:val="21"/>
                      <w:szCs w:val="21"/>
                      <w:lang w:bidi="ar"/>
                    </w:rPr>
                    <w:t>主体工程</w:t>
                  </w:r>
                </w:p>
              </w:tc>
              <w:tc>
                <w:tcPr>
                  <w:tcW w:w="588" w:type="pct"/>
                  <w:vMerge w:val="restart"/>
                  <w:shd w:val="clear" w:color="auto" w:fill="auto"/>
                  <w:vAlign w:val="center"/>
                </w:tcPr>
                <w:p w14:paraId="12FF1C6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olor w:val="auto"/>
                      <w:sz w:val="21"/>
                      <w:szCs w:val="21"/>
                      <w:lang w:val="en-US" w:eastAsia="zh-CN"/>
                    </w:rPr>
                  </w:pPr>
                  <w:r>
                    <w:rPr>
                      <w:rFonts w:hint="eastAsia" w:cs="Times New Roman"/>
                      <w:color w:val="auto"/>
                      <w:sz w:val="21"/>
                      <w:szCs w:val="21"/>
                      <w:lang w:val="en-US" w:eastAsia="zh-CN"/>
                    </w:rPr>
                    <w:t>实验室（总建筑面积286m</w:t>
                  </w:r>
                  <w:r>
                    <w:rPr>
                      <w:rFonts w:hint="eastAsia" w:cs="Times New Roman"/>
                      <w:color w:val="auto"/>
                      <w:sz w:val="21"/>
                      <w:szCs w:val="21"/>
                      <w:vertAlign w:val="superscript"/>
                      <w:lang w:val="en-US" w:eastAsia="zh-CN"/>
                    </w:rPr>
                    <w:t>2</w:t>
                  </w:r>
                  <w:r>
                    <w:rPr>
                      <w:rFonts w:hint="eastAsia" w:cs="Times New Roman"/>
                      <w:color w:val="auto"/>
                      <w:sz w:val="21"/>
                      <w:szCs w:val="21"/>
                      <w:vertAlign w:val="baseline"/>
                      <w:lang w:val="en-US" w:eastAsia="zh-CN"/>
                    </w:rPr>
                    <w:t>，H=3m</w:t>
                  </w:r>
                  <w:r>
                    <w:rPr>
                      <w:rFonts w:hint="eastAsia" w:cs="Times New Roman"/>
                      <w:color w:val="auto"/>
                      <w:sz w:val="21"/>
                      <w:szCs w:val="21"/>
                      <w:lang w:val="en-US" w:eastAsia="zh-CN"/>
                    </w:rPr>
                    <w:t>）</w:t>
                  </w:r>
                </w:p>
              </w:tc>
              <w:tc>
                <w:tcPr>
                  <w:tcW w:w="837" w:type="pct"/>
                  <w:shd w:val="clear" w:color="auto" w:fill="auto"/>
                  <w:vAlign w:val="center"/>
                </w:tcPr>
                <w:p w14:paraId="0449350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s="Times New Roman"/>
                      <w:color w:val="auto"/>
                      <w:sz w:val="21"/>
                      <w:szCs w:val="21"/>
                      <w:lang w:val="en-US" w:eastAsia="zh-CN"/>
                    </w:rPr>
                  </w:pPr>
                  <w:r>
                    <w:rPr>
                      <w:rFonts w:hint="eastAsia" w:cs="Times New Roman"/>
                      <w:color w:val="auto"/>
                      <w:sz w:val="21"/>
                      <w:szCs w:val="21"/>
                      <w:lang w:val="en-US" w:eastAsia="zh-CN"/>
                    </w:rPr>
                    <w:t>粪便采集区</w:t>
                  </w:r>
                </w:p>
              </w:tc>
              <w:tc>
                <w:tcPr>
                  <w:tcW w:w="2588" w:type="pct"/>
                  <w:shd w:val="clear" w:color="auto" w:fill="auto"/>
                  <w:vAlign w:val="center"/>
                </w:tcPr>
                <w:p w14:paraId="5ABE85AF">
                  <w:pPr>
                    <w:keepNext w:val="0"/>
                    <w:keepLines w:val="0"/>
                    <w:widowControl/>
                    <w:suppressLineNumbers w:val="0"/>
                    <w:spacing w:before="0" w:beforeAutospacing="0" w:after="0" w:afterAutospacing="0" w:line="240" w:lineRule="auto"/>
                    <w:ind w:left="0" w:right="0" w:firstLine="0" w:firstLineChars="0"/>
                    <w:textAlignment w:val="center"/>
                    <w:rPr>
                      <w:rFonts w:hint="default" w:eastAsia="宋体" w:cs="Times New Roman"/>
                      <w:color w:val="auto"/>
                      <w:sz w:val="21"/>
                      <w:szCs w:val="21"/>
                      <w:lang w:val="en-US" w:eastAsia="zh-CN"/>
                    </w:rPr>
                  </w:pPr>
                  <w:r>
                    <w:rPr>
                      <w:rFonts w:hint="eastAsia" w:cs="Times New Roman"/>
                      <w:color w:val="auto"/>
                      <w:sz w:val="21"/>
                      <w:szCs w:val="21"/>
                      <w:lang w:val="en-US" w:eastAsia="zh-CN"/>
                    </w:rPr>
                    <w:t>占地面积约为4m</w:t>
                  </w:r>
                  <w:r>
                    <w:rPr>
                      <w:rFonts w:hint="eastAsia" w:cs="Times New Roman"/>
                      <w:color w:val="auto"/>
                      <w:sz w:val="21"/>
                      <w:szCs w:val="21"/>
                      <w:vertAlign w:val="superscript"/>
                      <w:lang w:val="en-US" w:eastAsia="zh-CN"/>
                    </w:rPr>
                    <w:t>2</w:t>
                  </w:r>
                  <w:r>
                    <w:rPr>
                      <w:rFonts w:hint="eastAsia" w:cs="Times New Roman"/>
                      <w:color w:val="auto"/>
                      <w:sz w:val="21"/>
                      <w:szCs w:val="21"/>
                      <w:lang w:val="en-US" w:eastAsia="zh-CN"/>
                    </w:rPr>
                    <w:t>，用于健康人员的粪便采集</w:t>
                  </w:r>
                </w:p>
              </w:tc>
              <w:tc>
                <w:tcPr>
                  <w:tcW w:w="516" w:type="pct"/>
                  <w:shd w:val="clear" w:color="auto" w:fill="auto"/>
                  <w:vAlign w:val="center"/>
                </w:tcPr>
                <w:p w14:paraId="530C152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eastAsia" w:cs="Times New Roman"/>
                      <w:color w:val="auto"/>
                      <w:sz w:val="21"/>
                      <w:szCs w:val="21"/>
                      <w:lang w:val="en-US" w:eastAsia="zh-CN"/>
                    </w:rPr>
                    <w:t>新建</w:t>
                  </w:r>
                </w:p>
              </w:tc>
            </w:tr>
            <w:tr w14:paraId="6E18C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shd w:val="clear" w:color="auto" w:fill="auto"/>
                  <w:vAlign w:val="center"/>
                </w:tcPr>
                <w:p w14:paraId="5C51012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lang w:bidi="ar"/>
                    </w:rPr>
                  </w:pPr>
                </w:p>
              </w:tc>
              <w:tc>
                <w:tcPr>
                  <w:tcW w:w="588" w:type="pct"/>
                  <w:vMerge w:val="continue"/>
                  <w:shd w:val="clear" w:color="auto" w:fill="auto"/>
                  <w:vAlign w:val="center"/>
                </w:tcPr>
                <w:p w14:paraId="4524BBF4">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cs="Times New Roman"/>
                      <w:color w:val="auto"/>
                      <w:sz w:val="21"/>
                      <w:szCs w:val="21"/>
                      <w:lang w:val="en-US" w:eastAsia="zh-CN"/>
                    </w:rPr>
                  </w:pPr>
                </w:p>
              </w:tc>
              <w:tc>
                <w:tcPr>
                  <w:tcW w:w="837" w:type="pct"/>
                  <w:shd w:val="clear" w:color="auto" w:fill="auto"/>
                  <w:vAlign w:val="center"/>
                </w:tcPr>
                <w:p w14:paraId="45AFDDA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lang w:val="en-US" w:eastAsia="zh-CN"/>
                    </w:rPr>
                  </w:pPr>
                  <w:r>
                    <w:rPr>
                      <w:rFonts w:hint="eastAsia" w:cs="Times New Roman"/>
                      <w:color w:val="auto"/>
                      <w:sz w:val="21"/>
                      <w:szCs w:val="21"/>
                      <w:lang w:val="en-US" w:eastAsia="zh-CN"/>
                    </w:rPr>
                    <w:t>清洗灭菌区</w:t>
                  </w:r>
                </w:p>
              </w:tc>
              <w:tc>
                <w:tcPr>
                  <w:tcW w:w="2588" w:type="pct"/>
                  <w:shd w:val="clear" w:color="auto" w:fill="auto"/>
                  <w:vAlign w:val="center"/>
                </w:tcPr>
                <w:p w14:paraId="75DF93BE">
                  <w:pPr>
                    <w:keepNext w:val="0"/>
                    <w:keepLines w:val="0"/>
                    <w:widowControl/>
                    <w:suppressLineNumbers w:val="0"/>
                    <w:spacing w:before="0" w:beforeAutospacing="0" w:after="0" w:afterAutospacing="0" w:line="240" w:lineRule="auto"/>
                    <w:ind w:left="0" w:right="0" w:firstLine="0" w:firstLineChars="0"/>
                    <w:textAlignment w:val="center"/>
                    <w:rPr>
                      <w:rFonts w:hint="default" w:cs="Times New Roman"/>
                      <w:color w:val="auto"/>
                      <w:sz w:val="21"/>
                      <w:szCs w:val="21"/>
                      <w:lang w:val="en-US" w:eastAsia="zh-CN"/>
                    </w:rPr>
                  </w:pPr>
                  <w:r>
                    <w:rPr>
                      <w:rFonts w:hint="eastAsia" w:cs="Times New Roman"/>
                      <w:color w:val="auto"/>
                      <w:sz w:val="21"/>
                      <w:szCs w:val="21"/>
                      <w:lang w:val="en-US" w:eastAsia="zh-CN"/>
                    </w:rPr>
                    <w:t>占地面积约为15m</w:t>
                  </w:r>
                  <w:r>
                    <w:rPr>
                      <w:rFonts w:hint="eastAsia" w:cs="Times New Roman"/>
                      <w:color w:val="auto"/>
                      <w:sz w:val="21"/>
                      <w:szCs w:val="21"/>
                      <w:vertAlign w:val="superscript"/>
                      <w:lang w:val="en-US" w:eastAsia="zh-CN"/>
                    </w:rPr>
                    <w:t>2</w:t>
                  </w:r>
                  <w:r>
                    <w:rPr>
                      <w:rFonts w:hint="eastAsia" w:cs="Times New Roman"/>
                      <w:color w:val="auto"/>
                      <w:sz w:val="21"/>
                      <w:szCs w:val="21"/>
                      <w:lang w:val="en-US" w:eastAsia="zh-CN"/>
                    </w:rPr>
                    <w:t>，用于粪便样本的灭菌，设置浸泡消毒池、紫外灭菌柜等设备，用于样品前处理。</w:t>
                  </w:r>
                </w:p>
              </w:tc>
              <w:tc>
                <w:tcPr>
                  <w:tcW w:w="516" w:type="pct"/>
                  <w:shd w:val="clear" w:color="auto" w:fill="auto"/>
                  <w:vAlign w:val="center"/>
                </w:tcPr>
                <w:p w14:paraId="2795CED8">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eastAsia="宋体" w:cs="Times New Roman"/>
                      <w:color w:val="auto"/>
                      <w:sz w:val="21"/>
                      <w:szCs w:val="21"/>
                      <w:lang w:val="en-US" w:eastAsia="zh-CN"/>
                    </w:rPr>
                  </w:pPr>
                  <w:r>
                    <w:rPr>
                      <w:rFonts w:hint="eastAsia" w:cs="Times New Roman"/>
                      <w:color w:val="auto"/>
                      <w:sz w:val="21"/>
                      <w:szCs w:val="21"/>
                      <w:lang w:val="en-US" w:eastAsia="zh-CN"/>
                    </w:rPr>
                    <w:t>新建</w:t>
                  </w:r>
                </w:p>
              </w:tc>
            </w:tr>
            <w:tr w14:paraId="70EE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shd w:val="clear" w:color="auto" w:fill="auto"/>
                  <w:vAlign w:val="center"/>
                </w:tcPr>
                <w:p w14:paraId="1BCDB54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lang w:bidi="ar"/>
                    </w:rPr>
                  </w:pPr>
                </w:p>
              </w:tc>
              <w:tc>
                <w:tcPr>
                  <w:tcW w:w="588" w:type="pct"/>
                  <w:vMerge w:val="continue"/>
                  <w:shd w:val="clear" w:color="auto" w:fill="auto"/>
                  <w:vAlign w:val="center"/>
                </w:tcPr>
                <w:p w14:paraId="24995E7C">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cs="Times New Roman"/>
                      <w:color w:val="auto"/>
                      <w:sz w:val="21"/>
                      <w:szCs w:val="21"/>
                      <w:lang w:val="en-US" w:eastAsia="zh-CN"/>
                    </w:rPr>
                  </w:pPr>
                </w:p>
              </w:tc>
              <w:tc>
                <w:tcPr>
                  <w:tcW w:w="837" w:type="pct"/>
                  <w:shd w:val="clear" w:color="auto" w:fill="auto"/>
                  <w:vAlign w:val="center"/>
                </w:tcPr>
                <w:p w14:paraId="731640C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lang w:val="en-US" w:eastAsia="zh-CN"/>
                    </w:rPr>
                  </w:pPr>
                  <w:r>
                    <w:rPr>
                      <w:rFonts w:hint="eastAsia" w:cs="Times New Roman"/>
                      <w:color w:val="auto"/>
                      <w:sz w:val="21"/>
                      <w:szCs w:val="21"/>
                      <w:lang w:val="en-US" w:eastAsia="zh-CN"/>
                    </w:rPr>
                    <w:t>菌液制作区</w:t>
                  </w:r>
                </w:p>
              </w:tc>
              <w:tc>
                <w:tcPr>
                  <w:tcW w:w="2588" w:type="pct"/>
                  <w:shd w:val="clear" w:color="auto" w:fill="auto"/>
                  <w:vAlign w:val="center"/>
                </w:tcPr>
                <w:p w14:paraId="3B332F82">
                  <w:pPr>
                    <w:keepNext w:val="0"/>
                    <w:keepLines w:val="0"/>
                    <w:widowControl/>
                    <w:suppressLineNumbers w:val="0"/>
                    <w:spacing w:before="0" w:beforeAutospacing="0" w:after="0" w:afterAutospacing="0" w:line="240" w:lineRule="auto"/>
                    <w:ind w:left="0" w:right="0" w:firstLine="0" w:firstLineChars="0"/>
                    <w:textAlignment w:val="center"/>
                    <w:rPr>
                      <w:rFonts w:hint="default" w:eastAsia="宋体" w:cs="Times New Roman"/>
                      <w:color w:val="auto"/>
                      <w:sz w:val="21"/>
                      <w:szCs w:val="21"/>
                      <w:lang w:val="en-US" w:eastAsia="zh-CN"/>
                    </w:rPr>
                  </w:pPr>
                  <w:r>
                    <w:rPr>
                      <w:rFonts w:hint="eastAsia" w:cs="Times New Roman"/>
                      <w:color w:val="auto"/>
                      <w:sz w:val="21"/>
                      <w:szCs w:val="21"/>
                      <w:lang w:val="en-US" w:eastAsia="zh-CN"/>
                    </w:rPr>
                    <w:t>占地面积约为17m</w:t>
                  </w:r>
                  <w:r>
                    <w:rPr>
                      <w:rFonts w:hint="eastAsia" w:cs="Times New Roman"/>
                      <w:color w:val="auto"/>
                      <w:sz w:val="21"/>
                      <w:szCs w:val="21"/>
                      <w:vertAlign w:val="superscript"/>
                      <w:lang w:val="en-US" w:eastAsia="zh-CN"/>
                    </w:rPr>
                    <w:t>2</w:t>
                  </w:r>
                  <w:r>
                    <w:rPr>
                      <w:rFonts w:hint="eastAsia" w:cs="Times New Roman"/>
                      <w:color w:val="auto"/>
                      <w:sz w:val="21"/>
                      <w:szCs w:val="21"/>
                      <w:lang w:val="en-US" w:eastAsia="zh-CN"/>
                    </w:rPr>
                    <w:t>，设置生物安全柜、实验台，用于样本上清液的制作。</w:t>
                  </w:r>
                </w:p>
              </w:tc>
              <w:tc>
                <w:tcPr>
                  <w:tcW w:w="516" w:type="pct"/>
                  <w:shd w:val="clear" w:color="auto" w:fill="auto"/>
                  <w:vAlign w:val="center"/>
                </w:tcPr>
                <w:p w14:paraId="673F759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s="Times New Roman"/>
                      <w:color w:val="auto"/>
                      <w:sz w:val="21"/>
                      <w:szCs w:val="21"/>
                      <w:lang w:val="en-US" w:eastAsia="zh-CN"/>
                    </w:rPr>
                  </w:pPr>
                  <w:r>
                    <w:rPr>
                      <w:rFonts w:hint="eastAsia" w:cs="Times New Roman"/>
                      <w:color w:val="auto"/>
                      <w:sz w:val="21"/>
                      <w:szCs w:val="21"/>
                      <w:lang w:val="en-US" w:eastAsia="zh-CN"/>
                    </w:rPr>
                    <w:t>洁净车间</w:t>
                  </w:r>
                </w:p>
              </w:tc>
            </w:tr>
            <w:tr w14:paraId="2781E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shd w:val="clear" w:color="auto" w:fill="auto"/>
                  <w:vAlign w:val="center"/>
                </w:tcPr>
                <w:p w14:paraId="371C4FA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lang w:bidi="ar"/>
                    </w:rPr>
                  </w:pPr>
                </w:p>
              </w:tc>
              <w:tc>
                <w:tcPr>
                  <w:tcW w:w="588" w:type="pct"/>
                  <w:vMerge w:val="continue"/>
                  <w:shd w:val="clear" w:color="auto" w:fill="auto"/>
                  <w:vAlign w:val="center"/>
                </w:tcPr>
                <w:p w14:paraId="55BF0CB5">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cs="Times New Roman"/>
                      <w:color w:val="auto"/>
                      <w:sz w:val="21"/>
                      <w:szCs w:val="21"/>
                      <w:lang w:val="en-US" w:eastAsia="zh-CN"/>
                    </w:rPr>
                  </w:pPr>
                </w:p>
              </w:tc>
              <w:tc>
                <w:tcPr>
                  <w:tcW w:w="837" w:type="pct"/>
                  <w:shd w:val="clear" w:color="auto" w:fill="auto"/>
                  <w:vAlign w:val="center"/>
                </w:tcPr>
                <w:p w14:paraId="6A7969B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lang w:val="en-US" w:eastAsia="zh-CN"/>
                    </w:rPr>
                  </w:pPr>
                  <w:r>
                    <w:rPr>
                      <w:rFonts w:hint="eastAsia" w:cs="Times New Roman"/>
                      <w:color w:val="auto"/>
                      <w:sz w:val="21"/>
                      <w:szCs w:val="21"/>
                      <w:lang w:val="en-US" w:eastAsia="zh-CN"/>
                    </w:rPr>
                    <w:t>胶囊制备区</w:t>
                  </w:r>
                </w:p>
              </w:tc>
              <w:tc>
                <w:tcPr>
                  <w:tcW w:w="2588" w:type="pct"/>
                  <w:shd w:val="clear" w:color="auto" w:fill="auto"/>
                  <w:vAlign w:val="center"/>
                </w:tcPr>
                <w:p w14:paraId="50AC35FE">
                  <w:pPr>
                    <w:keepNext w:val="0"/>
                    <w:keepLines w:val="0"/>
                    <w:widowControl/>
                    <w:suppressLineNumbers w:val="0"/>
                    <w:spacing w:before="0" w:beforeAutospacing="0" w:after="0" w:afterAutospacing="0" w:line="240" w:lineRule="auto"/>
                    <w:ind w:left="0" w:right="0" w:firstLine="0" w:firstLineChars="0"/>
                    <w:textAlignment w:val="center"/>
                    <w:rPr>
                      <w:rFonts w:hint="default"/>
                      <w:color w:val="auto"/>
                      <w:sz w:val="21"/>
                      <w:szCs w:val="21"/>
                      <w:lang w:val="en-US" w:eastAsia="zh-CN"/>
                    </w:rPr>
                  </w:pPr>
                  <w:r>
                    <w:rPr>
                      <w:rFonts w:hint="eastAsia" w:cs="Times New Roman"/>
                      <w:color w:val="auto"/>
                      <w:sz w:val="21"/>
                      <w:szCs w:val="21"/>
                      <w:lang w:val="en-US" w:eastAsia="zh-CN"/>
                    </w:rPr>
                    <w:t>占地面积约为17m</w:t>
                  </w:r>
                  <w:r>
                    <w:rPr>
                      <w:rFonts w:hint="eastAsia" w:cs="Times New Roman"/>
                      <w:color w:val="auto"/>
                      <w:sz w:val="21"/>
                      <w:szCs w:val="21"/>
                      <w:vertAlign w:val="superscript"/>
                      <w:lang w:val="en-US" w:eastAsia="zh-CN"/>
                    </w:rPr>
                    <w:t>2</w:t>
                  </w:r>
                  <w:r>
                    <w:rPr>
                      <w:rFonts w:hint="eastAsia" w:cs="Times New Roman"/>
                      <w:color w:val="auto"/>
                      <w:sz w:val="21"/>
                      <w:szCs w:val="21"/>
                      <w:lang w:val="en-US" w:eastAsia="zh-CN"/>
                    </w:rPr>
                    <w:t>，设置生物安全柜、实验台，用于外购胶囊外衣，采用样本制备菌液，进行胶囊制备。</w:t>
                  </w:r>
                </w:p>
              </w:tc>
              <w:tc>
                <w:tcPr>
                  <w:tcW w:w="516" w:type="pct"/>
                  <w:shd w:val="clear" w:color="auto" w:fill="auto"/>
                  <w:vAlign w:val="center"/>
                </w:tcPr>
                <w:p w14:paraId="353DADF2">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cs="Times New Roman"/>
                      <w:color w:val="auto"/>
                      <w:sz w:val="21"/>
                      <w:szCs w:val="21"/>
                    </w:rPr>
                  </w:pPr>
                  <w:r>
                    <w:rPr>
                      <w:rFonts w:hint="eastAsia" w:cs="Times New Roman"/>
                      <w:color w:val="auto"/>
                      <w:sz w:val="21"/>
                      <w:szCs w:val="21"/>
                      <w:lang w:val="en-US" w:eastAsia="zh-CN"/>
                    </w:rPr>
                    <w:t>洁净车间</w:t>
                  </w:r>
                </w:p>
              </w:tc>
            </w:tr>
            <w:tr w14:paraId="73200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shd w:val="clear" w:color="auto" w:fill="auto"/>
                  <w:vAlign w:val="center"/>
                </w:tcPr>
                <w:p w14:paraId="2F7B85E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lang w:bidi="ar"/>
                    </w:rPr>
                  </w:pPr>
                </w:p>
              </w:tc>
              <w:tc>
                <w:tcPr>
                  <w:tcW w:w="588" w:type="pct"/>
                  <w:vMerge w:val="continue"/>
                  <w:shd w:val="clear" w:color="auto" w:fill="auto"/>
                  <w:vAlign w:val="center"/>
                </w:tcPr>
                <w:p w14:paraId="11639BE8">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cs="Times New Roman"/>
                      <w:color w:val="auto"/>
                      <w:sz w:val="21"/>
                      <w:szCs w:val="21"/>
                      <w:lang w:val="en-US" w:eastAsia="zh-CN"/>
                    </w:rPr>
                  </w:pPr>
                </w:p>
              </w:tc>
              <w:tc>
                <w:tcPr>
                  <w:tcW w:w="837" w:type="pct"/>
                  <w:shd w:val="clear" w:color="auto" w:fill="auto"/>
                  <w:vAlign w:val="center"/>
                </w:tcPr>
                <w:p w14:paraId="092C5CB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lang w:val="en-US" w:eastAsia="zh-CN"/>
                    </w:rPr>
                  </w:pPr>
                  <w:r>
                    <w:rPr>
                      <w:rFonts w:hint="eastAsia" w:cs="Times New Roman"/>
                      <w:color w:val="auto"/>
                      <w:sz w:val="21"/>
                      <w:szCs w:val="21"/>
                      <w:lang w:val="en-US" w:eastAsia="zh-CN"/>
                    </w:rPr>
                    <w:t>益生菌发酵区</w:t>
                  </w:r>
                </w:p>
              </w:tc>
              <w:tc>
                <w:tcPr>
                  <w:tcW w:w="2588" w:type="pct"/>
                  <w:shd w:val="clear" w:color="auto" w:fill="auto"/>
                  <w:vAlign w:val="center"/>
                </w:tcPr>
                <w:p w14:paraId="6D01BA6D">
                  <w:pPr>
                    <w:keepNext w:val="0"/>
                    <w:keepLines w:val="0"/>
                    <w:widowControl/>
                    <w:suppressLineNumbers w:val="0"/>
                    <w:spacing w:before="0" w:beforeAutospacing="0" w:after="0" w:afterAutospacing="0" w:line="240" w:lineRule="auto"/>
                    <w:ind w:left="0" w:right="0" w:firstLine="0" w:firstLineChars="0"/>
                    <w:textAlignment w:val="center"/>
                    <w:rPr>
                      <w:rFonts w:hint="default" w:cs="Times New Roman"/>
                      <w:color w:val="auto"/>
                      <w:sz w:val="21"/>
                      <w:szCs w:val="21"/>
                      <w:lang w:val="en-US" w:eastAsia="zh-CN"/>
                    </w:rPr>
                  </w:pPr>
                  <w:r>
                    <w:rPr>
                      <w:rFonts w:hint="eastAsia" w:cs="Times New Roman"/>
                      <w:color w:val="auto"/>
                      <w:sz w:val="21"/>
                      <w:szCs w:val="21"/>
                      <w:lang w:val="en-US" w:eastAsia="zh-CN"/>
                    </w:rPr>
                    <w:t>占地面积约为15m</w:t>
                  </w:r>
                  <w:r>
                    <w:rPr>
                      <w:rFonts w:hint="eastAsia" w:cs="Times New Roman"/>
                      <w:color w:val="auto"/>
                      <w:sz w:val="21"/>
                      <w:szCs w:val="21"/>
                      <w:vertAlign w:val="superscript"/>
                      <w:lang w:val="en-US" w:eastAsia="zh-CN"/>
                    </w:rPr>
                    <w:t>2</w:t>
                  </w:r>
                  <w:r>
                    <w:rPr>
                      <w:rFonts w:hint="eastAsia" w:cs="Times New Roman"/>
                      <w:color w:val="auto"/>
                      <w:sz w:val="21"/>
                      <w:szCs w:val="21"/>
                      <w:lang w:val="en-US" w:eastAsia="zh-CN"/>
                    </w:rPr>
                    <w:t>，设置冻干机、实验台，用于益生菌发酵。</w:t>
                  </w:r>
                </w:p>
              </w:tc>
              <w:tc>
                <w:tcPr>
                  <w:tcW w:w="516" w:type="pct"/>
                  <w:shd w:val="clear" w:color="auto" w:fill="auto"/>
                  <w:vAlign w:val="center"/>
                </w:tcPr>
                <w:p w14:paraId="4228AC95">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cs="Times New Roman"/>
                      <w:color w:val="auto"/>
                      <w:sz w:val="21"/>
                      <w:szCs w:val="21"/>
                    </w:rPr>
                  </w:pPr>
                  <w:r>
                    <w:rPr>
                      <w:rFonts w:hint="eastAsia" w:cs="Times New Roman"/>
                      <w:color w:val="auto"/>
                      <w:sz w:val="21"/>
                      <w:szCs w:val="21"/>
                      <w:lang w:val="en-US" w:eastAsia="zh-CN"/>
                    </w:rPr>
                    <w:t>新建</w:t>
                  </w:r>
                </w:p>
              </w:tc>
            </w:tr>
            <w:tr w14:paraId="69376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shd w:val="clear" w:color="auto" w:fill="auto"/>
                  <w:vAlign w:val="center"/>
                </w:tcPr>
                <w:p w14:paraId="2C0326B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eastAsia" w:cs="Times New Roman"/>
                      <w:color w:val="auto"/>
                      <w:kern w:val="0"/>
                      <w:sz w:val="21"/>
                      <w:szCs w:val="21"/>
                      <w:lang w:val="en-US" w:eastAsia="zh-CN" w:bidi="ar"/>
                    </w:rPr>
                    <w:t>储运</w:t>
                  </w:r>
                  <w:r>
                    <w:rPr>
                      <w:rFonts w:hint="default" w:cs="Times New Roman"/>
                      <w:color w:val="auto"/>
                      <w:kern w:val="0"/>
                      <w:sz w:val="21"/>
                      <w:szCs w:val="21"/>
                      <w:lang w:bidi="ar"/>
                    </w:rPr>
                    <w:t>工程</w:t>
                  </w:r>
                </w:p>
              </w:tc>
              <w:tc>
                <w:tcPr>
                  <w:tcW w:w="588" w:type="pct"/>
                  <w:vMerge w:val="continue"/>
                  <w:shd w:val="clear" w:color="auto" w:fill="auto"/>
                  <w:vAlign w:val="center"/>
                </w:tcPr>
                <w:p w14:paraId="5A17E915">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eastAsia="宋体" w:cs="Times New Roman"/>
                      <w:color w:val="auto"/>
                      <w:sz w:val="21"/>
                      <w:szCs w:val="21"/>
                      <w:lang w:val="en-US" w:eastAsia="zh-CN"/>
                    </w:rPr>
                  </w:pPr>
                </w:p>
              </w:tc>
              <w:tc>
                <w:tcPr>
                  <w:tcW w:w="837" w:type="pct"/>
                  <w:shd w:val="clear" w:color="auto" w:fill="auto"/>
                  <w:vAlign w:val="center"/>
                </w:tcPr>
                <w:p w14:paraId="08E14207">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cs="Times New Roman"/>
                      <w:color w:val="auto"/>
                      <w:sz w:val="21"/>
                      <w:szCs w:val="21"/>
                      <w:lang w:val="en-US" w:eastAsia="zh-CN"/>
                    </w:rPr>
                  </w:pPr>
                  <w:r>
                    <w:rPr>
                      <w:rFonts w:hint="eastAsia" w:cs="Times New Roman"/>
                      <w:color w:val="auto"/>
                      <w:sz w:val="21"/>
                      <w:szCs w:val="21"/>
                      <w:lang w:val="en-US" w:eastAsia="zh-CN"/>
                    </w:rPr>
                    <w:t>冷冻保存区</w:t>
                  </w:r>
                </w:p>
              </w:tc>
              <w:tc>
                <w:tcPr>
                  <w:tcW w:w="2588" w:type="pct"/>
                  <w:shd w:val="clear" w:color="auto" w:fill="auto"/>
                  <w:vAlign w:val="center"/>
                </w:tcPr>
                <w:p w14:paraId="108BFFB3">
                  <w:pPr>
                    <w:keepNext w:val="0"/>
                    <w:keepLines w:val="0"/>
                    <w:widowControl/>
                    <w:suppressLineNumbers w:val="0"/>
                    <w:spacing w:before="0" w:beforeAutospacing="0" w:after="0" w:afterAutospacing="0" w:line="240" w:lineRule="auto"/>
                    <w:ind w:left="0" w:right="0" w:firstLine="0" w:firstLineChars="0"/>
                    <w:textAlignment w:val="center"/>
                    <w:rPr>
                      <w:rFonts w:hint="default" w:eastAsia="宋体" w:cs="Times New Roman"/>
                      <w:color w:val="auto"/>
                      <w:sz w:val="21"/>
                      <w:szCs w:val="21"/>
                      <w:lang w:val="en-US" w:eastAsia="zh-CN"/>
                    </w:rPr>
                  </w:pPr>
                  <w:r>
                    <w:rPr>
                      <w:rFonts w:hint="eastAsia" w:cs="Times New Roman"/>
                      <w:color w:val="auto"/>
                      <w:sz w:val="21"/>
                      <w:szCs w:val="21"/>
                      <w:lang w:val="en-US" w:eastAsia="zh-CN"/>
                    </w:rPr>
                    <w:t>占地面积约为18m</w:t>
                  </w:r>
                  <w:r>
                    <w:rPr>
                      <w:rFonts w:hint="eastAsia" w:cs="Times New Roman"/>
                      <w:color w:val="auto"/>
                      <w:sz w:val="21"/>
                      <w:szCs w:val="21"/>
                      <w:vertAlign w:val="superscript"/>
                      <w:lang w:val="en-US" w:eastAsia="zh-CN"/>
                    </w:rPr>
                    <w:t>2</w:t>
                  </w:r>
                  <w:r>
                    <w:rPr>
                      <w:rFonts w:hint="eastAsia" w:cs="Times New Roman"/>
                      <w:color w:val="auto"/>
                      <w:sz w:val="21"/>
                      <w:szCs w:val="21"/>
                      <w:lang w:val="en-US" w:eastAsia="zh-CN"/>
                    </w:rPr>
                    <w:t>，设置低温冰箱等，用于胶囊的冷冻保存。</w:t>
                  </w:r>
                </w:p>
              </w:tc>
              <w:tc>
                <w:tcPr>
                  <w:tcW w:w="516" w:type="pct"/>
                  <w:shd w:val="clear" w:color="auto" w:fill="auto"/>
                  <w:vAlign w:val="center"/>
                </w:tcPr>
                <w:p w14:paraId="1B645AA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eastAsia" w:cs="Times New Roman"/>
                      <w:color w:val="auto"/>
                      <w:sz w:val="21"/>
                      <w:szCs w:val="21"/>
                      <w:lang w:val="en-US" w:eastAsia="zh-CN"/>
                    </w:rPr>
                    <w:t>新建</w:t>
                  </w:r>
                </w:p>
              </w:tc>
            </w:tr>
            <w:tr w14:paraId="28FA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restart"/>
                  <w:shd w:val="clear" w:color="auto" w:fill="auto"/>
                  <w:vAlign w:val="center"/>
                </w:tcPr>
                <w:p w14:paraId="59B27C6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default" w:cs="Times New Roman"/>
                      <w:color w:val="auto"/>
                      <w:kern w:val="0"/>
                      <w:sz w:val="21"/>
                      <w:szCs w:val="21"/>
                      <w:lang w:bidi="ar"/>
                    </w:rPr>
                    <w:t>公用工程</w:t>
                  </w:r>
                </w:p>
              </w:tc>
              <w:tc>
                <w:tcPr>
                  <w:tcW w:w="1426" w:type="pct"/>
                  <w:gridSpan w:val="2"/>
                  <w:shd w:val="clear" w:color="auto" w:fill="auto"/>
                  <w:vAlign w:val="center"/>
                </w:tcPr>
                <w:p w14:paraId="5443C53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default" w:cs="Times New Roman"/>
                      <w:color w:val="auto"/>
                      <w:kern w:val="0"/>
                      <w:sz w:val="21"/>
                      <w:szCs w:val="21"/>
                      <w:lang w:bidi="ar"/>
                    </w:rPr>
                    <w:t>给水</w:t>
                  </w:r>
                </w:p>
              </w:tc>
              <w:tc>
                <w:tcPr>
                  <w:tcW w:w="2588" w:type="pct"/>
                  <w:shd w:val="clear" w:color="auto" w:fill="auto"/>
                  <w:vAlign w:val="center"/>
                </w:tcPr>
                <w:p w14:paraId="24418844">
                  <w:pPr>
                    <w:keepNext w:val="0"/>
                    <w:keepLines w:val="0"/>
                    <w:widowControl/>
                    <w:suppressLineNumbers w:val="0"/>
                    <w:spacing w:before="0" w:beforeAutospacing="0" w:after="0" w:afterAutospacing="0" w:line="240" w:lineRule="auto"/>
                    <w:ind w:left="0" w:right="0" w:firstLine="0" w:firstLineChars="0"/>
                    <w:textAlignment w:val="center"/>
                    <w:rPr>
                      <w:rFonts w:hint="default" w:eastAsia="宋体" w:cs="Times New Roman"/>
                      <w:color w:val="auto"/>
                      <w:sz w:val="21"/>
                      <w:szCs w:val="21"/>
                      <w:lang w:val="en-US" w:eastAsia="zh-CN"/>
                    </w:rPr>
                  </w:pPr>
                  <w:r>
                    <w:rPr>
                      <w:rFonts w:hint="default" w:cs="Times New Roman"/>
                      <w:color w:val="auto"/>
                      <w:sz w:val="21"/>
                      <w:szCs w:val="21"/>
                    </w:rPr>
                    <w:t>生活用水主要来自</w:t>
                  </w:r>
                  <w:r>
                    <w:rPr>
                      <w:rFonts w:hint="eastAsia" w:cs="Times New Roman"/>
                      <w:color w:val="auto"/>
                      <w:sz w:val="21"/>
                      <w:szCs w:val="21"/>
                      <w:lang w:val="en-US" w:eastAsia="zh-CN"/>
                    </w:rPr>
                    <w:t>园区</w:t>
                  </w:r>
                  <w:r>
                    <w:rPr>
                      <w:rFonts w:hint="default" w:cs="Times New Roman"/>
                      <w:color w:val="auto"/>
                      <w:sz w:val="21"/>
                      <w:szCs w:val="21"/>
                    </w:rPr>
                    <w:t>自来水管网，厂内建立完善的管网系统</w:t>
                  </w:r>
                  <w:r>
                    <w:rPr>
                      <w:rFonts w:hint="eastAsia" w:cs="Times New Roman"/>
                      <w:color w:val="auto"/>
                      <w:sz w:val="21"/>
                      <w:szCs w:val="21"/>
                      <w:lang w:eastAsia="zh-CN"/>
                    </w:rPr>
                    <w:t>，</w:t>
                  </w:r>
                  <w:r>
                    <w:rPr>
                      <w:rFonts w:hint="eastAsia" w:cs="Times New Roman"/>
                      <w:color w:val="auto"/>
                      <w:sz w:val="21"/>
                      <w:szCs w:val="21"/>
                      <w:lang w:val="en-US" w:eastAsia="zh-CN"/>
                    </w:rPr>
                    <w:t>项目新鲜水用量约为555.52t/a。</w:t>
                  </w:r>
                </w:p>
              </w:tc>
              <w:tc>
                <w:tcPr>
                  <w:tcW w:w="516" w:type="pct"/>
                  <w:vMerge w:val="restart"/>
                  <w:shd w:val="clear" w:color="auto" w:fill="auto"/>
                  <w:vAlign w:val="center"/>
                </w:tcPr>
                <w:p w14:paraId="695CF7D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s="Times New Roman"/>
                      <w:color w:val="auto"/>
                      <w:sz w:val="21"/>
                      <w:szCs w:val="21"/>
                      <w:lang w:val="en-US" w:eastAsia="zh-CN"/>
                    </w:rPr>
                  </w:pPr>
                  <w:r>
                    <w:rPr>
                      <w:rFonts w:hint="eastAsia" w:cs="Times New Roman"/>
                      <w:color w:val="auto"/>
                      <w:sz w:val="21"/>
                      <w:szCs w:val="21"/>
                      <w:lang w:val="en-US" w:eastAsia="zh-CN"/>
                    </w:rPr>
                    <w:t>依托园区现有设施</w:t>
                  </w:r>
                </w:p>
              </w:tc>
            </w:tr>
            <w:tr w14:paraId="1BAC4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shd w:val="clear" w:color="auto" w:fill="auto"/>
                  <w:vAlign w:val="center"/>
                </w:tcPr>
                <w:p w14:paraId="79B58874">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p>
              </w:tc>
              <w:tc>
                <w:tcPr>
                  <w:tcW w:w="1426" w:type="pct"/>
                  <w:gridSpan w:val="2"/>
                  <w:shd w:val="clear" w:color="auto" w:fill="auto"/>
                  <w:vAlign w:val="center"/>
                </w:tcPr>
                <w:p w14:paraId="5C0FC55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default" w:cs="Times New Roman"/>
                      <w:color w:val="auto"/>
                      <w:kern w:val="0"/>
                      <w:sz w:val="21"/>
                      <w:szCs w:val="21"/>
                      <w:lang w:bidi="ar"/>
                    </w:rPr>
                    <w:t>排水</w:t>
                  </w:r>
                </w:p>
              </w:tc>
              <w:tc>
                <w:tcPr>
                  <w:tcW w:w="2588" w:type="pct"/>
                  <w:shd w:val="clear" w:color="auto" w:fill="auto"/>
                  <w:vAlign w:val="center"/>
                </w:tcPr>
                <w:p w14:paraId="37CFFC64">
                  <w:pPr>
                    <w:keepNext w:val="0"/>
                    <w:keepLines w:val="0"/>
                    <w:widowControl/>
                    <w:suppressLineNumbers w:val="0"/>
                    <w:spacing w:before="0" w:beforeAutospacing="0" w:after="0" w:afterAutospacing="0" w:line="240" w:lineRule="auto"/>
                    <w:ind w:left="0" w:right="0" w:firstLine="0" w:firstLineChars="0"/>
                    <w:textAlignment w:val="center"/>
                    <w:rPr>
                      <w:rFonts w:hint="default" w:cs="Times New Roman"/>
                      <w:color w:val="auto"/>
                      <w:sz w:val="21"/>
                      <w:szCs w:val="21"/>
                    </w:rPr>
                  </w:pPr>
                  <w:r>
                    <w:rPr>
                      <w:rFonts w:hint="eastAsia" w:cs="Times New Roman"/>
                      <w:color w:val="auto"/>
                      <w:sz w:val="21"/>
                      <w:szCs w:val="21"/>
                      <w:lang w:val="en-US" w:eastAsia="zh-CN"/>
                    </w:rPr>
                    <w:t>园区</w:t>
                  </w:r>
                  <w:r>
                    <w:rPr>
                      <w:rFonts w:hint="default" w:cs="Times New Roman"/>
                      <w:color w:val="auto"/>
                      <w:sz w:val="21"/>
                      <w:szCs w:val="21"/>
                    </w:rPr>
                    <w:t>排水采用雨污分流，排水系统分为雨水和废水两个系统。生活污水</w:t>
                  </w:r>
                  <w:r>
                    <w:rPr>
                      <w:rFonts w:hint="eastAsia" w:cs="Times New Roman"/>
                      <w:color w:val="auto"/>
                      <w:sz w:val="21"/>
                      <w:szCs w:val="21"/>
                      <w:lang w:val="en-US" w:eastAsia="zh-CN"/>
                    </w:rPr>
                    <w:t>经化粪池预处理后进入市政污水管网</w:t>
                  </w:r>
                  <w:r>
                    <w:rPr>
                      <w:rFonts w:hint="eastAsia" w:cs="Times New Roman"/>
                      <w:color w:val="auto"/>
                      <w:sz w:val="21"/>
                      <w:szCs w:val="21"/>
                      <w:lang w:eastAsia="zh-CN"/>
                    </w:rPr>
                    <w:t>，</w:t>
                  </w:r>
                  <w:r>
                    <w:rPr>
                      <w:rFonts w:hint="eastAsia" w:cs="Times New Roman"/>
                      <w:color w:val="auto"/>
                      <w:sz w:val="21"/>
                      <w:szCs w:val="21"/>
                      <w:lang w:val="en-US" w:eastAsia="zh-CN"/>
                    </w:rPr>
                    <w:t>进入余杭污水处理厂处理，实验废水经实验室污水处理设施处理后，进入余杭污水处理厂处理</w:t>
                  </w:r>
                  <w:r>
                    <w:rPr>
                      <w:rFonts w:hint="default" w:cs="Times New Roman"/>
                      <w:color w:val="auto"/>
                      <w:sz w:val="21"/>
                      <w:szCs w:val="21"/>
                    </w:rPr>
                    <w:t>。雨水排入厂区雨水管网，最终排至周边道路市政雨水管网。</w:t>
                  </w:r>
                </w:p>
              </w:tc>
              <w:tc>
                <w:tcPr>
                  <w:tcW w:w="516" w:type="pct"/>
                  <w:vMerge w:val="continue"/>
                  <w:shd w:val="clear" w:color="auto" w:fill="auto"/>
                  <w:vAlign w:val="center"/>
                </w:tcPr>
                <w:p w14:paraId="0EC79D5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p>
              </w:tc>
            </w:tr>
            <w:tr w14:paraId="0380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shd w:val="clear" w:color="auto" w:fill="auto"/>
                  <w:vAlign w:val="center"/>
                </w:tcPr>
                <w:p w14:paraId="7FFEA939">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p>
              </w:tc>
              <w:tc>
                <w:tcPr>
                  <w:tcW w:w="1426" w:type="pct"/>
                  <w:gridSpan w:val="2"/>
                  <w:shd w:val="clear" w:color="auto" w:fill="auto"/>
                  <w:vAlign w:val="center"/>
                </w:tcPr>
                <w:p w14:paraId="3413CED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default" w:cs="Times New Roman"/>
                      <w:color w:val="auto"/>
                      <w:kern w:val="0"/>
                      <w:sz w:val="21"/>
                      <w:szCs w:val="21"/>
                      <w:lang w:bidi="ar"/>
                    </w:rPr>
                    <w:t>供电</w:t>
                  </w:r>
                </w:p>
              </w:tc>
              <w:tc>
                <w:tcPr>
                  <w:tcW w:w="2588" w:type="pct"/>
                  <w:shd w:val="clear" w:color="auto" w:fill="auto"/>
                  <w:vAlign w:val="center"/>
                </w:tcPr>
                <w:p w14:paraId="4B78BFEB">
                  <w:pPr>
                    <w:keepNext w:val="0"/>
                    <w:keepLines w:val="0"/>
                    <w:widowControl/>
                    <w:suppressLineNumbers w:val="0"/>
                    <w:spacing w:before="0" w:beforeAutospacing="0" w:after="0" w:afterAutospacing="0" w:line="240" w:lineRule="auto"/>
                    <w:ind w:left="0" w:right="0" w:firstLine="0" w:firstLineChars="0"/>
                    <w:textAlignment w:val="center"/>
                    <w:rPr>
                      <w:rFonts w:hint="default" w:cs="Times New Roman"/>
                      <w:color w:val="auto"/>
                      <w:sz w:val="21"/>
                      <w:szCs w:val="21"/>
                    </w:rPr>
                  </w:pPr>
                  <w:r>
                    <w:rPr>
                      <w:rFonts w:hint="default" w:cs="Times New Roman"/>
                      <w:color w:val="auto"/>
                      <w:sz w:val="21"/>
                      <w:szCs w:val="21"/>
                    </w:rPr>
                    <w:t>本项目用电由</w:t>
                  </w:r>
                  <w:r>
                    <w:rPr>
                      <w:rFonts w:hint="eastAsia" w:cs="Times New Roman"/>
                      <w:color w:val="auto"/>
                      <w:sz w:val="21"/>
                      <w:szCs w:val="21"/>
                      <w:lang w:val="en-US" w:eastAsia="zh-CN"/>
                    </w:rPr>
                    <w:t>园区供电管网提供，本项目年用电量1万度</w:t>
                  </w:r>
                  <w:r>
                    <w:rPr>
                      <w:rFonts w:hint="default" w:cs="Times New Roman"/>
                      <w:color w:val="auto"/>
                      <w:sz w:val="21"/>
                      <w:szCs w:val="21"/>
                    </w:rPr>
                    <w:t>。</w:t>
                  </w:r>
                </w:p>
              </w:tc>
              <w:tc>
                <w:tcPr>
                  <w:tcW w:w="516" w:type="pct"/>
                  <w:vMerge w:val="continue"/>
                  <w:shd w:val="clear" w:color="auto" w:fill="auto"/>
                  <w:vAlign w:val="center"/>
                </w:tcPr>
                <w:p w14:paraId="38BAF4E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s="Times New Roman"/>
                      <w:color w:val="auto"/>
                      <w:sz w:val="21"/>
                      <w:szCs w:val="21"/>
                      <w:lang w:val="en-US" w:eastAsia="zh-CN"/>
                    </w:rPr>
                  </w:pPr>
                </w:p>
              </w:tc>
            </w:tr>
            <w:tr w14:paraId="07B6C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continue"/>
                  <w:shd w:val="clear" w:color="auto" w:fill="auto"/>
                  <w:vAlign w:val="center"/>
                </w:tcPr>
                <w:p w14:paraId="29795301">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p>
              </w:tc>
              <w:tc>
                <w:tcPr>
                  <w:tcW w:w="1426" w:type="pct"/>
                  <w:gridSpan w:val="2"/>
                  <w:shd w:val="clear" w:color="auto" w:fill="auto"/>
                  <w:vAlign w:val="center"/>
                </w:tcPr>
                <w:p w14:paraId="687B0DA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lang w:bidi="ar"/>
                    </w:rPr>
                  </w:pPr>
                  <w:r>
                    <w:rPr>
                      <w:rFonts w:hint="eastAsia" w:cs="Times New Roman"/>
                      <w:color w:val="auto"/>
                      <w:kern w:val="0"/>
                      <w:sz w:val="21"/>
                      <w:szCs w:val="21"/>
                      <w:lang w:val="en-US" w:eastAsia="zh-CN" w:bidi="ar"/>
                    </w:rPr>
                    <w:t>洁净室风机</w:t>
                  </w:r>
                  <w:r>
                    <w:rPr>
                      <w:rFonts w:hint="eastAsia" w:cs="Times New Roman"/>
                      <w:color w:val="auto"/>
                      <w:kern w:val="0"/>
                      <w:sz w:val="21"/>
                      <w:szCs w:val="21"/>
                      <w:lang w:bidi="ar"/>
                    </w:rPr>
                    <w:t>系统</w:t>
                  </w:r>
                </w:p>
              </w:tc>
              <w:tc>
                <w:tcPr>
                  <w:tcW w:w="2588" w:type="pct"/>
                  <w:shd w:val="clear" w:color="auto" w:fill="auto"/>
                  <w:vAlign w:val="center"/>
                </w:tcPr>
                <w:p w14:paraId="790CED51">
                  <w:pPr>
                    <w:keepNext w:val="0"/>
                    <w:keepLines w:val="0"/>
                    <w:widowControl/>
                    <w:suppressLineNumbers w:val="0"/>
                    <w:spacing w:before="0" w:beforeAutospacing="0" w:after="0" w:afterAutospacing="0" w:line="240" w:lineRule="auto"/>
                    <w:ind w:left="0" w:right="0" w:firstLine="0" w:firstLineChars="0"/>
                    <w:textAlignment w:val="center"/>
                    <w:rPr>
                      <w:rFonts w:hint="default" w:cs="Times New Roman"/>
                      <w:color w:val="auto"/>
                      <w:kern w:val="0"/>
                      <w:sz w:val="21"/>
                      <w:szCs w:val="21"/>
                      <w:lang w:val="en-US" w:bidi="ar"/>
                    </w:rPr>
                  </w:pPr>
                  <w:r>
                    <w:rPr>
                      <w:rFonts w:hint="eastAsia" w:cs="Times New Roman"/>
                      <w:color w:val="auto"/>
                      <w:sz w:val="21"/>
                      <w:szCs w:val="21"/>
                      <w:lang w:val="en-US" w:eastAsia="zh-CN"/>
                    </w:rPr>
                    <w:t>配套建设洁净新风系统，单台风机风量约为2000m</w:t>
                  </w:r>
                  <w:r>
                    <w:rPr>
                      <w:rFonts w:hint="eastAsia" w:cs="Times New Roman"/>
                      <w:color w:val="auto"/>
                      <w:sz w:val="21"/>
                      <w:szCs w:val="21"/>
                      <w:vertAlign w:val="superscript"/>
                      <w:lang w:val="en-US" w:eastAsia="zh-CN"/>
                    </w:rPr>
                    <w:t>3</w:t>
                  </w:r>
                  <w:r>
                    <w:rPr>
                      <w:rFonts w:hint="eastAsia" w:cs="Times New Roman"/>
                      <w:color w:val="auto"/>
                      <w:sz w:val="21"/>
                      <w:szCs w:val="21"/>
                      <w:lang w:val="en-US" w:eastAsia="zh-CN"/>
                    </w:rPr>
                    <w:t>/h，为十万级洁净车间提供洁净空气。</w:t>
                  </w:r>
                </w:p>
              </w:tc>
              <w:tc>
                <w:tcPr>
                  <w:tcW w:w="516" w:type="pct"/>
                  <w:shd w:val="clear" w:color="auto" w:fill="auto"/>
                  <w:vAlign w:val="center"/>
                </w:tcPr>
                <w:p w14:paraId="52FE62F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lang w:bidi="ar"/>
                    </w:rPr>
                  </w:pPr>
                  <w:r>
                    <w:rPr>
                      <w:rFonts w:hint="eastAsia" w:cs="Times New Roman"/>
                      <w:color w:val="auto"/>
                      <w:sz w:val="21"/>
                      <w:szCs w:val="21"/>
                    </w:rPr>
                    <w:t>新建</w:t>
                  </w:r>
                </w:p>
              </w:tc>
            </w:tr>
            <w:tr w14:paraId="57938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restart"/>
                  <w:shd w:val="clear" w:color="auto" w:fill="auto"/>
                  <w:vAlign w:val="center"/>
                </w:tcPr>
                <w:p w14:paraId="60240E3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default" w:cs="Times New Roman"/>
                      <w:color w:val="auto"/>
                      <w:kern w:val="0"/>
                      <w:sz w:val="21"/>
                      <w:szCs w:val="21"/>
                      <w:lang w:bidi="ar"/>
                    </w:rPr>
                    <w:t>环保工程</w:t>
                  </w:r>
                </w:p>
              </w:tc>
              <w:tc>
                <w:tcPr>
                  <w:tcW w:w="1426" w:type="pct"/>
                  <w:gridSpan w:val="2"/>
                  <w:shd w:val="clear" w:color="auto" w:fill="auto"/>
                  <w:vAlign w:val="center"/>
                </w:tcPr>
                <w:p w14:paraId="65419D8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default" w:cs="Times New Roman"/>
                      <w:color w:val="auto"/>
                      <w:kern w:val="0"/>
                      <w:sz w:val="21"/>
                      <w:szCs w:val="21"/>
                      <w:lang w:bidi="ar"/>
                    </w:rPr>
                    <w:t>废水</w:t>
                  </w:r>
                </w:p>
              </w:tc>
              <w:tc>
                <w:tcPr>
                  <w:tcW w:w="2588" w:type="pct"/>
                  <w:shd w:val="clear" w:color="auto" w:fill="auto"/>
                  <w:vAlign w:val="center"/>
                </w:tcPr>
                <w:p w14:paraId="0D9885DD">
                  <w:pPr>
                    <w:keepNext w:val="0"/>
                    <w:keepLines w:val="0"/>
                    <w:widowControl/>
                    <w:suppressLineNumbers w:val="0"/>
                    <w:spacing w:before="0" w:beforeAutospacing="0" w:after="0" w:afterAutospacing="0" w:line="240" w:lineRule="auto"/>
                    <w:ind w:left="0" w:right="0" w:firstLine="0" w:firstLineChars="0"/>
                    <w:textAlignment w:val="center"/>
                    <w:rPr>
                      <w:rFonts w:hint="default" w:cs="Times New Roman"/>
                      <w:color w:val="auto"/>
                      <w:sz w:val="21"/>
                      <w:szCs w:val="21"/>
                    </w:rPr>
                  </w:pPr>
                  <w:r>
                    <w:rPr>
                      <w:rFonts w:hint="default" w:cs="Times New Roman"/>
                      <w:color w:val="auto"/>
                      <w:sz w:val="21"/>
                      <w:szCs w:val="21"/>
                    </w:rPr>
                    <w:t>生活污水年排放量约为396.8t/a，经化粪池预处理后进入市政污水官网，进入余杭污水处理厂处理</w:t>
                  </w:r>
                  <w:r>
                    <w:rPr>
                      <w:rFonts w:hint="eastAsia" w:cs="Times New Roman"/>
                      <w:color w:val="auto"/>
                      <w:sz w:val="21"/>
                      <w:szCs w:val="21"/>
                      <w:lang w:eastAsia="zh-CN"/>
                    </w:rPr>
                    <w:t>；</w:t>
                  </w:r>
                  <w:r>
                    <w:rPr>
                      <w:rFonts w:hint="default" w:cs="Times New Roman"/>
                      <w:color w:val="auto"/>
                      <w:sz w:val="21"/>
                      <w:szCs w:val="21"/>
                    </w:rPr>
                    <w:t>实验废水年排放量47.62t/a，经实验室污水处理设施处理（主要工艺：重金属吸附+混凝过滤+多介质过滤+消毒）后，进入余杭污水处理厂处理。</w:t>
                  </w:r>
                </w:p>
              </w:tc>
              <w:tc>
                <w:tcPr>
                  <w:tcW w:w="516" w:type="pct"/>
                  <w:shd w:val="clear" w:color="auto" w:fill="auto"/>
                  <w:vAlign w:val="center"/>
                </w:tcPr>
                <w:p w14:paraId="66663D3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eastAsia" w:cs="Times New Roman"/>
                      <w:color w:val="auto"/>
                      <w:sz w:val="21"/>
                      <w:szCs w:val="21"/>
                    </w:rPr>
                    <w:t>新建</w:t>
                  </w:r>
                </w:p>
              </w:tc>
            </w:tr>
            <w:tr w14:paraId="36A1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shd w:val="clear" w:color="auto" w:fill="auto"/>
                  <w:vAlign w:val="center"/>
                </w:tcPr>
                <w:p w14:paraId="73A5226F">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p>
              </w:tc>
              <w:tc>
                <w:tcPr>
                  <w:tcW w:w="588" w:type="pct"/>
                  <w:vMerge w:val="restart"/>
                  <w:shd w:val="clear" w:color="auto" w:fill="auto"/>
                  <w:vAlign w:val="center"/>
                </w:tcPr>
                <w:p w14:paraId="7ECC379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default" w:cs="Times New Roman"/>
                      <w:color w:val="auto"/>
                      <w:kern w:val="0"/>
                      <w:sz w:val="21"/>
                      <w:szCs w:val="21"/>
                      <w:lang w:bidi="ar"/>
                    </w:rPr>
                    <w:t>废气</w:t>
                  </w:r>
                </w:p>
              </w:tc>
              <w:tc>
                <w:tcPr>
                  <w:tcW w:w="837" w:type="pct"/>
                  <w:shd w:val="clear" w:color="auto" w:fill="auto"/>
                  <w:vAlign w:val="center"/>
                </w:tcPr>
                <w:p w14:paraId="002ABC2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lang w:bidi="ar"/>
                    </w:rPr>
                  </w:pPr>
                  <w:r>
                    <w:rPr>
                      <w:rFonts w:hint="eastAsia" w:cs="Times New Roman"/>
                      <w:color w:val="auto"/>
                      <w:kern w:val="0"/>
                      <w:sz w:val="21"/>
                      <w:szCs w:val="21"/>
                      <w:lang w:bidi="ar"/>
                    </w:rPr>
                    <w:t>有组织</w:t>
                  </w:r>
                </w:p>
              </w:tc>
              <w:tc>
                <w:tcPr>
                  <w:tcW w:w="2588" w:type="pct"/>
                  <w:shd w:val="clear" w:color="auto" w:fill="auto"/>
                  <w:vAlign w:val="center"/>
                </w:tcPr>
                <w:p w14:paraId="380DE7DD">
                  <w:pPr>
                    <w:keepNext w:val="0"/>
                    <w:keepLines w:val="0"/>
                    <w:widowControl/>
                    <w:suppressLineNumbers w:val="0"/>
                    <w:spacing w:before="0" w:beforeAutospacing="0" w:after="0" w:afterAutospacing="0" w:line="240" w:lineRule="auto"/>
                    <w:ind w:left="0" w:right="0" w:firstLine="0" w:firstLineChars="0"/>
                    <w:textAlignment w:val="center"/>
                    <w:rPr>
                      <w:rFonts w:hint="default" w:cs="Times New Roman"/>
                      <w:color w:val="auto"/>
                      <w:sz w:val="21"/>
                      <w:szCs w:val="21"/>
                    </w:rPr>
                  </w:pPr>
                  <w:r>
                    <w:rPr>
                      <w:rFonts w:hint="eastAsia" w:cs="Times New Roman"/>
                      <w:color w:val="auto"/>
                      <w:sz w:val="21"/>
                      <w:szCs w:val="21"/>
                      <w:lang w:val="en-US" w:eastAsia="zh-CN"/>
                    </w:rPr>
                    <w:t>实验检测</w:t>
                  </w:r>
                  <w:r>
                    <w:rPr>
                      <w:rFonts w:hint="default" w:cs="Times New Roman"/>
                      <w:color w:val="auto"/>
                      <w:sz w:val="21"/>
                      <w:szCs w:val="21"/>
                    </w:rPr>
                    <w:t>过程中产生的</w:t>
                  </w:r>
                  <w:r>
                    <w:rPr>
                      <w:rFonts w:hint="eastAsia" w:cs="Times New Roman"/>
                      <w:color w:val="auto"/>
                      <w:sz w:val="21"/>
                      <w:szCs w:val="21"/>
                      <w:lang w:val="en-US" w:eastAsia="zh-CN"/>
                    </w:rPr>
                    <w:t>实验废气(含消毒废气及酸性废气)</w:t>
                  </w:r>
                  <w:r>
                    <w:rPr>
                      <w:rFonts w:hint="default" w:cs="Times New Roman"/>
                      <w:color w:val="auto"/>
                      <w:sz w:val="21"/>
                      <w:szCs w:val="21"/>
                    </w:rPr>
                    <w:t>经</w:t>
                  </w:r>
                  <w:r>
                    <w:rPr>
                      <w:rFonts w:hint="eastAsia" w:cs="Times New Roman"/>
                      <w:color w:val="auto"/>
                      <w:sz w:val="21"/>
                      <w:szCs w:val="21"/>
                      <w:lang w:val="en-US" w:eastAsia="zh-CN"/>
                    </w:rPr>
                    <w:t>活性炭吸附装置</w:t>
                  </w:r>
                  <w:r>
                    <w:rPr>
                      <w:rFonts w:hint="default" w:cs="Times New Roman"/>
                      <w:color w:val="auto"/>
                      <w:sz w:val="21"/>
                      <w:szCs w:val="21"/>
                    </w:rPr>
                    <w:t>处理后，通过1根</w:t>
                  </w:r>
                  <w:r>
                    <w:rPr>
                      <w:rFonts w:hint="eastAsia" w:cs="Times New Roman"/>
                      <w:color w:val="auto"/>
                      <w:sz w:val="21"/>
                      <w:szCs w:val="21"/>
                      <w:lang w:val="en-US" w:eastAsia="zh-CN"/>
                    </w:rPr>
                    <w:t>不低于15</w:t>
                  </w:r>
                  <w:r>
                    <w:rPr>
                      <w:rFonts w:hint="default" w:cs="Times New Roman"/>
                      <w:color w:val="auto"/>
                      <w:sz w:val="21"/>
                      <w:szCs w:val="21"/>
                    </w:rPr>
                    <w:t>m高排气筒（DA001）排放</w:t>
                  </w:r>
                  <w:r>
                    <w:rPr>
                      <w:rFonts w:hint="eastAsia" w:cs="Times New Roman"/>
                      <w:color w:val="auto"/>
                      <w:sz w:val="21"/>
                      <w:szCs w:val="21"/>
                      <w:lang w:eastAsia="zh-CN"/>
                    </w:rPr>
                    <w:t>，</w:t>
                  </w:r>
                  <w:r>
                    <w:rPr>
                      <w:rFonts w:hint="eastAsia" w:cs="Times New Roman"/>
                      <w:color w:val="auto"/>
                      <w:sz w:val="21"/>
                      <w:szCs w:val="21"/>
                      <w:lang w:val="en-US" w:eastAsia="zh-CN"/>
                    </w:rPr>
                    <w:t>风量设置为1700m</w:t>
                  </w:r>
                  <w:r>
                    <w:rPr>
                      <w:rFonts w:hint="eastAsia" w:cs="Times New Roman"/>
                      <w:color w:val="auto"/>
                      <w:sz w:val="21"/>
                      <w:szCs w:val="21"/>
                      <w:vertAlign w:val="superscript"/>
                      <w:lang w:val="en-US" w:eastAsia="zh-CN"/>
                    </w:rPr>
                    <w:t>3</w:t>
                  </w:r>
                  <w:r>
                    <w:rPr>
                      <w:rFonts w:hint="eastAsia" w:cs="Times New Roman"/>
                      <w:color w:val="auto"/>
                      <w:sz w:val="21"/>
                      <w:szCs w:val="21"/>
                      <w:lang w:val="en-US" w:eastAsia="zh-CN"/>
                    </w:rPr>
                    <w:t>/h。</w:t>
                  </w:r>
                </w:p>
              </w:tc>
              <w:tc>
                <w:tcPr>
                  <w:tcW w:w="516" w:type="pct"/>
                  <w:shd w:val="clear" w:color="auto" w:fill="auto"/>
                  <w:vAlign w:val="center"/>
                </w:tcPr>
                <w:p w14:paraId="4DF10141">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eastAsia="宋体" w:cs="Times New Roman"/>
                      <w:color w:val="auto"/>
                      <w:sz w:val="21"/>
                      <w:szCs w:val="21"/>
                      <w:lang w:val="en-US" w:eastAsia="zh-CN"/>
                    </w:rPr>
                  </w:pPr>
                  <w:r>
                    <w:rPr>
                      <w:rFonts w:hint="eastAsia" w:cs="Times New Roman"/>
                      <w:color w:val="auto"/>
                      <w:sz w:val="21"/>
                      <w:szCs w:val="21"/>
                      <w:lang w:val="en-US" w:eastAsia="zh-CN"/>
                    </w:rPr>
                    <w:t>新建</w:t>
                  </w:r>
                </w:p>
              </w:tc>
            </w:tr>
            <w:tr w14:paraId="2A6A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shd w:val="clear" w:color="auto" w:fill="auto"/>
                  <w:vAlign w:val="center"/>
                </w:tcPr>
                <w:p w14:paraId="0D912DD8">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p>
              </w:tc>
              <w:tc>
                <w:tcPr>
                  <w:tcW w:w="588" w:type="pct"/>
                  <w:vMerge w:val="continue"/>
                  <w:shd w:val="clear" w:color="auto" w:fill="auto"/>
                  <w:vAlign w:val="center"/>
                </w:tcPr>
                <w:p w14:paraId="2FB3DE08">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p>
              </w:tc>
              <w:tc>
                <w:tcPr>
                  <w:tcW w:w="837" w:type="pct"/>
                  <w:shd w:val="clear" w:color="auto" w:fill="auto"/>
                  <w:vAlign w:val="center"/>
                </w:tcPr>
                <w:p w14:paraId="145D22BD">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无组织</w:t>
                  </w:r>
                </w:p>
              </w:tc>
              <w:tc>
                <w:tcPr>
                  <w:tcW w:w="2588" w:type="pct"/>
                  <w:shd w:val="clear" w:color="auto" w:fill="auto"/>
                  <w:vAlign w:val="center"/>
                </w:tcPr>
                <w:p w14:paraId="0AFA22DF">
                  <w:pPr>
                    <w:keepNext w:val="0"/>
                    <w:keepLines w:val="0"/>
                    <w:widowControl/>
                    <w:suppressLineNumbers w:val="0"/>
                    <w:spacing w:before="0" w:beforeAutospacing="0" w:after="0" w:afterAutospacing="0" w:line="240" w:lineRule="auto"/>
                    <w:ind w:left="0" w:right="0" w:firstLine="0" w:firstLineChars="0"/>
                    <w:textAlignment w:val="center"/>
                    <w:rPr>
                      <w:rFonts w:hint="default" w:eastAsia="宋体" w:cs="Times New Roman"/>
                      <w:color w:val="auto"/>
                      <w:sz w:val="21"/>
                      <w:szCs w:val="21"/>
                      <w:lang w:val="en-US" w:eastAsia="zh-CN"/>
                    </w:rPr>
                  </w:pPr>
                  <w:r>
                    <w:rPr>
                      <w:rFonts w:hint="eastAsia" w:cs="Times New Roman"/>
                      <w:color w:val="auto"/>
                      <w:sz w:val="21"/>
                      <w:szCs w:val="21"/>
                      <w:lang w:val="en-US" w:eastAsia="zh-CN"/>
                    </w:rPr>
                    <w:t>实验室洁净室消毒废气通过车间新风系统，无组织排放。</w:t>
                  </w:r>
                </w:p>
              </w:tc>
              <w:tc>
                <w:tcPr>
                  <w:tcW w:w="516" w:type="pct"/>
                  <w:shd w:val="clear" w:color="auto" w:fill="auto"/>
                  <w:vAlign w:val="center"/>
                </w:tcPr>
                <w:p w14:paraId="74D5227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eastAsia" w:cs="Times New Roman"/>
                      <w:color w:val="auto"/>
                      <w:sz w:val="21"/>
                      <w:szCs w:val="21"/>
                    </w:rPr>
                    <w:t>新建</w:t>
                  </w:r>
                </w:p>
              </w:tc>
            </w:tr>
            <w:tr w14:paraId="670A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shd w:val="clear" w:color="auto" w:fill="auto"/>
                  <w:vAlign w:val="center"/>
                </w:tcPr>
                <w:p w14:paraId="77F4A4B8">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p>
              </w:tc>
              <w:tc>
                <w:tcPr>
                  <w:tcW w:w="1426" w:type="pct"/>
                  <w:gridSpan w:val="2"/>
                  <w:shd w:val="clear" w:color="auto" w:fill="auto"/>
                  <w:vAlign w:val="center"/>
                </w:tcPr>
                <w:p w14:paraId="63A2F00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default" w:cs="Times New Roman"/>
                      <w:color w:val="auto"/>
                      <w:kern w:val="0"/>
                      <w:sz w:val="21"/>
                      <w:szCs w:val="21"/>
                      <w:lang w:bidi="ar"/>
                    </w:rPr>
                    <w:t>固体废物</w:t>
                  </w:r>
                </w:p>
              </w:tc>
              <w:tc>
                <w:tcPr>
                  <w:tcW w:w="2588" w:type="pct"/>
                  <w:shd w:val="clear" w:color="auto" w:fill="auto"/>
                  <w:vAlign w:val="center"/>
                </w:tcPr>
                <w:p w14:paraId="6B147447">
                  <w:pPr>
                    <w:keepNext w:val="0"/>
                    <w:keepLines w:val="0"/>
                    <w:widowControl/>
                    <w:suppressLineNumbers w:val="0"/>
                    <w:spacing w:before="0" w:beforeAutospacing="0" w:after="0" w:afterAutospacing="0" w:line="240" w:lineRule="auto"/>
                    <w:ind w:left="0" w:right="0" w:firstLine="0" w:firstLineChars="0"/>
                    <w:textAlignment w:val="center"/>
                    <w:rPr>
                      <w:rFonts w:hint="default" w:ascii="Times New Roman" w:hAnsi="Times New Roman" w:eastAsia="宋体" w:cstheme="minorBidi"/>
                      <w:color w:val="auto"/>
                      <w:kern w:val="2"/>
                      <w:sz w:val="21"/>
                      <w:szCs w:val="21"/>
                      <w:vertAlign w:val="baseline"/>
                      <w:lang w:val="en-US" w:eastAsia="zh-CN" w:bidi="ar-SA"/>
                    </w:rPr>
                  </w:pPr>
                  <w:r>
                    <w:rPr>
                      <w:rFonts w:hint="eastAsia" w:cs="Times New Roman"/>
                      <w:color w:val="auto"/>
                      <w:sz w:val="21"/>
                      <w:szCs w:val="21"/>
                      <w:lang w:val="en-US" w:eastAsia="zh-CN"/>
                    </w:rPr>
                    <w:t>实验室设置废弃物暂存间，占地面积约为4.7m</w:t>
                  </w:r>
                  <w:r>
                    <w:rPr>
                      <w:rFonts w:hint="eastAsia" w:cs="Times New Roman"/>
                      <w:color w:val="auto"/>
                      <w:sz w:val="21"/>
                      <w:szCs w:val="21"/>
                      <w:vertAlign w:val="superscript"/>
                      <w:lang w:val="en-US" w:eastAsia="zh-CN"/>
                    </w:rPr>
                    <w:t>2</w:t>
                  </w:r>
                  <w:r>
                    <w:rPr>
                      <w:rFonts w:hint="eastAsia" w:cs="Times New Roman"/>
                      <w:color w:val="auto"/>
                      <w:sz w:val="21"/>
                      <w:szCs w:val="21"/>
                      <w:lang w:val="en-US" w:eastAsia="zh-CN"/>
                    </w:rPr>
                    <w:t>，用于实验废弃物的暂存。</w:t>
                  </w:r>
                </w:p>
              </w:tc>
              <w:tc>
                <w:tcPr>
                  <w:tcW w:w="516" w:type="pct"/>
                  <w:shd w:val="clear" w:color="auto" w:fill="auto"/>
                  <w:vAlign w:val="center"/>
                </w:tcPr>
                <w:p w14:paraId="7BAA427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rPr>
                    <w:t>新建</w:t>
                  </w:r>
                </w:p>
              </w:tc>
            </w:tr>
            <w:tr w14:paraId="10DF7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vMerge w:val="continue"/>
                  <w:shd w:val="clear" w:color="auto" w:fill="auto"/>
                  <w:vAlign w:val="center"/>
                </w:tcPr>
                <w:p w14:paraId="28E48662">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p>
              </w:tc>
              <w:tc>
                <w:tcPr>
                  <w:tcW w:w="1426" w:type="pct"/>
                  <w:gridSpan w:val="2"/>
                  <w:shd w:val="clear" w:color="auto" w:fill="auto"/>
                  <w:vAlign w:val="center"/>
                </w:tcPr>
                <w:p w14:paraId="7285C2B3">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环境风险</w:t>
                  </w:r>
                </w:p>
              </w:tc>
              <w:tc>
                <w:tcPr>
                  <w:tcW w:w="2588" w:type="pct"/>
                  <w:shd w:val="clear" w:color="auto" w:fill="auto"/>
                  <w:vAlign w:val="center"/>
                </w:tcPr>
                <w:p w14:paraId="58B54EA6">
                  <w:pPr>
                    <w:keepNext w:val="0"/>
                    <w:keepLines w:val="0"/>
                    <w:widowControl/>
                    <w:suppressLineNumbers w:val="0"/>
                    <w:spacing w:before="0" w:beforeAutospacing="0" w:after="0" w:afterAutospacing="0" w:line="240" w:lineRule="auto"/>
                    <w:ind w:left="0" w:right="0" w:firstLine="0" w:firstLineChars="0"/>
                    <w:textAlignment w:val="center"/>
                    <w:rPr>
                      <w:rFonts w:hint="default" w:cs="Times New Roman"/>
                      <w:color w:val="auto"/>
                      <w:sz w:val="21"/>
                      <w:szCs w:val="21"/>
                    </w:rPr>
                  </w:pPr>
                  <w:r>
                    <w:rPr>
                      <w:rFonts w:hint="eastAsia" w:cs="Times New Roman"/>
                      <w:color w:val="auto"/>
                      <w:sz w:val="21"/>
                      <w:szCs w:val="21"/>
                      <w:lang w:val="en-US" w:eastAsia="zh-CN"/>
                    </w:rPr>
                    <w:t>实验室</w:t>
                  </w:r>
                  <w:r>
                    <w:rPr>
                      <w:rFonts w:hint="default" w:cs="Times New Roman"/>
                      <w:color w:val="auto"/>
                      <w:sz w:val="21"/>
                      <w:szCs w:val="21"/>
                    </w:rPr>
                    <w:t>内设置防火报警系统等配套相关风险防范措施，配备各类消防器具。</w:t>
                  </w:r>
                </w:p>
              </w:tc>
              <w:tc>
                <w:tcPr>
                  <w:tcW w:w="516" w:type="pct"/>
                  <w:shd w:val="clear" w:color="auto" w:fill="auto"/>
                  <w:vAlign w:val="center"/>
                </w:tcPr>
                <w:p w14:paraId="1B48784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21"/>
                      <w:szCs w:val="21"/>
                    </w:rPr>
                  </w:pPr>
                  <w:r>
                    <w:rPr>
                      <w:rFonts w:hint="eastAsia" w:cs="Times New Roman"/>
                      <w:color w:val="auto"/>
                      <w:sz w:val="21"/>
                      <w:szCs w:val="21"/>
                    </w:rPr>
                    <w:t>新建</w:t>
                  </w:r>
                </w:p>
              </w:tc>
            </w:tr>
          </w:tbl>
          <w:p w14:paraId="36C3B230">
            <w:pPr>
              <w:pStyle w:val="2"/>
              <w:keepNext w:val="0"/>
              <w:keepLines w:val="0"/>
              <w:suppressLineNumbers w:val="0"/>
              <w:adjustRightInd w:val="0"/>
              <w:spacing w:before="0" w:beforeAutospacing="0" w:after="0" w:afterAutospacing="0" w:line="240" w:lineRule="auto"/>
              <w:ind w:left="0" w:right="0" w:firstLine="0" w:firstLineChars="0"/>
              <w:rPr>
                <w:rFonts w:hint="default" w:eastAsia="黑体" w:cs="Times New Roman"/>
                <w:color w:val="auto"/>
                <w:sz w:val="18"/>
                <w:szCs w:val="18"/>
              </w:rPr>
            </w:pPr>
          </w:p>
          <w:p w14:paraId="6F760F26">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3、</w:t>
            </w:r>
            <w:r>
              <w:rPr>
                <w:rFonts w:hint="eastAsia"/>
                <w:color w:val="auto"/>
                <w:lang w:val="en-US" w:eastAsia="zh-CN"/>
              </w:rPr>
              <w:t>设计处理规模及产品</w:t>
            </w:r>
            <w:r>
              <w:rPr>
                <w:rFonts w:hint="eastAsia"/>
                <w:color w:val="auto"/>
              </w:rPr>
              <w:t>方案</w:t>
            </w:r>
          </w:p>
          <w:p w14:paraId="19A5175E">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本项目实施后，产品</w:t>
            </w:r>
            <w:r>
              <w:rPr>
                <w:rFonts w:hint="eastAsia"/>
                <w:color w:val="auto"/>
                <w:lang w:val="en-US" w:eastAsia="zh-CN"/>
              </w:rPr>
              <w:t>及研发</w:t>
            </w:r>
            <w:r>
              <w:rPr>
                <w:rFonts w:hint="eastAsia"/>
                <w:color w:val="auto"/>
              </w:rPr>
              <w:t>方案见表2-</w:t>
            </w:r>
            <w:r>
              <w:rPr>
                <w:rFonts w:hint="eastAsia"/>
                <w:color w:val="auto"/>
                <w:lang w:val="en-US" w:eastAsia="zh-CN"/>
              </w:rPr>
              <w:t>3</w:t>
            </w:r>
            <w:r>
              <w:rPr>
                <w:rFonts w:hint="eastAsia"/>
                <w:color w:val="auto"/>
              </w:rPr>
              <w:t>。</w:t>
            </w:r>
          </w:p>
          <w:p w14:paraId="0DD9D1E8">
            <w:pPr>
              <w:pStyle w:val="2"/>
              <w:keepNext w:val="0"/>
              <w:keepLines w:val="0"/>
              <w:suppressLineNumbers w:val="0"/>
              <w:spacing w:before="0" w:beforeAutospacing="0" w:after="0" w:afterAutospacing="0"/>
              <w:ind w:left="0" w:right="0" w:firstLine="0" w:firstLineChars="0"/>
              <w:jc w:val="center"/>
              <w:rPr>
                <w:rFonts w:hint="default" w:eastAsia="黑体" w:cs="Times New Roman"/>
                <w:bCs/>
                <w:color w:val="auto"/>
                <w:szCs w:val="24"/>
              </w:rPr>
            </w:pPr>
            <w:r>
              <w:rPr>
                <w:rFonts w:hint="default" w:eastAsia="黑体" w:cs="Times New Roman"/>
                <w:bCs/>
                <w:color w:val="auto"/>
                <w:szCs w:val="24"/>
              </w:rPr>
              <w:t>表2-</w:t>
            </w:r>
            <w:r>
              <w:rPr>
                <w:rFonts w:hint="eastAsia" w:eastAsia="黑体" w:cs="Times New Roman"/>
                <w:bCs/>
                <w:color w:val="auto"/>
                <w:szCs w:val="24"/>
                <w:lang w:val="en-US" w:eastAsia="zh-CN"/>
              </w:rPr>
              <w:t>3</w:t>
            </w:r>
            <w:r>
              <w:rPr>
                <w:rFonts w:hint="default" w:eastAsia="黑体" w:cs="Times New Roman"/>
                <w:bCs/>
                <w:color w:val="auto"/>
                <w:szCs w:val="24"/>
              </w:rPr>
              <w:t xml:space="preserve">  </w:t>
            </w:r>
            <w:r>
              <w:rPr>
                <w:rFonts w:hint="eastAsia" w:eastAsia="黑体" w:cs="Times New Roman"/>
                <w:bCs/>
                <w:color w:val="auto"/>
                <w:szCs w:val="24"/>
                <w:lang w:val="en-US" w:eastAsia="zh-CN"/>
              </w:rPr>
              <w:t>研发实验</w:t>
            </w:r>
            <w:r>
              <w:rPr>
                <w:rFonts w:hint="default" w:eastAsia="黑体" w:cs="Times New Roman"/>
                <w:bCs/>
                <w:color w:val="auto"/>
                <w:szCs w:val="24"/>
              </w:rPr>
              <w:t>方案一览表</w:t>
            </w:r>
          </w:p>
          <w:tbl>
            <w:tblPr>
              <w:tblStyle w:val="16"/>
              <w:tblW w:w="77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2"/>
              <w:gridCol w:w="1991"/>
              <w:gridCol w:w="1074"/>
              <w:gridCol w:w="1332"/>
              <w:gridCol w:w="2637"/>
            </w:tblGrid>
            <w:tr w14:paraId="48DAB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441" w:type="pct"/>
                  <w:tcBorders>
                    <w:top w:val="single" w:color="auto" w:sz="4" w:space="0"/>
                    <w:left w:val="single" w:color="auto" w:sz="4" w:space="0"/>
                    <w:bottom w:val="single" w:color="000000" w:sz="4" w:space="0"/>
                    <w:right w:val="single" w:color="auto" w:sz="4" w:space="0"/>
                  </w:tcBorders>
                  <w:shd w:val="clear" w:color="auto" w:fill="auto"/>
                  <w:vAlign w:val="center"/>
                </w:tcPr>
                <w:p w14:paraId="209EA9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序号</w:t>
                  </w:r>
                </w:p>
              </w:tc>
              <w:tc>
                <w:tcPr>
                  <w:tcW w:w="1290" w:type="pct"/>
                  <w:tcBorders>
                    <w:top w:val="single" w:color="auto" w:sz="4" w:space="0"/>
                    <w:left w:val="single" w:color="auto" w:sz="4" w:space="0"/>
                    <w:bottom w:val="single" w:color="000000" w:sz="4" w:space="0"/>
                    <w:right w:val="single" w:color="auto" w:sz="4" w:space="0"/>
                  </w:tcBorders>
                  <w:shd w:val="clear" w:color="auto" w:fill="auto"/>
                  <w:vAlign w:val="center"/>
                </w:tcPr>
                <w:p w14:paraId="560035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研发产物</w:t>
                  </w:r>
                </w:p>
              </w:tc>
              <w:tc>
                <w:tcPr>
                  <w:tcW w:w="695" w:type="pct"/>
                  <w:tcBorders>
                    <w:top w:val="single" w:color="auto" w:sz="4" w:space="0"/>
                    <w:left w:val="single" w:color="auto" w:sz="4" w:space="0"/>
                    <w:bottom w:val="single" w:color="000000" w:sz="4" w:space="0"/>
                    <w:right w:val="single" w:color="auto" w:sz="4" w:space="0"/>
                  </w:tcBorders>
                  <w:shd w:val="clear" w:color="auto" w:fill="auto"/>
                  <w:vAlign w:val="center"/>
                </w:tcPr>
                <w:p w14:paraId="7A5686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单位</w:t>
                  </w:r>
                </w:p>
              </w:tc>
              <w:tc>
                <w:tcPr>
                  <w:tcW w:w="863" w:type="pct"/>
                  <w:tcBorders>
                    <w:top w:val="single" w:color="auto" w:sz="4" w:space="0"/>
                    <w:left w:val="nil"/>
                    <w:bottom w:val="single" w:color="auto" w:sz="4" w:space="0"/>
                    <w:right w:val="single" w:color="auto" w:sz="4" w:space="0"/>
                  </w:tcBorders>
                  <w:shd w:val="clear" w:color="auto" w:fill="auto"/>
                  <w:noWrap/>
                  <w:vAlign w:val="center"/>
                </w:tcPr>
                <w:p w14:paraId="66FA98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年产量</w:t>
                  </w:r>
                </w:p>
              </w:tc>
              <w:tc>
                <w:tcPr>
                  <w:tcW w:w="1708" w:type="pct"/>
                  <w:tcBorders>
                    <w:top w:val="single" w:color="auto" w:sz="4" w:space="0"/>
                    <w:left w:val="single" w:color="auto" w:sz="4" w:space="0"/>
                    <w:bottom w:val="single" w:color="000000" w:sz="4" w:space="0"/>
                    <w:right w:val="single" w:color="auto" w:sz="4" w:space="0"/>
                  </w:tcBorders>
                  <w:shd w:val="clear" w:color="auto" w:fill="auto"/>
                  <w:noWrap/>
                  <w:vAlign w:val="center"/>
                </w:tcPr>
                <w:p w14:paraId="06EDBB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最终</w:t>
                  </w:r>
                  <w:r>
                    <w:rPr>
                      <w:rFonts w:hint="default" w:ascii="Times New Roman" w:hAnsi="Times New Roman" w:eastAsia="宋体" w:cs="Times New Roman"/>
                      <w:i w:val="0"/>
                      <w:iCs w:val="0"/>
                      <w:color w:val="auto"/>
                      <w:kern w:val="0"/>
                      <w:sz w:val="21"/>
                      <w:szCs w:val="21"/>
                      <w:u w:val="none"/>
                      <w:lang w:val="en-US" w:eastAsia="zh-CN" w:bidi="ar"/>
                    </w:rPr>
                    <w:t>去向</w:t>
                  </w:r>
                </w:p>
              </w:tc>
            </w:tr>
            <w:tr w14:paraId="7E503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441" w:type="pct"/>
                  <w:tcBorders>
                    <w:top w:val="nil"/>
                    <w:left w:val="single" w:color="auto" w:sz="4" w:space="0"/>
                    <w:bottom w:val="single" w:color="auto" w:sz="4" w:space="0"/>
                    <w:right w:val="single" w:color="auto" w:sz="4" w:space="0"/>
                  </w:tcBorders>
                  <w:shd w:val="clear" w:color="auto" w:fill="auto"/>
                  <w:vAlign w:val="center"/>
                </w:tcPr>
                <w:p w14:paraId="6896B9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290" w:type="pct"/>
                  <w:tcBorders>
                    <w:top w:val="nil"/>
                    <w:left w:val="nil"/>
                    <w:bottom w:val="single" w:color="auto" w:sz="4" w:space="0"/>
                    <w:right w:val="single" w:color="auto" w:sz="4" w:space="0"/>
                  </w:tcBorders>
                  <w:shd w:val="clear" w:color="auto" w:fill="auto"/>
                  <w:vAlign w:val="center"/>
                </w:tcPr>
                <w:p w14:paraId="7637A2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肠道菌群样本</w:t>
                  </w:r>
                </w:p>
              </w:tc>
              <w:tc>
                <w:tcPr>
                  <w:tcW w:w="695" w:type="pct"/>
                  <w:tcBorders>
                    <w:top w:val="nil"/>
                    <w:left w:val="nil"/>
                    <w:bottom w:val="single" w:color="auto" w:sz="4" w:space="0"/>
                    <w:right w:val="single" w:color="auto" w:sz="4" w:space="0"/>
                  </w:tcBorders>
                  <w:shd w:val="clear" w:color="auto" w:fill="auto"/>
                  <w:vAlign w:val="center"/>
                </w:tcPr>
                <w:p w14:paraId="7E0F72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例</w:t>
                  </w:r>
                </w:p>
              </w:tc>
              <w:tc>
                <w:tcPr>
                  <w:tcW w:w="863" w:type="pct"/>
                  <w:tcBorders>
                    <w:top w:val="nil"/>
                    <w:left w:val="nil"/>
                    <w:bottom w:val="single" w:color="auto" w:sz="4" w:space="0"/>
                    <w:right w:val="single" w:color="auto" w:sz="4" w:space="0"/>
                  </w:tcBorders>
                  <w:shd w:val="clear" w:color="auto" w:fill="auto"/>
                  <w:vAlign w:val="center"/>
                </w:tcPr>
                <w:p w14:paraId="402F49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kern w:val="0"/>
                      <w:sz w:val="21"/>
                      <w:szCs w:val="21"/>
                      <w:u w:val="none"/>
                      <w:lang w:val="en-US" w:eastAsia="zh-CN" w:bidi="ar"/>
                    </w:rPr>
                    <w:t>500-1000</w:t>
                  </w:r>
                </w:p>
              </w:tc>
              <w:tc>
                <w:tcPr>
                  <w:tcW w:w="1708" w:type="pct"/>
                  <w:tcBorders>
                    <w:top w:val="nil"/>
                    <w:left w:val="nil"/>
                    <w:bottom w:val="single" w:color="auto" w:sz="4" w:space="0"/>
                    <w:right w:val="single" w:color="auto" w:sz="4" w:space="0"/>
                  </w:tcBorders>
                  <w:shd w:val="clear" w:color="auto" w:fill="auto"/>
                  <w:noWrap/>
                  <w:vAlign w:val="center"/>
                </w:tcPr>
                <w:p w14:paraId="545DED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kern w:val="2"/>
                      <w:sz w:val="21"/>
                      <w:szCs w:val="21"/>
                      <w:u w:val="none"/>
                      <w:lang w:val="en-US" w:eastAsia="zh-CN" w:bidi="ar-SA"/>
                    </w:rPr>
                    <w:t>用于临床试验及辅助治疗</w:t>
                  </w:r>
                </w:p>
              </w:tc>
            </w:tr>
          </w:tbl>
          <w:p w14:paraId="4F000EF2">
            <w:pPr>
              <w:pStyle w:val="2"/>
              <w:keepNext w:val="0"/>
              <w:keepLines w:val="0"/>
              <w:suppressLineNumbers w:val="0"/>
              <w:adjustRightInd w:val="0"/>
              <w:spacing w:before="0" w:beforeAutospacing="0" w:after="0" w:afterAutospacing="0" w:line="240" w:lineRule="auto"/>
              <w:ind w:left="0" w:right="0" w:firstLine="0" w:firstLineChars="0"/>
              <w:rPr>
                <w:rFonts w:hint="default" w:eastAsia="黑体" w:cs="Times New Roman"/>
                <w:color w:val="auto"/>
                <w:sz w:val="18"/>
                <w:szCs w:val="18"/>
              </w:rPr>
            </w:pPr>
          </w:p>
          <w:p w14:paraId="16BB955F">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4、主要原辅材料</w:t>
            </w:r>
          </w:p>
          <w:p w14:paraId="6F6C3AED">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根据设计方案，本项目主要消耗的原辅材料具体见表2-</w:t>
            </w:r>
            <w:r>
              <w:rPr>
                <w:rFonts w:hint="eastAsia"/>
                <w:color w:val="auto"/>
                <w:lang w:val="en-US" w:eastAsia="zh-CN"/>
              </w:rPr>
              <w:t>4</w:t>
            </w:r>
            <w:r>
              <w:rPr>
                <w:rFonts w:hint="eastAsia"/>
                <w:color w:val="auto"/>
              </w:rPr>
              <w:t>。</w:t>
            </w:r>
          </w:p>
          <w:p w14:paraId="43FD6851">
            <w:pPr>
              <w:pStyle w:val="2"/>
              <w:keepNext w:val="0"/>
              <w:keepLines w:val="0"/>
              <w:suppressLineNumbers w:val="0"/>
              <w:spacing w:before="0" w:beforeAutospacing="0" w:after="0" w:afterAutospacing="0"/>
              <w:ind w:left="0" w:right="0" w:firstLine="0" w:firstLineChars="0"/>
              <w:jc w:val="center"/>
              <w:rPr>
                <w:rFonts w:hint="default" w:eastAsia="黑体" w:cs="Times New Roman"/>
                <w:bCs/>
                <w:color w:val="auto"/>
                <w:szCs w:val="24"/>
              </w:rPr>
            </w:pPr>
            <w:r>
              <w:rPr>
                <w:rFonts w:hint="default" w:eastAsia="黑体" w:cs="Times New Roman"/>
                <w:bCs/>
                <w:color w:val="auto"/>
                <w:szCs w:val="24"/>
              </w:rPr>
              <w:t>表2-</w:t>
            </w:r>
            <w:r>
              <w:rPr>
                <w:rFonts w:hint="eastAsia" w:eastAsia="黑体" w:cs="Times New Roman"/>
                <w:bCs/>
                <w:color w:val="auto"/>
                <w:szCs w:val="24"/>
                <w:lang w:val="en-US" w:eastAsia="zh-CN"/>
              </w:rPr>
              <w:t>4</w:t>
            </w:r>
            <w:r>
              <w:rPr>
                <w:rFonts w:hint="default" w:eastAsia="黑体" w:cs="Times New Roman"/>
                <w:bCs/>
                <w:color w:val="auto"/>
                <w:szCs w:val="24"/>
              </w:rPr>
              <w:t xml:space="preserve">  </w:t>
            </w:r>
            <w:r>
              <w:rPr>
                <w:rFonts w:hint="eastAsia" w:eastAsia="黑体" w:cs="Times New Roman"/>
                <w:bCs/>
                <w:color w:val="auto"/>
                <w:szCs w:val="24"/>
              </w:rPr>
              <w:t>本项目主要原辅材料消耗一览表</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36"/>
              <w:gridCol w:w="1693"/>
              <w:gridCol w:w="1319"/>
              <w:gridCol w:w="992"/>
              <w:gridCol w:w="1696"/>
              <w:gridCol w:w="1309"/>
            </w:tblGrid>
            <w:tr w14:paraId="0626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15" w:type="pct"/>
                  <w:shd w:val="clear" w:color="auto" w:fill="auto"/>
                  <w:vAlign w:val="center"/>
                </w:tcPr>
                <w:p w14:paraId="2A0E02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序号</w:t>
                  </w:r>
                </w:p>
              </w:tc>
              <w:tc>
                <w:tcPr>
                  <w:tcW w:w="1107" w:type="pct"/>
                  <w:shd w:val="clear" w:color="auto" w:fill="auto"/>
                  <w:vAlign w:val="center"/>
                </w:tcPr>
                <w:p w14:paraId="36FC81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cs="Times New Roman"/>
                      <w:b w:val="0"/>
                      <w:bCs w:val="0"/>
                      <w:i w:val="0"/>
                      <w:iCs w:val="0"/>
                      <w:color w:val="auto"/>
                      <w:kern w:val="0"/>
                      <w:sz w:val="21"/>
                      <w:szCs w:val="21"/>
                      <w:u w:val="none"/>
                      <w:lang w:val="en-US" w:eastAsia="zh-CN" w:bidi="ar"/>
                    </w:rPr>
                    <w:t>原辅材料</w:t>
                  </w:r>
                  <w:r>
                    <w:rPr>
                      <w:rFonts w:hint="default" w:ascii="Times New Roman" w:hAnsi="Times New Roman" w:eastAsia="宋体" w:cs="Times New Roman"/>
                      <w:b w:val="0"/>
                      <w:bCs w:val="0"/>
                      <w:i w:val="0"/>
                      <w:iCs w:val="0"/>
                      <w:color w:val="auto"/>
                      <w:kern w:val="0"/>
                      <w:sz w:val="21"/>
                      <w:szCs w:val="21"/>
                      <w:u w:val="none"/>
                      <w:lang w:val="en-US" w:eastAsia="zh-CN" w:bidi="ar"/>
                    </w:rPr>
                    <w:t>名称</w:t>
                  </w:r>
                </w:p>
              </w:tc>
              <w:tc>
                <w:tcPr>
                  <w:tcW w:w="862" w:type="pct"/>
                  <w:shd w:val="clear" w:color="auto" w:fill="auto"/>
                  <w:vAlign w:val="center"/>
                </w:tcPr>
                <w:p w14:paraId="03B456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cs="Times New Roman"/>
                      <w:b w:val="0"/>
                      <w:bCs w:val="0"/>
                      <w:i w:val="0"/>
                      <w:iCs w:val="0"/>
                      <w:color w:val="auto"/>
                      <w:kern w:val="0"/>
                      <w:sz w:val="21"/>
                      <w:szCs w:val="21"/>
                      <w:u w:val="none"/>
                      <w:lang w:val="en-US" w:eastAsia="zh-CN" w:bidi="ar"/>
                    </w:rPr>
                    <w:t>包装</w:t>
                  </w:r>
                  <w:r>
                    <w:rPr>
                      <w:rFonts w:hint="default" w:ascii="Times New Roman" w:hAnsi="Times New Roman" w:eastAsia="宋体" w:cs="Times New Roman"/>
                      <w:b w:val="0"/>
                      <w:bCs w:val="0"/>
                      <w:i w:val="0"/>
                      <w:iCs w:val="0"/>
                      <w:color w:val="auto"/>
                      <w:kern w:val="0"/>
                      <w:sz w:val="21"/>
                      <w:szCs w:val="21"/>
                      <w:u w:val="none"/>
                      <w:lang w:val="en-US" w:eastAsia="zh-CN" w:bidi="ar"/>
                    </w:rPr>
                    <w:t>规格</w:t>
                  </w:r>
                </w:p>
              </w:tc>
              <w:tc>
                <w:tcPr>
                  <w:tcW w:w="648" w:type="pct"/>
                  <w:shd w:val="clear" w:color="auto" w:fill="auto"/>
                  <w:vAlign w:val="center"/>
                </w:tcPr>
                <w:p w14:paraId="63DA9A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年用量</w:t>
                  </w:r>
                </w:p>
              </w:tc>
              <w:tc>
                <w:tcPr>
                  <w:tcW w:w="1109" w:type="pct"/>
                  <w:shd w:val="clear" w:color="auto" w:fill="auto"/>
                  <w:vAlign w:val="center"/>
                </w:tcPr>
                <w:p w14:paraId="4D59F8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厂内最大暂存量</w:t>
                  </w:r>
                </w:p>
              </w:tc>
              <w:tc>
                <w:tcPr>
                  <w:tcW w:w="856" w:type="pct"/>
                  <w:shd w:val="clear" w:color="auto" w:fill="auto"/>
                  <w:vAlign w:val="center"/>
                </w:tcPr>
                <w:p w14:paraId="7D11F1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cs="Times New Roman"/>
                      <w:b w:val="0"/>
                      <w:bCs w:val="0"/>
                      <w:i w:val="0"/>
                      <w:iCs w:val="0"/>
                      <w:color w:val="auto"/>
                      <w:kern w:val="0"/>
                      <w:sz w:val="21"/>
                      <w:szCs w:val="21"/>
                      <w:u w:val="none"/>
                      <w:lang w:val="en-US" w:eastAsia="zh-CN" w:bidi="ar"/>
                    </w:rPr>
                    <w:t>使用工序</w:t>
                  </w:r>
                </w:p>
              </w:tc>
            </w:tr>
            <w:tr w14:paraId="65E6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15" w:type="pct"/>
                  <w:shd w:val="clear" w:color="auto" w:fill="auto"/>
                  <w:vAlign w:val="center"/>
                </w:tcPr>
                <w:p w14:paraId="78646E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w:t>
                  </w:r>
                </w:p>
              </w:tc>
              <w:tc>
                <w:tcPr>
                  <w:tcW w:w="1107" w:type="pct"/>
                  <w:shd w:val="clear" w:color="auto" w:fill="auto"/>
                  <w:vAlign w:val="center"/>
                </w:tcPr>
                <w:p w14:paraId="2A77BD06">
                  <w:pPr>
                    <w:pStyle w:val="45"/>
                    <w:widowControl/>
                    <w:spacing w:line="240" w:lineRule="auto"/>
                    <w:ind w:left="0" w:leftChars="0" w:right="0" w:rightChars="0" w:firstLine="0" w:firstLineChars="0"/>
                    <w:rPr>
                      <w:rFonts w:hint="default" w:ascii="Times New Roman" w:hAnsi="Times New Roman" w:eastAsia="宋体" w:cs="Times New Roman"/>
                      <w:b w:val="0"/>
                      <w:bCs w:val="0"/>
                      <w:i w:val="0"/>
                      <w:iCs w:val="0"/>
                      <w:color w:val="auto"/>
                      <w:sz w:val="21"/>
                      <w:szCs w:val="21"/>
                      <w:u w:val="none"/>
                    </w:rPr>
                  </w:pPr>
                  <w:r>
                    <w:rPr>
                      <w:rFonts w:hint="eastAsia" w:ascii="Times New Roman" w:hAnsi="Times New Roman" w:eastAsia="宋体" w:cs="宋体"/>
                      <w:color w:val="auto"/>
                      <w:sz w:val="21"/>
                      <w:szCs w:val="21"/>
                    </w:rPr>
                    <w:t>磷酸盐缓冲液（</w:t>
                  </w:r>
                  <w:r>
                    <w:rPr>
                      <w:color w:val="auto"/>
                      <w:sz w:val="21"/>
                      <w:szCs w:val="21"/>
                      <w:lang w:val="en-US"/>
                    </w:rPr>
                    <w:t>PBS</w:t>
                  </w:r>
                  <w:r>
                    <w:rPr>
                      <w:rFonts w:hint="eastAsia" w:ascii="Times New Roman" w:hAnsi="Times New Roman" w:eastAsia="宋体" w:cs="宋体"/>
                      <w:color w:val="auto"/>
                      <w:sz w:val="21"/>
                      <w:szCs w:val="21"/>
                    </w:rPr>
                    <w:t>）</w:t>
                  </w:r>
                </w:p>
              </w:tc>
              <w:tc>
                <w:tcPr>
                  <w:tcW w:w="862" w:type="pct"/>
                  <w:shd w:val="clear" w:color="auto" w:fill="auto"/>
                  <w:vAlign w:val="center"/>
                </w:tcPr>
                <w:p w14:paraId="4C0809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cs="Times New Roman"/>
                      <w:b w:val="0"/>
                      <w:bCs w:val="0"/>
                      <w:i w:val="0"/>
                      <w:iCs w:val="0"/>
                      <w:color w:val="auto"/>
                      <w:kern w:val="0"/>
                      <w:sz w:val="21"/>
                      <w:szCs w:val="21"/>
                      <w:u w:val="none"/>
                      <w:lang w:val="en-US" w:eastAsia="zh-CN" w:bidi="ar"/>
                    </w:rPr>
                    <w:t>1</w:t>
                  </w:r>
                  <w:r>
                    <w:rPr>
                      <w:rFonts w:hint="default" w:ascii="Times New Roman" w:hAnsi="Times New Roman" w:eastAsia="宋体" w:cs="Times New Roman"/>
                      <w:b w:val="0"/>
                      <w:bCs w:val="0"/>
                      <w:i w:val="0"/>
                      <w:iCs w:val="0"/>
                      <w:color w:val="auto"/>
                      <w:kern w:val="0"/>
                      <w:sz w:val="21"/>
                      <w:szCs w:val="21"/>
                      <w:u w:val="none"/>
                      <w:lang w:val="en-US" w:eastAsia="zh-CN" w:bidi="ar"/>
                    </w:rPr>
                    <w:t>00毫升/瓶</w:t>
                  </w:r>
                </w:p>
              </w:tc>
              <w:tc>
                <w:tcPr>
                  <w:tcW w:w="648" w:type="pct"/>
                  <w:shd w:val="clear" w:color="auto" w:fill="auto"/>
                  <w:vAlign w:val="center"/>
                </w:tcPr>
                <w:p w14:paraId="5F6A26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100升</w:t>
                  </w:r>
                </w:p>
              </w:tc>
              <w:tc>
                <w:tcPr>
                  <w:tcW w:w="1109" w:type="pct"/>
                  <w:shd w:val="clear" w:color="auto" w:fill="auto"/>
                  <w:vAlign w:val="center"/>
                </w:tcPr>
                <w:p w14:paraId="10A91F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i w:val="0"/>
                      <w:iCs w:val="0"/>
                      <w:color w:val="auto"/>
                      <w:sz w:val="21"/>
                      <w:szCs w:val="21"/>
                      <w:u w:val="none"/>
                      <w:lang w:val="en-US" w:eastAsia="zh-CN"/>
                    </w:rPr>
                    <w:t>5</w:t>
                  </w:r>
                  <w:r>
                    <w:rPr>
                      <w:rFonts w:hint="default" w:ascii="Times New Roman" w:hAnsi="Times New Roman" w:eastAsia="宋体" w:cs="Times New Roman"/>
                      <w:b w:val="0"/>
                      <w:bCs w:val="0"/>
                      <w:i w:val="0"/>
                      <w:iCs w:val="0"/>
                      <w:color w:val="auto"/>
                      <w:kern w:val="0"/>
                      <w:sz w:val="21"/>
                      <w:szCs w:val="21"/>
                      <w:u w:val="none"/>
                      <w:lang w:val="en-US" w:eastAsia="zh-CN" w:bidi="ar"/>
                    </w:rPr>
                    <w:t>升</w:t>
                  </w:r>
                </w:p>
              </w:tc>
              <w:tc>
                <w:tcPr>
                  <w:tcW w:w="856" w:type="pct"/>
                  <w:shd w:val="clear" w:color="auto" w:fill="auto"/>
                  <w:vAlign w:val="center"/>
                </w:tcPr>
                <w:p w14:paraId="466719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cs="Times New Roman"/>
                      <w:b w:val="0"/>
                      <w:bCs w:val="0"/>
                      <w:i w:val="0"/>
                      <w:iCs w:val="0"/>
                      <w:color w:val="auto"/>
                      <w:sz w:val="21"/>
                      <w:szCs w:val="21"/>
                      <w:u w:val="none"/>
                      <w:lang w:val="en-US" w:eastAsia="zh-CN"/>
                    </w:rPr>
                  </w:pPr>
                  <w:r>
                    <w:rPr>
                      <w:rFonts w:hint="eastAsia" w:ascii="Times New Roman" w:hAnsi="Times New Roman" w:eastAsia="宋体" w:cs="宋体"/>
                      <w:color w:val="auto"/>
                      <w:kern w:val="2"/>
                      <w:sz w:val="21"/>
                      <w:szCs w:val="21"/>
                      <w:lang w:val="en-US" w:eastAsia="zh-CN" w:bidi="ar"/>
                    </w:rPr>
                    <w:t>样本前处理</w:t>
                  </w:r>
                </w:p>
              </w:tc>
            </w:tr>
            <w:tr w14:paraId="05DCB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15" w:type="pct"/>
                  <w:shd w:val="clear" w:color="auto" w:fill="auto"/>
                  <w:vAlign w:val="center"/>
                </w:tcPr>
                <w:p w14:paraId="290CA5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2</w:t>
                  </w:r>
                </w:p>
              </w:tc>
              <w:tc>
                <w:tcPr>
                  <w:tcW w:w="1107" w:type="pct"/>
                  <w:shd w:val="clear" w:color="auto" w:fill="auto"/>
                  <w:vAlign w:val="center"/>
                </w:tcPr>
                <w:p w14:paraId="4EA1A519">
                  <w:pPr>
                    <w:pStyle w:val="45"/>
                    <w:widowControl/>
                    <w:spacing w:line="240" w:lineRule="auto"/>
                    <w:ind w:left="0" w:leftChars="0" w:right="0" w:rightChars="0" w:firstLine="0" w:firstLineChars="0"/>
                    <w:rPr>
                      <w:rFonts w:hint="default" w:ascii="Times New Roman" w:hAnsi="Times New Roman" w:eastAsia="宋体" w:cs="Times New Roman"/>
                      <w:b w:val="0"/>
                      <w:bCs w:val="0"/>
                      <w:i w:val="0"/>
                      <w:iCs w:val="0"/>
                      <w:color w:val="auto"/>
                      <w:sz w:val="21"/>
                      <w:szCs w:val="21"/>
                      <w:u w:val="none"/>
                    </w:rPr>
                  </w:pPr>
                  <w:r>
                    <w:rPr>
                      <w:color w:val="auto"/>
                      <w:sz w:val="21"/>
                      <w:szCs w:val="21"/>
                      <w:lang w:val="en-US"/>
                    </w:rPr>
                    <w:t xml:space="preserve">Tris-HCl </w:t>
                  </w:r>
                  <w:r>
                    <w:rPr>
                      <w:rFonts w:hint="eastAsia" w:ascii="Times New Roman" w:hAnsi="Times New Roman" w:eastAsia="宋体" w:cs="宋体"/>
                      <w:color w:val="auto"/>
                      <w:sz w:val="21"/>
                      <w:szCs w:val="21"/>
                    </w:rPr>
                    <w:t>缓冲液</w:t>
                  </w:r>
                </w:p>
              </w:tc>
              <w:tc>
                <w:tcPr>
                  <w:tcW w:w="862" w:type="pct"/>
                  <w:shd w:val="clear" w:color="auto" w:fill="auto"/>
                  <w:vAlign w:val="center"/>
                </w:tcPr>
                <w:p w14:paraId="2A35DD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100毫升/瓶</w:t>
                  </w:r>
                </w:p>
              </w:tc>
              <w:tc>
                <w:tcPr>
                  <w:tcW w:w="648" w:type="pct"/>
                  <w:shd w:val="clear" w:color="auto" w:fill="auto"/>
                  <w:vAlign w:val="center"/>
                </w:tcPr>
                <w:p w14:paraId="1A9197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cs="Times New Roman"/>
                      <w:b w:val="0"/>
                      <w:bCs w:val="0"/>
                      <w:i w:val="0"/>
                      <w:iCs w:val="0"/>
                      <w:color w:val="auto"/>
                      <w:kern w:val="0"/>
                      <w:sz w:val="21"/>
                      <w:szCs w:val="21"/>
                      <w:u w:val="none"/>
                      <w:lang w:val="en-US" w:eastAsia="zh-CN" w:bidi="ar"/>
                    </w:rPr>
                    <w:t>10</w:t>
                  </w:r>
                  <w:r>
                    <w:rPr>
                      <w:rFonts w:hint="default" w:ascii="Times New Roman" w:hAnsi="Times New Roman" w:eastAsia="宋体" w:cs="Times New Roman"/>
                      <w:b w:val="0"/>
                      <w:bCs w:val="0"/>
                      <w:i w:val="0"/>
                      <w:iCs w:val="0"/>
                      <w:color w:val="auto"/>
                      <w:kern w:val="0"/>
                      <w:sz w:val="21"/>
                      <w:szCs w:val="21"/>
                      <w:u w:val="none"/>
                      <w:lang w:val="en-US" w:eastAsia="zh-CN" w:bidi="ar"/>
                    </w:rPr>
                    <w:t>升</w:t>
                  </w:r>
                </w:p>
              </w:tc>
              <w:tc>
                <w:tcPr>
                  <w:tcW w:w="1109" w:type="pct"/>
                  <w:shd w:val="clear" w:color="auto" w:fill="auto"/>
                  <w:vAlign w:val="center"/>
                </w:tcPr>
                <w:p w14:paraId="01D8C0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i w:val="0"/>
                      <w:iCs w:val="0"/>
                      <w:color w:val="auto"/>
                      <w:sz w:val="21"/>
                      <w:szCs w:val="21"/>
                      <w:u w:val="none"/>
                      <w:lang w:val="en-US" w:eastAsia="zh-CN"/>
                    </w:rPr>
                    <w:t>1</w:t>
                  </w:r>
                  <w:r>
                    <w:rPr>
                      <w:rFonts w:hint="default" w:ascii="Times New Roman" w:hAnsi="Times New Roman" w:eastAsia="宋体" w:cs="Times New Roman"/>
                      <w:b w:val="0"/>
                      <w:bCs w:val="0"/>
                      <w:i w:val="0"/>
                      <w:iCs w:val="0"/>
                      <w:color w:val="auto"/>
                      <w:kern w:val="0"/>
                      <w:sz w:val="21"/>
                      <w:szCs w:val="21"/>
                      <w:u w:val="none"/>
                      <w:lang w:val="en-US" w:eastAsia="zh-CN" w:bidi="ar"/>
                    </w:rPr>
                    <w:t>升</w:t>
                  </w:r>
                </w:p>
              </w:tc>
              <w:tc>
                <w:tcPr>
                  <w:tcW w:w="856" w:type="pct"/>
                  <w:shd w:val="clear" w:color="auto" w:fill="auto"/>
                  <w:vAlign w:val="center"/>
                </w:tcPr>
                <w:p w14:paraId="2C7622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cs="Times New Roman"/>
                      <w:b w:val="0"/>
                      <w:bCs w:val="0"/>
                      <w:i w:val="0"/>
                      <w:iCs w:val="0"/>
                      <w:color w:val="auto"/>
                      <w:sz w:val="21"/>
                      <w:szCs w:val="21"/>
                      <w:u w:val="none"/>
                      <w:lang w:val="en-US" w:eastAsia="zh-CN"/>
                    </w:rPr>
                  </w:pPr>
                  <w:r>
                    <w:rPr>
                      <w:rFonts w:hint="eastAsia" w:ascii="Times New Roman" w:hAnsi="Times New Roman" w:eastAsia="宋体" w:cs="宋体"/>
                      <w:color w:val="auto"/>
                      <w:kern w:val="2"/>
                      <w:sz w:val="21"/>
                      <w:szCs w:val="21"/>
                      <w:lang w:val="en-US" w:eastAsia="zh-CN" w:bidi="ar"/>
                    </w:rPr>
                    <w:t>样本前处理</w:t>
                  </w:r>
                </w:p>
              </w:tc>
            </w:tr>
            <w:tr w14:paraId="7FB9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15" w:type="pct"/>
                  <w:shd w:val="clear" w:color="auto" w:fill="auto"/>
                  <w:vAlign w:val="center"/>
                </w:tcPr>
                <w:p w14:paraId="1BBE1B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3</w:t>
                  </w:r>
                </w:p>
              </w:tc>
              <w:tc>
                <w:tcPr>
                  <w:tcW w:w="1107" w:type="pct"/>
                  <w:shd w:val="clear" w:color="auto" w:fill="auto"/>
                  <w:vAlign w:val="center"/>
                </w:tcPr>
                <w:p w14:paraId="64950B4E">
                  <w:pPr>
                    <w:pStyle w:val="45"/>
                    <w:widowControl/>
                    <w:spacing w:line="240" w:lineRule="auto"/>
                    <w:ind w:left="0" w:leftChars="0" w:right="0" w:rightChars="0" w:firstLine="0" w:firstLineChars="0"/>
                    <w:rPr>
                      <w:rFonts w:hint="default" w:ascii="Times New Roman" w:hAnsi="Times New Roman" w:eastAsia="宋体" w:cs="Times New Roman"/>
                      <w:b w:val="0"/>
                      <w:bCs w:val="0"/>
                      <w:i w:val="0"/>
                      <w:iCs w:val="0"/>
                      <w:color w:val="auto"/>
                      <w:sz w:val="21"/>
                      <w:szCs w:val="21"/>
                      <w:u w:val="none"/>
                    </w:rPr>
                  </w:pPr>
                  <w:r>
                    <w:rPr>
                      <w:rFonts w:hint="eastAsia" w:ascii="Times New Roman" w:hAnsi="Times New Roman" w:eastAsia="宋体" w:cs="宋体"/>
                      <w:color w:val="auto"/>
                      <w:sz w:val="21"/>
                      <w:szCs w:val="21"/>
                    </w:rPr>
                    <w:t>脱脂乳</w:t>
                  </w:r>
                </w:p>
              </w:tc>
              <w:tc>
                <w:tcPr>
                  <w:tcW w:w="862" w:type="pct"/>
                  <w:shd w:val="clear" w:color="auto" w:fill="auto"/>
                  <w:vAlign w:val="center"/>
                </w:tcPr>
                <w:p w14:paraId="3F310C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500毫升/瓶</w:t>
                  </w:r>
                </w:p>
              </w:tc>
              <w:tc>
                <w:tcPr>
                  <w:tcW w:w="648" w:type="pct"/>
                  <w:shd w:val="clear" w:color="auto" w:fill="auto"/>
                  <w:vAlign w:val="center"/>
                </w:tcPr>
                <w:p w14:paraId="3A5184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2升</w:t>
                  </w:r>
                </w:p>
              </w:tc>
              <w:tc>
                <w:tcPr>
                  <w:tcW w:w="1109" w:type="pct"/>
                  <w:shd w:val="clear" w:color="auto" w:fill="auto"/>
                  <w:vAlign w:val="center"/>
                </w:tcPr>
                <w:p w14:paraId="36CFA7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cs="Times New Roman"/>
                      <w:b w:val="0"/>
                      <w:bCs w:val="0"/>
                      <w:i w:val="0"/>
                      <w:iCs w:val="0"/>
                      <w:color w:val="auto"/>
                      <w:sz w:val="21"/>
                      <w:szCs w:val="21"/>
                      <w:u w:val="none"/>
                      <w:lang w:val="en-US" w:eastAsia="zh-CN"/>
                    </w:rPr>
                    <w:t>0.1</w:t>
                  </w:r>
                  <w:r>
                    <w:rPr>
                      <w:rFonts w:hint="default" w:ascii="Times New Roman" w:hAnsi="Times New Roman" w:eastAsia="宋体" w:cs="Times New Roman"/>
                      <w:b w:val="0"/>
                      <w:bCs w:val="0"/>
                      <w:i w:val="0"/>
                      <w:iCs w:val="0"/>
                      <w:color w:val="auto"/>
                      <w:kern w:val="0"/>
                      <w:sz w:val="21"/>
                      <w:szCs w:val="21"/>
                      <w:u w:val="none"/>
                      <w:lang w:val="en-US" w:eastAsia="zh-CN" w:bidi="ar"/>
                    </w:rPr>
                    <w:t>升</w:t>
                  </w:r>
                </w:p>
              </w:tc>
              <w:tc>
                <w:tcPr>
                  <w:tcW w:w="856" w:type="pct"/>
                  <w:shd w:val="clear" w:color="auto" w:fill="auto"/>
                  <w:vAlign w:val="center"/>
                </w:tcPr>
                <w:p w14:paraId="3C68DC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cs="Times New Roman"/>
                      <w:b w:val="0"/>
                      <w:bCs w:val="0"/>
                      <w:i w:val="0"/>
                      <w:iCs w:val="0"/>
                      <w:color w:val="auto"/>
                      <w:sz w:val="21"/>
                      <w:szCs w:val="21"/>
                      <w:u w:val="none"/>
                      <w:lang w:val="en-US" w:eastAsia="zh-CN"/>
                    </w:rPr>
                  </w:pPr>
                  <w:r>
                    <w:rPr>
                      <w:rFonts w:hint="eastAsia" w:ascii="Times New Roman" w:hAnsi="Times New Roman" w:eastAsia="宋体" w:cs="宋体"/>
                      <w:color w:val="auto"/>
                      <w:kern w:val="2"/>
                      <w:sz w:val="21"/>
                      <w:szCs w:val="21"/>
                      <w:lang w:val="en-US" w:eastAsia="zh-CN" w:bidi="ar"/>
                    </w:rPr>
                    <w:t>样本前处理</w:t>
                  </w:r>
                </w:p>
              </w:tc>
            </w:tr>
            <w:tr w14:paraId="5E93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15" w:type="pct"/>
                  <w:shd w:val="clear" w:color="auto" w:fill="auto"/>
                  <w:vAlign w:val="center"/>
                </w:tcPr>
                <w:p w14:paraId="32E52D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4</w:t>
                  </w:r>
                </w:p>
              </w:tc>
              <w:tc>
                <w:tcPr>
                  <w:tcW w:w="1107" w:type="pct"/>
                  <w:shd w:val="clear" w:color="auto" w:fill="auto"/>
                  <w:vAlign w:val="center"/>
                </w:tcPr>
                <w:p w14:paraId="2D5E554A">
                  <w:pPr>
                    <w:pStyle w:val="45"/>
                    <w:widowControl/>
                    <w:spacing w:line="240" w:lineRule="auto"/>
                    <w:ind w:left="0" w:leftChars="0" w:right="0" w:rightChars="0" w:firstLine="0" w:firstLineChars="0"/>
                    <w:rPr>
                      <w:rFonts w:hint="default" w:ascii="Times New Roman" w:hAnsi="Times New Roman" w:eastAsia="宋体" w:cs="Times New Roman"/>
                      <w:b w:val="0"/>
                      <w:bCs w:val="0"/>
                      <w:i w:val="0"/>
                      <w:iCs w:val="0"/>
                      <w:color w:val="auto"/>
                      <w:sz w:val="21"/>
                      <w:szCs w:val="21"/>
                      <w:u w:val="none"/>
                    </w:rPr>
                  </w:pPr>
                  <w:r>
                    <w:rPr>
                      <w:rFonts w:hint="eastAsia" w:ascii="Times New Roman" w:hAnsi="Times New Roman" w:eastAsia="宋体" w:cs="宋体"/>
                      <w:color w:val="auto"/>
                      <w:sz w:val="21"/>
                      <w:szCs w:val="21"/>
                    </w:rPr>
                    <w:t>甘露醇</w:t>
                  </w:r>
                </w:p>
              </w:tc>
              <w:tc>
                <w:tcPr>
                  <w:tcW w:w="862" w:type="pct"/>
                  <w:shd w:val="clear" w:color="auto" w:fill="auto"/>
                  <w:vAlign w:val="center"/>
                </w:tcPr>
                <w:p w14:paraId="4F6878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500毫升/瓶</w:t>
                  </w:r>
                </w:p>
              </w:tc>
              <w:tc>
                <w:tcPr>
                  <w:tcW w:w="648" w:type="pct"/>
                  <w:shd w:val="clear" w:color="auto" w:fill="auto"/>
                  <w:vAlign w:val="center"/>
                </w:tcPr>
                <w:p w14:paraId="5D1AEF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cs="Times New Roman"/>
                      <w:b w:val="0"/>
                      <w:bCs w:val="0"/>
                      <w:i w:val="0"/>
                      <w:iCs w:val="0"/>
                      <w:color w:val="auto"/>
                      <w:kern w:val="0"/>
                      <w:sz w:val="21"/>
                      <w:szCs w:val="21"/>
                      <w:u w:val="none"/>
                      <w:lang w:val="en-US" w:eastAsia="zh-CN" w:bidi="ar"/>
                    </w:rPr>
                    <w:t>5</w:t>
                  </w:r>
                  <w:r>
                    <w:rPr>
                      <w:rFonts w:hint="default" w:ascii="Times New Roman" w:hAnsi="Times New Roman" w:eastAsia="宋体" w:cs="Times New Roman"/>
                      <w:b w:val="0"/>
                      <w:bCs w:val="0"/>
                      <w:i w:val="0"/>
                      <w:iCs w:val="0"/>
                      <w:color w:val="auto"/>
                      <w:kern w:val="0"/>
                      <w:sz w:val="21"/>
                      <w:szCs w:val="21"/>
                      <w:u w:val="none"/>
                      <w:lang w:val="en-US" w:eastAsia="zh-CN" w:bidi="ar"/>
                    </w:rPr>
                    <w:t>0升</w:t>
                  </w:r>
                </w:p>
              </w:tc>
              <w:tc>
                <w:tcPr>
                  <w:tcW w:w="1109" w:type="pct"/>
                  <w:shd w:val="clear" w:color="auto" w:fill="auto"/>
                  <w:vAlign w:val="center"/>
                </w:tcPr>
                <w:p w14:paraId="2E52FB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cs="Times New Roman"/>
                      <w:b w:val="0"/>
                      <w:bCs w:val="0"/>
                      <w:i w:val="0"/>
                      <w:iCs w:val="0"/>
                      <w:color w:val="auto"/>
                      <w:sz w:val="21"/>
                      <w:szCs w:val="21"/>
                      <w:u w:val="none"/>
                      <w:lang w:val="en-US" w:eastAsia="zh-CN"/>
                    </w:rPr>
                    <w:t>2</w:t>
                  </w:r>
                  <w:r>
                    <w:rPr>
                      <w:rFonts w:hint="default" w:ascii="Times New Roman" w:hAnsi="Times New Roman" w:eastAsia="宋体" w:cs="Times New Roman"/>
                      <w:b w:val="0"/>
                      <w:bCs w:val="0"/>
                      <w:i w:val="0"/>
                      <w:iCs w:val="0"/>
                      <w:color w:val="auto"/>
                      <w:kern w:val="0"/>
                      <w:sz w:val="21"/>
                      <w:szCs w:val="21"/>
                      <w:u w:val="none"/>
                      <w:lang w:val="en-US" w:eastAsia="zh-CN" w:bidi="ar"/>
                    </w:rPr>
                    <w:t>升</w:t>
                  </w:r>
                </w:p>
              </w:tc>
              <w:tc>
                <w:tcPr>
                  <w:tcW w:w="856" w:type="pct"/>
                  <w:shd w:val="clear" w:color="auto" w:fill="auto"/>
                  <w:vAlign w:val="center"/>
                </w:tcPr>
                <w:p w14:paraId="66B944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cs="Times New Roman"/>
                      <w:b w:val="0"/>
                      <w:bCs w:val="0"/>
                      <w:i w:val="0"/>
                      <w:iCs w:val="0"/>
                      <w:color w:val="auto"/>
                      <w:sz w:val="21"/>
                      <w:szCs w:val="21"/>
                      <w:u w:val="none"/>
                      <w:lang w:val="en-US" w:eastAsia="zh-CN"/>
                    </w:rPr>
                  </w:pPr>
                  <w:r>
                    <w:rPr>
                      <w:rFonts w:hint="eastAsia" w:ascii="Times New Roman" w:hAnsi="Times New Roman" w:eastAsia="宋体" w:cs="宋体"/>
                      <w:color w:val="auto"/>
                      <w:kern w:val="2"/>
                      <w:sz w:val="21"/>
                      <w:szCs w:val="21"/>
                      <w:lang w:val="en-US" w:eastAsia="zh-CN" w:bidi="ar"/>
                    </w:rPr>
                    <w:t>样本前处理</w:t>
                  </w:r>
                </w:p>
              </w:tc>
            </w:tr>
            <w:tr w14:paraId="727C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15" w:type="pct"/>
                  <w:shd w:val="clear" w:color="auto" w:fill="auto"/>
                  <w:vAlign w:val="center"/>
                </w:tcPr>
                <w:p w14:paraId="4731E3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5</w:t>
                  </w:r>
                </w:p>
              </w:tc>
              <w:tc>
                <w:tcPr>
                  <w:tcW w:w="1107" w:type="pct"/>
                  <w:shd w:val="clear" w:color="auto" w:fill="auto"/>
                  <w:vAlign w:val="center"/>
                </w:tcPr>
                <w:p w14:paraId="22781C38">
                  <w:pPr>
                    <w:pStyle w:val="45"/>
                    <w:widowControl/>
                    <w:spacing w:line="240" w:lineRule="auto"/>
                    <w:ind w:left="0" w:leftChars="0" w:right="0" w:rightChars="0" w:firstLine="0" w:firstLineChars="0"/>
                    <w:rPr>
                      <w:rFonts w:hint="default" w:ascii="Times New Roman" w:hAnsi="Times New Roman" w:eastAsia="宋体" w:cs="Times New Roman"/>
                      <w:b w:val="0"/>
                      <w:bCs w:val="0"/>
                      <w:i w:val="0"/>
                      <w:iCs w:val="0"/>
                      <w:color w:val="auto"/>
                      <w:sz w:val="21"/>
                      <w:szCs w:val="21"/>
                      <w:u w:val="none"/>
                    </w:rPr>
                  </w:pPr>
                  <w:r>
                    <w:rPr>
                      <w:rFonts w:hint="eastAsia" w:ascii="Times New Roman" w:hAnsi="Times New Roman" w:eastAsia="宋体" w:cs="宋体"/>
                      <w:color w:val="auto"/>
                      <w:sz w:val="21"/>
                      <w:szCs w:val="21"/>
                    </w:rPr>
                    <w:t>谷氨酸</w:t>
                  </w:r>
                </w:p>
              </w:tc>
              <w:tc>
                <w:tcPr>
                  <w:tcW w:w="862" w:type="pct"/>
                  <w:shd w:val="clear" w:color="auto" w:fill="auto"/>
                  <w:vAlign w:val="center"/>
                </w:tcPr>
                <w:p w14:paraId="46C93F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500毫升/瓶</w:t>
                  </w:r>
                </w:p>
              </w:tc>
              <w:tc>
                <w:tcPr>
                  <w:tcW w:w="648" w:type="pct"/>
                  <w:shd w:val="clear" w:color="auto" w:fill="auto"/>
                  <w:vAlign w:val="center"/>
                </w:tcPr>
                <w:p w14:paraId="385894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cs="Times New Roman"/>
                      <w:b w:val="0"/>
                      <w:bCs w:val="0"/>
                      <w:i w:val="0"/>
                      <w:iCs w:val="0"/>
                      <w:color w:val="auto"/>
                      <w:kern w:val="0"/>
                      <w:sz w:val="21"/>
                      <w:szCs w:val="21"/>
                      <w:u w:val="none"/>
                      <w:lang w:val="en-US" w:eastAsia="zh-CN" w:bidi="ar"/>
                    </w:rPr>
                    <w:t>5</w:t>
                  </w:r>
                  <w:r>
                    <w:rPr>
                      <w:rFonts w:hint="default" w:ascii="Times New Roman" w:hAnsi="Times New Roman" w:eastAsia="宋体" w:cs="Times New Roman"/>
                      <w:b w:val="0"/>
                      <w:bCs w:val="0"/>
                      <w:i w:val="0"/>
                      <w:iCs w:val="0"/>
                      <w:color w:val="auto"/>
                      <w:kern w:val="0"/>
                      <w:sz w:val="21"/>
                      <w:szCs w:val="21"/>
                      <w:u w:val="none"/>
                      <w:lang w:val="en-US" w:eastAsia="zh-CN" w:bidi="ar"/>
                    </w:rPr>
                    <w:t>0升</w:t>
                  </w:r>
                </w:p>
              </w:tc>
              <w:tc>
                <w:tcPr>
                  <w:tcW w:w="1109" w:type="pct"/>
                  <w:shd w:val="clear" w:color="auto" w:fill="auto"/>
                  <w:vAlign w:val="center"/>
                </w:tcPr>
                <w:p w14:paraId="71FD88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cs="Times New Roman"/>
                      <w:b w:val="0"/>
                      <w:bCs w:val="0"/>
                      <w:i w:val="0"/>
                      <w:iCs w:val="0"/>
                      <w:color w:val="auto"/>
                      <w:sz w:val="21"/>
                      <w:szCs w:val="21"/>
                      <w:u w:val="none"/>
                      <w:lang w:val="en-US" w:eastAsia="zh-CN"/>
                    </w:rPr>
                    <w:t>2</w:t>
                  </w:r>
                  <w:r>
                    <w:rPr>
                      <w:rFonts w:hint="default" w:ascii="Times New Roman" w:hAnsi="Times New Roman" w:eastAsia="宋体" w:cs="Times New Roman"/>
                      <w:b w:val="0"/>
                      <w:bCs w:val="0"/>
                      <w:i w:val="0"/>
                      <w:iCs w:val="0"/>
                      <w:color w:val="auto"/>
                      <w:kern w:val="0"/>
                      <w:sz w:val="21"/>
                      <w:szCs w:val="21"/>
                      <w:u w:val="none"/>
                      <w:lang w:val="en-US" w:eastAsia="zh-CN" w:bidi="ar"/>
                    </w:rPr>
                    <w:t>升</w:t>
                  </w:r>
                </w:p>
              </w:tc>
              <w:tc>
                <w:tcPr>
                  <w:tcW w:w="856" w:type="pct"/>
                  <w:shd w:val="clear" w:color="auto" w:fill="auto"/>
                  <w:vAlign w:val="center"/>
                </w:tcPr>
                <w:p w14:paraId="325CFD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cs="Times New Roman"/>
                      <w:b w:val="0"/>
                      <w:bCs w:val="0"/>
                      <w:i w:val="0"/>
                      <w:iCs w:val="0"/>
                      <w:color w:val="auto"/>
                      <w:sz w:val="21"/>
                      <w:szCs w:val="21"/>
                      <w:u w:val="none"/>
                      <w:lang w:val="en-US" w:eastAsia="zh-CN"/>
                    </w:rPr>
                  </w:pPr>
                  <w:r>
                    <w:rPr>
                      <w:rFonts w:hint="eastAsia" w:ascii="Times New Roman" w:hAnsi="Times New Roman" w:eastAsia="宋体" w:cs="宋体"/>
                      <w:color w:val="auto"/>
                      <w:kern w:val="2"/>
                      <w:sz w:val="21"/>
                      <w:szCs w:val="21"/>
                      <w:lang w:val="en-US" w:eastAsia="zh-CN" w:bidi="ar"/>
                    </w:rPr>
                    <w:t>样本前处理</w:t>
                  </w:r>
                </w:p>
              </w:tc>
            </w:tr>
            <w:tr w14:paraId="449F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15" w:type="pct"/>
                  <w:shd w:val="clear" w:color="auto" w:fill="auto"/>
                  <w:vAlign w:val="center"/>
                </w:tcPr>
                <w:p w14:paraId="48C3A5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6</w:t>
                  </w:r>
                </w:p>
              </w:tc>
              <w:tc>
                <w:tcPr>
                  <w:tcW w:w="1107" w:type="pct"/>
                  <w:shd w:val="clear" w:color="auto" w:fill="auto"/>
                  <w:vAlign w:val="center"/>
                </w:tcPr>
                <w:p w14:paraId="294848DF">
                  <w:pPr>
                    <w:pStyle w:val="45"/>
                    <w:widowControl/>
                    <w:spacing w:line="240" w:lineRule="auto"/>
                    <w:ind w:left="0" w:leftChars="0" w:right="0" w:rightChars="0" w:firstLine="0" w:firstLineChars="0"/>
                    <w:rPr>
                      <w:rFonts w:hint="default" w:ascii="Times New Roman" w:hAnsi="Times New Roman" w:eastAsia="宋体" w:cs="Times New Roman"/>
                      <w:b w:val="0"/>
                      <w:bCs w:val="0"/>
                      <w:i w:val="0"/>
                      <w:iCs w:val="0"/>
                      <w:color w:val="auto"/>
                      <w:sz w:val="21"/>
                      <w:szCs w:val="21"/>
                      <w:u w:val="none"/>
                    </w:rPr>
                  </w:pPr>
                  <w:r>
                    <w:rPr>
                      <w:rFonts w:hint="eastAsia" w:ascii="Times New Roman" w:hAnsi="Times New Roman" w:eastAsia="宋体" w:cs="宋体"/>
                      <w:color w:val="auto"/>
                      <w:sz w:val="21"/>
                      <w:szCs w:val="21"/>
                    </w:rPr>
                    <w:t>生理盐水</w:t>
                  </w:r>
                </w:p>
              </w:tc>
              <w:tc>
                <w:tcPr>
                  <w:tcW w:w="862" w:type="pct"/>
                  <w:shd w:val="clear" w:color="auto" w:fill="auto"/>
                  <w:vAlign w:val="center"/>
                </w:tcPr>
                <w:p w14:paraId="46126B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500毫升/瓶</w:t>
                  </w:r>
                </w:p>
              </w:tc>
              <w:tc>
                <w:tcPr>
                  <w:tcW w:w="648" w:type="pct"/>
                  <w:shd w:val="clear" w:color="auto" w:fill="auto"/>
                  <w:vAlign w:val="center"/>
                </w:tcPr>
                <w:p w14:paraId="713806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100升</w:t>
                  </w:r>
                </w:p>
              </w:tc>
              <w:tc>
                <w:tcPr>
                  <w:tcW w:w="1109" w:type="pct"/>
                  <w:shd w:val="clear" w:color="auto" w:fill="auto"/>
                  <w:vAlign w:val="center"/>
                </w:tcPr>
                <w:p w14:paraId="23DDB9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i w:val="0"/>
                      <w:iCs w:val="0"/>
                      <w:color w:val="auto"/>
                      <w:sz w:val="21"/>
                      <w:szCs w:val="21"/>
                      <w:u w:val="none"/>
                      <w:lang w:val="en-US" w:eastAsia="zh-CN"/>
                    </w:rPr>
                    <w:t>16</w:t>
                  </w:r>
                  <w:r>
                    <w:rPr>
                      <w:rFonts w:hint="default" w:ascii="Times New Roman" w:hAnsi="Times New Roman" w:eastAsia="宋体" w:cs="Times New Roman"/>
                      <w:b w:val="0"/>
                      <w:bCs w:val="0"/>
                      <w:i w:val="0"/>
                      <w:iCs w:val="0"/>
                      <w:color w:val="auto"/>
                      <w:kern w:val="0"/>
                      <w:sz w:val="21"/>
                      <w:szCs w:val="21"/>
                      <w:u w:val="none"/>
                      <w:lang w:val="en-US" w:eastAsia="zh-CN" w:bidi="ar"/>
                    </w:rPr>
                    <w:t>升</w:t>
                  </w:r>
                </w:p>
              </w:tc>
              <w:tc>
                <w:tcPr>
                  <w:tcW w:w="856" w:type="pct"/>
                  <w:shd w:val="clear" w:color="auto" w:fill="auto"/>
                  <w:vAlign w:val="center"/>
                </w:tcPr>
                <w:p w14:paraId="3F1CA9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cs="Times New Roman"/>
                      <w:b w:val="0"/>
                      <w:bCs w:val="0"/>
                      <w:i w:val="0"/>
                      <w:iCs w:val="0"/>
                      <w:color w:val="auto"/>
                      <w:sz w:val="21"/>
                      <w:szCs w:val="21"/>
                      <w:u w:val="none"/>
                      <w:lang w:val="en-US" w:eastAsia="zh-CN"/>
                    </w:rPr>
                  </w:pPr>
                  <w:r>
                    <w:rPr>
                      <w:rFonts w:hint="eastAsia" w:ascii="Times New Roman" w:hAnsi="Times New Roman" w:eastAsia="宋体" w:cs="宋体"/>
                      <w:color w:val="auto"/>
                      <w:kern w:val="2"/>
                      <w:sz w:val="21"/>
                      <w:szCs w:val="21"/>
                      <w:lang w:val="en-US" w:eastAsia="zh-CN" w:bidi="ar"/>
                    </w:rPr>
                    <w:t>样本前处理</w:t>
                  </w:r>
                </w:p>
              </w:tc>
            </w:tr>
            <w:tr w14:paraId="2ED79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15" w:type="pct"/>
                  <w:shd w:val="clear" w:color="auto" w:fill="auto"/>
                  <w:vAlign w:val="center"/>
                </w:tcPr>
                <w:p w14:paraId="6816C3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7</w:t>
                  </w:r>
                </w:p>
              </w:tc>
              <w:tc>
                <w:tcPr>
                  <w:tcW w:w="1107" w:type="pct"/>
                  <w:shd w:val="clear" w:color="auto" w:fill="auto"/>
                  <w:vAlign w:val="center"/>
                </w:tcPr>
                <w:p w14:paraId="2F2BAF1F">
                  <w:pPr>
                    <w:pStyle w:val="45"/>
                    <w:widowControl/>
                    <w:spacing w:line="240" w:lineRule="auto"/>
                    <w:ind w:left="0" w:leftChars="0" w:right="0" w:rightChars="0" w:firstLine="0" w:firstLineChars="0"/>
                    <w:rPr>
                      <w:rFonts w:hint="default" w:ascii="Times New Roman" w:hAnsi="Times New Roman" w:eastAsia="宋体" w:cs="Times New Roman"/>
                      <w:b w:val="0"/>
                      <w:bCs w:val="0"/>
                      <w:i w:val="0"/>
                      <w:iCs w:val="0"/>
                      <w:color w:val="auto"/>
                      <w:sz w:val="21"/>
                      <w:szCs w:val="21"/>
                      <w:u w:val="none"/>
                    </w:rPr>
                  </w:pPr>
                  <w:r>
                    <w:rPr>
                      <w:rFonts w:hint="eastAsia" w:ascii="Times New Roman" w:hAnsi="Times New Roman" w:eastAsia="宋体" w:cs="宋体"/>
                      <w:color w:val="auto"/>
                      <w:sz w:val="21"/>
                      <w:szCs w:val="21"/>
                    </w:rPr>
                    <w:t>甘油</w:t>
                  </w:r>
                </w:p>
              </w:tc>
              <w:tc>
                <w:tcPr>
                  <w:tcW w:w="862" w:type="pct"/>
                  <w:shd w:val="clear" w:color="auto" w:fill="auto"/>
                  <w:vAlign w:val="center"/>
                </w:tcPr>
                <w:p w14:paraId="73AF9E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100毫升/瓶</w:t>
                  </w:r>
                </w:p>
              </w:tc>
              <w:tc>
                <w:tcPr>
                  <w:tcW w:w="648" w:type="pct"/>
                  <w:shd w:val="clear" w:color="auto" w:fill="auto"/>
                  <w:vAlign w:val="center"/>
                </w:tcPr>
                <w:p w14:paraId="0B7622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20升</w:t>
                  </w:r>
                </w:p>
              </w:tc>
              <w:tc>
                <w:tcPr>
                  <w:tcW w:w="1109" w:type="pct"/>
                  <w:shd w:val="clear" w:color="auto" w:fill="auto"/>
                  <w:vAlign w:val="center"/>
                </w:tcPr>
                <w:p w14:paraId="556E4C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i w:val="0"/>
                      <w:iCs w:val="0"/>
                      <w:color w:val="auto"/>
                      <w:sz w:val="21"/>
                      <w:szCs w:val="21"/>
                      <w:u w:val="none"/>
                      <w:lang w:val="en-US" w:eastAsia="zh-CN"/>
                    </w:rPr>
                    <w:t>2</w:t>
                  </w:r>
                  <w:r>
                    <w:rPr>
                      <w:rFonts w:hint="default" w:ascii="Times New Roman" w:hAnsi="Times New Roman" w:eastAsia="宋体" w:cs="Times New Roman"/>
                      <w:b w:val="0"/>
                      <w:bCs w:val="0"/>
                      <w:i w:val="0"/>
                      <w:iCs w:val="0"/>
                      <w:color w:val="auto"/>
                      <w:kern w:val="0"/>
                      <w:sz w:val="21"/>
                      <w:szCs w:val="21"/>
                      <w:u w:val="none"/>
                      <w:lang w:val="en-US" w:eastAsia="zh-CN" w:bidi="ar"/>
                    </w:rPr>
                    <w:t>升</w:t>
                  </w:r>
                </w:p>
              </w:tc>
              <w:tc>
                <w:tcPr>
                  <w:tcW w:w="856" w:type="pct"/>
                  <w:shd w:val="clear" w:color="auto" w:fill="auto"/>
                  <w:vAlign w:val="center"/>
                </w:tcPr>
                <w:p w14:paraId="44AFDC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cs="Times New Roman"/>
                      <w:b w:val="0"/>
                      <w:bCs w:val="0"/>
                      <w:i w:val="0"/>
                      <w:iCs w:val="0"/>
                      <w:color w:val="auto"/>
                      <w:sz w:val="21"/>
                      <w:szCs w:val="21"/>
                      <w:u w:val="none"/>
                      <w:lang w:val="en-US" w:eastAsia="zh-CN"/>
                    </w:rPr>
                  </w:pPr>
                  <w:r>
                    <w:rPr>
                      <w:rFonts w:hint="eastAsia" w:ascii="Times New Roman" w:hAnsi="Times New Roman" w:eastAsia="宋体" w:cs="宋体"/>
                      <w:color w:val="auto"/>
                      <w:kern w:val="2"/>
                      <w:sz w:val="21"/>
                      <w:szCs w:val="21"/>
                      <w:lang w:val="en-US" w:eastAsia="zh-CN" w:bidi="ar"/>
                    </w:rPr>
                    <w:t>胶囊制备</w:t>
                  </w:r>
                </w:p>
              </w:tc>
            </w:tr>
            <w:tr w14:paraId="75A00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15" w:type="pct"/>
                  <w:shd w:val="clear" w:color="auto" w:fill="auto"/>
                  <w:vAlign w:val="center"/>
                </w:tcPr>
                <w:p w14:paraId="30A959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8</w:t>
                  </w:r>
                </w:p>
              </w:tc>
              <w:tc>
                <w:tcPr>
                  <w:tcW w:w="1107" w:type="pct"/>
                  <w:shd w:val="clear" w:color="auto" w:fill="auto"/>
                  <w:vAlign w:val="center"/>
                </w:tcPr>
                <w:p w14:paraId="52499DB5">
                  <w:pPr>
                    <w:pStyle w:val="45"/>
                    <w:widowControl/>
                    <w:spacing w:line="240" w:lineRule="auto"/>
                    <w:ind w:left="0" w:leftChars="0" w:right="0" w:rightChars="0" w:firstLine="0" w:firstLineChars="0"/>
                    <w:rPr>
                      <w:rFonts w:hint="default" w:ascii="Times New Roman" w:hAnsi="Times New Roman" w:eastAsia="宋体" w:cs="Times New Roman"/>
                      <w:b w:val="0"/>
                      <w:bCs w:val="0"/>
                      <w:i w:val="0"/>
                      <w:iCs w:val="0"/>
                      <w:color w:val="auto"/>
                      <w:sz w:val="21"/>
                      <w:szCs w:val="21"/>
                      <w:u w:val="none"/>
                    </w:rPr>
                  </w:pPr>
                  <w:r>
                    <w:rPr>
                      <w:color w:val="auto"/>
                      <w:sz w:val="21"/>
                      <w:szCs w:val="21"/>
                      <w:lang w:val="en-US"/>
                    </w:rPr>
                    <w:t>10%</w:t>
                  </w:r>
                  <w:r>
                    <w:rPr>
                      <w:rFonts w:hint="eastAsia" w:ascii="Times New Roman" w:hAnsi="Times New Roman" w:eastAsia="宋体" w:cs="宋体"/>
                      <w:color w:val="auto"/>
                      <w:sz w:val="21"/>
                      <w:szCs w:val="21"/>
                    </w:rPr>
                    <w:t>海藻糖</w:t>
                  </w:r>
                </w:p>
              </w:tc>
              <w:tc>
                <w:tcPr>
                  <w:tcW w:w="862" w:type="pct"/>
                  <w:shd w:val="clear" w:color="auto" w:fill="auto"/>
                  <w:vAlign w:val="center"/>
                </w:tcPr>
                <w:p w14:paraId="67CB6F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cs="Times New Roman"/>
                      <w:b w:val="0"/>
                      <w:bCs w:val="0"/>
                      <w:i w:val="0"/>
                      <w:iCs w:val="0"/>
                      <w:color w:val="auto"/>
                      <w:kern w:val="0"/>
                      <w:sz w:val="21"/>
                      <w:szCs w:val="21"/>
                      <w:u w:val="none"/>
                      <w:lang w:val="en-US" w:eastAsia="zh-CN" w:bidi="ar"/>
                    </w:rPr>
                    <w:t>5</w:t>
                  </w:r>
                  <w:r>
                    <w:rPr>
                      <w:rFonts w:hint="default" w:ascii="Times New Roman" w:hAnsi="Times New Roman" w:eastAsia="宋体" w:cs="Times New Roman"/>
                      <w:b w:val="0"/>
                      <w:bCs w:val="0"/>
                      <w:i w:val="0"/>
                      <w:iCs w:val="0"/>
                      <w:color w:val="auto"/>
                      <w:kern w:val="0"/>
                      <w:sz w:val="21"/>
                      <w:szCs w:val="21"/>
                      <w:u w:val="none"/>
                      <w:lang w:val="en-US" w:eastAsia="zh-CN" w:bidi="ar"/>
                    </w:rPr>
                    <w:t>0毫升/瓶</w:t>
                  </w:r>
                </w:p>
              </w:tc>
              <w:tc>
                <w:tcPr>
                  <w:tcW w:w="648" w:type="pct"/>
                  <w:shd w:val="clear" w:color="auto" w:fill="auto"/>
                  <w:vAlign w:val="center"/>
                </w:tcPr>
                <w:p w14:paraId="29D299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cs="Times New Roman"/>
                      <w:b w:val="0"/>
                      <w:bCs w:val="0"/>
                      <w:i w:val="0"/>
                      <w:iCs w:val="0"/>
                      <w:color w:val="auto"/>
                      <w:kern w:val="0"/>
                      <w:sz w:val="21"/>
                      <w:szCs w:val="21"/>
                      <w:u w:val="none"/>
                      <w:lang w:val="en-US" w:eastAsia="zh-CN" w:bidi="ar"/>
                    </w:rPr>
                    <w:t>1</w:t>
                  </w:r>
                  <w:r>
                    <w:rPr>
                      <w:rFonts w:hint="default" w:ascii="Times New Roman" w:hAnsi="Times New Roman" w:eastAsia="宋体" w:cs="Times New Roman"/>
                      <w:b w:val="0"/>
                      <w:bCs w:val="0"/>
                      <w:i w:val="0"/>
                      <w:iCs w:val="0"/>
                      <w:color w:val="auto"/>
                      <w:kern w:val="0"/>
                      <w:sz w:val="21"/>
                      <w:szCs w:val="21"/>
                      <w:u w:val="none"/>
                      <w:lang w:val="en-US" w:eastAsia="zh-CN" w:bidi="ar"/>
                    </w:rPr>
                    <w:t>升</w:t>
                  </w:r>
                </w:p>
              </w:tc>
              <w:tc>
                <w:tcPr>
                  <w:tcW w:w="1109" w:type="pct"/>
                  <w:shd w:val="clear" w:color="auto" w:fill="auto"/>
                  <w:vAlign w:val="center"/>
                </w:tcPr>
                <w:p w14:paraId="608513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i w:val="0"/>
                      <w:iCs w:val="0"/>
                      <w:color w:val="auto"/>
                      <w:sz w:val="21"/>
                      <w:szCs w:val="21"/>
                      <w:u w:val="none"/>
                      <w:lang w:val="en-US" w:eastAsia="zh-CN"/>
                    </w:rPr>
                    <w:t>0.1</w:t>
                  </w:r>
                  <w:r>
                    <w:rPr>
                      <w:rFonts w:hint="default" w:ascii="Times New Roman" w:hAnsi="Times New Roman" w:eastAsia="宋体" w:cs="Times New Roman"/>
                      <w:b w:val="0"/>
                      <w:bCs w:val="0"/>
                      <w:i w:val="0"/>
                      <w:iCs w:val="0"/>
                      <w:color w:val="auto"/>
                      <w:kern w:val="0"/>
                      <w:sz w:val="21"/>
                      <w:szCs w:val="21"/>
                      <w:u w:val="none"/>
                      <w:lang w:val="en-US" w:eastAsia="zh-CN" w:bidi="ar"/>
                    </w:rPr>
                    <w:t>升</w:t>
                  </w:r>
                </w:p>
              </w:tc>
              <w:tc>
                <w:tcPr>
                  <w:tcW w:w="856" w:type="pct"/>
                  <w:shd w:val="clear" w:color="auto" w:fill="auto"/>
                  <w:vAlign w:val="center"/>
                </w:tcPr>
                <w:p w14:paraId="4F3BAD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cs="Times New Roman"/>
                      <w:b w:val="0"/>
                      <w:bCs w:val="0"/>
                      <w:i w:val="0"/>
                      <w:iCs w:val="0"/>
                      <w:color w:val="auto"/>
                      <w:sz w:val="21"/>
                      <w:szCs w:val="21"/>
                      <w:u w:val="none"/>
                      <w:lang w:val="en-US" w:eastAsia="zh-CN"/>
                    </w:rPr>
                  </w:pPr>
                  <w:r>
                    <w:rPr>
                      <w:rFonts w:hint="eastAsia" w:ascii="Times New Roman" w:hAnsi="Times New Roman" w:eastAsia="宋体" w:cs="宋体"/>
                      <w:color w:val="auto"/>
                      <w:kern w:val="2"/>
                      <w:sz w:val="21"/>
                      <w:szCs w:val="21"/>
                      <w:lang w:val="en-US" w:eastAsia="zh-CN" w:bidi="ar"/>
                    </w:rPr>
                    <w:t>胶囊制备</w:t>
                  </w:r>
                </w:p>
              </w:tc>
            </w:tr>
            <w:tr w14:paraId="7D39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15" w:type="pct"/>
                  <w:shd w:val="clear" w:color="auto" w:fill="auto"/>
                  <w:vAlign w:val="center"/>
                </w:tcPr>
                <w:p w14:paraId="0400D6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9</w:t>
                  </w:r>
                </w:p>
              </w:tc>
              <w:tc>
                <w:tcPr>
                  <w:tcW w:w="1107" w:type="pct"/>
                  <w:shd w:val="clear" w:color="auto" w:fill="auto"/>
                  <w:vAlign w:val="center"/>
                </w:tcPr>
                <w:p w14:paraId="5F258792">
                  <w:pPr>
                    <w:pStyle w:val="45"/>
                    <w:widowControl/>
                    <w:spacing w:line="240" w:lineRule="auto"/>
                    <w:ind w:left="0" w:leftChars="0" w:right="0" w:rightChars="0" w:firstLine="0" w:firstLineChars="0"/>
                    <w:rPr>
                      <w:rFonts w:hint="default" w:ascii="Times New Roman" w:hAnsi="Times New Roman" w:eastAsia="宋体" w:cs="Times New Roman"/>
                      <w:b w:val="0"/>
                      <w:bCs w:val="0"/>
                      <w:i w:val="0"/>
                      <w:iCs w:val="0"/>
                      <w:color w:val="auto"/>
                      <w:sz w:val="21"/>
                      <w:szCs w:val="21"/>
                      <w:u w:val="none"/>
                    </w:rPr>
                  </w:pPr>
                  <w:r>
                    <w:rPr>
                      <w:rFonts w:hint="eastAsia" w:ascii="Times New Roman" w:hAnsi="Times New Roman" w:eastAsia="宋体" w:cs="宋体"/>
                      <w:color w:val="auto"/>
                      <w:sz w:val="21"/>
                      <w:szCs w:val="21"/>
                    </w:rPr>
                    <w:t>橄榄油</w:t>
                  </w:r>
                </w:p>
              </w:tc>
              <w:tc>
                <w:tcPr>
                  <w:tcW w:w="862" w:type="pct"/>
                  <w:shd w:val="clear" w:color="auto" w:fill="auto"/>
                  <w:vAlign w:val="center"/>
                </w:tcPr>
                <w:p w14:paraId="273DAE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100毫升/瓶</w:t>
                  </w:r>
                </w:p>
              </w:tc>
              <w:tc>
                <w:tcPr>
                  <w:tcW w:w="648" w:type="pct"/>
                  <w:shd w:val="clear" w:color="auto" w:fill="auto"/>
                  <w:vAlign w:val="center"/>
                </w:tcPr>
                <w:p w14:paraId="6CDE25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10升</w:t>
                  </w:r>
                </w:p>
              </w:tc>
              <w:tc>
                <w:tcPr>
                  <w:tcW w:w="1109" w:type="pct"/>
                  <w:shd w:val="clear" w:color="auto" w:fill="auto"/>
                  <w:vAlign w:val="center"/>
                </w:tcPr>
                <w:p w14:paraId="486F20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cs="Times New Roman"/>
                      <w:b w:val="0"/>
                      <w:bCs w:val="0"/>
                      <w:i w:val="0"/>
                      <w:iCs w:val="0"/>
                      <w:color w:val="auto"/>
                      <w:kern w:val="0"/>
                      <w:sz w:val="21"/>
                      <w:szCs w:val="21"/>
                      <w:u w:val="none"/>
                      <w:lang w:val="en-US" w:eastAsia="zh-CN" w:bidi="ar"/>
                    </w:rPr>
                    <w:t>1</w:t>
                  </w:r>
                  <w:r>
                    <w:rPr>
                      <w:rFonts w:hint="default" w:ascii="Times New Roman" w:hAnsi="Times New Roman" w:eastAsia="宋体" w:cs="Times New Roman"/>
                      <w:b w:val="0"/>
                      <w:bCs w:val="0"/>
                      <w:i w:val="0"/>
                      <w:iCs w:val="0"/>
                      <w:color w:val="auto"/>
                      <w:kern w:val="0"/>
                      <w:sz w:val="21"/>
                      <w:szCs w:val="21"/>
                      <w:u w:val="none"/>
                      <w:lang w:val="en-US" w:eastAsia="zh-CN" w:bidi="ar"/>
                    </w:rPr>
                    <w:t>升</w:t>
                  </w:r>
                </w:p>
              </w:tc>
              <w:tc>
                <w:tcPr>
                  <w:tcW w:w="856" w:type="pct"/>
                  <w:shd w:val="clear" w:color="auto" w:fill="auto"/>
                  <w:vAlign w:val="center"/>
                </w:tcPr>
                <w:p w14:paraId="385EC1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cs="Times New Roman"/>
                      <w:b w:val="0"/>
                      <w:bCs w:val="0"/>
                      <w:i w:val="0"/>
                      <w:iCs w:val="0"/>
                      <w:color w:val="auto"/>
                      <w:kern w:val="0"/>
                      <w:sz w:val="21"/>
                      <w:szCs w:val="21"/>
                      <w:u w:val="none"/>
                      <w:lang w:val="en-US" w:eastAsia="zh-CN" w:bidi="ar"/>
                    </w:rPr>
                  </w:pPr>
                  <w:r>
                    <w:rPr>
                      <w:rFonts w:hint="eastAsia" w:ascii="Times New Roman" w:hAnsi="Times New Roman" w:eastAsia="宋体" w:cs="宋体"/>
                      <w:color w:val="auto"/>
                      <w:kern w:val="2"/>
                      <w:sz w:val="21"/>
                      <w:szCs w:val="21"/>
                      <w:lang w:val="en-US" w:eastAsia="zh-CN" w:bidi="ar"/>
                    </w:rPr>
                    <w:t>胶囊制备</w:t>
                  </w:r>
                </w:p>
              </w:tc>
            </w:tr>
            <w:tr w14:paraId="2D961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15" w:type="pct"/>
                  <w:shd w:val="clear" w:color="auto" w:fill="auto"/>
                  <w:vAlign w:val="center"/>
                </w:tcPr>
                <w:p w14:paraId="748F13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10</w:t>
                  </w:r>
                </w:p>
              </w:tc>
              <w:tc>
                <w:tcPr>
                  <w:tcW w:w="1107" w:type="pct"/>
                  <w:shd w:val="clear" w:color="auto" w:fill="auto"/>
                  <w:vAlign w:val="center"/>
                </w:tcPr>
                <w:p w14:paraId="4C6A65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i w:val="0"/>
                      <w:iCs w:val="0"/>
                      <w:color w:val="auto"/>
                      <w:sz w:val="21"/>
                      <w:szCs w:val="21"/>
                      <w:u w:val="none"/>
                      <w:lang w:val="en-US" w:eastAsia="zh-CN"/>
                    </w:rPr>
                    <w:t>乙醇</w:t>
                  </w:r>
                </w:p>
              </w:tc>
              <w:tc>
                <w:tcPr>
                  <w:tcW w:w="862" w:type="pct"/>
                  <w:shd w:val="clear" w:color="auto" w:fill="auto"/>
                  <w:vAlign w:val="center"/>
                </w:tcPr>
                <w:p w14:paraId="15E812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100毫升/瓶</w:t>
                  </w:r>
                </w:p>
              </w:tc>
              <w:tc>
                <w:tcPr>
                  <w:tcW w:w="648" w:type="pct"/>
                  <w:shd w:val="clear" w:color="auto" w:fill="auto"/>
                  <w:vAlign w:val="center"/>
                </w:tcPr>
                <w:p w14:paraId="2BB5F2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cs="Times New Roman"/>
                      <w:b w:val="0"/>
                      <w:bCs w:val="0"/>
                      <w:i w:val="0"/>
                      <w:iCs w:val="0"/>
                      <w:color w:val="auto"/>
                      <w:kern w:val="0"/>
                      <w:sz w:val="21"/>
                      <w:szCs w:val="21"/>
                      <w:u w:val="none"/>
                      <w:lang w:val="en-US" w:eastAsia="zh-CN" w:bidi="ar"/>
                    </w:rPr>
                    <w:t>20</w:t>
                  </w:r>
                  <w:r>
                    <w:rPr>
                      <w:rFonts w:hint="default" w:ascii="Times New Roman" w:hAnsi="Times New Roman" w:eastAsia="宋体" w:cs="Times New Roman"/>
                      <w:b w:val="0"/>
                      <w:bCs w:val="0"/>
                      <w:i w:val="0"/>
                      <w:iCs w:val="0"/>
                      <w:color w:val="auto"/>
                      <w:kern w:val="0"/>
                      <w:sz w:val="21"/>
                      <w:szCs w:val="21"/>
                      <w:u w:val="none"/>
                      <w:lang w:val="en-US" w:eastAsia="zh-CN" w:bidi="ar"/>
                    </w:rPr>
                    <w:t>升</w:t>
                  </w:r>
                </w:p>
              </w:tc>
              <w:tc>
                <w:tcPr>
                  <w:tcW w:w="1109" w:type="pct"/>
                  <w:shd w:val="clear" w:color="auto" w:fill="auto"/>
                  <w:vAlign w:val="center"/>
                </w:tcPr>
                <w:p w14:paraId="3B6308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i w:val="0"/>
                      <w:iCs w:val="0"/>
                      <w:color w:val="auto"/>
                      <w:kern w:val="0"/>
                      <w:sz w:val="21"/>
                      <w:szCs w:val="21"/>
                      <w:u w:val="none"/>
                      <w:lang w:val="en-US" w:eastAsia="zh-CN" w:bidi="ar"/>
                    </w:rPr>
                    <w:t>1</w:t>
                  </w:r>
                  <w:r>
                    <w:rPr>
                      <w:rFonts w:hint="default" w:ascii="Times New Roman" w:hAnsi="Times New Roman" w:eastAsia="宋体" w:cs="Times New Roman"/>
                      <w:b w:val="0"/>
                      <w:bCs w:val="0"/>
                      <w:i w:val="0"/>
                      <w:iCs w:val="0"/>
                      <w:color w:val="auto"/>
                      <w:kern w:val="0"/>
                      <w:sz w:val="21"/>
                      <w:szCs w:val="21"/>
                      <w:u w:val="none"/>
                      <w:lang w:val="en-US" w:eastAsia="zh-CN" w:bidi="ar"/>
                    </w:rPr>
                    <w:t>升</w:t>
                  </w:r>
                </w:p>
              </w:tc>
              <w:tc>
                <w:tcPr>
                  <w:tcW w:w="856" w:type="pct"/>
                  <w:shd w:val="clear" w:color="auto" w:fill="auto"/>
                  <w:vAlign w:val="center"/>
                </w:tcPr>
                <w:p w14:paraId="78C76C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cs="Times New Roman"/>
                      <w:b w:val="0"/>
                      <w:bCs w:val="0"/>
                      <w:i w:val="0"/>
                      <w:iCs w:val="0"/>
                      <w:color w:val="auto"/>
                      <w:kern w:val="0"/>
                      <w:sz w:val="21"/>
                      <w:szCs w:val="21"/>
                      <w:u w:val="none"/>
                      <w:lang w:val="en-US" w:eastAsia="zh-CN" w:bidi="ar"/>
                    </w:rPr>
                  </w:pPr>
                  <w:r>
                    <w:rPr>
                      <w:rFonts w:hint="eastAsia" w:cs="Times New Roman"/>
                      <w:b w:val="0"/>
                      <w:bCs w:val="0"/>
                      <w:i w:val="0"/>
                      <w:iCs w:val="0"/>
                      <w:color w:val="auto"/>
                      <w:kern w:val="0"/>
                      <w:sz w:val="21"/>
                      <w:szCs w:val="21"/>
                      <w:u w:val="none"/>
                      <w:lang w:val="en-US" w:eastAsia="zh-CN" w:bidi="ar"/>
                    </w:rPr>
                    <w:t>消毒</w:t>
                  </w:r>
                </w:p>
              </w:tc>
            </w:tr>
            <w:tr w14:paraId="5D18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15" w:type="pct"/>
                  <w:shd w:val="clear" w:color="auto" w:fill="auto"/>
                  <w:vAlign w:val="center"/>
                </w:tcPr>
                <w:p w14:paraId="566EC4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1</w:t>
                  </w:r>
                  <w:r>
                    <w:rPr>
                      <w:rFonts w:hint="eastAsia" w:cs="Times New Roman"/>
                      <w:b w:val="0"/>
                      <w:bCs w:val="0"/>
                      <w:i w:val="0"/>
                      <w:iCs w:val="0"/>
                      <w:color w:val="auto"/>
                      <w:kern w:val="0"/>
                      <w:sz w:val="21"/>
                      <w:szCs w:val="21"/>
                      <w:u w:val="none"/>
                      <w:lang w:val="en-US" w:eastAsia="zh-CN" w:bidi="ar"/>
                    </w:rPr>
                    <w:t>1</w:t>
                  </w:r>
                </w:p>
              </w:tc>
              <w:tc>
                <w:tcPr>
                  <w:tcW w:w="1107" w:type="pct"/>
                  <w:shd w:val="clear" w:color="auto" w:fill="auto"/>
                  <w:vAlign w:val="center"/>
                </w:tcPr>
                <w:p w14:paraId="3152E2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lang w:val="en-US"/>
                    </w:rPr>
                  </w:pPr>
                  <w:r>
                    <w:rPr>
                      <w:rFonts w:hint="eastAsia" w:cs="Times New Roman"/>
                      <w:b w:val="0"/>
                      <w:bCs w:val="0"/>
                      <w:i w:val="0"/>
                      <w:iCs w:val="0"/>
                      <w:color w:val="auto"/>
                      <w:kern w:val="0"/>
                      <w:sz w:val="21"/>
                      <w:szCs w:val="21"/>
                      <w:u w:val="none"/>
                      <w:lang w:val="en-US" w:eastAsia="zh-CN" w:bidi="ar"/>
                    </w:rPr>
                    <w:t>胶囊外衣</w:t>
                  </w:r>
                </w:p>
              </w:tc>
              <w:tc>
                <w:tcPr>
                  <w:tcW w:w="862" w:type="pct"/>
                  <w:shd w:val="clear" w:color="auto" w:fill="auto"/>
                  <w:vAlign w:val="center"/>
                </w:tcPr>
                <w:p w14:paraId="6519FA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cs="Times New Roman"/>
                      <w:b w:val="0"/>
                      <w:bCs w:val="0"/>
                      <w:i w:val="0"/>
                      <w:iCs w:val="0"/>
                      <w:color w:val="auto"/>
                      <w:kern w:val="0"/>
                      <w:sz w:val="21"/>
                      <w:szCs w:val="21"/>
                      <w:u w:val="none"/>
                      <w:lang w:val="en-US" w:eastAsia="zh-CN" w:bidi="ar"/>
                    </w:rPr>
                    <w:t>盒装</w:t>
                  </w:r>
                </w:p>
              </w:tc>
              <w:tc>
                <w:tcPr>
                  <w:tcW w:w="648" w:type="pct"/>
                  <w:shd w:val="clear" w:color="auto" w:fill="auto"/>
                  <w:noWrap/>
                  <w:vAlign w:val="center"/>
                </w:tcPr>
                <w:p w14:paraId="5A44FC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i w:val="0"/>
                      <w:iCs w:val="0"/>
                      <w:color w:val="auto"/>
                      <w:sz w:val="21"/>
                      <w:szCs w:val="21"/>
                      <w:u w:val="none"/>
                      <w:lang w:val="en-US" w:eastAsia="zh-CN"/>
                    </w:rPr>
                    <w:t>8万粒</w:t>
                  </w:r>
                </w:p>
              </w:tc>
              <w:tc>
                <w:tcPr>
                  <w:tcW w:w="1109" w:type="pct"/>
                  <w:shd w:val="clear" w:color="auto" w:fill="auto"/>
                  <w:noWrap/>
                  <w:vAlign w:val="center"/>
                </w:tcPr>
                <w:p w14:paraId="123AAF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eastAsia" w:cs="Times New Roman"/>
                      <w:b w:val="0"/>
                      <w:bCs w:val="0"/>
                      <w:i w:val="0"/>
                      <w:iCs w:val="0"/>
                      <w:color w:val="auto"/>
                      <w:sz w:val="21"/>
                      <w:szCs w:val="21"/>
                      <w:u w:val="none"/>
                      <w:lang w:val="en-US" w:eastAsia="zh-CN"/>
                    </w:rPr>
                    <w:t>1万粒</w:t>
                  </w:r>
                </w:p>
              </w:tc>
              <w:tc>
                <w:tcPr>
                  <w:tcW w:w="856" w:type="pct"/>
                  <w:shd w:val="clear" w:color="auto" w:fill="auto"/>
                  <w:noWrap/>
                  <w:vAlign w:val="center"/>
                </w:tcPr>
                <w:p w14:paraId="58F1B6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cs="Times New Roman"/>
                      <w:b w:val="0"/>
                      <w:bCs w:val="0"/>
                      <w:i w:val="0"/>
                      <w:iCs w:val="0"/>
                      <w:color w:val="auto"/>
                      <w:sz w:val="21"/>
                      <w:szCs w:val="21"/>
                      <w:u w:val="none"/>
                      <w:lang w:val="en-US" w:eastAsia="zh-CN"/>
                    </w:rPr>
                  </w:pPr>
                  <w:r>
                    <w:rPr>
                      <w:rFonts w:hint="eastAsia" w:cs="Times New Roman"/>
                      <w:b w:val="0"/>
                      <w:bCs w:val="0"/>
                      <w:i w:val="0"/>
                      <w:iCs w:val="0"/>
                      <w:color w:val="auto"/>
                      <w:sz w:val="21"/>
                      <w:szCs w:val="21"/>
                      <w:u w:val="none"/>
                      <w:lang w:val="en-US" w:eastAsia="zh-CN"/>
                    </w:rPr>
                    <w:t>胶囊制备</w:t>
                  </w:r>
                </w:p>
              </w:tc>
            </w:tr>
            <w:tr w14:paraId="69447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15" w:type="pct"/>
                  <w:shd w:val="clear" w:color="auto" w:fill="auto"/>
                  <w:vAlign w:val="center"/>
                </w:tcPr>
                <w:p w14:paraId="5DC9DC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cs="Times New Roman"/>
                      <w:b w:val="0"/>
                      <w:bCs w:val="0"/>
                      <w:i w:val="0"/>
                      <w:iCs w:val="0"/>
                      <w:color w:val="auto"/>
                      <w:kern w:val="0"/>
                      <w:sz w:val="21"/>
                      <w:szCs w:val="21"/>
                      <w:u w:val="none"/>
                      <w:lang w:val="en-US" w:eastAsia="zh-CN" w:bidi="ar"/>
                    </w:rPr>
                    <w:t>12</w:t>
                  </w:r>
                </w:p>
              </w:tc>
              <w:tc>
                <w:tcPr>
                  <w:tcW w:w="1107" w:type="pct"/>
                  <w:shd w:val="clear" w:color="auto" w:fill="auto"/>
                  <w:vAlign w:val="center"/>
                </w:tcPr>
                <w:p w14:paraId="77C35D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cs="Times New Roman"/>
                      <w:b w:val="0"/>
                      <w:bCs w:val="0"/>
                      <w:i w:val="0"/>
                      <w:iCs w:val="0"/>
                      <w:color w:val="auto"/>
                      <w:kern w:val="0"/>
                      <w:sz w:val="21"/>
                      <w:szCs w:val="21"/>
                      <w:u w:val="none"/>
                      <w:lang w:val="en-US" w:eastAsia="zh-CN" w:bidi="ar"/>
                    </w:rPr>
                  </w:pPr>
                  <w:r>
                    <w:rPr>
                      <w:rFonts w:hint="eastAsia" w:cs="Times New Roman"/>
                      <w:b w:val="0"/>
                      <w:bCs w:val="0"/>
                      <w:i w:val="0"/>
                      <w:iCs w:val="0"/>
                      <w:color w:val="auto"/>
                      <w:kern w:val="0"/>
                      <w:sz w:val="21"/>
                      <w:szCs w:val="21"/>
                      <w:u w:val="none"/>
                      <w:lang w:val="en-US" w:eastAsia="zh-CN" w:bidi="ar"/>
                    </w:rPr>
                    <w:t>纯水</w:t>
                  </w:r>
                </w:p>
              </w:tc>
              <w:tc>
                <w:tcPr>
                  <w:tcW w:w="862" w:type="pct"/>
                  <w:shd w:val="clear" w:color="auto" w:fill="auto"/>
                  <w:vAlign w:val="center"/>
                </w:tcPr>
                <w:p w14:paraId="51D5BB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cs="Times New Roman"/>
                      <w:b w:val="0"/>
                      <w:bCs w:val="0"/>
                      <w:i w:val="0"/>
                      <w:iCs w:val="0"/>
                      <w:color w:val="auto"/>
                      <w:kern w:val="0"/>
                      <w:sz w:val="21"/>
                      <w:szCs w:val="21"/>
                      <w:u w:val="none"/>
                      <w:lang w:val="en-US" w:eastAsia="zh-CN" w:bidi="ar"/>
                    </w:rPr>
                  </w:pPr>
                  <w:r>
                    <w:rPr>
                      <w:rFonts w:hint="eastAsia" w:cs="Times New Roman"/>
                      <w:b w:val="0"/>
                      <w:bCs w:val="0"/>
                      <w:i w:val="0"/>
                      <w:iCs w:val="0"/>
                      <w:color w:val="auto"/>
                      <w:kern w:val="0"/>
                      <w:sz w:val="21"/>
                      <w:szCs w:val="21"/>
                      <w:u w:val="none"/>
                      <w:lang w:val="en-US" w:eastAsia="zh-CN" w:bidi="ar"/>
                    </w:rPr>
                    <w:t>桶装</w:t>
                  </w:r>
                </w:p>
              </w:tc>
              <w:tc>
                <w:tcPr>
                  <w:tcW w:w="648" w:type="pct"/>
                  <w:shd w:val="clear" w:color="auto" w:fill="auto"/>
                  <w:noWrap/>
                  <w:vAlign w:val="center"/>
                </w:tcPr>
                <w:p w14:paraId="3BF06A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cs="Times New Roman"/>
                      <w:b w:val="0"/>
                      <w:bCs w:val="0"/>
                      <w:i w:val="0"/>
                      <w:iCs w:val="0"/>
                      <w:color w:val="auto"/>
                      <w:sz w:val="21"/>
                      <w:szCs w:val="21"/>
                      <w:u w:val="none"/>
                      <w:lang w:val="en-US" w:eastAsia="zh-CN"/>
                    </w:rPr>
                  </w:pPr>
                  <w:r>
                    <w:rPr>
                      <w:rFonts w:hint="eastAsia" w:cs="Times New Roman"/>
                      <w:b w:val="0"/>
                      <w:bCs w:val="0"/>
                      <w:i w:val="0"/>
                      <w:iCs w:val="0"/>
                      <w:color w:val="auto"/>
                      <w:sz w:val="21"/>
                      <w:szCs w:val="21"/>
                      <w:u w:val="none"/>
                      <w:lang w:val="en-US" w:eastAsia="zh-CN"/>
                    </w:rPr>
                    <w:t>10.14t</w:t>
                  </w:r>
                </w:p>
              </w:tc>
              <w:tc>
                <w:tcPr>
                  <w:tcW w:w="1109" w:type="pct"/>
                  <w:shd w:val="clear" w:color="auto" w:fill="auto"/>
                  <w:noWrap/>
                  <w:vAlign w:val="center"/>
                </w:tcPr>
                <w:p w14:paraId="728BFF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cs="Times New Roman"/>
                      <w:b w:val="0"/>
                      <w:bCs w:val="0"/>
                      <w:i w:val="0"/>
                      <w:iCs w:val="0"/>
                      <w:color w:val="auto"/>
                      <w:sz w:val="21"/>
                      <w:szCs w:val="21"/>
                      <w:u w:val="none"/>
                      <w:lang w:val="en-US" w:eastAsia="zh-CN"/>
                    </w:rPr>
                  </w:pPr>
                  <w:r>
                    <w:rPr>
                      <w:rFonts w:hint="eastAsia" w:cs="Times New Roman"/>
                      <w:b w:val="0"/>
                      <w:bCs w:val="0"/>
                      <w:i w:val="0"/>
                      <w:iCs w:val="0"/>
                      <w:color w:val="auto"/>
                      <w:sz w:val="21"/>
                      <w:szCs w:val="21"/>
                      <w:u w:val="none"/>
                      <w:lang w:val="en-US" w:eastAsia="zh-CN"/>
                    </w:rPr>
                    <w:t>1t</w:t>
                  </w:r>
                </w:p>
              </w:tc>
              <w:tc>
                <w:tcPr>
                  <w:tcW w:w="856" w:type="pct"/>
                  <w:shd w:val="clear" w:color="auto" w:fill="auto"/>
                  <w:noWrap/>
                  <w:vAlign w:val="center"/>
                </w:tcPr>
                <w:p w14:paraId="13F146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cs="Times New Roman"/>
                      <w:b w:val="0"/>
                      <w:bCs w:val="0"/>
                      <w:i w:val="0"/>
                      <w:iCs w:val="0"/>
                      <w:color w:val="auto"/>
                      <w:sz w:val="21"/>
                      <w:szCs w:val="21"/>
                      <w:u w:val="none"/>
                      <w:lang w:val="en-US" w:eastAsia="zh-CN"/>
                    </w:rPr>
                  </w:pPr>
                  <w:r>
                    <w:rPr>
                      <w:rFonts w:hint="eastAsia" w:cs="Times New Roman"/>
                      <w:b w:val="0"/>
                      <w:bCs w:val="0"/>
                      <w:i w:val="0"/>
                      <w:iCs w:val="0"/>
                      <w:color w:val="auto"/>
                      <w:sz w:val="21"/>
                      <w:szCs w:val="21"/>
                      <w:u w:val="none"/>
                      <w:lang w:val="en-US" w:eastAsia="zh-CN"/>
                    </w:rPr>
                    <w:t>器皿清洗</w:t>
                  </w:r>
                </w:p>
              </w:tc>
            </w:tr>
            <w:tr w14:paraId="500D1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15" w:type="pct"/>
                  <w:shd w:val="clear" w:color="auto" w:fill="auto"/>
                  <w:vAlign w:val="center"/>
                </w:tcPr>
                <w:p w14:paraId="418EA5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cs="Times New Roman"/>
                      <w:b w:val="0"/>
                      <w:bCs w:val="0"/>
                      <w:i w:val="0"/>
                      <w:iCs w:val="0"/>
                      <w:color w:val="auto"/>
                      <w:kern w:val="0"/>
                      <w:sz w:val="21"/>
                      <w:szCs w:val="21"/>
                      <w:u w:val="none"/>
                      <w:lang w:val="en-US" w:eastAsia="zh-CN" w:bidi="ar"/>
                    </w:rPr>
                  </w:pPr>
                  <w:r>
                    <w:rPr>
                      <w:rFonts w:hint="eastAsia" w:cs="Times New Roman"/>
                      <w:b w:val="0"/>
                      <w:bCs w:val="0"/>
                      <w:i w:val="0"/>
                      <w:iCs w:val="0"/>
                      <w:color w:val="auto"/>
                      <w:kern w:val="0"/>
                      <w:sz w:val="21"/>
                      <w:szCs w:val="21"/>
                      <w:u w:val="none"/>
                      <w:lang w:val="en-US" w:eastAsia="zh-CN" w:bidi="ar"/>
                    </w:rPr>
                    <w:t>13</w:t>
                  </w:r>
                </w:p>
              </w:tc>
              <w:tc>
                <w:tcPr>
                  <w:tcW w:w="1107" w:type="pct"/>
                  <w:shd w:val="clear" w:color="auto" w:fill="auto"/>
                  <w:vAlign w:val="center"/>
                </w:tcPr>
                <w:p w14:paraId="683A5E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cs="Times New Roman"/>
                      <w:b w:val="0"/>
                      <w:bCs w:val="0"/>
                      <w:i w:val="0"/>
                      <w:iCs w:val="0"/>
                      <w:color w:val="auto"/>
                      <w:kern w:val="0"/>
                      <w:sz w:val="21"/>
                      <w:szCs w:val="21"/>
                      <w:u w:val="none"/>
                      <w:lang w:val="en-US" w:eastAsia="zh-CN" w:bidi="ar"/>
                    </w:rPr>
                  </w:pPr>
                  <w:r>
                    <w:rPr>
                      <w:rFonts w:hint="eastAsia" w:cs="Times New Roman"/>
                      <w:b w:val="0"/>
                      <w:bCs w:val="0"/>
                      <w:i w:val="0"/>
                      <w:iCs w:val="0"/>
                      <w:color w:val="auto"/>
                      <w:kern w:val="0"/>
                      <w:sz w:val="21"/>
                      <w:szCs w:val="21"/>
                      <w:u w:val="none"/>
                      <w:lang w:val="en-US" w:eastAsia="zh-CN" w:bidi="ar"/>
                    </w:rPr>
                    <w:t>次氯酸钠</w:t>
                  </w:r>
                </w:p>
              </w:tc>
              <w:tc>
                <w:tcPr>
                  <w:tcW w:w="862" w:type="pct"/>
                  <w:shd w:val="clear" w:color="auto" w:fill="auto"/>
                  <w:vAlign w:val="center"/>
                </w:tcPr>
                <w:p w14:paraId="4E4843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cs="Times New Roman"/>
                      <w:b w:val="0"/>
                      <w:bCs w:val="0"/>
                      <w:i w:val="0"/>
                      <w:iCs w:val="0"/>
                      <w:color w:val="auto"/>
                      <w:kern w:val="0"/>
                      <w:sz w:val="21"/>
                      <w:szCs w:val="21"/>
                      <w:u w:val="none"/>
                      <w:lang w:val="en-US" w:eastAsia="zh-CN" w:bidi="ar"/>
                    </w:rPr>
                  </w:pPr>
                  <w:r>
                    <w:rPr>
                      <w:rFonts w:hint="eastAsia" w:cs="Times New Roman"/>
                      <w:b w:val="0"/>
                      <w:bCs w:val="0"/>
                      <w:i w:val="0"/>
                      <w:iCs w:val="0"/>
                      <w:color w:val="auto"/>
                      <w:kern w:val="0"/>
                      <w:sz w:val="21"/>
                      <w:szCs w:val="21"/>
                      <w:u w:val="none"/>
                      <w:lang w:val="en-US" w:eastAsia="zh-CN" w:bidi="ar"/>
                    </w:rPr>
                    <w:t>桶装</w:t>
                  </w:r>
                </w:p>
              </w:tc>
              <w:tc>
                <w:tcPr>
                  <w:tcW w:w="648" w:type="pct"/>
                  <w:shd w:val="clear" w:color="auto" w:fill="auto"/>
                  <w:noWrap/>
                  <w:vAlign w:val="center"/>
                </w:tcPr>
                <w:p w14:paraId="564D7A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cs="Times New Roman"/>
                      <w:b w:val="0"/>
                      <w:bCs w:val="0"/>
                      <w:i w:val="0"/>
                      <w:iCs w:val="0"/>
                      <w:color w:val="auto"/>
                      <w:sz w:val="21"/>
                      <w:szCs w:val="21"/>
                      <w:u w:val="none"/>
                      <w:lang w:val="en-US" w:eastAsia="zh-CN"/>
                    </w:rPr>
                  </w:pPr>
                  <w:r>
                    <w:rPr>
                      <w:rFonts w:hint="eastAsia" w:cs="Times New Roman"/>
                      <w:b w:val="0"/>
                      <w:bCs w:val="0"/>
                      <w:i w:val="0"/>
                      <w:iCs w:val="0"/>
                      <w:color w:val="auto"/>
                      <w:sz w:val="21"/>
                      <w:szCs w:val="21"/>
                      <w:u w:val="none"/>
                      <w:lang w:val="en-US" w:eastAsia="zh-CN"/>
                    </w:rPr>
                    <w:t>0.5t</w:t>
                  </w:r>
                </w:p>
              </w:tc>
              <w:tc>
                <w:tcPr>
                  <w:tcW w:w="1109" w:type="pct"/>
                  <w:shd w:val="clear" w:color="auto" w:fill="auto"/>
                  <w:noWrap/>
                  <w:vAlign w:val="center"/>
                </w:tcPr>
                <w:p w14:paraId="7AF1D3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cs="Times New Roman"/>
                      <w:b w:val="0"/>
                      <w:bCs w:val="0"/>
                      <w:i w:val="0"/>
                      <w:iCs w:val="0"/>
                      <w:color w:val="auto"/>
                      <w:sz w:val="21"/>
                      <w:szCs w:val="21"/>
                      <w:u w:val="none"/>
                      <w:lang w:val="en-US" w:eastAsia="zh-CN"/>
                    </w:rPr>
                  </w:pPr>
                  <w:r>
                    <w:rPr>
                      <w:rFonts w:hint="eastAsia" w:cs="Times New Roman"/>
                      <w:b w:val="0"/>
                      <w:bCs w:val="0"/>
                      <w:i w:val="0"/>
                      <w:iCs w:val="0"/>
                      <w:color w:val="auto"/>
                      <w:sz w:val="21"/>
                      <w:szCs w:val="21"/>
                      <w:u w:val="none"/>
                      <w:lang w:val="en-US" w:eastAsia="zh-CN"/>
                    </w:rPr>
                    <w:t>0.1t</w:t>
                  </w:r>
                </w:p>
              </w:tc>
              <w:tc>
                <w:tcPr>
                  <w:tcW w:w="856" w:type="pct"/>
                  <w:shd w:val="clear" w:color="auto" w:fill="auto"/>
                  <w:noWrap/>
                  <w:vAlign w:val="center"/>
                </w:tcPr>
                <w:p w14:paraId="4D1303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cs="Times New Roman"/>
                      <w:b w:val="0"/>
                      <w:bCs w:val="0"/>
                      <w:i w:val="0"/>
                      <w:iCs w:val="0"/>
                      <w:color w:val="auto"/>
                      <w:sz w:val="21"/>
                      <w:szCs w:val="21"/>
                      <w:u w:val="none"/>
                      <w:lang w:val="en-US" w:eastAsia="zh-CN"/>
                    </w:rPr>
                  </w:pPr>
                  <w:r>
                    <w:rPr>
                      <w:rFonts w:hint="eastAsia" w:cs="Times New Roman"/>
                      <w:b w:val="0"/>
                      <w:bCs w:val="0"/>
                      <w:i w:val="0"/>
                      <w:iCs w:val="0"/>
                      <w:color w:val="auto"/>
                      <w:sz w:val="21"/>
                      <w:szCs w:val="21"/>
                      <w:u w:val="none"/>
                      <w:lang w:val="en-US" w:eastAsia="zh-CN"/>
                    </w:rPr>
                    <w:t>废水消毒</w:t>
                  </w:r>
                </w:p>
              </w:tc>
            </w:tr>
          </w:tbl>
          <w:p w14:paraId="2C096C4C">
            <w:pPr>
              <w:pStyle w:val="2"/>
              <w:keepNext w:val="0"/>
              <w:keepLines w:val="0"/>
              <w:suppressLineNumbers w:val="0"/>
              <w:adjustRightInd w:val="0"/>
              <w:spacing w:before="0" w:beforeAutospacing="0" w:after="0" w:afterAutospacing="0" w:line="240" w:lineRule="auto"/>
              <w:ind w:left="0" w:right="0" w:firstLine="0" w:firstLineChars="0"/>
              <w:rPr>
                <w:rFonts w:hint="default" w:eastAsia="黑体" w:cs="Times New Roman"/>
                <w:color w:val="auto"/>
                <w:sz w:val="18"/>
                <w:szCs w:val="18"/>
              </w:rPr>
            </w:pPr>
          </w:p>
          <w:p w14:paraId="2AF60A6E">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本项目原辅材料理化性质见表2-</w:t>
            </w:r>
            <w:r>
              <w:rPr>
                <w:rFonts w:hint="eastAsia"/>
                <w:color w:val="auto"/>
                <w:lang w:val="en-US" w:eastAsia="zh-CN"/>
              </w:rPr>
              <w:t>5</w:t>
            </w:r>
            <w:r>
              <w:rPr>
                <w:rFonts w:hint="eastAsia"/>
                <w:color w:val="auto"/>
              </w:rPr>
              <w:t>。</w:t>
            </w:r>
          </w:p>
          <w:p w14:paraId="44A16FF5">
            <w:pPr>
              <w:pStyle w:val="2"/>
              <w:keepNext w:val="0"/>
              <w:keepLines w:val="0"/>
              <w:suppressLineNumbers w:val="0"/>
              <w:spacing w:before="0" w:beforeAutospacing="0" w:after="0" w:afterAutospacing="0"/>
              <w:ind w:left="0" w:right="0" w:firstLine="0" w:firstLineChars="0"/>
              <w:jc w:val="center"/>
              <w:rPr>
                <w:rFonts w:hint="default"/>
                <w:color w:val="auto"/>
              </w:rPr>
            </w:pPr>
            <w:r>
              <w:rPr>
                <w:rFonts w:hint="default" w:eastAsia="黑体" w:cs="Times New Roman"/>
                <w:bCs/>
                <w:color w:val="auto"/>
                <w:szCs w:val="24"/>
              </w:rPr>
              <w:t>表2-</w:t>
            </w:r>
            <w:r>
              <w:rPr>
                <w:rFonts w:hint="eastAsia" w:eastAsia="黑体" w:cs="Times New Roman"/>
                <w:bCs/>
                <w:color w:val="auto"/>
                <w:szCs w:val="24"/>
                <w:lang w:val="en-US" w:eastAsia="zh-CN"/>
              </w:rPr>
              <w:t>5</w:t>
            </w:r>
            <w:r>
              <w:rPr>
                <w:rFonts w:hint="default" w:eastAsia="黑体" w:cs="Times New Roman"/>
                <w:bCs/>
                <w:color w:val="auto"/>
                <w:szCs w:val="24"/>
              </w:rPr>
              <w:t xml:space="preserve">  </w:t>
            </w:r>
            <w:r>
              <w:rPr>
                <w:rFonts w:hint="eastAsia" w:eastAsia="黑体" w:cs="Times New Roman"/>
                <w:bCs/>
                <w:color w:val="auto"/>
                <w:szCs w:val="24"/>
              </w:rPr>
              <w:t>本项目原辅材料理化性质一览表</w:t>
            </w:r>
          </w:p>
          <w:tbl>
            <w:tblPr>
              <w:tblStyle w:val="16"/>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6382"/>
            </w:tblGrid>
            <w:tr w14:paraId="43A07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7" w:type="pct"/>
                  <w:shd w:val="clear" w:color="auto" w:fill="auto"/>
                  <w:noWrap/>
                  <w:vAlign w:val="center"/>
                </w:tcPr>
                <w:p w14:paraId="67D0065E">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kern w:val="0"/>
                      <w:sz w:val="21"/>
                      <w:szCs w:val="21"/>
                    </w:rPr>
                  </w:pPr>
                  <w:r>
                    <w:rPr>
                      <w:rFonts w:hint="default" w:cs="Times New Roman"/>
                      <w:color w:val="auto"/>
                      <w:kern w:val="0"/>
                      <w:sz w:val="21"/>
                      <w:szCs w:val="21"/>
                    </w:rPr>
                    <w:t>名称</w:t>
                  </w:r>
                </w:p>
              </w:tc>
              <w:tc>
                <w:tcPr>
                  <w:tcW w:w="4172" w:type="pct"/>
                  <w:shd w:val="clear" w:color="auto" w:fill="auto"/>
                  <w:vAlign w:val="center"/>
                </w:tcPr>
                <w:p w14:paraId="662E381D">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kern w:val="0"/>
                      <w:sz w:val="21"/>
                      <w:szCs w:val="21"/>
                    </w:rPr>
                  </w:pPr>
                  <w:r>
                    <w:rPr>
                      <w:rFonts w:hint="default" w:cs="Times New Roman"/>
                      <w:color w:val="auto"/>
                      <w:kern w:val="0"/>
                      <w:sz w:val="21"/>
                      <w:szCs w:val="21"/>
                    </w:rPr>
                    <w:t>主要成分及其理化特性</w:t>
                  </w:r>
                </w:p>
              </w:tc>
            </w:tr>
            <w:tr w14:paraId="75C7A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7" w:type="pct"/>
                  <w:shd w:val="clear" w:color="auto" w:fill="auto"/>
                  <w:noWrap/>
                  <w:vAlign w:val="center"/>
                </w:tcPr>
                <w:p w14:paraId="22A5956C">
                  <w:pPr>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olor w:val="auto"/>
                      <w:kern w:val="0"/>
                      <w:sz w:val="21"/>
                      <w:szCs w:val="21"/>
                      <w:lang w:val="en-US" w:eastAsia="zh-CN"/>
                    </w:rPr>
                  </w:pPr>
                  <w:r>
                    <w:rPr>
                      <w:rFonts w:hint="eastAsia" w:cs="Times New Roman"/>
                      <w:color w:val="auto"/>
                      <w:kern w:val="0"/>
                      <w:sz w:val="21"/>
                      <w:szCs w:val="21"/>
                      <w:lang w:val="en-US" w:eastAsia="zh-CN"/>
                    </w:rPr>
                    <w:t>乙醇</w:t>
                  </w:r>
                </w:p>
              </w:tc>
              <w:tc>
                <w:tcPr>
                  <w:tcW w:w="4172" w:type="pct"/>
                  <w:shd w:val="clear" w:color="auto" w:fill="auto"/>
                  <w:vAlign w:val="center"/>
                </w:tcPr>
                <w:p w14:paraId="4140AED4">
                  <w:pPr>
                    <w:keepNext w:val="0"/>
                    <w:keepLines w:val="0"/>
                    <w:widowControl/>
                    <w:suppressLineNumbers w:val="0"/>
                    <w:spacing w:before="0" w:beforeAutospacing="0" w:after="0" w:afterAutospacing="0" w:line="240" w:lineRule="auto"/>
                    <w:ind w:left="0" w:right="0" w:firstLine="0" w:firstLineChars="0"/>
                    <w:rPr>
                      <w:rFonts w:hint="default" w:eastAsia="宋体" w:cs="Times New Roman"/>
                      <w:color w:val="auto"/>
                      <w:kern w:val="0"/>
                      <w:sz w:val="21"/>
                      <w:szCs w:val="21"/>
                      <w:lang w:val="en-US" w:eastAsia="zh-CN"/>
                    </w:rPr>
                  </w:pPr>
                  <w:r>
                    <w:rPr>
                      <w:rFonts w:hint="eastAsia" w:cs="Times New Roman"/>
                      <w:color w:val="auto"/>
                      <w:kern w:val="0"/>
                      <w:sz w:val="21"/>
                      <w:szCs w:val="21"/>
                    </w:rPr>
                    <w:t>乙醇在常温常压下是一种易燃、易挥发的无色透明液体，低毒性，纯液体不可直接饮用；沸</w:t>
                  </w:r>
                  <w:r>
                    <w:rPr>
                      <w:rFonts w:hint="default" w:ascii="Times New Roman" w:hAnsi="Times New Roman" w:cs="Times New Roman"/>
                      <w:color w:val="auto"/>
                      <w:kern w:val="0"/>
                      <w:sz w:val="21"/>
                      <w:szCs w:val="21"/>
                    </w:rPr>
                    <w:t>点78.3 ℃</w:t>
                  </w:r>
                  <w:r>
                    <w:rPr>
                      <w:rFonts w:hint="default" w:ascii="Times New Roman" w:hAnsi="Times New Roman" w:cs="Times New Roman"/>
                      <w:color w:val="auto"/>
                      <w:kern w:val="0"/>
                      <w:sz w:val="21"/>
                      <w:szCs w:val="21"/>
                      <w:lang w:eastAsia="zh-CN"/>
                    </w:rPr>
                    <w:t>，密度0.7893 g/cm³</w:t>
                  </w:r>
                  <w:r>
                    <w:rPr>
                      <w:rFonts w:hint="eastAsia" w:cs="Times New Roman"/>
                      <w:color w:val="auto"/>
                      <w:kern w:val="0"/>
                      <w:sz w:val="21"/>
                      <w:szCs w:val="21"/>
                      <w:lang w:eastAsia="zh-CN"/>
                    </w:rPr>
                    <w:t>。</w:t>
                  </w:r>
                  <w:r>
                    <w:rPr>
                      <w:rFonts w:hint="eastAsia" w:cs="Times New Roman"/>
                      <w:color w:val="auto"/>
                      <w:kern w:val="0"/>
                      <w:sz w:val="21"/>
                      <w:szCs w:val="21"/>
                    </w:rPr>
                    <w:t>具有特殊香味，并略带刺激；微甘，并伴有刺激的辛辣滋味。易燃，其蒸气能与空气形成爆炸性混合物，能与水以任意比互溶。能与氯仿、乙醚、甲醇、丙酮和其他多数有机溶剂混溶，相对密度（d15.56）0.816。</w:t>
                  </w:r>
                  <w:r>
                    <w:rPr>
                      <w:rFonts w:hint="eastAsia" w:cs="Times New Roman"/>
                      <w:color w:val="auto"/>
                      <w:kern w:val="0"/>
                      <w:sz w:val="21"/>
                      <w:szCs w:val="21"/>
                      <w:lang w:val="en-US" w:eastAsia="zh-CN"/>
                    </w:rPr>
                    <w:t>本项目主要用于实验室消毒使用。</w:t>
                  </w:r>
                </w:p>
              </w:tc>
            </w:tr>
            <w:tr w14:paraId="1CCC8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7" w:type="pct"/>
                  <w:shd w:val="clear" w:color="auto" w:fill="auto"/>
                  <w:noWrap/>
                  <w:vAlign w:val="center"/>
                </w:tcPr>
                <w:p w14:paraId="581C5DBD">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kern w:val="0"/>
                      <w:sz w:val="21"/>
                      <w:szCs w:val="21"/>
                      <w:lang w:val="en-US" w:eastAsia="zh-CN"/>
                    </w:rPr>
                  </w:pPr>
                  <w:r>
                    <w:rPr>
                      <w:rFonts w:hint="eastAsia" w:cs="Times New Roman"/>
                      <w:color w:val="auto"/>
                      <w:kern w:val="0"/>
                      <w:sz w:val="21"/>
                      <w:szCs w:val="21"/>
                      <w:lang w:val="en-US" w:eastAsia="zh-CN"/>
                    </w:rPr>
                    <w:t>生理盐水</w:t>
                  </w:r>
                </w:p>
              </w:tc>
              <w:tc>
                <w:tcPr>
                  <w:tcW w:w="4172" w:type="pct"/>
                  <w:shd w:val="clear" w:color="auto" w:fill="auto"/>
                  <w:vAlign w:val="center"/>
                </w:tcPr>
                <w:p w14:paraId="51772A22">
                  <w:pPr>
                    <w:keepNext w:val="0"/>
                    <w:keepLines w:val="0"/>
                    <w:widowControl/>
                    <w:suppressLineNumbers w:val="0"/>
                    <w:spacing w:before="0" w:beforeAutospacing="0" w:after="0" w:afterAutospacing="0" w:line="240" w:lineRule="auto"/>
                    <w:ind w:left="0" w:right="0" w:firstLine="0" w:firstLineChars="0"/>
                    <w:rPr>
                      <w:rFonts w:hint="eastAsia" w:cs="Times New Roman"/>
                      <w:color w:val="auto"/>
                      <w:kern w:val="0"/>
                      <w:sz w:val="21"/>
                      <w:szCs w:val="21"/>
                    </w:rPr>
                  </w:pPr>
                  <w:r>
                    <w:rPr>
                      <w:rFonts w:hint="eastAsia" w:cs="Times New Roman"/>
                      <w:color w:val="auto"/>
                      <w:kern w:val="0"/>
                      <w:sz w:val="21"/>
                      <w:szCs w:val="21"/>
                    </w:rPr>
                    <w:t>生理盐水又称无菌生理盐水</w:t>
                  </w:r>
                  <w:r>
                    <w:rPr>
                      <w:rFonts w:hint="eastAsia" w:cs="Times New Roman"/>
                      <w:color w:val="auto"/>
                      <w:kern w:val="0"/>
                      <w:sz w:val="21"/>
                      <w:szCs w:val="21"/>
                      <w:lang w:eastAsia="zh-CN"/>
                    </w:rPr>
                    <w:t>，</w:t>
                  </w:r>
                  <w:r>
                    <w:rPr>
                      <w:rFonts w:hint="eastAsia" w:cs="Times New Roman"/>
                      <w:color w:val="auto"/>
                      <w:kern w:val="0"/>
                      <w:sz w:val="21"/>
                      <w:szCs w:val="21"/>
                    </w:rPr>
                    <w:t>是指生理学或临床上常用的与动物或人体血浆的渗透压相等的氯化钠溶液。一般情况下两栖类动物氯化钠浓度为0.67～0.70%，哺乳类动物和人类氯化钠浓度为0.85～0.9%，平常人体注射用的氯化钠注射液浓度是0.9%，其渗透压值与哺乳类动物和人类的血浆、组织液都是大致一样的，所以可以用作补液(不会降低和增加正常哺乳类动物和人体内钠离子浓度)，也常用作体外培养活组织、细胞等。</w:t>
                  </w:r>
                </w:p>
              </w:tc>
            </w:tr>
            <w:tr w14:paraId="1D4F4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7" w:type="pct"/>
                  <w:shd w:val="clear" w:color="auto" w:fill="auto"/>
                  <w:noWrap/>
                  <w:vAlign w:val="center"/>
                </w:tcPr>
                <w:p w14:paraId="6EE82ED6">
                  <w:pPr>
                    <w:keepNext w:val="0"/>
                    <w:keepLines w:val="0"/>
                    <w:widowControl/>
                    <w:suppressLineNumbers w:val="0"/>
                    <w:spacing w:before="0" w:beforeAutospacing="0" w:after="0" w:afterAutospacing="0" w:line="240" w:lineRule="auto"/>
                    <w:ind w:left="0" w:right="0" w:firstLine="0" w:firstLineChars="0"/>
                    <w:jc w:val="center"/>
                    <w:rPr>
                      <w:rFonts w:hint="eastAsia" w:cs="Times New Roman"/>
                      <w:color w:val="auto"/>
                      <w:kern w:val="0"/>
                      <w:sz w:val="21"/>
                      <w:szCs w:val="21"/>
                      <w:lang w:val="en-US" w:eastAsia="zh-CN"/>
                    </w:rPr>
                  </w:pPr>
                  <w:r>
                    <w:rPr>
                      <w:rFonts w:hint="eastAsia" w:cs="Times New Roman"/>
                      <w:color w:val="auto"/>
                      <w:kern w:val="0"/>
                      <w:sz w:val="21"/>
                      <w:szCs w:val="21"/>
                      <w:lang w:val="en-US" w:eastAsia="zh-CN"/>
                    </w:rPr>
                    <w:t>磷酸盐缓冲液（PBS）</w:t>
                  </w:r>
                </w:p>
              </w:tc>
              <w:tc>
                <w:tcPr>
                  <w:tcW w:w="4172" w:type="pct"/>
                  <w:shd w:val="clear" w:color="auto" w:fill="auto"/>
                  <w:vAlign w:val="center"/>
                </w:tcPr>
                <w:p w14:paraId="7DD05394">
                  <w:pPr>
                    <w:keepNext w:val="0"/>
                    <w:keepLines w:val="0"/>
                    <w:widowControl/>
                    <w:suppressLineNumbers w:val="0"/>
                    <w:spacing w:before="0" w:beforeAutospacing="0" w:after="0" w:afterAutospacing="0" w:line="240" w:lineRule="auto"/>
                    <w:ind w:left="0" w:right="0" w:firstLine="0" w:firstLineChars="0"/>
                    <w:rPr>
                      <w:rFonts w:hint="eastAsia" w:eastAsia="宋体" w:cs="Times New Roman"/>
                      <w:color w:val="auto"/>
                      <w:kern w:val="0"/>
                      <w:sz w:val="21"/>
                      <w:szCs w:val="21"/>
                      <w:lang w:eastAsia="zh-CN"/>
                    </w:rPr>
                  </w:pPr>
                  <w:r>
                    <w:rPr>
                      <w:rFonts w:hint="eastAsia" w:cs="Times New Roman"/>
                      <w:color w:val="auto"/>
                      <w:kern w:val="0"/>
                      <w:sz w:val="21"/>
                      <w:szCs w:val="21"/>
                    </w:rPr>
                    <w:t>无色、透明的液体，无可见沉淀或浑浊</w:t>
                  </w:r>
                  <w:r>
                    <w:rPr>
                      <w:rFonts w:hint="eastAsia" w:cs="Times New Roman"/>
                      <w:color w:val="auto"/>
                      <w:kern w:val="0"/>
                      <w:sz w:val="21"/>
                      <w:szCs w:val="21"/>
                      <w:lang w:eastAsia="zh-CN"/>
                    </w:rPr>
                    <w:t>，有效缓冲区间为pH 5.8–8.0，可通过调整磷酸二氢盐与磷酸氢盐的比例，精准控制目标pH值，能抵抗少量酸、碱或稀释的影响，维持体系pH值稳定，避免因 pH 波动破坏生物样本（如蛋白质、细胞）的结构与活性，在室温（20–25℃）、密封条件下，PBS溶液可稳定保存数天，无明显分解或变质。</w:t>
                  </w:r>
                </w:p>
              </w:tc>
            </w:tr>
            <w:tr w14:paraId="64A3A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7" w:type="pct"/>
                  <w:shd w:val="clear" w:color="auto" w:fill="auto"/>
                  <w:noWrap/>
                  <w:vAlign w:val="center"/>
                </w:tcPr>
                <w:p w14:paraId="50C653DF">
                  <w:pPr>
                    <w:keepNext w:val="0"/>
                    <w:keepLines w:val="0"/>
                    <w:widowControl/>
                    <w:suppressLineNumbers w:val="0"/>
                    <w:spacing w:before="0" w:beforeAutospacing="0" w:after="0" w:afterAutospacing="0" w:line="240" w:lineRule="auto"/>
                    <w:ind w:left="0" w:right="0" w:firstLine="0" w:firstLineChars="0"/>
                    <w:jc w:val="center"/>
                    <w:rPr>
                      <w:rFonts w:hint="eastAsia" w:cs="Times New Roman"/>
                      <w:color w:val="auto"/>
                      <w:kern w:val="0"/>
                      <w:sz w:val="21"/>
                      <w:szCs w:val="21"/>
                      <w:lang w:val="en-US" w:eastAsia="zh-CN"/>
                    </w:rPr>
                  </w:pPr>
                  <w:r>
                    <w:rPr>
                      <w:rFonts w:hint="eastAsia" w:cs="Times New Roman"/>
                      <w:color w:val="auto"/>
                      <w:kern w:val="0"/>
                      <w:sz w:val="21"/>
                      <w:szCs w:val="21"/>
                      <w:lang w:val="en-US" w:eastAsia="zh-CN"/>
                    </w:rPr>
                    <w:t>Tris-HCl 缓冲液</w:t>
                  </w:r>
                </w:p>
              </w:tc>
              <w:tc>
                <w:tcPr>
                  <w:tcW w:w="4172" w:type="pct"/>
                  <w:shd w:val="clear" w:color="auto" w:fill="auto"/>
                  <w:vAlign w:val="center"/>
                </w:tcPr>
                <w:p w14:paraId="1A3E75DB">
                  <w:pPr>
                    <w:keepNext w:val="0"/>
                    <w:keepLines w:val="0"/>
                    <w:widowControl/>
                    <w:suppressLineNumbers w:val="0"/>
                    <w:spacing w:before="0" w:beforeAutospacing="0" w:after="0" w:afterAutospacing="0" w:line="240" w:lineRule="auto"/>
                    <w:ind w:left="0" w:right="0" w:firstLine="0" w:firstLineChars="0"/>
                    <w:rPr>
                      <w:rFonts w:hint="eastAsia" w:eastAsia="宋体" w:cs="Times New Roman"/>
                      <w:color w:val="auto"/>
                      <w:kern w:val="0"/>
                      <w:sz w:val="21"/>
                      <w:szCs w:val="21"/>
                      <w:lang w:eastAsia="zh-CN"/>
                    </w:rPr>
                  </w:pPr>
                  <w:r>
                    <w:rPr>
                      <w:rFonts w:hint="eastAsia" w:cs="Times New Roman"/>
                      <w:color w:val="auto"/>
                      <w:kern w:val="0"/>
                      <w:sz w:val="21"/>
                      <w:szCs w:val="21"/>
                    </w:rPr>
                    <w:t>无色、透明液体，无异味，不含可见悬浮物或沉淀</w:t>
                  </w:r>
                  <w:r>
                    <w:rPr>
                      <w:rFonts w:hint="eastAsia" w:cs="Times New Roman"/>
                      <w:color w:val="auto"/>
                      <w:kern w:val="0"/>
                      <w:sz w:val="21"/>
                      <w:szCs w:val="21"/>
                      <w:lang w:eastAsia="zh-CN"/>
                    </w:rPr>
                    <w:t>，Tris-HCl 缓冲液的核心理化性质是宽 pH 缓冲范围与良好生物相容性，使其成为分子生物学和生物化学实验中的核心缓冲体系之一，有效缓冲区间为pH 7.0–9.2，覆盖多数生物分子（如蛋白质、核酸）的稳定 pH 范围，尤其适合碱性环境实验。</w:t>
                  </w:r>
                </w:p>
              </w:tc>
            </w:tr>
            <w:tr w14:paraId="0C12B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7" w:type="pct"/>
                  <w:shd w:val="clear" w:color="auto" w:fill="auto"/>
                  <w:noWrap/>
                  <w:vAlign w:val="center"/>
                </w:tcPr>
                <w:p w14:paraId="3CAC0539">
                  <w:pPr>
                    <w:keepNext w:val="0"/>
                    <w:keepLines w:val="0"/>
                    <w:widowControl/>
                    <w:suppressLineNumbers w:val="0"/>
                    <w:spacing w:before="0" w:beforeAutospacing="0" w:after="0" w:afterAutospacing="0" w:line="240" w:lineRule="auto"/>
                    <w:ind w:left="0" w:right="0" w:firstLine="0" w:firstLineChars="0"/>
                    <w:jc w:val="center"/>
                    <w:rPr>
                      <w:rFonts w:hint="eastAsia" w:cs="Times New Roman"/>
                      <w:color w:val="auto"/>
                      <w:kern w:val="0"/>
                      <w:sz w:val="21"/>
                      <w:szCs w:val="21"/>
                      <w:lang w:val="en-US" w:eastAsia="zh-CN"/>
                    </w:rPr>
                  </w:pPr>
                  <w:r>
                    <w:rPr>
                      <w:rFonts w:hint="eastAsia" w:cs="Times New Roman"/>
                      <w:color w:val="auto"/>
                      <w:kern w:val="0"/>
                      <w:sz w:val="21"/>
                      <w:szCs w:val="21"/>
                      <w:lang w:val="en-US" w:eastAsia="zh-CN"/>
                    </w:rPr>
                    <w:t>次氯酸钠</w:t>
                  </w:r>
                </w:p>
              </w:tc>
              <w:tc>
                <w:tcPr>
                  <w:tcW w:w="4172" w:type="pct"/>
                  <w:shd w:val="clear" w:color="auto" w:fill="auto"/>
                  <w:vAlign w:val="center"/>
                </w:tcPr>
                <w:p w14:paraId="0C91AE7B">
                  <w:pPr>
                    <w:keepNext w:val="0"/>
                    <w:keepLines w:val="0"/>
                    <w:widowControl/>
                    <w:suppressLineNumbers w:val="0"/>
                    <w:spacing w:before="0" w:beforeAutospacing="0" w:after="0" w:afterAutospacing="0" w:line="240" w:lineRule="auto"/>
                    <w:ind w:left="0" w:right="0" w:firstLine="0" w:firstLineChars="0"/>
                    <w:rPr>
                      <w:rFonts w:hint="eastAsia" w:eastAsia="宋体" w:cs="Times New Roman"/>
                      <w:color w:val="auto"/>
                      <w:kern w:val="0"/>
                      <w:sz w:val="21"/>
                      <w:szCs w:val="21"/>
                      <w:lang w:eastAsia="zh-CN"/>
                    </w:rPr>
                  </w:pPr>
                  <w:r>
                    <w:rPr>
                      <w:rFonts w:hint="eastAsia" w:cs="Times New Roman"/>
                      <w:color w:val="auto"/>
                      <w:kern w:val="0"/>
                      <w:sz w:val="21"/>
                      <w:szCs w:val="21"/>
                    </w:rPr>
                    <w:t>纯次氯酸钠（固体）为白色粉末状</w:t>
                  </w:r>
                  <w:r>
                    <w:rPr>
                      <w:rFonts w:hint="eastAsia" w:cs="Times New Roman"/>
                      <w:color w:val="auto"/>
                      <w:kern w:val="0"/>
                      <w:sz w:val="21"/>
                      <w:szCs w:val="21"/>
                      <w:lang w:eastAsia="zh-CN"/>
                    </w:rPr>
                    <w:t>，次氯酸钠在光照、高温、酸性条件下易分解，生成氯化钠、氧气和有毒的氯气，导致有效成分含量下降，消毒能力减弱，易溶于水，溶解后形成的水溶液呈碱性，溶解过程中会轻微放热。</w:t>
                  </w:r>
                </w:p>
              </w:tc>
            </w:tr>
            <w:tr w14:paraId="33CE4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7" w:type="pct"/>
                  <w:shd w:val="clear" w:color="auto" w:fill="auto"/>
                  <w:noWrap/>
                  <w:vAlign w:val="center"/>
                </w:tcPr>
                <w:p w14:paraId="6F71D1CB">
                  <w:pPr>
                    <w:pStyle w:val="45"/>
                    <w:widowControl/>
                    <w:spacing w:line="240" w:lineRule="auto"/>
                    <w:ind w:left="0" w:leftChars="0" w:right="0" w:rightChars="0" w:firstLine="0" w:firstLineChars="0"/>
                    <w:rPr>
                      <w:rFonts w:hint="eastAsia" w:cs="Times New Roman"/>
                      <w:color w:val="auto"/>
                      <w:kern w:val="0"/>
                      <w:sz w:val="21"/>
                      <w:szCs w:val="21"/>
                      <w:lang w:val="en-US" w:eastAsia="zh-CN"/>
                    </w:rPr>
                  </w:pPr>
                  <w:r>
                    <w:rPr>
                      <w:rFonts w:hint="eastAsia" w:ascii="Times New Roman" w:hAnsi="Times New Roman" w:eastAsia="宋体" w:cs="宋体"/>
                      <w:color w:val="auto"/>
                      <w:sz w:val="21"/>
                      <w:szCs w:val="21"/>
                    </w:rPr>
                    <w:t>脱脂乳</w:t>
                  </w:r>
                </w:p>
              </w:tc>
              <w:tc>
                <w:tcPr>
                  <w:tcW w:w="4172" w:type="pct"/>
                  <w:shd w:val="clear" w:color="auto" w:fill="auto"/>
                  <w:vAlign w:val="center"/>
                </w:tcPr>
                <w:p w14:paraId="4C06A9D1">
                  <w:pPr>
                    <w:keepNext w:val="0"/>
                    <w:keepLines w:val="0"/>
                    <w:widowControl/>
                    <w:suppressLineNumbers w:val="0"/>
                    <w:spacing w:before="0" w:beforeAutospacing="0" w:after="0" w:afterAutospacing="0" w:line="240" w:lineRule="auto"/>
                    <w:ind w:left="0" w:right="0" w:firstLine="0" w:firstLineChars="0"/>
                    <w:rPr>
                      <w:rFonts w:hint="eastAsia" w:eastAsia="宋体" w:cs="Times New Roman"/>
                      <w:color w:val="auto"/>
                      <w:kern w:val="0"/>
                      <w:sz w:val="21"/>
                      <w:szCs w:val="21"/>
                      <w:lang w:eastAsia="zh-CN"/>
                    </w:rPr>
                  </w:pPr>
                  <w:r>
                    <w:rPr>
                      <w:rFonts w:hint="eastAsia" w:cs="Times New Roman"/>
                      <w:color w:val="auto"/>
                      <w:kern w:val="0"/>
                      <w:sz w:val="21"/>
                      <w:szCs w:val="21"/>
                    </w:rPr>
                    <w:t>常温下为均匀的乳白色液体，质地较全脂乳稀薄，光泽略逊于全脂乳</w:t>
                  </w:r>
                  <w:r>
                    <w:rPr>
                      <w:rFonts w:hint="eastAsia" w:cs="Times New Roman"/>
                      <w:color w:val="auto"/>
                      <w:kern w:val="0"/>
                      <w:sz w:val="21"/>
                      <w:szCs w:val="21"/>
                      <w:lang w:eastAsia="zh-CN"/>
                    </w:rPr>
                    <w:t>，密度通常</w:t>
                  </w:r>
                  <w:r>
                    <w:rPr>
                      <w:rFonts w:hint="default" w:ascii="Times New Roman" w:hAnsi="Times New Roman" w:cs="Times New Roman"/>
                      <w:color w:val="auto"/>
                      <w:kern w:val="0"/>
                      <w:sz w:val="21"/>
                      <w:szCs w:val="21"/>
                      <w:lang w:eastAsia="zh-CN"/>
                    </w:rPr>
                    <w:t>在1.035~1.040 g/cm</w:t>
                  </w:r>
                  <w:r>
                    <w:rPr>
                      <w:rFonts w:hint="eastAsia" w:ascii="Times New Roman" w:hAnsi="Times New Roman" w:cs="Times New Roman"/>
                      <w:color w:val="auto"/>
                      <w:kern w:val="0"/>
                      <w:sz w:val="21"/>
                      <w:szCs w:val="21"/>
                      <w:vertAlign w:val="superscript"/>
                      <w:lang w:val="en-US" w:eastAsia="zh-CN"/>
                    </w:rPr>
                    <w:t>3</w:t>
                  </w:r>
                  <w:r>
                    <w:rPr>
                      <w:rFonts w:hint="eastAsia" w:cs="Times New Roman"/>
                      <w:color w:val="auto"/>
                      <w:kern w:val="0"/>
                      <w:sz w:val="21"/>
                      <w:szCs w:val="21"/>
                      <w:lang w:eastAsia="zh-CN"/>
                    </w:rPr>
                    <w:t>之间，冰点约</w:t>
                  </w:r>
                  <w:r>
                    <w:rPr>
                      <w:rFonts w:hint="default" w:ascii="Times New Roman" w:hAnsi="Times New Roman" w:cs="Times New Roman"/>
                      <w:color w:val="auto"/>
                      <w:kern w:val="0"/>
                      <w:sz w:val="21"/>
                      <w:szCs w:val="21"/>
                      <w:lang w:eastAsia="zh-CN"/>
                    </w:rPr>
                    <w:t>为-0.54~-0.56℃</w:t>
                  </w:r>
                  <w:r>
                    <w:rPr>
                      <w:rFonts w:hint="eastAsia" w:ascii="Times New Roman" w:hAnsi="Times New Roman" w:cs="Times New Roman"/>
                      <w:color w:val="auto"/>
                      <w:kern w:val="0"/>
                      <w:sz w:val="21"/>
                      <w:szCs w:val="21"/>
                      <w:lang w:eastAsia="zh-CN"/>
                    </w:rPr>
                    <w:t>，黏度低于全脂乳</w:t>
                  </w:r>
                  <w:r>
                    <w:rPr>
                      <w:rFonts w:hint="default" w:ascii="Times New Roman" w:hAnsi="Times New Roman" w:cs="Times New Roman"/>
                      <w:color w:val="auto"/>
                      <w:kern w:val="0"/>
                      <w:sz w:val="21"/>
                      <w:szCs w:val="21"/>
                      <w:lang w:eastAsia="zh-CN"/>
                    </w:rPr>
                    <w:t>，通常在1.5~2.0 mPa・s（20℃）</w:t>
                  </w:r>
                  <w:r>
                    <w:rPr>
                      <w:rFonts w:hint="eastAsia" w:ascii="Times New Roman" w:hAnsi="Times New Roman" w:cs="Times New Roman"/>
                      <w:color w:val="auto"/>
                      <w:kern w:val="0"/>
                      <w:sz w:val="21"/>
                      <w:szCs w:val="21"/>
                      <w:lang w:eastAsia="zh-CN"/>
                    </w:rPr>
                    <w:t>，可被乳酸菌发酵生成脱脂酸乳。因脂肪含量低，发酵后质地更稀，常需添加增稠剂（如明胶、果胶）改善口感。</w:t>
                  </w:r>
                </w:p>
              </w:tc>
            </w:tr>
            <w:tr w14:paraId="56E57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7" w:type="pct"/>
                  <w:shd w:val="clear" w:color="auto" w:fill="auto"/>
                  <w:noWrap/>
                  <w:vAlign w:val="center"/>
                </w:tcPr>
                <w:p w14:paraId="7484FFB3">
                  <w:pPr>
                    <w:pStyle w:val="45"/>
                    <w:widowControl/>
                    <w:spacing w:line="240" w:lineRule="auto"/>
                    <w:ind w:left="0" w:leftChars="0" w:right="0" w:rightChars="0" w:firstLine="0" w:firstLineChars="0"/>
                    <w:rPr>
                      <w:rFonts w:hint="eastAsia" w:cs="Times New Roman"/>
                      <w:color w:val="auto"/>
                      <w:kern w:val="0"/>
                      <w:sz w:val="21"/>
                      <w:szCs w:val="21"/>
                      <w:lang w:val="en-US" w:eastAsia="zh-CN"/>
                    </w:rPr>
                  </w:pPr>
                  <w:r>
                    <w:rPr>
                      <w:rFonts w:hint="eastAsia" w:ascii="Times New Roman" w:hAnsi="Times New Roman" w:eastAsia="宋体" w:cs="宋体"/>
                      <w:color w:val="auto"/>
                      <w:sz w:val="21"/>
                      <w:szCs w:val="21"/>
                    </w:rPr>
                    <w:t>甘露醇</w:t>
                  </w:r>
                </w:p>
              </w:tc>
              <w:tc>
                <w:tcPr>
                  <w:tcW w:w="4172" w:type="pct"/>
                  <w:shd w:val="clear" w:color="auto" w:fill="auto"/>
                  <w:vAlign w:val="center"/>
                </w:tcPr>
                <w:p w14:paraId="2F904970">
                  <w:pPr>
                    <w:keepNext w:val="0"/>
                    <w:keepLines w:val="0"/>
                    <w:widowControl/>
                    <w:suppressLineNumbers w:val="0"/>
                    <w:spacing w:before="0" w:beforeAutospacing="0" w:after="0" w:afterAutospacing="0" w:line="240" w:lineRule="auto"/>
                    <w:ind w:left="0" w:right="0" w:firstLine="0" w:firstLineChars="0"/>
                    <w:rPr>
                      <w:rFonts w:hint="eastAsia" w:eastAsia="宋体" w:cs="Times New Roman"/>
                      <w:color w:val="auto"/>
                      <w:kern w:val="0"/>
                      <w:sz w:val="21"/>
                      <w:szCs w:val="21"/>
                      <w:lang w:eastAsia="zh-CN"/>
                    </w:rPr>
                  </w:pPr>
                  <w:r>
                    <w:rPr>
                      <w:rFonts w:hint="eastAsia" w:cs="Times New Roman"/>
                      <w:color w:val="auto"/>
                      <w:kern w:val="0"/>
                      <w:sz w:val="21"/>
                      <w:szCs w:val="21"/>
                    </w:rPr>
                    <w:t>常温下为白色针状或斜方柱状结晶、结晶性粉末，无臭，味甜</w:t>
                  </w:r>
                  <w:r>
                    <w:rPr>
                      <w:rFonts w:hint="eastAsia" w:cs="Times New Roman"/>
                      <w:color w:val="auto"/>
                      <w:kern w:val="0"/>
                      <w:sz w:val="21"/>
                      <w:szCs w:val="21"/>
                      <w:lang w:eastAsia="zh-CN"/>
                    </w:rPr>
                    <w:t>，极易溶于水</w:t>
                  </w:r>
                  <w:r>
                    <w:rPr>
                      <w:rFonts w:hint="default" w:ascii="Times New Roman" w:hAnsi="Times New Roman" w:cs="Times New Roman"/>
                      <w:color w:val="auto"/>
                      <w:kern w:val="0"/>
                      <w:sz w:val="21"/>
                      <w:szCs w:val="21"/>
                      <w:lang w:eastAsia="zh-CN"/>
                    </w:rPr>
                    <w:t>，20℃时溶解度约为18g/100mL，熔点为166~170℃，加热至200℃以上时会发生脱水反应，生成甘露醇酐和异甘露醇酐，继续升温则碳化，无明确沸点</w:t>
                  </w:r>
                  <w:r>
                    <w:rPr>
                      <w:rFonts w:hint="eastAsia" w:ascii="Times New Roman" w:hAnsi="Times New Roman" w:cs="Times New Roman"/>
                      <w:color w:val="auto"/>
                      <w:kern w:val="0"/>
                      <w:sz w:val="21"/>
                      <w:szCs w:val="21"/>
                      <w:lang w:eastAsia="zh-CN"/>
                    </w:rPr>
                    <w:t>。在人体内大部分不被肝脏代谢，能以原形经肾脏排出体外，且在肾小管内不被重吸收，可产生高渗透压，发挥利尿作用。</w:t>
                  </w:r>
                </w:p>
              </w:tc>
            </w:tr>
            <w:tr w14:paraId="06D8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7" w:type="pct"/>
                  <w:shd w:val="clear" w:color="auto" w:fill="auto"/>
                  <w:noWrap/>
                  <w:vAlign w:val="center"/>
                </w:tcPr>
                <w:p w14:paraId="745EEE24">
                  <w:pPr>
                    <w:pStyle w:val="45"/>
                    <w:widowControl/>
                    <w:spacing w:line="240" w:lineRule="auto"/>
                    <w:ind w:left="0" w:leftChars="0" w:right="0" w:rightChars="0" w:firstLine="0" w:firstLineChars="0"/>
                    <w:rPr>
                      <w:rFonts w:hint="eastAsia" w:cs="Times New Roman"/>
                      <w:color w:val="auto"/>
                      <w:kern w:val="0"/>
                      <w:sz w:val="21"/>
                      <w:szCs w:val="21"/>
                      <w:lang w:val="en-US" w:eastAsia="zh-CN"/>
                    </w:rPr>
                  </w:pPr>
                  <w:r>
                    <w:rPr>
                      <w:rFonts w:hint="eastAsia" w:ascii="Times New Roman" w:hAnsi="Times New Roman" w:eastAsia="宋体" w:cs="宋体"/>
                      <w:color w:val="auto"/>
                      <w:sz w:val="21"/>
                      <w:szCs w:val="21"/>
                    </w:rPr>
                    <w:t>甘油</w:t>
                  </w:r>
                </w:p>
              </w:tc>
              <w:tc>
                <w:tcPr>
                  <w:tcW w:w="4172" w:type="pct"/>
                  <w:shd w:val="clear" w:color="auto" w:fill="auto"/>
                  <w:vAlign w:val="center"/>
                </w:tcPr>
                <w:p w14:paraId="1296538F">
                  <w:pPr>
                    <w:keepNext w:val="0"/>
                    <w:keepLines w:val="0"/>
                    <w:widowControl/>
                    <w:suppressLineNumbers w:val="0"/>
                    <w:spacing w:before="0" w:beforeAutospacing="0" w:after="0" w:afterAutospacing="0" w:line="240" w:lineRule="auto"/>
                    <w:ind w:left="0" w:right="0" w:firstLine="0" w:firstLineChars="0"/>
                    <w:rPr>
                      <w:rFonts w:hint="eastAsia" w:eastAsia="宋体" w:cs="Times New Roman"/>
                      <w:color w:val="auto"/>
                      <w:kern w:val="0"/>
                      <w:sz w:val="21"/>
                      <w:szCs w:val="21"/>
                      <w:lang w:eastAsia="zh-CN"/>
                    </w:rPr>
                  </w:pPr>
                  <w:r>
                    <w:rPr>
                      <w:rFonts w:hint="eastAsia" w:cs="Times New Roman"/>
                      <w:color w:val="auto"/>
                      <w:kern w:val="0"/>
                      <w:sz w:val="21"/>
                      <w:szCs w:val="21"/>
                    </w:rPr>
                    <w:t>常温下为无色、无臭、味甜的黏</w:t>
                  </w:r>
                  <w:r>
                    <w:rPr>
                      <w:rFonts w:hint="default" w:ascii="Times New Roman" w:hAnsi="Times New Roman" w:cs="Times New Roman"/>
                      <w:color w:val="auto"/>
                      <w:kern w:val="0"/>
                      <w:sz w:val="21"/>
                      <w:szCs w:val="21"/>
                    </w:rPr>
                    <w:t>稠液体，低温时（约0℃以下）可结晶为白色块状固体，熔点后恢复黏稠液态</w:t>
                  </w:r>
                  <w:r>
                    <w:rPr>
                      <w:rFonts w:hint="eastAsia" w:ascii="Times New Roman" w:hAnsi="Times New Roman" w:cs="Times New Roman"/>
                      <w:color w:val="auto"/>
                      <w:kern w:val="0"/>
                      <w:sz w:val="21"/>
                      <w:szCs w:val="21"/>
                      <w:lang w:eastAsia="zh-CN"/>
                    </w:rPr>
                    <w:t>，极易溶于水，可与水以任意比例混合。也</w:t>
                  </w:r>
                  <w:r>
                    <w:rPr>
                      <w:rFonts w:hint="default" w:ascii="Times New Roman" w:hAnsi="Times New Roman" w:cs="Times New Roman"/>
                      <w:color w:val="auto"/>
                      <w:kern w:val="0"/>
                      <w:sz w:val="21"/>
                      <w:szCs w:val="21"/>
                      <w:lang w:eastAsia="zh-CN"/>
                    </w:rPr>
                    <w:t>能溶于乙醇、甲醇等有机溶剂，但不溶于乙醚、氯仿、苯等非极性溶剂，熔点约为17.8℃，沸点较高，约为290℃（常压下），吸湿性极强，能从空气中吸收水分，甚至能吸收空气中40%以上的湿度，因此常被用作保湿剂，也需密封储存以防吸潮。</w:t>
                  </w:r>
                </w:p>
              </w:tc>
            </w:tr>
            <w:tr w14:paraId="443C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7" w:type="pct"/>
                  <w:shd w:val="clear" w:color="auto" w:fill="auto"/>
                  <w:noWrap/>
                  <w:vAlign w:val="center"/>
                </w:tcPr>
                <w:p w14:paraId="66600B03">
                  <w:pPr>
                    <w:pStyle w:val="45"/>
                    <w:widowControl/>
                    <w:spacing w:line="240" w:lineRule="auto"/>
                    <w:ind w:left="0" w:leftChars="0" w:right="0" w:rightChars="0" w:firstLine="0" w:firstLineChars="0"/>
                    <w:rPr>
                      <w:rFonts w:hint="eastAsia" w:cs="Times New Roman"/>
                      <w:color w:val="auto"/>
                      <w:kern w:val="0"/>
                      <w:sz w:val="21"/>
                      <w:szCs w:val="21"/>
                      <w:lang w:val="en-US" w:eastAsia="zh-CN"/>
                    </w:rPr>
                  </w:pPr>
                  <w:r>
                    <w:rPr>
                      <w:color w:val="auto"/>
                      <w:sz w:val="21"/>
                      <w:szCs w:val="21"/>
                      <w:lang w:val="en-US"/>
                    </w:rPr>
                    <w:t>10%</w:t>
                  </w:r>
                  <w:r>
                    <w:rPr>
                      <w:rFonts w:hint="eastAsia" w:ascii="Times New Roman" w:hAnsi="Times New Roman" w:eastAsia="宋体" w:cs="宋体"/>
                      <w:color w:val="auto"/>
                      <w:sz w:val="21"/>
                      <w:szCs w:val="21"/>
                    </w:rPr>
                    <w:t>海藻糖</w:t>
                  </w:r>
                </w:p>
              </w:tc>
              <w:tc>
                <w:tcPr>
                  <w:tcW w:w="4172" w:type="pct"/>
                  <w:shd w:val="clear" w:color="auto" w:fill="auto"/>
                  <w:vAlign w:val="center"/>
                </w:tcPr>
                <w:p w14:paraId="17566EE6">
                  <w:pPr>
                    <w:keepNext w:val="0"/>
                    <w:keepLines w:val="0"/>
                    <w:widowControl/>
                    <w:suppressLineNumbers w:val="0"/>
                    <w:spacing w:before="0" w:beforeAutospacing="0" w:after="0" w:afterAutospacing="0" w:line="240" w:lineRule="auto"/>
                    <w:ind w:left="0" w:right="0" w:firstLine="0" w:firstLineChars="0"/>
                    <w:rPr>
                      <w:rFonts w:hint="eastAsia" w:eastAsia="宋体" w:cs="Times New Roman"/>
                      <w:color w:val="auto"/>
                      <w:kern w:val="0"/>
                      <w:sz w:val="21"/>
                      <w:szCs w:val="21"/>
                      <w:lang w:eastAsia="zh-CN"/>
                    </w:rPr>
                  </w:pPr>
                  <w:r>
                    <w:rPr>
                      <w:rFonts w:hint="eastAsia" w:cs="Times New Roman"/>
                      <w:color w:val="auto"/>
                      <w:kern w:val="0"/>
                      <w:sz w:val="21"/>
                      <w:szCs w:val="21"/>
                    </w:rPr>
                    <w:t>常温下为无色、透明的液体，无臭，味微甜（甜度约为蔗糖的45%）</w:t>
                  </w:r>
                  <w:r>
                    <w:rPr>
                      <w:rFonts w:hint="eastAsia" w:cs="Times New Roman"/>
                      <w:color w:val="auto"/>
                      <w:kern w:val="0"/>
                      <w:sz w:val="21"/>
                      <w:szCs w:val="21"/>
                      <w:lang w:eastAsia="zh-CN"/>
                    </w:rPr>
                    <w:t>，极易溶于水</w:t>
                  </w:r>
                  <w:r>
                    <w:rPr>
                      <w:rFonts w:hint="default" w:ascii="Times New Roman" w:hAnsi="Times New Roman" w:cs="Times New Roman"/>
                      <w:color w:val="auto"/>
                      <w:kern w:val="0"/>
                      <w:sz w:val="21"/>
                      <w:szCs w:val="21"/>
                      <w:lang w:eastAsia="zh-CN"/>
                    </w:rPr>
                    <w:t>，10%浓度</w:t>
                  </w:r>
                  <w:r>
                    <w:rPr>
                      <w:rFonts w:hint="eastAsia" w:cs="Times New Roman"/>
                      <w:color w:val="auto"/>
                      <w:kern w:val="0"/>
                      <w:sz w:val="21"/>
                      <w:szCs w:val="21"/>
                      <w:lang w:eastAsia="zh-CN"/>
                    </w:rPr>
                    <w:t>的水溶液是海藻糖完全溶解后的稳定体系，可与水、乙醇（低浓度）等极</w:t>
                  </w:r>
                  <w:r>
                    <w:rPr>
                      <w:rFonts w:hint="default" w:ascii="Times New Roman" w:hAnsi="Times New Roman" w:cs="Times New Roman"/>
                      <w:color w:val="auto"/>
                      <w:kern w:val="0"/>
                      <w:sz w:val="21"/>
                      <w:szCs w:val="21"/>
                      <w:lang w:eastAsia="zh-CN"/>
                    </w:rPr>
                    <w:t>性溶剂任意比例混合，不溶于乙醚、石油醚等非极性溶剂，20℃时相对密度约为1.03~1.04 g/cm</w:t>
                  </w:r>
                  <w:r>
                    <w:rPr>
                      <w:rFonts w:hint="default" w:ascii="Times New Roman" w:hAnsi="Times New Roman" w:cs="Times New Roman"/>
                      <w:color w:val="auto"/>
                      <w:kern w:val="0"/>
                      <w:sz w:val="21"/>
                      <w:szCs w:val="21"/>
                      <w:vertAlign w:val="superscript"/>
                      <w:lang w:val="en-US" w:eastAsia="zh-CN"/>
                    </w:rPr>
                    <w:t>3</w:t>
                  </w:r>
                  <w:r>
                    <w:rPr>
                      <w:rFonts w:hint="default" w:ascii="Times New Roman" w:hAnsi="Times New Roman" w:cs="Times New Roman"/>
                      <w:color w:val="auto"/>
                      <w:kern w:val="0"/>
                      <w:sz w:val="21"/>
                      <w:szCs w:val="21"/>
                      <w:lang w:eastAsia="zh-CN"/>
                    </w:rPr>
                    <w:t>，化学性质稳定，在中性、弱酸性（pH3~7）或常温条件下不易分解。但在强酸性（pH＜3）或高温（超过120℃）环境下，可能发生水解反应，生成葡萄糖</w:t>
                  </w:r>
                  <w:r>
                    <w:rPr>
                      <w:rFonts w:hint="eastAsia" w:ascii="Times New Roman" w:hAnsi="Times New Roman" w:cs="Times New Roman"/>
                      <w:color w:val="auto"/>
                      <w:kern w:val="0"/>
                      <w:sz w:val="21"/>
                      <w:szCs w:val="21"/>
                      <w:lang w:eastAsia="zh-CN"/>
                    </w:rPr>
                    <w:t>。</w:t>
                  </w:r>
                </w:p>
              </w:tc>
            </w:tr>
            <w:tr w14:paraId="40C25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7" w:type="pct"/>
                  <w:shd w:val="clear" w:color="auto" w:fill="auto"/>
                  <w:noWrap/>
                  <w:vAlign w:val="center"/>
                </w:tcPr>
                <w:p w14:paraId="7FD5CB4E">
                  <w:pPr>
                    <w:pStyle w:val="45"/>
                    <w:widowControl/>
                    <w:spacing w:line="240" w:lineRule="auto"/>
                    <w:ind w:left="0" w:leftChars="0" w:right="0" w:rightChars="0" w:firstLine="0" w:firstLineChars="0"/>
                    <w:rPr>
                      <w:rFonts w:hint="eastAsia" w:cs="Times New Roman"/>
                      <w:color w:val="auto"/>
                      <w:kern w:val="0"/>
                      <w:sz w:val="21"/>
                      <w:szCs w:val="21"/>
                      <w:lang w:val="en-US" w:eastAsia="zh-CN"/>
                    </w:rPr>
                  </w:pPr>
                  <w:r>
                    <w:rPr>
                      <w:rFonts w:hint="eastAsia" w:ascii="Times New Roman" w:hAnsi="Times New Roman" w:eastAsia="宋体" w:cs="宋体"/>
                      <w:color w:val="auto"/>
                      <w:sz w:val="21"/>
                      <w:szCs w:val="21"/>
                    </w:rPr>
                    <w:t>橄榄油</w:t>
                  </w:r>
                </w:p>
              </w:tc>
              <w:tc>
                <w:tcPr>
                  <w:tcW w:w="4172" w:type="pct"/>
                  <w:shd w:val="clear" w:color="auto" w:fill="auto"/>
                  <w:vAlign w:val="center"/>
                </w:tcPr>
                <w:p w14:paraId="0A351E27">
                  <w:pPr>
                    <w:keepNext w:val="0"/>
                    <w:keepLines w:val="0"/>
                    <w:widowControl/>
                    <w:suppressLineNumbers w:val="0"/>
                    <w:spacing w:before="0" w:beforeAutospacing="0" w:after="0" w:afterAutospacing="0" w:line="240" w:lineRule="auto"/>
                    <w:ind w:left="0" w:right="0" w:firstLine="0" w:firstLineChars="0"/>
                    <w:rPr>
                      <w:rFonts w:hint="eastAsia" w:eastAsia="宋体" w:cs="Times New Roman"/>
                      <w:color w:val="auto"/>
                      <w:kern w:val="0"/>
                      <w:sz w:val="21"/>
                      <w:szCs w:val="21"/>
                      <w:lang w:eastAsia="zh-CN"/>
                    </w:rPr>
                  </w:pPr>
                  <w:r>
                    <w:rPr>
                      <w:rFonts w:hint="eastAsia" w:cs="Times New Roman"/>
                      <w:color w:val="auto"/>
                      <w:kern w:val="0"/>
                      <w:sz w:val="21"/>
                      <w:szCs w:val="21"/>
                    </w:rPr>
                    <w:t>常温下为透明或半透明的液体，颜色因品种和加工方式而异，从淡黄色、黄绿色到深绿色不等</w:t>
                  </w:r>
                  <w:r>
                    <w:rPr>
                      <w:rFonts w:hint="default" w:ascii="Times New Roman" w:hAnsi="Times New Roman" w:cs="Times New Roman"/>
                      <w:color w:val="auto"/>
                      <w:kern w:val="0"/>
                      <w:sz w:val="21"/>
                      <w:szCs w:val="21"/>
                    </w:rPr>
                    <w:t>。低温（约 0~10℃）下会出现絮状物或凝固，温度回升后可恢复澄清液态</w:t>
                  </w:r>
                  <w:r>
                    <w:rPr>
                      <w:rFonts w:hint="default" w:ascii="Times New Roman" w:hAnsi="Times New Roman" w:cs="Times New Roman"/>
                      <w:color w:val="auto"/>
                      <w:kern w:val="0"/>
                      <w:sz w:val="21"/>
                      <w:szCs w:val="21"/>
                      <w:lang w:eastAsia="zh-CN"/>
                    </w:rPr>
                    <w:t>，具有独特的果香气味，20℃时相对密度约为0.914~0.919 g/cm³，在酸、碱或脂肪酶作用下，可水解生成甘油和脂肪酸。常温下纯橄榄油水解反应缓慢，但若混入水分或微生物，会加速水解。</w:t>
                  </w:r>
                </w:p>
              </w:tc>
            </w:tr>
          </w:tbl>
          <w:p w14:paraId="27C7502B">
            <w:pPr>
              <w:pStyle w:val="2"/>
              <w:keepNext w:val="0"/>
              <w:keepLines w:val="0"/>
              <w:suppressLineNumbers w:val="0"/>
              <w:adjustRightInd w:val="0"/>
              <w:spacing w:before="0" w:beforeAutospacing="0" w:after="0" w:afterAutospacing="0" w:line="240" w:lineRule="auto"/>
              <w:ind w:left="0" w:right="0" w:firstLine="0" w:firstLineChars="0"/>
              <w:rPr>
                <w:rFonts w:hint="default" w:eastAsia="黑体" w:cs="Times New Roman"/>
                <w:color w:val="auto"/>
                <w:sz w:val="18"/>
                <w:szCs w:val="18"/>
              </w:rPr>
            </w:pPr>
          </w:p>
          <w:p w14:paraId="5833F337">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5、主要生产设备</w:t>
            </w:r>
          </w:p>
          <w:p w14:paraId="7BC689DE">
            <w:pPr>
              <w:pStyle w:val="2"/>
              <w:keepNext w:val="0"/>
              <w:keepLines w:val="0"/>
              <w:suppressLineNumbers w:val="0"/>
              <w:spacing w:before="0" w:beforeAutospacing="0" w:after="0" w:afterAutospacing="0"/>
              <w:ind w:left="0" w:right="0" w:firstLine="480"/>
              <w:rPr>
                <w:rFonts w:hint="eastAsia"/>
                <w:color w:val="auto"/>
              </w:rPr>
            </w:pPr>
            <w:r>
              <w:rPr>
                <w:rFonts w:hint="eastAsia"/>
                <w:color w:val="auto"/>
              </w:rPr>
              <w:t>本项目主要生产设备明细见表2-</w:t>
            </w:r>
            <w:r>
              <w:rPr>
                <w:rFonts w:hint="eastAsia"/>
                <w:color w:val="auto"/>
                <w:lang w:val="en-US" w:eastAsia="zh-CN"/>
              </w:rPr>
              <w:t>6</w:t>
            </w:r>
            <w:r>
              <w:rPr>
                <w:rFonts w:hint="eastAsia"/>
                <w:color w:val="auto"/>
              </w:rPr>
              <w:t>。</w:t>
            </w:r>
          </w:p>
          <w:p w14:paraId="1A4F0675">
            <w:pPr>
              <w:pStyle w:val="2"/>
              <w:keepNext w:val="0"/>
              <w:keepLines w:val="0"/>
              <w:suppressLineNumbers w:val="0"/>
              <w:spacing w:before="0" w:beforeAutospacing="0" w:after="0" w:afterAutospacing="0"/>
              <w:ind w:left="0" w:leftChars="0" w:right="0" w:firstLine="0" w:firstLineChars="0"/>
              <w:jc w:val="center"/>
              <w:rPr>
                <w:rFonts w:hint="eastAsia" w:eastAsia="黑体" w:cs="Times New Roman"/>
                <w:bCs/>
                <w:color w:val="auto"/>
                <w:szCs w:val="24"/>
              </w:rPr>
            </w:pPr>
            <w:r>
              <w:rPr>
                <w:rFonts w:hint="default" w:eastAsia="黑体" w:cs="Times New Roman"/>
                <w:bCs/>
                <w:color w:val="auto"/>
                <w:szCs w:val="24"/>
              </w:rPr>
              <w:t>表2-</w:t>
            </w:r>
            <w:r>
              <w:rPr>
                <w:rFonts w:hint="eastAsia" w:eastAsia="黑体" w:cs="Times New Roman"/>
                <w:bCs/>
                <w:color w:val="auto"/>
                <w:szCs w:val="24"/>
                <w:lang w:val="en-US" w:eastAsia="zh-CN"/>
              </w:rPr>
              <w:t>6</w:t>
            </w:r>
            <w:r>
              <w:rPr>
                <w:rFonts w:hint="default" w:eastAsia="黑体" w:cs="Times New Roman"/>
                <w:bCs/>
                <w:color w:val="auto"/>
                <w:szCs w:val="24"/>
              </w:rPr>
              <w:t xml:space="preserve">  </w:t>
            </w:r>
            <w:r>
              <w:rPr>
                <w:rFonts w:hint="eastAsia" w:eastAsia="黑体" w:cs="Times New Roman"/>
                <w:bCs/>
                <w:color w:val="auto"/>
                <w:szCs w:val="24"/>
              </w:rPr>
              <w:t>本项目生产线生产设备一览表</w:t>
            </w:r>
          </w:p>
          <w:tbl>
            <w:tblPr>
              <w:tblStyle w:val="16"/>
              <w:tblW w:w="7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95"/>
              <w:gridCol w:w="2360"/>
              <w:gridCol w:w="1917"/>
              <w:gridCol w:w="1021"/>
              <w:gridCol w:w="1708"/>
            </w:tblGrid>
            <w:tr w14:paraId="6A058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248764">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序号</w:t>
                  </w:r>
                </w:p>
              </w:tc>
              <w:tc>
                <w:tcPr>
                  <w:tcW w:w="1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6939DD">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仪器设备名称</w:t>
                  </w:r>
                </w:p>
              </w:tc>
              <w:tc>
                <w:tcPr>
                  <w:tcW w:w="12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93B4FD">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规格型号</w:t>
                  </w:r>
                </w:p>
              </w:tc>
              <w:tc>
                <w:tcPr>
                  <w:tcW w:w="6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45D80F">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数量（台</w:t>
                  </w:r>
                  <w:r>
                    <w:rPr>
                      <w:rFonts w:hint="default" w:ascii="Times New Roman" w:hAnsi="Times New Roman" w:eastAsia="宋体" w:cs="Times New Roman"/>
                      <w:color w:val="auto"/>
                      <w:kern w:val="2"/>
                      <w:sz w:val="21"/>
                      <w:szCs w:val="21"/>
                      <w:lang w:val="en-US" w:eastAsia="zh-CN" w:bidi="ar"/>
                    </w:rPr>
                    <w:t>/</w:t>
                  </w:r>
                  <w:r>
                    <w:rPr>
                      <w:rFonts w:hint="eastAsia" w:ascii="Times New Roman" w:hAnsi="Times New Roman" w:eastAsia="宋体" w:cs="宋体"/>
                      <w:color w:val="auto"/>
                      <w:kern w:val="2"/>
                      <w:sz w:val="21"/>
                      <w:szCs w:val="21"/>
                      <w:lang w:val="en-US" w:eastAsia="zh-CN" w:bidi="ar"/>
                    </w:rPr>
                    <w:t>套）</w:t>
                  </w:r>
                </w:p>
              </w:tc>
              <w:tc>
                <w:tcPr>
                  <w:tcW w:w="11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09D2BB">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所在工序</w:t>
                  </w:r>
                </w:p>
              </w:tc>
            </w:tr>
            <w:tr w14:paraId="241C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7D372A">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w:t>
                  </w:r>
                </w:p>
              </w:tc>
              <w:tc>
                <w:tcPr>
                  <w:tcW w:w="1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A8594F">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电子天平</w:t>
                  </w:r>
                </w:p>
              </w:tc>
              <w:tc>
                <w:tcPr>
                  <w:tcW w:w="12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ABCBF2">
                  <w:pPr>
                    <w:pStyle w:val="14"/>
                    <w:widowControl/>
                    <w:spacing w:line="240" w:lineRule="auto"/>
                    <w:ind w:left="0" w:leftChars="0" w:right="0" w:rightChars="0" w:firstLine="0" w:firstLineChars="0"/>
                    <w:jc w:val="center"/>
                    <w:rPr>
                      <w:rFonts w:hint="default"/>
                      <w:color w:val="auto"/>
                      <w:sz w:val="21"/>
                      <w:szCs w:val="21"/>
                      <w:lang w:val="en-US"/>
                    </w:rPr>
                  </w:pPr>
                  <w:r>
                    <w:rPr>
                      <w:rFonts w:hint="eastAsia" w:ascii="Times New Roman" w:hAnsi="Times New Roman" w:eastAsia="宋体" w:cs="宋体"/>
                      <w:color w:val="auto"/>
                      <w:sz w:val="21"/>
                      <w:szCs w:val="21"/>
                      <w:lang w:bidi="ar"/>
                    </w:rPr>
                    <w:t>浩展</w:t>
                  </w:r>
                  <w:r>
                    <w:rPr>
                      <w:rFonts w:cs="宋体"/>
                      <w:color w:val="auto"/>
                      <w:sz w:val="21"/>
                      <w:szCs w:val="21"/>
                      <w:lang w:val="en-US" w:bidi="ar"/>
                    </w:rPr>
                    <w:t>HZ-20003</w:t>
                  </w:r>
                </w:p>
              </w:tc>
              <w:tc>
                <w:tcPr>
                  <w:tcW w:w="6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4CDEA3">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w:t>
                  </w:r>
                </w:p>
              </w:tc>
              <w:tc>
                <w:tcPr>
                  <w:tcW w:w="11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C52796">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样本前处理</w:t>
                  </w:r>
                </w:p>
              </w:tc>
            </w:tr>
            <w:tr w14:paraId="6F68B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C1E934">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2</w:t>
                  </w:r>
                </w:p>
              </w:tc>
              <w:tc>
                <w:tcPr>
                  <w:tcW w:w="1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E698CA">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磁力搅拌器</w:t>
                  </w:r>
                </w:p>
              </w:tc>
              <w:tc>
                <w:tcPr>
                  <w:tcW w:w="12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E5D9F7">
                  <w:pPr>
                    <w:pStyle w:val="14"/>
                    <w:widowControl/>
                    <w:spacing w:line="240" w:lineRule="auto"/>
                    <w:ind w:left="0" w:leftChars="0" w:right="0" w:rightChars="0" w:firstLine="0" w:firstLineChars="0"/>
                    <w:jc w:val="center"/>
                    <w:rPr>
                      <w:rFonts w:hint="default"/>
                      <w:color w:val="auto"/>
                      <w:sz w:val="21"/>
                      <w:szCs w:val="21"/>
                      <w:lang w:val="en-US"/>
                    </w:rPr>
                  </w:pPr>
                  <w:r>
                    <w:rPr>
                      <w:rFonts w:cs="Times New Roman"/>
                      <w:color w:val="auto"/>
                      <w:sz w:val="21"/>
                      <w:szCs w:val="21"/>
                      <w:lang w:val="en-US" w:bidi="ar"/>
                    </w:rPr>
                    <w:t>SCILOGEX SCI-S</w:t>
                  </w:r>
                </w:p>
              </w:tc>
              <w:tc>
                <w:tcPr>
                  <w:tcW w:w="6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7BA2D7">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w:t>
                  </w:r>
                </w:p>
              </w:tc>
              <w:tc>
                <w:tcPr>
                  <w:tcW w:w="11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1B07CC">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样本前处理</w:t>
                  </w:r>
                </w:p>
              </w:tc>
            </w:tr>
            <w:tr w14:paraId="56393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55F03B">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3</w:t>
                  </w:r>
                </w:p>
              </w:tc>
              <w:tc>
                <w:tcPr>
                  <w:tcW w:w="1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EDD98D">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厌氧工作站</w:t>
                  </w:r>
                </w:p>
              </w:tc>
              <w:tc>
                <w:tcPr>
                  <w:tcW w:w="12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00CEE3">
                  <w:pPr>
                    <w:pStyle w:val="14"/>
                    <w:widowControl/>
                    <w:spacing w:line="240" w:lineRule="auto"/>
                    <w:ind w:left="0" w:leftChars="0" w:right="0" w:rightChars="0" w:firstLine="0" w:firstLineChars="0"/>
                    <w:jc w:val="center"/>
                    <w:rPr>
                      <w:rFonts w:hint="default"/>
                      <w:color w:val="auto"/>
                      <w:sz w:val="21"/>
                      <w:szCs w:val="21"/>
                      <w:lang w:val="en-US"/>
                    </w:rPr>
                  </w:pPr>
                  <w:r>
                    <w:rPr>
                      <w:rFonts w:cs="Times New Roman"/>
                      <w:color w:val="auto"/>
                      <w:sz w:val="21"/>
                      <w:szCs w:val="21"/>
                      <w:lang w:val="en-US" w:bidi="ar"/>
                    </w:rPr>
                    <w:t>NBYQX-Ⅱ</w:t>
                  </w:r>
                </w:p>
              </w:tc>
              <w:tc>
                <w:tcPr>
                  <w:tcW w:w="6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658EBB">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w:t>
                  </w:r>
                </w:p>
              </w:tc>
              <w:tc>
                <w:tcPr>
                  <w:tcW w:w="11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80D5DD">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样本前处理</w:t>
                  </w:r>
                </w:p>
              </w:tc>
            </w:tr>
            <w:tr w14:paraId="184F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8BFCC9">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4</w:t>
                  </w:r>
                </w:p>
              </w:tc>
              <w:tc>
                <w:tcPr>
                  <w:tcW w:w="1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BF9165">
                  <w:pPr>
                    <w:pStyle w:val="14"/>
                    <w:widowControl/>
                    <w:spacing w:line="240" w:lineRule="auto"/>
                    <w:ind w:left="0" w:leftChars="0" w:right="0" w:rightChars="0" w:firstLine="0" w:firstLineChars="0"/>
                    <w:jc w:val="center"/>
                    <w:rPr>
                      <w:rFonts w:hint="eastAsia" w:ascii="Times New Roman" w:hAnsi="Times New Roman" w:eastAsia="宋体" w:cs="宋体"/>
                      <w:color w:val="auto"/>
                      <w:kern w:val="2"/>
                      <w:sz w:val="21"/>
                      <w:szCs w:val="21"/>
                      <w:lang w:val="en-US" w:eastAsia="zh-CN" w:bidi="ar"/>
                    </w:rPr>
                  </w:pPr>
                  <w:r>
                    <w:rPr>
                      <w:rFonts w:hint="eastAsia" w:ascii="Times New Roman" w:hAnsi="Times New Roman" w:eastAsia="宋体" w:cs="宋体"/>
                      <w:color w:val="auto"/>
                      <w:sz w:val="21"/>
                      <w:szCs w:val="21"/>
                      <w:lang w:bidi="ar"/>
                    </w:rPr>
                    <w:t>双阀数控式手提灭菌锅</w:t>
                  </w:r>
                </w:p>
              </w:tc>
              <w:tc>
                <w:tcPr>
                  <w:tcW w:w="12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5C208B">
                  <w:pPr>
                    <w:pStyle w:val="14"/>
                    <w:widowControl/>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宋体"/>
                      <w:color w:val="auto"/>
                      <w:sz w:val="21"/>
                      <w:szCs w:val="21"/>
                      <w:lang w:bidi="ar"/>
                    </w:rPr>
                    <w:t>胜达</w:t>
                  </w:r>
                  <w:r>
                    <w:rPr>
                      <w:rFonts w:cs="宋体"/>
                      <w:color w:val="auto"/>
                      <w:sz w:val="21"/>
                      <w:szCs w:val="21"/>
                      <w:lang w:val="en-US" w:bidi="ar"/>
                    </w:rPr>
                    <w:t>LH-18L</w:t>
                  </w:r>
                </w:p>
              </w:tc>
              <w:tc>
                <w:tcPr>
                  <w:tcW w:w="6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A909A3">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1</w:t>
                  </w:r>
                </w:p>
              </w:tc>
              <w:tc>
                <w:tcPr>
                  <w:tcW w:w="11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12DF9C">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宋体"/>
                      <w:color w:val="auto"/>
                      <w:kern w:val="2"/>
                      <w:sz w:val="21"/>
                      <w:szCs w:val="21"/>
                      <w:lang w:val="en-US" w:eastAsia="zh-CN" w:bidi="ar"/>
                    </w:rPr>
                  </w:pPr>
                  <w:r>
                    <w:rPr>
                      <w:rFonts w:hint="eastAsia" w:ascii="Times New Roman" w:hAnsi="Times New Roman" w:eastAsia="宋体" w:cs="宋体"/>
                      <w:color w:val="auto"/>
                      <w:kern w:val="2"/>
                      <w:sz w:val="21"/>
                      <w:szCs w:val="21"/>
                      <w:lang w:val="en-US" w:eastAsia="zh-CN" w:bidi="ar"/>
                    </w:rPr>
                    <w:t>胶囊制备</w:t>
                  </w:r>
                </w:p>
              </w:tc>
            </w:tr>
            <w:tr w14:paraId="28E9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77BD5D">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5</w:t>
                  </w:r>
                </w:p>
              </w:tc>
              <w:tc>
                <w:tcPr>
                  <w:tcW w:w="1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3F8AC1">
                  <w:pPr>
                    <w:pStyle w:val="14"/>
                    <w:widowControl/>
                    <w:spacing w:line="240" w:lineRule="auto"/>
                    <w:ind w:left="0" w:leftChars="0" w:right="0" w:rightChars="0" w:firstLine="0" w:firstLineChars="0"/>
                    <w:jc w:val="center"/>
                    <w:rPr>
                      <w:rFonts w:hint="eastAsia" w:ascii="Times New Roman" w:hAnsi="Times New Roman" w:eastAsia="宋体" w:cs="宋体"/>
                      <w:color w:val="auto"/>
                      <w:kern w:val="2"/>
                      <w:sz w:val="21"/>
                      <w:szCs w:val="21"/>
                      <w:lang w:val="en-US" w:eastAsia="zh-CN" w:bidi="ar"/>
                    </w:rPr>
                  </w:pPr>
                  <w:r>
                    <w:rPr>
                      <w:rFonts w:hint="eastAsia" w:ascii="Times New Roman" w:hAnsi="Times New Roman" w:eastAsia="宋体" w:cs="宋体"/>
                      <w:color w:val="auto"/>
                      <w:sz w:val="21"/>
                      <w:szCs w:val="21"/>
                      <w:lang w:bidi="ar"/>
                    </w:rPr>
                    <w:t>生物安全柜</w:t>
                  </w:r>
                </w:p>
              </w:tc>
              <w:tc>
                <w:tcPr>
                  <w:tcW w:w="12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9B83B8">
                  <w:pPr>
                    <w:pStyle w:val="14"/>
                    <w:widowControl/>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宋体"/>
                      <w:color w:val="auto"/>
                      <w:sz w:val="21"/>
                      <w:szCs w:val="21"/>
                      <w:lang w:bidi="ar"/>
                    </w:rPr>
                    <w:t>金净</w:t>
                  </w:r>
                  <w:r>
                    <w:rPr>
                      <w:rFonts w:cs="Times New Roman"/>
                      <w:color w:val="auto"/>
                      <w:sz w:val="21"/>
                      <w:szCs w:val="21"/>
                      <w:lang w:val="en-US" w:bidi="ar"/>
                    </w:rPr>
                    <w:t>BHC-1300ⅡA2</w:t>
                  </w:r>
                </w:p>
              </w:tc>
              <w:tc>
                <w:tcPr>
                  <w:tcW w:w="6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BE7688">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1</w:t>
                  </w:r>
                </w:p>
              </w:tc>
              <w:tc>
                <w:tcPr>
                  <w:tcW w:w="11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9F0867">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宋体"/>
                      <w:color w:val="auto"/>
                      <w:kern w:val="2"/>
                      <w:sz w:val="21"/>
                      <w:szCs w:val="21"/>
                      <w:lang w:val="en-US" w:eastAsia="zh-CN" w:bidi="ar"/>
                    </w:rPr>
                  </w:pPr>
                  <w:r>
                    <w:rPr>
                      <w:rFonts w:hint="eastAsia" w:ascii="Times New Roman" w:hAnsi="Times New Roman" w:eastAsia="宋体" w:cs="宋体"/>
                      <w:color w:val="auto"/>
                      <w:kern w:val="2"/>
                      <w:sz w:val="21"/>
                      <w:szCs w:val="21"/>
                      <w:lang w:val="en-US" w:eastAsia="zh-CN" w:bidi="ar"/>
                    </w:rPr>
                    <w:t>样本前处理</w:t>
                  </w:r>
                </w:p>
              </w:tc>
            </w:tr>
            <w:tr w14:paraId="1C779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5FE6AD">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6</w:t>
                  </w:r>
                </w:p>
              </w:tc>
              <w:tc>
                <w:tcPr>
                  <w:tcW w:w="1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7613CE">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大型超净台</w:t>
                  </w:r>
                </w:p>
              </w:tc>
              <w:tc>
                <w:tcPr>
                  <w:tcW w:w="12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9F59A0">
                  <w:pPr>
                    <w:pStyle w:val="14"/>
                    <w:widowControl/>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宋体"/>
                      <w:color w:val="auto"/>
                      <w:sz w:val="21"/>
                      <w:szCs w:val="21"/>
                      <w:lang w:bidi="ar"/>
                    </w:rPr>
                    <w:t>卢湘仪</w:t>
                  </w:r>
                  <w:r>
                    <w:rPr>
                      <w:rFonts w:cs="Times New Roman"/>
                      <w:color w:val="auto"/>
                      <w:sz w:val="21"/>
                      <w:szCs w:val="21"/>
                      <w:lang w:val="en-US" w:bidi="ar"/>
                    </w:rPr>
                    <w:t>DL-5M</w:t>
                  </w:r>
                </w:p>
              </w:tc>
              <w:tc>
                <w:tcPr>
                  <w:tcW w:w="6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754446">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2</w:t>
                  </w:r>
                </w:p>
              </w:tc>
              <w:tc>
                <w:tcPr>
                  <w:tcW w:w="11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1FD51D">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菌群分离与浓缩</w:t>
                  </w:r>
                </w:p>
              </w:tc>
            </w:tr>
            <w:tr w14:paraId="65E26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0650A8">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7</w:t>
                  </w:r>
                </w:p>
              </w:tc>
              <w:tc>
                <w:tcPr>
                  <w:tcW w:w="1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0590E4">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低温高速离心机</w:t>
                  </w:r>
                </w:p>
              </w:tc>
              <w:tc>
                <w:tcPr>
                  <w:tcW w:w="12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E2ABF0">
                  <w:pPr>
                    <w:pStyle w:val="14"/>
                    <w:widowControl/>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
                    </w:rPr>
                  </w:pPr>
                  <w:r>
                    <w:rPr>
                      <w:rFonts w:cs="Times New Roman"/>
                      <w:color w:val="auto"/>
                      <w:sz w:val="21"/>
                      <w:szCs w:val="21"/>
                      <w:lang w:val="en-US" w:bidi="ar"/>
                    </w:rPr>
                    <w:t>Ependorf 5424</w:t>
                  </w:r>
                </w:p>
              </w:tc>
              <w:tc>
                <w:tcPr>
                  <w:tcW w:w="6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C33F3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w:t>
                  </w:r>
                </w:p>
              </w:tc>
              <w:tc>
                <w:tcPr>
                  <w:tcW w:w="11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7FEAB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菌群分离与浓缩</w:t>
                  </w:r>
                </w:p>
              </w:tc>
            </w:tr>
            <w:tr w14:paraId="7066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60E55E">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8</w:t>
                  </w:r>
                </w:p>
              </w:tc>
              <w:tc>
                <w:tcPr>
                  <w:tcW w:w="1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75D59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小型常温离心机</w:t>
                  </w:r>
                </w:p>
              </w:tc>
              <w:tc>
                <w:tcPr>
                  <w:tcW w:w="12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1574F4">
                  <w:pPr>
                    <w:pStyle w:val="14"/>
                    <w:widowControl/>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宋体"/>
                      <w:color w:val="auto"/>
                      <w:sz w:val="21"/>
                      <w:szCs w:val="21"/>
                      <w:lang w:bidi="ar"/>
                    </w:rPr>
                    <w:t>金净</w:t>
                  </w:r>
                  <w:r>
                    <w:rPr>
                      <w:rFonts w:cs="Times New Roman"/>
                      <w:color w:val="auto"/>
                      <w:sz w:val="21"/>
                      <w:szCs w:val="21"/>
                      <w:lang w:val="en-US" w:bidi="ar"/>
                    </w:rPr>
                    <w:t>BHC-1300ⅡA2</w:t>
                  </w:r>
                </w:p>
              </w:tc>
              <w:tc>
                <w:tcPr>
                  <w:tcW w:w="6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4AC01A">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w:t>
                  </w:r>
                </w:p>
              </w:tc>
              <w:tc>
                <w:tcPr>
                  <w:tcW w:w="11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86C0C7">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菌群分离与浓缩</w:t>
                  </w:r>
                </w:p>
              </w:tc>
            </w:tr>
            <w:tr w14:paraId="5BE6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0C01D9">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9</w:t>
                  </w:r>
                </w:p>
              </w:tc>
              <w:tc>
                <w:tcPr>
                  <w:tcW w:w="1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FEF43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100</w:t>
                  </w:r>
                  <w:r>
                    <w:rPr>
                      <w:rFonts w:hint="eastAsia" w:ascii="Times New Roman" w:hAnsi="Times New Roman" w:eastAsia="宋体" w:cs="宋体"/>
                      <w:color w:val="auto"/>
                      <w:kern w:val="2"/>
                      <w:sz w:val="21"/>
                      <w:szCs w:val="21"/>
                      <w:lang w:val="en-US" w:eastAsia="zh-CN" w:bidi="ar"/>
                    </w:rPr>
                    <w:t>孔胶囊灌装填充板</w:t>
                  </w:r>
                </w:p>
              </w:tc>
              <w:tc>
                <w:tcPr>
                  <w:tcW w:w="12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A31A43">
                  <w:pPr>
                    <w:pStyle w:val="14"/>
                    <w:widowControl/>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宋体"/>
                      <w:color w:val="auto"/>
                      <w:sz w:val="21"/>
                      <w:szCs w:val="21"/>
                      <w:lang w:bidi="ar"/>
                    </w:rPr>
                    <w:t>上海红星</w:t>
                  </w:r>
                  <w:r>
                    <w:rPr>
                      <w:rFonts w:cs="Times New Roman"/>
                      <w:color w:val="auto"/>
                      <w:sz w:val="21"/>
                      <w:szCs w:val="21"/>
                      <w:lang w:val="en-US" w:bidi="ar"/>
                    </w:rPr>
                    <w:t>0#100</w:t>
                  </w:r>
                </w:p>
              </w:tc>
              <w:tc>
                <w:tcPr>
                  <w:tcW w:w="6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A5A6F9">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w:t>
                  </w:r>
                </w:p>
              </w:tc>
              <w:tc>
                <w:tcPr>
                  <w:tcW w:w="11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D0E1A3">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胶囊制备</w:t>
                  </w:r>
                </w:p>
              </w:tc>
            </w:tr>
            <w:tr w14:paraId="5DC3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FFEB6B">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10</w:t>
                  </w:r>
                </w:p>
              </w:tc>
              <w:tc>
                <w:tcPr>
                  <w:tcW w:w="1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6B119B">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紫外分光光度计</w:t>
                  </w:r>
                </w:p>
              </w:tc>
              <w:tc>
                <w:tcPr>
                  <w:tcW w:w="12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269A10">
                  <w:pPr>
                    <w:pStyle w:val="14"/>
                    <w:widowControl/>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宋体"/>
                      <w:color w:val="auto"/>
                      <w:sz w:val="21"/>
                      <w:szCs w:val="21"/>
                      <w:lang w:bidi="ar"/>
                    </w:rPr>
                    <w:t>天根</w:t>
                  </w:r>
                  <w:r>
                    <w:rPr>
                      <w:rFonts w:cs="Times New Roman"/>
                      <w:color w:val="auto"/>
                      <w:sz w:val="21"/>
                      <w:szCs w:val="21"/>
                      <w:lang w:val="en-US" w:bidi="ar"/>
                    </w:rPr>
                    <w:t>OSE-260-01</w:t>
                  </w:r>
                </w:p>
              </w:tc>
              <w:tc>
                <w:tcPr>
                  <w:tcW w:w="6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83F570">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w:t>
                  </w:r>
                </w:p>
              </w:tc>
              <w:tc>
                <w:tcPr>
                  <w:tcW w:w="11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1C0B45">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质量控制</w:t>
                  </w:r>
                </w:p>
              </w:tc>
            </w:tr>
            <w:tr w14:paraId="2FC8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479B66">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11</w:t>
                  </w:r>
                </w:p>
              </w:tc>
              <w:tc>
                <w:tcPr>
                  <w:tcW w:w="1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3F724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微生物培养箱</w:t>
                  </w:r>
                </w:p>
              </w:tc>
              <w:tc>
                <w:tcPr>
                  <w:tcW w:w="12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A1435F">
                  <w:pPr>
                    <w:pStyle w:val="14"/>
                    <w:widowControl/>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宋体"/>
                      <w:color w:val="auto"/>
                      <w:sz w:val="21"/>
                      <w:szCs w:val="21"/>
                      <w:lang w:bidi="ar"/>
                    </w:rPr>
                    <w:t>一恒</w:t>
                  </w:r>
                  <w:r>
                    <w:rPr>
                      <w:rFonts w:cs="Times New Roman"/>
                      <w:color w:val="auto"/>
                      <w:sz w:val="21"/>
                      <w:szCs w:val="21"/>
                      <w:lang w:val="en-US" w:bidi="ar"/>
                    </w:rPr>
                    <w:t>DHP-9211</w:t>
                  </w:r>
                </w:p>
              </w:tc>
              <w:tc>
                <w:tcPr>
                  <w:tcW w:w="6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C6DA19">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w:t>
                  </w:r>
                </w:p>
              </w:tc>
              <w:tc>
                <w:tcPr>
                  <w:tcW w:w="11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A25896">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质量控制</w:t>
                  </w:r>
                </w:p>
              </w:tc>
            </w:tr>
            <w:tr w14:paraId="44216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E60E89">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12</w:t>
                  </w:r>
                </w:p>
              </w:tc>
              <w:tc>
                <w:tcPr>
                  <w:tcW w:w="1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9C007E">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电热恒温水槽</w:t>
                  </w:r>
                </w:p>
              </w:tc>
              <w:tc>
                <w:tcPr>
                  <w:tcW w:w="12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44BAB1">
                  <w:pPr>
                    <w:pStyle w:val="14"/>
                    <w:widowControl/>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宋体"/>
                      <w:color w:val="auto"/>
                      <w:sz w:val="21"/>
                      <w:szCs w:val="21"/>
                      <w:lang w:bidi="ar"/>
                    </w:rPr>
                    <w:t>群安</w:t>
                  </w:r>
                  <w:r>
                    <w:rPr>
                      <w:rFonts w:cs="Times New Roman"/>
                      <w:color w:val="auto"/>
                      <w:sz w:val="21"/>
                      <w:szCs w:val="21"/>
                      <w:lang w:val="en-US" w:bidi="ar"/>
                    </w:rPr>
                    <w:t>BHS-1</w:t>
                  </w:r>
                </w:p>
              </w:tc>
              <w:tc>
                <w:tcPr>
                  <w:tcW w:w="6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5ED4A6">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w:t>
                  </w:r>
                </w:p>
              </w:tc>
              <w:tc>
                <w:tcPr>
                  <w:tcW w:w="11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13801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包装与储存</w:t>
                  </w:r>
                </w:p>
              </w:tc>
            </w:tr>
            <w:tr w14:paraId="17BD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4B0CA6">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13</w:t>
                  </w:r>
                </w:p>
              </w:tc>
              <w:tc>
                <w:tcPr>
                  <w:tcW w:w="1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465CD3">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-20℃</w:t>
                  </w:r>
                  <w:r>
                    <w:rPr>
                      <w:rFonts w:hint="eastAsia" w:ascii="Times New Roman" w:hAnsi="Times New Roman" w:eastAsia="宋体" w:cs="宋体"/>
                      <w:color w:val="auto"/>
                      <w:kern w:val="2"/>
                      <w:sz w:val="21"/>
                      <w:szCs w:val="21"/>
                      <w:lang w:val="en-US" w:eastAsia="zh-CN" w:bidi="ar"/>
                    </w:rPr>
                    <w:t>冰柜</w:t>
                  </w:r>
                </w:p>
              </w:tc>
              <w:tc>
                <w:tcPr>
                  <w:tcW w:w="12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ECB0B3">
                  <w:pPr>
                    <w:pStyle w:val="14"/>
                    <w:widowControl/>
                    <w:spacing w:line="240" w:lineRule="auto"/>
                    <w:ind w:left="0" w:leftChars="0" w:right="0" w:rightChars="0" w:firstLine="0" w:firstLineChars="0"/>
                    <w:jc w:val="center"/>
                    <w:rPr>
                      <w:rFonts w:hint="default"/>
                      <w:color w:val="auto"/>
                      <w:sz w:val="21"/>
                      <w:szCs w:val="21"/>
                      <w:lang w:val="en-US"/>
                    </w:rPr>
                  </w:pPr>
                  <w:r>
                    <w:rPr>
                      <w:rFonts w:hint="eastAsia" w:ascii="Times New Roman" w:hAnsi="Times New Roman" w:eastAsia="宋体" w:cs="宋体"/>
                      <w:color w:val="auto"/>
                      <w:sz w:val="21"/>
                      <w:szCs w:val="21"/>
                      <w:lang w:bidi="ar"/>
                    </w:rPr>
                    <w:t>雪贝娜</w:t>
                  </w:r>
                  <w:r>
                    <w:rPr>
                      <w:rFonts w:cs="Times New Roman"/>
                      <w:color w:val="auto"/>
                      <w:sz w:val="21"/>
                      <w:szCs w:val="21"/>
                      <w:lang w:val="en-US" w:bidi="ar"/>
                    </w:rPr>
                    <w:t>588</w:t>
                  </w:r>
                </w:p>
              </w:tc>
              <w:tc>
                <w:tcPr>
                  <w:tcW w:w="6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D9DBA6">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w:t>
                  </w:r>
                </w:p>
              </w:tc>
              <w:tc>
                <w:tcPr>
                  <w:tcW w:w="11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E586EE">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包装与储存</w:t>
                  </w:r>
                </w:p>
              </w:tc>
            </w:tr>
            <w:tr w14:paraId="62A50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C1D178">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14</w:t>
                  </w:r>
                </w:p>
              </w:tc>
              <w:tc>
                <w:tcPr>
                  <w:tcW w:w="1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0E727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-80℃</w:t>
                  </w:r>
                  <w:r>
                    <w:rPr>
                      <w:rFonts w:hint="eastAsia" w:ascii="Times New Roman" w:hAnsi="Times New Roman" w:eastAsia="宋体" w:cs="宋体"/>
                      <w:color w:val="auto"/>
                      <w:kern w:val="2"/>
                      <w:sz w:val="21"/>
                      <w:szCs w:val="21"/>
                      <w:lang w:val="en-US" w:eastAsia="zh-CN" w:bidi="ar"/>
                    </w:rPr>
                    <w:t>生物柜</w:t>
                  </w:r>
                </w:p>
              </w:tc>
              <w:tc>
                <w:tcPr>
                  <w:tcW w:w="12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C2AEE4">
                  <w:pPr>
                    <w:pStyle w:val="14"/>
                    <w:widowControl/>
                    <w:spacing w:line="240" w:lineRule="auto"/>
                    <w:ind w:left="0" w:leftChars="0" w:right="0" w:rightChars="0" w:firstLine="0" w:firstLineChars="0"/>
                    <w:jc w:val="center"/>
                    <w:rPr>
                      <w:rFonts w:hint="default"/>
                      <w:color w:val="auto"/>
                      <w:sz w:val="21"/>
                      <w:szCs w:val="21"/>
                      <w:lang w:val="en-US"/>
                    </w:rPr>
                  </w:pPr>
                  <w:r>
                    <w:rPr>
                      <w:rFonts w:hint="eastAsia" w:ascii="Times New Roman" w:hAnsi="Times New Roman" w:eastAsia="宋体" w:cs="宋体"/>
                      <w:color w:val="auto"/>
                      <w:sz w:val="21"/>
                      <w:szCs w:val="21"/>
                      <w:lang w:bidi="ar"/>
                    </w:rPr>
                    <w:t>美菱</w:t>
                  </w:r>
                  <w:r>
                    <w:rPr>
                      <w:rFonts w:cs="Times New Roman"/>
                      <w:color w:val="auto"/>
                      <w:sz w:val="21"/>
                      <w:szCs w:val="21"/>
                      <w:lang w:val="en-US" w:bidi="ar"/>
                    </w:rPr>
                    <w:t>DW-HL398</w:t>
                  </w:r>
                </w:p>
              </w:tc>
              <w:tc>
                <w:tcPr>
                  <w:tcW w:w="6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4F729D">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3</w:t>
                  </w:r>
                </w:p>
              </w:tc>
              <w:tc>
                <w:tcPr>
                  <w:tcW w:w="110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652849">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包装与储存</w:t>
                  </w:r>
                </w:p>
              </w:tc>
            </w:tr>
          </w:tbl>
          <w:p w14:paraId="568DAC5A">
            <w:pPr>
              <w:pStyle w:val="2"/>
              <w:keepNext w:val="0"/>
              <w:keepLines w:val="0"/>
              <w:suppressLineNumbers w:val="0"/>
              <w:spacing w:before="0" w:beforeAutospacing="0" w:after="0" w:afterAutospacing="0"/>
              <w:ind w:left="0" w:leftChars="0" w:right="0" w:firstLine="0" w:firstLineChars="0"/>
              <w:jc w:val="both"/>
              <w:rPr>
                <w:rFonts w:hint="eastAsia" w:eastAsia="黑体" w:cs="Times New Roman"/>
                <w:bCs/>
                <w:color w:val="auto"/>
                <w:szCs w:val="24"/>
                <w:lang w:eastAsia="zh-CN"/>
              </w:rPr>
            </w:pPr>
          </w:p>
          <w:p w14:paraId="3C03B08C">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6、生产组织及劳动定员</w:t>
            </w:r>
          </w:p>
          <w:p w14:paraId="0A118139">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本项目建成后，劳动定员</w:t>
            </w:r>
            <w:r>
              <w:rPr>
                <w:rFonts w:hint="eastAsia"/>
                <w:color w:val="auto"/>
                <w:lang w:val="en-US" w:eastAsia="zh-CN"/>
              </w:rPr>
              <w:t>20</w:t>
            </w:r>
            <w:r>
              <w:rPr>
                <w:rFonts w:hint="eastAsia"/>
                <w:color w:val="auto"/>
              </w:rPr>
              <w:t>人，单班制，年工作</w:t>
            </w:r>
            <w:r>
              <w:rPr>
                <w:rFonts w:hint="eastAsia"/>
                <w:color w:val="auto"/>
                <w:lang w:val="en-US" w:eastAsia="zh-CN"/>
              </w:rPr>
              <w:t>248</w:t>
            </w:r>
            <w:r>
              <w:rPr>
                <w:rFonts w:hint="eastAsia"/>
                <w:color w:val="auto"/>
              </w:rPr>
              <w:t>天，年工作</w:t>
            </w:r>
            <w:r>
              <w:rPr>
                <w:rFonts w:hint="eastAsia"/>
                <w:color w:val="auto"/>
                <w:lang w:val="en-US" w:eastAsia="zh-CN"/>
              </w:rPr>
              <w:t>1984</w:t>
            </w:r>
            <w:r>
              <w:rPr>
                <w:rFonts w:hint="eastAsia"/>
                <w:color w:val="auto"/>
              </w:rPr>
              <w:t>h。</w:t>
            </w:r>
          </w:p>
          <w:p w14:paraId="41EE39D4">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7、公用工程</w:t>
            </w:r>
          </w:p>
          <w:p w14:paraId="03B6A750">
            <w:pPr>
              <w:pStyle w:val="2"/>
              <w:keepNext w:val="0"/>
              <w:keepLines w:val="0"/>
              <w:suppressLineNumbers w:val="0"/>
              <w:spacing w:before="0" w:beforeAutospacing="0" w:after="0" w:afterAutospacing="0"/>
              <w:ind w:left="0" w:right="0" w:firstLine="480"/>
              <w:rPr>
                <w:rFonts w:hint="default" w:eastAsia="宋体"/>
                <w:color w:val="auto"/>
                <w:highlight w:val="yellow"/>
                <w:lang w:val="en-US" w:eastAsia="zh-CN"/>
              </w:rPr>
            </w:pPr>
            <w:r>
              <w:rPr>
                <w:rFonts w:hint="eastAsia"/>
                <w:color w:val="auto"/>
              </w:rPr>
              <w:t>供水：本项目用水由余杭区</w:t>
            </w:r>
            <w:r>
              <w:rPr>
                <w:rFonts w:hint="eastAsia"/>
                <w:color w:val="auto"/>
                <w:lang w:val="en-US" w:eastAsia="zh-CN"/>
              </w:rPr>
              <w:t>市政</w:t>
            </w:r>
            <w:r>
              <w:rPr>
                <w:rFonts w:hint="eastAsia"/>
                <w:color w:val="auto"/>
              </w:rPr>
              <w:t>自来水管道接入，年用水量约为</w:t>
            </w:r>
            <w:r>
              <w:rPr>
                <w:rFonts w:hint="eastAsia"/>
                <w:color w:val="auto"/>
                <w:lang w:val="en-US" w:eastAsia="zh-CN"/>
              </w:rPr>
              <w:t>555.52</w:t>
            </w:r>
            <w:r>
              <w:rPr>
                <w:rFonts w:hint="eastAsia"/>
                <w:color w:val="auto"/>
              </w:rPr>
              <w:t>t/a</w:t>
            </w:r>
            <w:r>
              <w:rPr>
                <w:rFonts w:hint="eastAsia"/>
                <w:color w:val="auto"/>
                <w:lang w:eastAsia="zh-CN"/>
              </w:rPr>
              <w:t>，</w:t>
            </w:r>
            <w:r>
              <w:rPr>
                <w:rFonts w:hint="eastAsia"/>
                <w:color w:val="auto"/>
                <w:lang w:val="en-US" w:eastAsia="zh-CN"/>
              </w:rPr>
              <w:t>实验器具清洗使用纯水全部外购，年用量约为10.14t/a。</w:t>
            </w:r>
          </w:p>
          <w:p w14:paraId="6F0CBABF">
            <w:pPr>
              <w:pStyle w:val="2"/>
              <w:keepNext w:val="0"/>
              <w:keepLines w:val="0"/>
              <w:suppressLineNumbers w:val="0"/>
              <w:spacing w:before="0" w:beforeAutospacing="0" w:after="0" w:afterAutospacing="0"/>
              <w:ind w:left="0" w:right="0" w:firstLine="480"/>
              <w:rPr>
                <w:rFonts w:hint="eastAsia" w:eastAsia="宋体"/>
                <w:color w:val="auto"/>
                <w:lang w:val="en-US" w:eastAsia="zh-CN"/>
              </w:rPr>
            </w:pPr>
            <w:r>
              <w:rPr>
                <w:rFonts w:hint="eastAsia"/>
                <w:color w:val="auto"/>
              </w:rPr>
              <w:t>排水：采用雨、污分流，雨水收集后排入市政雨水管网。生活污水年排放量约为396.8t/a，经化粪池预处理后进入市政污水官网，进入余杭污水处理厂处理，实验废水年排放量47.62t/a，经实验室污水处理设施处理（主要工艺：重金属吸附+混凝过滤+多介质过滤</w:t>
            </w:r>
            <w:r>
              <w:rPr>
                <w:rFonts w:hint="eastAsia"/>
                <w:color w:val="auto"/>
                <w:lang w:val="en-US" w:eastAsia="zh-CN"/>
              </w:rPr>
              <w:t>+消毒</w:t>
            </w:r>
            <w:r>
              <w:rPr>
                <w:rFonts w:hint="eastAsia"/>
                <w:color w:val="auto"/>
              </w:rPr>
              <w:t>）后，进入余杭污水处理厂处理。</w:t>
            </w:r>
          </w:p>
          <w:p w14:paraId="286F9F1A">
            <w:pPr>
              <w:pStyle w:val="2"/>
              <w:keepNext w:val="0"/>
              <w:keepLines w:val="0"/>
              <w:suppressLineNumbers w:val="0"/>
              <w:spacing w:before="0" w:beforeAutospacing="0" w:after="0" w:afterAutospacing="0"/>
              <w:ind w:left="0" w:right="0" w:firstLine="480"/>
              <w:rPr>
                <w:rFonts w:hint="eastAsia"/>
                <w:color w:val="auto"/>
              </w:rPr>
            </w:pPr>
            <w:r>
              <w:rPr>
                <w:rFonts w:hint="eastAsia"/>
                <w:color w:val="auto"/>
              </w:rPr>
              <w:t>供电：项目所需用电由余杭区供电电网接入供电，项目建成后年用电量约为</w:t>
            </w:r>
            <w:r>
              <w:rPr>
                <w:rFonts w:hint="eastAsia"/>
                <w:color w:val="auto"/>
                <w:lang w:val="en-US" w:eastAsia="zh-CN"/>
              </w:rPr>
              <w:t>1</w:t>
            </w:r>
            <w:r>
              <w:rPr>
                <w:rFonts w:hint="eastAsia"/>
                <w:color w:val="auto"/>
              </w:rPr>
              <w:t>万kW·h。</w:t>
            </w:r>
          </w:p>
          <w:p w14:paraId="1E00843B">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jc w:val="both"/>
              <w:textAlignment w:val="auto"/>
              <w:rPr>
                <w:rFonts w:hint="default"/>
                <w:color w:val="auto"/>
                <w:lang w:val="en-US" w:eastAsia="zh-CN"/>
              </w:rPr>
            </w:pPr>
            <w:r>
              <w:rPr>
                <w:rFonts w:hint="eastAsia"/>
                <w:color w:val="auto"/>
                <w:lang w:val="en-US" w:eastAsia="zh-CN"/>
              </w:rPr>
              <w:t>洁净室：本项目清洗灭菌区、胶囊制备区要求设置10万级洁净车间，总占地面积约为32m</w:t>
            </w:r>
            <w:r>
              <w:rPr>
                <w:rFonts w:hint="eastAsia"/>
                <w:color w:val="auto"/>
                <w:vertAlign w:val="superscript"/>
                <w:lang w:val="en-US" w:eastAsia="zh-CN"/>
              </w:rPr>
              <w:t>2</w:t>
            </w:r>
            <w:r>
              <w:rPr>
                <w:rFonts w:hint="eastAsia"/>
                <w:color w:val="auto"/>
                <w:lang w:val="en-US" w:eastAsia="zh-CN"/>
              </w:rPr>
              <w:t>，地面采用环氧树脂地坪重点防渗，顶部采用彩钢板安装，施工方案符合《洁净厂房施工及质量验收规范》(GB 51110-2015)中净化厂房设计和施工标准要求。</w:t>
            </w:r>
          </w:p>
          <w:p w14:paraId="6B25890C">
            <w:pPr>
              <w:pStyle w:val="2"/>
              <w:keepNext w:val="0"/>
              <w:keepLines w:val="0"/>
              <w:numPr>
                <w:ilvl w:val="0"/>
                <w:numId w:val="2"/>
              </w:numPr>
              <w:suppressLineNumbers w:val="0"/>
              <w:spacing w:before="0" w:beforeAutospacing="0" w:after="0" w:afterAutospacing="0"/>
              <w:ind w:left="0" w:right="0" w:firstLine="480"/>
              <w:rPr>
                <w:rFonts w:hint="eastAsia"/>
                <w:color w:val="auto"/>
              </w:rPr>
            </w:pPr>
            <w:r>
              <w:rPr>
                <w:rFonts w:hint="eastAsia"/>
                <w:color w:val="auto"/>
              </w:rPr>
              <w:t>水平衡</w:t>
            </w:r>
          </w:p>
          <w:p w14:paraId="418110F1">
            <w:pPr>
              <w:pStyle w:val="2"/>
              <w:keepNext w:val="0"/>
              <w:keepLines w:val="0"/>
              <w:numPr>
                <w:ilvl w:val="0"/>
                <w:numId w:val="0"/>
              </w:numPr>
              <w:suppressLineNumbers w:val="0"/>
              <w:spacing w:before="0" w:beforeAutospacing="0" w:after="0" w:afterAutospacing="0"/>
              <w:ind w:left="0" w:right="0"/>
              <w:jc w:val="center"/>
              <w:rPr>
                <w:rFonts w:hint="eastAsia"/>
                <w:color w:val="auto"/>
              </w:rPr>
            </w:pPr>
            <w:r>
              <w:rPr>
                <w:rFonts w:hint="default"/>
                <w:color w:val="auto"/>
              </w:rPr>
              <w:drawing>
                <wp:inline distT="0" distB="0" distL="114300" distR="114300">
                  <wp:extent cx="4664710" cy="3702050"/>
                  <wp:effectExtent l="0" t="0" r="13970" b="127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
                          <a:stretch>
                            <a:fillRect/>
                          </a:stretch>
                        </pic:blipFill>
                        <pic:spPr>
                          <a:xfrm>
                            <a:off x="0" y="0"/>
                            <a:ext cx="4664710" cy="3702050"/>
                          </a:xfrm>
                          <a:prstGeom prst="rect">
                            <a:avLst/>
                          </a:prstGeom>
                          <a:noFill/>
                          <a:ln>
                            <a:noFill/>
                          </a:ln>
                        </pic:spPr>
                      </pic:pic>
                    </a:graphicData>
                  </a:graphic>
                </wp:inline>
              </w:drawing>
            </w:r>
          </w:p>
          <w:p w14:paraId="04B3421E">
            <w:pPr>
              <w:pStyle w:val="2"/>
              <w:keepNext w:val="0"/>
              <w:keepLines w:val="0"/>
              <w:suppressLineNumbers w:val="0"/>
              <w:spacing w:before="0" w:beforeAutospacing="0" w:after="0" w:afterAutospacing="0"/>
              <w:ind w:left="0" w:right="0" w:firstLine="0" w:firstLineChars="0"/>
              <w:jc w:val="center"/>
              <w:rPr>
                <w:rFonts w:hint="default" w:eastAsia="宋体"/>
                <w:color w:val="auto"/>
                <w:lang w:val="en-US" w:eastAsia="zh-CN"/>
              </w:rPr>
            </w:pPr>
            <w:r>
              <w:rPr>
                <w:rFonts w:hint="default" w:eastAsia="黑体" w:cs="Times New Roman"/>
                <w:color w:val="auto"/>
              </w:rPr>
              <w:t>图</w:t>
            </w:r>
            <w:r>
              <w:rPr>
                <w:rFonts w:hint="default" w:ascii="Times New Roman" w:hAnsi="Times New Roman" w:eastAsia="黑体" w:cs="Times New Roman"/>
                <w:color w:val="auto"/>
              </w:rPr>
              <w:t>2-1  本项目水平</w:t>
            </w:r>
            <w:r>
              <w:rPr>
                <w:rFonts w:hint="default" w:ascii="Times New Roman" w:hAnsi="Times New Roman" w:eastAsia="黑体" w:cs="Times New Roman"/>
                <w:b w:val="0"/>
                <w:bCs w:val="0"/>
                <w:color w:val="auto"/>
              </w:rPr>
              <w:t>衡图</w:t>
            </w:r>
            <w:r>
              <w:rPr>
                <w:rFonts w:hint="default" w:ascii="Times New Roman" w:hAnsi="Times New Roman" w:eastAsia="黑体" w:cs="Times New Roman"/>
                <w:b w:val="0"/>
                <w:bCs w:val="0"/>
                <w:color w:val="auto"/>
                <w:lang w:val="en-US" w:eastAsia="zh-CN"/>
              </w:rPr>
              <w:t xml:space="preserve">  （单位：t/a</w:t>
            </w:r>
            <w:r>
              <w:rPr>
                <w:rFonts w:hint="eastAsia" w:ascii="黑体" w:hAnsi="黑体" w:eastAsia="黑体" w:cs="黑体"/>
                <w:b w:val="0"/>
                <w:bCs w:val="0"/>
                <w:color w:val="auto"/>
                <w:lang w:val="en-US" w:eastAsia="zh-CN"/>
              </w:rPr>
              <w:t>）</w:t>
            </w:r>
          </w:p>
          <w:p w14:paraId="35434BDA">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9、厂区平面布置及总图设计</w:t>
            </w:r>
          </w:p>
          <w:p w14:paraId="08AEA34C">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jc w:val="both"/>
              <w:textAlignment w:val="auto"/>
              <w:rPr>
                <w:rFonts w:hint="default"/>
                <w:color w:val="auto"/>
                <w:lang w:val="en-US" w:eastAsia="zh-CN"/>
              </w:rPr>
            </w:pPr>
            <w:r>
              <w:rPr>
                <w:rFonts w:hint="eastAsia"/>
                <w:color w:val="auto"/>
              </w:rPr>
              <w:t>本项目</w:t>
            </w:r>
            <w:r>
              <w:rPr>
                <w:rFonts w:hint="eastAsia"/>
                <w:color w:val="auto"/>
                <w:lang w:val="en-US" w:eastAsia="zh-CN"/>
              </w:rPr>
              <w:t>实验室占地面积约为286m</w:t>
            </w:r>
            <w:r>
              <w:rPr>
                <w:rFonts w:hint="eastAsia"/>
                <w:color w:val="auto"/>
                <w:vertAlign w:val="superscript"/>
                <w:lang w:val="en-US" w:eastAsia="zh-CN"/>
              </w:rPr>
              <w:t>2</w:t>
            </w:r>
            <w:r>
              <w:rPr>
                <w:rFonts w:hint="eastAsia"/>
                <w:color w:val="auto"/>
                <w:lang w:val="en-US" w:eastAsia="zh-CN"/>
              </w:rPr>
              <w:t>，整体布局较为紧凑，根据取样、样本前处理、样本处理、胶囊制备等流程，按照东、西布局，样本经采集后由预留窗口流通，整体布局</w:t>
            </w:r>
            <w:r>
              <w:rPr>
                <w:rFonts w:hint="default"/>
                <w:color w:val="auto"/>
              </w:rPr>
              <w:t>较为合理</w:t>
            </w:r>
            <w:r>
              <w:rPr>
                <w:rFonts w:hint="eastAsia"/>
                <w:color w:val="auto"/>
              </w:rPr>
              <w:t>。</w:t>
            </w:r>
          </w:p>
        </w:tc>
      </w:tr>
    </w:tbl>
    <w:p w14:paraId="52939B43">
      <w:pPr>
        <w:pStyle w:val="2"/>
        <w:ind w:firstLine="480"/>
        <w:sectPr>
          <w:pgSz w:w="11906" w:h="16838"/>
          <w:pgMar w:top="1440" w:right="1800" w:bottom="1440" w:left="1800" w:header="851" w:footer="992" w:gutter="0"/>
          <w:cols w:space="425" w:num="1"/>
          <w:docGrid w:type="lines"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7918"/>
      </w:tblGrid>
      <w:tr w14:paraId="4FCF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vAlign w:val="center"/>
          </w:tcPr>
          <w:p w14:paraId="2148497A">
            <w:pPr>
              <w:keepNext w:val="0"/>
              <w:keepLines w:val="0"/>
              <w:suppressLineNumbers w:val="0"/>
              <w:spacing w:before="0" w:beforeAutospacing="0" w:after="0" w:afterAutospacing="0"/>
              <w:ind w:left="0" w:right="0" w:firstLine="0" w:firstLineChars="0"/>
              <w:jc w:val="center"/>
              <w:rPr>
                <w:rFonts w:hint="default"/>
                <w:color w:val="auto"/>
                <w:vertAlign w:val="baseline"/>
              </w:rPr>
            </w:pPr>
            <w:r>
              <w:rPr>
                <w:rFonts w:hint="eastAsia"/>
                <w:color w:val="auto"/>
              </w:rPr>
              <w:t>工艺流程和产排污环节</w:t>
            </w:r>
          </w:p>
        </w:tc>
        <w:tc>
          <w:tcPr>
            <w:tcW w:w="7918" w:type="dxa"/>
            <w:vAlign w:val="top"/>
          </w:tcPr>
          <w:p w14:paraId="1751D3ED">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一、工艺流程及说明</w:t>
            </w:r>
          </w:p>
          <w:p w14:paraId="2785E808">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eastAsia"/>
                <w:color w:val="auto"/>
              </w:rPr>
              <w:t>本项目</w:t>
            </w:r>
            <w:r>
              <w:rPr>
                <w:rFonts w:hint="eastAsia"/>
                <w:color w:val="auto"/>
                <w:lang w:val="en-US" w:eastAsia="zh-CN"/>
              </w:rPr>
              <w:t>设计年处理500-1000例肠道菌群样本，在处理过程中，提取样本中上清液进行前处理、菌</w:t>
            </w:r>
            <w:r>
              <w:rPr>
                <w:rFonts w:hint="eastAsia"/>
                <w:lang w:val="en-US" w:eastAsia="zh-CN"/>
              </w:rPr>
              <w:t>群分离与浓缩</w:t>
            </w:r>
            <w:r>
              <w:rPr>
                <w:rFonts w:hint="eastAsia"/>
                <w:color w:val="auto"/>
                <w:lang w:val="en-US" w:eastAsia="zh-CN"/>
              </w:rPr>
              <w:t>等工序，制备胶囊，用于人类肠道菌群移植技术的使用，样本的转移均通过传递窗进行，相关原料暂存于实验台，就近使用</w:t>
            </w:r>
            <w:r>
              <w:rPr>
                <w:rFonts w:hint="eastAsia"/>
                <w:color w:val="auto"/>
              </w:rPr>
              <w:t>。</w:t>
            </w:r>
            <w:r>
              <w:rPr>
                <w:rFonts w:hint="eastAsia"/>
                <w:color w:val="auto"/>
                <w:lang w:val="en-US" w:eastAsia="zh-CN"/>
              </w:rPr>
              <w:t>本项目整体研发工序如下：</w:t>
            </w:r>
          </w:p>
          <w:p w14:paraId="2D42D81A">
            <w:pPr>
              <w:pStyle w:val="2"/>
              <w:keepNext w:val="0"/>
              <w:keepLines w:val="0"/>
              <w:suppressLineNumbers w:val="0"/>
              <w:spacing w:before="0" w:beforeAutospacing="0" w:after="0" w:afterAutospacing="0"/>
              <w:ind w:left="0" w:right="0" w:firstLine="0" w:firstLineChars="0"/>
              <w:jc w:val="center"/>
              <w:rPr>
                <w:rFonts w:hint="default"/>
                <w:color w:val="auto"/>
              </w:rPr>
            </w:pPr>
            <w:r>
              <w:rPr>
                <w:rFonts w:hint="default"/>
              </w:rPr>
              <w:drawing>
                <wp:inline distT="0" distB="0" distL="114300" distR="114300">
                  <wp:extent cx="2676525" cy="4161155"/>
                  <wp:effectExtent l="0" t="0" r="5715" b="1460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1"/>
                          <a:stretch>
                            <a:fillRect/>
                          </a:stretch>
                        </pic:blipFill>
                        <pic:spPr>
                          <a:xfrm>
                            <a:off x="0" y="0"/>
                            <a:ext cx="2676525" cy="4161155"/>
                          </a:xfrm>
                          <a:prstGeom prst="rect">
                            <a:avLst/>
                          </a:prstGeom>
                          <a:noFill/>
                          <a:ln>
                            <a:noFill/>
                          </a:ln>
                        </pic:spPr>
                      </pic:pic>
                    </a:graphicData>
                  </a:graphic>
                </wp:inline>
              </w:drawing>
            </w:r>
          </w:p>
          <w:p w14:paraId="54846C84">
            <w:pPr>
              <w:pStyle w:val="2"/>
              <w:keepNext w:val="0"/>
              <w:keepLines w:val="0"/>
              <w:suppressLineNumbers w:val="0"/>
              <w:spacing w:before="0" w:beforeAutospacing="0" w:after="0" w:afterAutospacing="0"/>
              <w:ind w:left="0" w:right="0" w:firstLine="0" w:firstLineChars="0"/>
              <w:jc w:val="center"/>
              <w:rPr>
                <w:rFonts w:hint="default" w:eastAsia="黑体" w:cs="Times New Roman"/>
                <w:color w:val="auto"/>
              </w:rPr>
            </w:pPr>
            <w:r>
              <w:rPr>
                <w:rFonts w:hint="default" w:eastAsia="黑体" w:cs="Times New Roman"/>
                <w:color w:val="auto"/>
              </w:rPr>
              <w:t>图2-</w:t>
            </w:r>
            <w:r>
              <w:rPr>
                <w:rFonts w:hint="eastAsia" w:eastAsia="黑体" w:cs="Times New Roman"/>
                <w:color w:val="auto"/>
              </w:rPr>
              <w:t>2</w:t>
            </w:r>
            <w:r>
              <w:rPr>
                <w:rFonts w:hint="default" w:eastAsia="黑体" w:cs="Times New Roman"/>
                <w:color w:val="auto"/>
              </w:rPr>
              <w:t xml:space="preserve">  </w:t>
            </w:r>
            <w:r>
              <w:rPr>
                <w:rFonts w:hint="eastAsia" w:eastAsia="黑体" w:cs="Times New Roman"/>
                <w:color w:val="auto"/>
                <w:lang w:val="en-US" w:eastAsia="zh-CN"/>
              </w:rPr>
              <w:t>本项目研发</w:t>
            </w:r>
            <w:r>
              <w:rPr>
                <w:rFonts w:hint="default" w:eastAsia="黑体" w:cs="Times New Roman"/>
                <w:color w:val="auto"/>
              </w:rPr>
              <w:t>工艺流程及产污节点图</w:t>
            </w:r>
          </w:p>
          <w:p w14:paraId="492CF106">
            <w:pPr>
              <w:pStyle w:val="2"/>
              <w:keepNext w:val="0"/>
              <w:keepLines w:val="0"/>
              <w:suppressLineNumbers w:val="0"/>
              <w:spacing w:before="0" w:beforeAutospacing="0" w:after="0" w:afterAutospacing="0"/>
              <w:ind w:left="0" w:right="0" w:firstLine="480"/>
              <w:rPr>
                <w:rFonts w:hint="eastAsia"/>
                <w:color w:val="auto"/>
                <w:lang w:eastAsia="zh-CN"/>
              </w:rPr>
            </w:pPr>
            <w:r>
              <w:rPr>
                <w:rFonts w:hint="eastAsia"/>
                <w:color w:val="auto"/>
              </w:rPr>
              <w:t>工艺流程简述</w:t>
            </w:r>
            <w:r>
              <w:rPr>
                <w:rFonts w:hint="eastAsia"/>
                <w:color w:val="auto"/>
                <w:lang w:eastAsia="zh-CN"/>
              </w:rPr>
              <w:t>：</w:t>
            </w:r>
          </w:p>
          <w:p w14:paraId="6FD42C6A">
            <w:pPr>
              <w:pStyle w:val="2"/>
              <w:keepNext w:val="0"/>
              <w:keepLines w:val="0"/>
              <w:numPr>
                <w:ilvl w:val="0"/>
                <w:numId w:val="3"/>
              </w:numPr>
              <w:suppressLineNumbers w:val="0"/>
              <w:spacing w:before="0" w:beforeAutospacing="0" w:after="0" w:afterAutospacing="0"/>
              <w:ind w:left="0" w:right="0" w:firstLine="480"/>
              <w:rPr>
                <w:rFonts w:hint="eastAsia"/>
                <w:color w:val="auto"/>
                <w:lang w:val="en-US" w:eastAsia="zh-CN"/>
              </w:rPr>
            </w:pPr>
            <w:r>
              <w:rPr>
                <w:rFonts w:hint="eastAsia"/>
                <w:color w:val="auto"/>
                <w:lang w:val="en-US" w:eastAsia="zh-CN"/>
              </w:rPr>
              <w:t>供体筛选</w:t>
            </w:r>
          </w:p>
          <w:p w14:paraId="320C6282">
            <w:pPr>
              <w:pStyle w:val="2"/>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经前期筛选无传染病（HIV、乙肝、丙肝、梅毒等）、无肠道疾病（炎症性肠病、肠易激综合征等）、无抗生素使用史（3个月内）、无代谢综合征（糖尿病、肥胖等）健康人群作为本项目样本采集目标。</w:t>
            </w:r>
          </w:p>
          <w:p w14:paraId="213A197E">
            <w:pPr>
              <w:pStyle w:val="2"/>
              <w:keepNext w:val="0"/>
              <w:keepLines w:val="0"/>
              <w:numPr>
                <w:ilvl w:val="0"/>
                <w:numId w:val="3"/>
              </w:numPr>
              <w:suppressLineNumbers w:val="0"/>
              <w:spacing w:before="0" w:beforeAutospacing="0" w:after="0" w:afterAutospacing="0"/>
              <w:ind w:left="0" w:right="0" w:firstLine="480"/>
              <w:rPr>
                <w:rFonts w:hint="eastAsia"/>
                <w:color w:val="auto"/>
              </w:rPr>
            </w:pPr>
            <w:r>
              <w:rPr>
                <w:rFonts w:hint="eastAsia"/>
                <w:color w:val="auto"/>
                <w:lang w:val="en-US" w:eastAsia="zh-CN"/>
              </w:rPr>
              <w:t>样本采集</w:t>
            </w:r>
          </w:p>
          <w:p w14:paraId="44039EA0">
            <w:pPr>
              <w:pStyle w:val="2"/>
              <w:keepNext w:val="0"/>
              <w:keepLines w:val="0"/>
              <w:suppressLineNumbers w:val="0"/>
              <w:bidi w:val="0"/>
              <w:spacing w:before="0" w:beforeAutospacing="0" w:after="0" w:afterAutospacing="0"/>
              <w:ind w:left="0" w:right="0"/>
              <w:rPr>
                <w:rFonts w:hint="eastAsia"/>
                <w:color w:val="auto"/>
              </w:rPr>
            </w:pPr>
            <w:r>
              <w:rPr>
                <w:rFonts w:hint="eastAsia"/>
                <w:color w:val="auto"/>
                <w:lang w:val="en-US" w:eastAsia="zh-CN"/>
              </w:rPr>
              <w:t>在密闭操作台内采用</w:t>
            </w:r>
            <w:r>
              <w:rPr>
                <w:rFonts w:hint="eastAsia"/>
                <w:color w:val="auto"/>
              </w:rPr>
              <w:t>无菌、含保存液（如甘油或生理盐水）的粪便收集管</w:t>
            </w:r>
            <w:r>
              <w:rPr>
                <w:rFonts w:hint="eastAsia"/>
                <w:color w:val="auto"/>
                <w:lang w:val="en-US" w:eastAsia="zh-CN"/>
              </w:rPr>
              <w:t>进行样本收集，采集后30</w:t>
            </w:r>
            <w:r>
              <w:rPr>
                <w:rFonts w:hint="default" w:ascii="Times New Roman" w:hAnsi="Times New Roman" w:cs="Times New Roman"/>
                <w:color w:val="auto"/>
                <w:lang w:val="en-US" w:eastAsia="zh-CN"/>
              </w:rPr>
              <w:t>分钟内转移至4℃环</w:t>
            </w:r>
            <w:r>
              <w:rPr>
                <w:rFonts w:hint="eastAsia"/>
                <w:color w:val="auto"/>
                <w:lang w:val="en-US" w:eastAsia="zh-CN"/>
              </w:rPr>
              <w:t>境，2小时内开始处理</w:t>
            </w:r>
            <w:r>
              <w:rPr>
                <w:rFonts w:hint="eastAsia"/>
                <w:color w:val="auto"/>
              </w:rPr>
              <w:t>。</w:t>
            </w:r>
          </w:p>
          <w:p w14:paraId="484396AF">
            <w:pPr>
              <w:pStyle w:val="2"/>
              <w:keepNext w:val="0"/>
              <w:keepLines w:val="0"/>
              <w:numPr>
                <w:ilvl w:val="0"/>
                <w:numId w:val="3"/>
              </w:numPr>
              <w:suppressLineNumbers w:val="0"/>
              <w:bidi w:val="0"/>
              <w:spacing w:before="0" w:beforeAutospacing="0" w:after="0" w:afterAutospacing="0"/>
              <w:ind w:left="0" w:leftChars="0" w:right="0" w:firstLine="480" w:firstLineChars="200"/>
              <w:rPr>
                <w:rFonts w:hint="eastAsia"/>
                <w:color w:val="auto"/>
                <w:lang w:val="en-US" w:eastAsia="zh-CN"/>
              </w:rPr>
            </w:pPr>
            <w:r>
              <w:rPr>
                <w:rFonts w:hint="eastAsia"/>
                <w:color w:val="auto"/>
                <w:lang w:val="en-US" w:eastAsia="zh-CN"/>
              </w:rPr>
              <w:t>样本前处理</w:t>
            </w:r>
          </w:p>
          <w:p w14:paraId="6DF07C8C">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eastAsia"/>
                <w:color w:val="auto"/>
                <w:lang w:val="en-US" w:eastAsia="zh-CN"/>
              </w:rPr>
            </w:pPr>
            <w:r>
              <w:rPr>
                <w:rFonts w:hint="eastAsia"/>
                <w:color w:val="auto"/>
                <w:lang w:val="en-US" w:eastAsia="zh-CN"/>
              </w:rPr>
              <w:t>主要对采集后的样本进行均质化处理，用稀释液无菌生理盐水或磷酸盐缓冲液（PBS），按照特定比例（粪便:稀释液=1:5）进行混合，采用搅拌器或手动震荡，持续5分钟，转速保持在200-300 rpm/min，后通过不锈钢筛网（孔径0.5-1 mm）去除大颗粒残渣。此工序需要全程在厌氧工作站（含85</w:t>
            </w:r>
            <w:r>
              <w:rPr>
                <w:rFonts w:hint="default" w:ascii="Times New Roman" w:hAnsi="Times New Roman" w:cs="Times New Roman"/>
                <w:color w:val="auto"/>
                <w:lang w:val="en-US" w:eastAsia="zh-CN"/>
              </w:rPr>
              <w:t>% N₂、10% H₂、5% CO₂</w:t>
            </w:r>
            <w:r>
              <w:rPr>
                <w:rFonts w:hint="eastAsia"/>
                <w:color w:val="auto"/>
                <w:lang w:val="en-US" w:eastAsia="zh-CN"/>
              </w:rPr>
              <w:t>）内进行操作，维持氧浓度&lt;0.1%。</w:t>
            </w:r>
          </w:p>
          <w:p w14:paraId="31AA1601">
            <w:pPr>
              <w:pStyle w:val="2"/>
              <w:keepNext w:val="0"/>
              <w:keepLines w:val="0"/>
              <w:pageBreakBefore w:val="0"/>
              <w:widowControl/>
              <w:numPr>
                <w:ilvl w:val="0"/>
                <w:numId w:val="3"/>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eastAsia"/>
                <w:color w:val="auto"/>
                <w:lang w:val="en-US" w:eastAsia="zh-CN"/>
              </w:rPr>
            </w:pPr>
            <w:r>
              <w:rPr>
                <w:rFonts w:hint="eastAsia"/>
                <w:color w:val="auto"/>
                <w:lang w:val="en-US" w:eastAsia="zh-CN"/>
              </w:rPr>
              <w:t>菌群分离与浓缩</w:t>
            </w:r>
          </w:p>
          <w:p w14:paraId="15DA8820">
            <w:pPr>
              <w:pStyle w:val="2"/>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菌群分离采用两次离心，初级离心主要去除样本中未消化纤维及沉淀，次级离心主要收集菌体沉淀，离心后采用无菌磷酸盐缓冲液（PBS）洗涤，去除其余杂质，最终菌悬液浓度调整至10^9-10^10 CFU/mL，可根据实际试验需要，进行冻干。</w:t>
            </w:r>
          </w:p>
          <w:p w14:paraId="2842BD68">
            <w:pPr>
              <w:pStyle w:val="2"/>
              <w:keepNext w:val="0"/>
              <w:keepLines w:val="0"/>
              <w:numPr>
                <w:ilvl w:val="0"/>
                <w:numId w:val="3"/>
              </w:numPr>
              <w:suppressLineNumbers w:val="0"/>
              <w:bidi w:val="0"/>
              <w:spacing w:before="0" w:beforeAutospacing="0" w:after="0" w:afterAutospacing="0"/>
              <w:ind w:left="0" w:leftChars="0" w:right="0" w:firstLine="480" w:firstLineChars="200"/>
              <w:rPr>
                <w:rFonts w:hint="eastAsia"/>
                <w:color w:val="auto"/>
                <w:lang w:val="en-US" w:eastAsia="zh-CN"/>
              </w:rPr>
            </w:pPr>
            <w:r>
              <w:rPr>
                <w:rFonts w:hint="eastAsia"/>
                <w:color w:val="auto"/>
                <w:lang w:val="en-US" w:eastAsia="zh-CN"/>
              </w:rPr>
              <w:t>胶囊制备</w:t>
            </w:r>
          </w:p>
          <w:p w14:paraId="0285F618">
            <w:pPr>
              <w:pStyle w:val="2"/>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菌悬液</w:t>
            </w:r>
            <w:r>
              <w:rPr>
                <w:rFonts w:hint="eastAsia"/>
                <w:color w:val="auto"/>
                <w:lang w:val="en-US" w:eastAsia="zh-CN"/>
              </w:rPr>
              <w:t>中添加15%甘油或10%海藻糖作为冻干保护剂，外壳采用胶囊外衣，主要材质为肠溶包衣胶囊，确保胶囊在pH≥6.8（回肠末端/结肠）溶解，胶囊容量约0.5 mL/粒。本项目胶囊不作为产品外售，用于定点合作医院，对肠道科病患进行辅助治疗的临床试验，临床试验批件见附件。</w:t>
            </w:r>
          </w:p>
          <w:p w14:paraId="61666280">
            <w:pPr>
              <w:pStyle w:val="2"/>
              <w:keepNext w:val="0"/>
              <w:keepLines w:val="0"/>
              <w:numPr>
                <w:ilvl w:val="0"/>
                <w:numId w:val="3"/>
              </w:numPr>
              <w:suppressLineNumbers w:val="0"/>
              <w:bidi w:val="0"/>
              <w:spacing w:before="0" w:beforeAutospacing="0" w:after="0" w:afterAutospacing="0"/>
              <w:ind w:left="0" w:leftChars="0" w:right="0" w:firstLine="480" w:firstLineChars="200"/>
              <w:rPr>
                <w:rFonts w:hint="eastAsia"/>
                <w:color w:val="auto"/>
                <w:lang w:val="en-US" w:eastAsia="zh-CN"/>
              </w:rPr>
            </w:pPr>
            <w:r>
              <w:rPr>
                <w:rFonts w:hint="eastAsia"/>
                <w:color w:val="auto"/>
                <w:lang w:val="en-US" w:eastAsia="zh-CN"/>
              </w:rPr>
              <w:t>质量控制</w:t>
            </w:r>
          </w:p>
          <w:p w14:paraId="61F03716">
            <w:pPr>
              <w:pStyle w:val="2"/>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胶囊制备完成后，主要对其进行微生物及病原体进行检测，活菌率≥50%、内毒素&lt;5 EU/粒等检测指标，病原体复核采用多重PCR复检（沙门氏菌、志贺氏菌、弯曲杆菌等）。此工序在通风柜内进行，可确保实验废气得到有效收集。</w:t>
            </w:r>
          </w:p>
          <w:p w14:paraId="4F296850">
            <w:pPr>
              <w:pStyle w:val="2"/>
              <w:keepNext w:val="0"/>
              <w:keepLines w:val="0"/>
              <w:numPr>
                <w:ilvl w:val="0"/>
                <w:numId w:val="3"/>
              </w:numPr>
              <w:suppressLineNumbers w:val="0"/>
              <w:bidi w:val="0"/>
              <w:spacing w:before="0" w:beforeAutospacing="0" w:after="0" w:afterAutospacing="0"/>
              <w:ind w:left="0" w:leftChars="0" w:right="0" w:firstLine="480" w:firstLineChars="200"/>
              <w:rPr>
                <w:rFonts w:hint="default"/>
                <w:color w:val="auto"/>
                <w:lang w:val="en-US" w:eastAsia="zh-CN"/>
              </w:rPr>
            </w:pPr>
            <w:r>
              <w:rPr>
                <w:rFonts w:hint="eastAsia"/>
                <w:color w:val="auto"/>
                <w:lang w:val="en-US" w:eastAsia="zh-CN"/>
              </w:rPr>
              <w:t>包装储存</w:t>
            </w:r>
          </w:p>
          <w:p w14:paraId="1AE92ECA">
            <w:pPr>
              <w:pStyle w:val="2"/>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经检测合</w:t>
            </w:r>
            <w:r>
              <w:rPr>
                <w:rFonts w:hint="default" w:ascii="Times New Roman" w:hAnsi="Times New Roman" w:cs="Times New Roman"/>
                <w:color w:val="auto"/>
                <w:lang w:val="en-US" w:eastAsia="zh-CN"/>
              </w:rPr>
              <w:t>格后胶囊采用铝塑泡罩包装，充氮气密封。液态胶囊储存条件</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-80℃保存，有效期6个月</w:t>
            </w:r>
            <w:r>
              <w:rPr>
                <w:rFonts w:hint="eastAsia" w:ascii="Times New Roman" w:hAnsi="Times New Roman" w:cs="Times New Roman"/>
                <w:color w:val="auto"/>
                <w:lang w:val="en-US" w:eastAsia="zh-CN"/>
              </w:rPr>
              <w:t>；冻干胶囊：2-8℃保存，有效期12个月。</w:t>
            </w:r>
          </w:p>
          <w:p w14:paraId="63161535">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eastAsia"/>
                <w:color w:val="auto"/>
                <w:lang w:val="en-US" w:eastAsia="zh-CN"/>
              </w:rPr>
              <w:t>产污环节：本项目实验废气，主要来源于试剂使用过程及实验室消毒过程，样本前处理使用Tris-HCl 缓冲液，该试剂使用过程主要产生极少量HCl，消毒过程产生极少量的乙醇；整体生产流程样本会产生恶臭气体，以臭气浓度表征；在质量控制工序会产生S1不合格品，主要为废胶囊；实验仪器清洗会产生清洗废水。</w:t>
            </w:r>
          </w:p>
          <w:p w14:paraId="4C465523">
            <w:pPr>
              <w:keepNext w:val="0"/>
              <w:keepLines w:val="0"/>
              <w:suppressLineNumbers w:val="0"/>
              <w:spacing w:before="0" w:beforeAutospacing="0" w:after="0" w:afterAutospacing="0"/>
              <w:ind w:left="0" w:right="0" w:firstLine="480"/>
              <w:rPr>
                <w:rFonts w:hint="default"/>
                <w:color w:val="auto"/>
              </w:rPr>
            </w:pPr>
            <w:r>
              <w:rPr>
                <w:rFonts w:hint="eastAsia"/>
                <w:color w:val="auto"/>
                <w:lang w:val="en-US" w:eastAsia="zh-CN"/>
              </w:rPr>
              <w:t>二、</w:t>
            </w:r>
            <w:r>
              <w:rPr>
                <w:rFonts w:hint="eastAsia"/>
                <w:color w:val="auto"/>
              </w:rPr>
              <w:t>具体产污环节及污染因子</w:t>
            </w:r>
          </w:p>
          <w:p w14:paraId="3A14E947">
            <w:pPr>
              <w:keepNext w:val="0"/>
              <w:keepLines w:val="0"/>
              <w:suppressLineNumbers w:val="0"/>
              <w:spacing w:before="0" w:beforeAutospacing="0" w:after="0" w:afterAutospacing="0"/>
              <w:ind w:left="0" w:right="0" w:firstLine="480"/>
              <w:rPr>
                <w:rFonts w:hint="eastAsia"/>
                <w:color w:val="auto"/>
              </w:rPr>
            </w:pPr>
            <w:r>
              <w:rPr>
                <w:rFonts w:hint="eastAsia"/>
                <w:color w:val="auto"/>
              </w:rPr>
              <w:t>本项目建成后全厂产污环节及污染因子见表2-</w:t>
            </w:r>
            <w:r>
              <w:rPr>
                <w:rFonts w:hint="eastAsia"/>
                <w:color w:val="auto"/>
                <w:lang w:val="en-US" w:eastAsia="zh-CN"/>
              </w:rPr>
              <w:t>7</w:t>
            </w:r>
            <w:r>
              <w:rPr>
                <w:rFonts w:hint="eastAsia"/>
                <w:color w:val="auto"/>
              </w:rPr>
              <w:t>。</w:t>
            </w:r>
          </w:p>
          <w:p w14:paraId="79FAB884">
            <w:pPr>
              <w:keepNext w:val="0"/>
              <w:keepLines w:val="0"/>
              <w:suppressLineNumbers w:val="0"/>
              <w:spacing w:before="0" w:beforeAutospacing="0" w:after="0" w:afterAutospacing="0"/>
              <w:ind w:left="0" w:right="0" w:firstLine="0" w:firstLineChars="0"/>
              <w:jc w:val="center"/>
              <w:rPr>
                <w:rFonts w:hint="default" w:eastAsia="黑体" w:cs="Times New Roman"/>
                <w:bCs/>
                <w:color w:val="auto"/>
                <w:szCs w:val="24"/>
              </w:rPr>
            </w:pPr>
            <w:r>
              <w:rPr>
                <w:rFonts w:hint="default" w:eastAsia="黑体" w:cs="Times New Roman"/>
                <w:bCs/>
                <w:color w:val="auto"/>
                <w:szCs w:val="24"/>
              </w:rPr>
              <w:t>表2-</w:t>
            </w:r>
            <w:r>
              <w:rPr>
                <w:rFonts w:hint="eastAsia" w:eastAsia="黑体" w:cs="Times New Roman"/>
                <w:bCs/>
                <w:color w:val="auto"/>
                <w:szCs w:val="24"/>
                <w:lang w:val="en-US" w:eastAsia="zh-CN"/>
              </w:rPr>
              <w:t>7</w:t>
            </w:r>
            <w:r>
              <w:rPr>
                <w:rFonts w:hint="default" w:eastAsia="黑体" w:cs="Times New Roman"/>
                <w:bCs/>
                <w:color w:val="auto"/>
                <w:szCs w:val="24"/>
              </w:rPr>
              <w:t xml:space="preserve">  </w:t>
            </w:r>
            <w:r>
              <w:rPr>
                <w:rFonts w:hint="eastAsia" w:eastAsia="黑体" w:cs="Times New Roman"/>
                <w:bCs/>
                <w:color w:val="auto"/>
                <w:szCs w:val="24"/>
              </w:rPr>
              <w:t>本项目产污环节及污染因子一览表</w:t>
            </w:r>
          </w:p>
          <w:tbl>
            <w:tblPr>
              <w:tblStyle w:val="16"/>
              <w:tblW w:w="76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14"/>
              <w:gridCol w:w="1075"/>
              <w:gridCol w:w="1303"/>
              <w:gridCol w:w="1607"/>
              <w:gridCol w:w="2989"/>
            </w:tblGrid>
            <w:tr w14:paraId="31F2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714" w:type="dxa"/>
                  <w:shd w:val="clear" w:color="auto" w:fill="auto"/>
                  <w:noWrap/>
                  <w:vAlign w:val="center"/>
                </w:tcPr>
                <w:p w14:paraId="022825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污染类型</w:t>
                  </w:r>
                </w:p>
              </w:tc>
              <w:tc>
                <w:tcPr>
                  <w:tcW w:w="1075" w:type="dxa"/>
                  <w:shd w:val="clear" w:color="auto" w:fill="auto"/>
                  <w:noWrap/>
                  <w:vAlign w:val="center"/>
                </w:tcPr>
                <w:p w14:paraId="29FAAC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污染环节</w:t>
                  </w:r>
                </w:p>
              </w:tc>
              <w:tc>
                <w:tcPr>
                  <w:tcW w:w="1303" w:type="dxa"/>
                  <w:shd w:val="clear" w:color="auto" w:fill="auto"/>
                  <w:noWrap/>
                  <w:vAlign w:val="center"/>
                </w:tcPr>
                <w:p w14:paraId="1A086A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污染物名称</w:t>
                  </w:r>
                </w:p>
              </w:tc>
              <w:tc>
                <w:tcPr>
                  <w:tcW w:w="1607" w:type="dxa"/>
                  <w:shd w:val="clear" w:color="auto" w:fill="auto"/>
                  <w:noWrap/>
                  <w:vAlign w:val="center"/>
                </w:tcPr>
                <w:p w14:paraId="14D00F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主要污染因子</w:t>
                  </w:r>
                </w:p>
              </w:tc>
              <w:tc>
                <w:tcPr>
                  <w:tcW w:w="2989" w:type="dxa"/>
                  <w:shd w:val="clear" w:color="auto" w:fill="auto"/>
                  <w:noWrap/>
                  <w:vAlign w:val="center"/>
                </w:tcPr>
                <w:p w14:paraId="24208E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排放去向</w:t>
                  </w:r>
                </w:p>
              </w:tc>
            </w:tr>
            <w:tr w14:paraId="0BA01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4" w:type="dxa"/>
                  <w:vMerge w:val="restart"/>
                  <w:shd w:val="clear" w:color="auto" w:fill="auto"/>
                  <w:noWrap/>
                  <w:vAlign w:val="center"/>
                </w:tcPr>
                <w:p w14:paraId="4A597E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废水</w:t>
                  </w:r>
                </w:p>
              </w:tc>
              <w:tc>
                <w:tcPr>
                  <w:tcW w:w="1075" w:type="dxa"/>
                  <w:shd w:val="clear" w:color="auto" w:fill="auto"/>
                  <w:noWrap/>
                  <w:vAlign w:val="center"/>
                </w:tcPr>
                <w:p w14:paraId="5BF1D3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仪器清洗</w:t>
                  </w:r>
                </w:p>
              </w:tc>
              <w:tc>
                <w:tcPr>
                  <w:tcW w:w="1303" w:type="dxa"/>
                  <w:shd w:val="clear" w:color="auto" w:fill="auto"/>
                  <w:noWrap/>
                  <w:vAlign w:val="center"/>
                </w:tcPr>
                <w:p w14:paraId="22F45F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清洗废水</w:t>
                  </w:r>
                </w:p>
              </w:tc>
              <w:tc>
                <w:tcPr>
                  <w:tcW w:w="1607" w:type="dxa"/>
                  <w:shd w:val="clear" w:color="auto" w:fill="auto"/>
                  <w:vAlign w:val="center"/>
                </w:tcPr>
                <w:p w14:paraId="59AB33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COD</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等线" w:cs="Times New Roman"/>
                      <w:i w:val="0"/>
                      <w:iCs w:val="0"/>
                      <w:color w:val="auto"/>
                      <w:kern w:val="0"/>
                      <w:sz w:val="21"/>
                      <w:szCs w:val="21"/>
                      <w:u w:val="none"/>
                      <w:lang w:val="en-US" w:eastAsia="zh-CN" w:bidi="ar"/>
                    </w:rPr>
                    <w:t>NH</w:t>
                  </w:r>
                  <w:r>
                    <w:rPr>
                      <w:rFonts w:hint="default" w:ascii="Times New Roman" w:hAnsi="Times New Roman" w:eastAsia="等线" w:cs="Times New Roman"/>
                      <w:i w:val="0"/>
                      <w:iCs w:val="0"/>
                      <w:color w:val="auto"/>
                      <w:kern w:val="0"/>
                      <w:sz w:val="21"/>
                      <w:szCs w:val="21"/>
                      <w:u w:val="none"/>
                      <w:vertAlign w:val="subscript"/>
                      <w:lang w:val="en-US" w:eastAsia="zh-CN" w:bidi="ar"/>
                    </w:rPr>
                    <w:t>3</w:t>
                  </w:r>
                  <w:r>
                    <w:rPr>
                      <w:rFonts w:hint="default" w:ascii="Times New Roman" w:hAnsi="Times New Roman" w:eastAsia="等线" w:cs="Times New Roman"/>
                      <w:i w:val="0"/>
                      <w:iCs w:val="0"/>
                      <w:color w:val="auto"/>
                      <w:kern w:val="0"/>
                      <w:sz w:val="21"/>
                      <w:szCs w:val="21"/>
                      <w:u w:val="none"/>
                      <w:lang w:val="en-US" w:eastAsia="zh-CN" w:bidi="ar"/>
                    </w:rPr>
                    <w:t>-N</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等线" w:cs="Times New Roman"/>
                      <w:i w:val="0"/>
                      <w:iCs w:val="0"/>
                      <w:color w:val="auto"/>
                      <w:kern w:val="0"/>
                      <w:sz w:val="21"/>
                      <w:szCs w:val="21"/>
                      <w:u w:val="none"/>
                      <w:lang w:val="en-US" w:eastAsia="zh-CN" w:bidi="ar"/>
                    </w:rPr>
                    <w:t>TP</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等线" w:cs="Times New Roman"/>
                      <w:i w:val="0"/>
                      <w:iCs w:val="0"/>
                      <w:color w:val="auto"/>
                      <w:kern w:val="0"/>
                      <w:sz w:val="21"/>
                      <w:szCs w:val="21"/>
                      <w:u w:val="none"/>
                      <w:lang w:val="en-US" w:eastAsia="zh-CN" w:bidi="ar"/>
                    </w:rPr>
                    <w:t>BOD</w:t>
                  </w:r>
                  <w:r>
                    <w:rPr>
                      <w:rFonts w:hint="default" w:ascii="Times New Roman" w:hAnsi="Times New Roman" w:eastAsia="等线" w:cs="Times New Roman"/>
                      <w:i w:val="0"/>
                      <w:iCs w:val="0"/>
                      <w:color w:val="auto"/>
                      <w:kern w:val="0"/>
                      <w:sz w:val="21"/>
                      <w:szCs w:val="21"/>
                      <w:u w:val="none"/>
                      <w:vertAlign w:val="subscript"/>
                      <w:lang w:val="en-US" w:eastAsia="zh-CN" w:bidi="ar"/>
                    </w:rPr>
                    <w:t>5</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等线" w:cs="Times New Roman"/>
                      <w:i w:val="0"/>
                      <w:iCs w:val="0"/>
                      <w:color w:val="auto"/>
                      <w:kern w:val="0"/>
                      <w:sz w:val="21"/>
                      <w:szCs w:val="21"/>
                      <w:u w:val="none"/>
                      <w:lang w:val="en-US" w:eastAsia="zh-CN" w:bidi="ar"/>
                    </w:rPr>
                    <w:t>SS</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粪</w:t>
                  </w:r>
                  <w:r>
                    <w:rPr>
                      <w:rFonts w:hint="eastAsia" w:ascii="宋体" w:hAnsi="宋体" w:eastAsia="宋体" w:cs="宋体"/>
                      <w:i w:val="0"/>
                      <w:iCs w:val="0"/>
                      <w:color w:val="auto"/>
                      <w:kern w:val="0"/>
                      <w:sz w:val="21"/>
                      <w:szCs w:val="21"/>
                      <w:u w:val="none"/>
                      <w:lang w:val="en-US" w:eastAsia="zh-CN" w:bidi="ar"/>
                    </w:rPr>
                    <w:t>大肠杆菌</w:t>
                  </w:r>
                </w:p>
              </w:tc>
              <w:tc>
                <w:tcPr>
                  <w:tcW w:w="2989" w:type="dxa"/>
                  <w:vMerge w:val="restart"/>
                  <w:shd w:val="clear" w:color="auto" w:fill="auto"/>
                  <w:vAlign w:val="center"/>
                </w:tcPr>
                <w:p w14:paraId="104E23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宋体" w:hAnsi="宋体" w:eastAsia="宋体" w:cs="宋体"/>
                      <w:i w:val="0"/>
                      <w:iCs w:val="0"/>
                      <w:color w:val="auto"/>
                      <w:sz w:val="21"/>
                      <w:szCs w:val="21"/>
                      <w:u w:val="none"/>
                      <w:lang w:val="en-US"/>
                    </w:rPr>
                  </w:pPr>
                  <w:r>
                    <w:rPr>
                      <w:rFonts w:hint="eastAsia" w:ascii="宋体" w:hAnsi="宋体" w:cs="宋体"/>
                      <w:i w:val="0"/>
                      <w:iCs w:val="0"/>
                      <w:color w:val="auto"/>
                      <w:kern w:val="0"/>
                      <w:sz w:val="21"/>
                      <w:szCs w:val="21"/>
                      <w:u w:val="none"/>
                      <w:lang w:val="en-US" w:eastAsia="zh-CN" w:bidi="ar"/>
                    </w:rPr>
                    <w:t>经实验室污水处理设施处理后纳管排放</w:t>
                  </w:r>
                </w:p>
              </w:tc>
            </w:tr>
            <w:tr w14:paraId="7F4E7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4" w:type="dxa"/>
                  <w:vMerge w:val="continue"/>
                  <w:shd w:val="clear" w:color="auto" w:fill="auto"/>
                  <w:noWrap/>
                  <w:vAlign w:val="center"/>
                </w:tcPr>
                <w:p w14:paraId="4D1DB8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1075" w:type="dxa"/>
                  <w:shd w:val="clear" w:color="auto" w:fill="auto"/>
                  <w:noWrap/>
                  <w:vAlign w:val="center"/>
                </w:tcPr>
                <w:p w14:paraId="6D9658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设备废水</w:t>
                  </w:r>
                </w:p>
              </w:tc>
              <w:tc>
                <w:tcPr>
                  <w:tcW w:w="1303" w:type="dxa"/>
                  <w:shd w:val="clear" w:color="auto" w:fill="auto"/>
                  <w:noWrap/>
                  <w:vAlign w:val="center"/>
                </w:tcPr>
                <w:p w14:paraId="1F78EE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灭菌及恒温水槽废水</w:t>
                  </w:r>
                </w:p>
              </w:tc>
              <w:tc>
                <w:tcPr>
                  <w:tcW w:w="1607" w:type="dxa"/>
                  <w:shd w:val="clear" w:color="auto" w:fill="auto"/>
                  <w:vAlign w:val="center"/>
                </w:tcPr>
                <w:p w14:paraId="7A5A6A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等线" w:cs="Times New Roman"/>
                      <w:i w:val="0"/>
                      <w:iCs w:val="0"/>
                      <w:color w:val="auto"/>
                      <w:kern w:val="0"/>
                      <w:sz w:val="21"/>
                      <w:szCs w:val="21"/>
                      <w:u w:val="none"/>
                      <w:lang w:val="en-US" w:eastAsia="zh-CN" w:bidi="ar"/>
                    </w:rPr>
                    <w:t>COD</w:t>
                  </w:r>
                </w:p>
              </w:tc>
              <w:tc>
                <w:tcPr>
                  <w:tcW w:w="2989" w:type="dxa"/>
                  <w:vMerge w:val="continue"/>
                  <w:shd w:val="clear" w:color="auto" w:fill="auto"/>
                  <w:vAlign w:val="center"/>
                </w:tcPr>
                <w:p w14:paraId="7F7618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p>
              </w:tc>
            </w:tr>
            <w:tr w14:paraId="67F26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714" w:type="dxa"/>
                  <w:vMerge w:val="continue"/>
                  <w:shd w:val="clear" w:color="auto" w:fill="auto"/>
                  <w:noWrap/>
                  <w:vAlign w:val="center"/>
                </w:tcPr>
                <w:p w14:paraId="2DC244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075" w:type="dxa"/>
                  <w:shd w:val="clear" w:color="auto" w:fill="auto"/>
                  <w:noWrap/>
                  <w:vAlign w:val="center"/>
                </w:tcPr>
                <w:p w14:paraId="15DE33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员工生活</w:t>
                  </w:r>
                </w:p>
              </w:tc>
              <w:tc>
                <w:tcPr>
                  <w:tcW w:w="1303" w:type="dxa"/>
                  <w:shd w:val="clear" w:color="auto" w:fill="auto"/>
                  <w:noWrap/>
                  <w:vAlign w:val="center"/>
                </w:tcPr>
                <w:p w14:paraId="7D0E85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生活污水</w:t>
                  </w:r>
                </w:p>
              </w:tc>
              <w:tc>
                <w:tcPr>
                  <w:tcW w:w="1607" w:type="dxa"/>
                  <w:shd w:val="clear" w:color="auto" w:fill="auto"/>
                  <w:noWrap/>
                  <w:vAlign w:val="center"/>
                </w:tcPr>
                <w:p w14:paraId="55D26C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COD</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等线" w:cs="Times New Roman"/>
                      <w:i w:val="0"/>
                      <w:iCs w:val="0"/>
                      <w:color w:val="auto"/>
                      <w:kern w:val="0"/>
                      <w:sz w:val="21"/>
                      <w:szCs w:val="21"/>
                      <w:u w:val="none"/>
                      <w:lang w:val="en-US" w:eastAsia="zh-CN" w:bidi="ar"/>
                    </w:rPr>
                    <w:t>NH</w:t>
                  </w:r>
                  <w:r>
                    <w:rPr>
                      <w:rFonts w:hint="default" w:ascii="Times New Roman" w:hAnsi="Times New Roman" w:eastAsia="等线" w:cs="Times New Roman"/>
                      <w:i w:val="0"/>
                      <w:iCs w:val="0"/>
                      <w:color w:val="auto"/>
                      <w:kern w:val="0"/>
                      <w:sz w:val="21"/>
                      <w:szCs w:val="21"/>
                      <w:u w:val="none"/>
                      <w:vertAlign w:val="subscript"/>
                      <w:lang w:val="en-US" w:eastAsia="zh-CN" w:bidi="ar"/>
                    </w:rPr>
                    <w:t>3</w:t>
                  </w:r>
                  <w:r>
                    <w:rPr>
                      <w:rFonts w:hint="default" w:ascii="Times New Roman" w:hAnsi="Times New Roman" w:eastAsia="等线" w:cs="Times New Roman"/>
                      <w:i w:val="0"/>
                      <w:iCs w:val="0"/>
                      <w:color w:val="auto"/>
                      <w:kern w:val="0"/>
                      <w:sz w:val="21"/>
                      <w:szCs w:val="21"/>
                      <w:u w:val="none"/>
                      <w:lang w:val="en-US" w:eastAsia="zh-CN" w:bidi="ar"/>
                    </w:rPr>
                    <w:t>-N</w:t>
                  </w:r>
                </w:p>
              </w:tc>
              <w:tc>
                <w:tcPr>
                  <w:tcW w:w="2989" w:type="dxa"/>
                  <w:shd w:val="clear" w:color="auto" w:fill="auto"/>
                  <w:vAlign w:val="center"/>
                </w:tcPr>
                <w:p w14:paraId="724C10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员工的生活污水经化粪池处理后纳入市政污水管网，经余杭污水处理厂集中处理后外排</w:t>
                  </w:r>
                </w:p>
              </w:tc>
            </w:tr>
            <w:tr w14:paraId="166F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4" w:type="dxa"/>
                  <w:vMerge w:val="restart"/>
                  <w:shd w:val="clear" w:color="auto" w:fill="auto"/>
                  <w:noWrap/>
                  <w:vAlign w:val="center"/>
                </w:tcPr>
                <w:p w14:paraId="4AD7CD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废气</w:t>
                  </w:r>
                </w:p>
              </w:tc>
              <w:tc>
                <w:tcPr>
                  <w:tcW w:w="1075" w:type="dxa"/>
                  <w:shd w:val="clear" w:color="auto" w:fill="auto"/>
                  <w:noWrap/>
                  <w:vAlign w:val="center"/>
                </w:tcPr>
                <w:p w14:paraId="48AE58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样本前处理</w:t>
                  </w:r>
                </w:p>
              </w:tc>
              <w:tc>
                <w:tcPr>
                  <w:tcW w:w="1303" w:type="dxa"/>
                  <w:shd w:val="clear" w:color="auto" w:fill="auto"/>
                  <w:noWrap/>
                  <w:vAlign w:val="center"/>
                </w:tcPr>
                <w:p w14:paraId="102788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酸性废气</w:t>
                  </w:r>
                </w:p>
              </w:tc>
              <w:tc>
                <w:tcPr>
                  <w:tcW w:w="1607" w:type="dxa"/>
                  <w:shd w:val="clear" w:color="auto" w:fill="auto"/>
                  <w:noWrap/>
                  <w:vAlign w:val="center"/>
                </w:tcPr>
                <w:p w14:paraId="01B020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HCl</w:t>
                  </w:r>
                </w:p>
              </w:tc>
              <w:tc>
                <w:tcPr>
                  <w:tcW w:w="2989" w:type="dxa"/>
                  <w:vMerge w:val="restart"/>
                  <w:shd w:val="clear" w:color="auto" w:fill="auto"/>
                  <w:vAlign w:val="center"/>
                </w:tcPr>
                <w:p w14:paraId="00CDAF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经通风柜</w:t>
                  </w:r>
                  <w:r>
                    <w:rPr>
                      <w:rFonts w:hint="eastAsia" w:ascii="宋体" w:hAnsi="宋体" w:cs="宋体"/>
                      <w:i w:val="0"/>
                      <w:iCs w:val="0"/>
                      <w:color w:val="auto"/>
                      <w:kern w:val="0"/>
                      <w:sz w:val="21"/>
                      <w:szCs w:val="21"/>
                      <w:u w:val="none"/>
                      <w:lang w:val="en-US" w:eastAsia="zh-CN" w:bidi="ar"/>
                    </w:rPr>
                    <w:t>上方废气管道负压</w:t>
                  </w:r>
                  <w:r>
                    <w:rPr>
                      <w:rFonts w:hint="eastAsia" w:ascii="宋体" w:hAnsi="宋体" w:eastAsia="宋体" w:cs="宋体"/>
                      <w:i w:val="0"/>
                      <w:iCs w:val="0"/>
                      <w:color w:val="auto"/>
                      <w:kern w:val="0"/>
                      <w:sz w:val="21"/>
                      <w:szCs w:val="21"/>
                      <w:u w:val="none"/>
                      <w:lang w:val="en-US" w:eastAsia="zh-CN" w:bidi="ar"/>
                    </w:rPr>
                    <w:t>收集</w:t>
                  </w:r>
                  <w:r>
                    <w:rPr>
                      <w:rFonts w:hint="eastAsia" w:ascii="宋体" w:hAnsi="宋体" w:cs="宋体"/>
                      <w:i w:val="0"/>
                      <w:iCs w:val="0"/>
                      <w:color w:val="auto"/>
                      <w:kern w:val="0"/>
                      <w:sz w:val="21"/>
                      <w:szCs w:val="21"/>
                      <w:u w:val="none"/>
                      <w:lang w:val="en-US" w:eastAsia="zh-CN" w:bidi="ar"/>
                    </w:rPr>
                    <w:t>，进入</w:t>
                  </w:r>
                  <w:r>
                    <w:rPr>
                      <w:rFonts w:hint="eastAsia" w:ascii="宋体" w:hAnsi="宋体" w:eastAsia="宋体" w:cs="宋体"/>
                      <w:i w:val="0"/>
                      <w:iCs w:val="0"/>
                      <w:color w:val="auto"/>
                      <w:kern w:val="0"/>
                      <w:sz w:val="21"/>
                      <w:szCs w:val="21"/>
                      <w:u w:val="none"/>
                      <w:lang w:val="en-US" w:eastAsia="zh-CN" w:bidi="ar"/>
                    </w:rPr>
                    <w:t>活性炭吸附后，通过</w:t>
                  </w:r>
                  <w:r>
                    <w:rPr>
                      <w:rFonts w:hint="default" w:ascii="Times New Roman" w:hAnsi="Times New Roman" w:eastAsia="宋体" w:cs="Times New Roman"/>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根不低于</w:t>
                  </w:r>
                  <w:r>
                    <w:rPr>
                      <w:rFonts w:hint="default" w:ascii="Times New Roman" w:hAnsi="Times New Roman" w:eastAsia="宋体" w:cs="Times New Roman"/>
                      <w:i w:val="0"/>
                      <w:iCs w:val="0"/>
                      <w:color w:val="auto"/>
                      <w:kern w:val="0"/>
                      <w:sz w:val="21"/>
                      <w:szCs w:val="21"/>
                      <w:u w:val="none"/>
                      <w:lang w:val="en-US" w:eastAsia="zh-CN" w:bidi="ar"/>
                    </w:rPr>
                    <w:t>15m</w:t>
                  </w:r>
                  <w:r>
                    <w:rPr>
                      <w:rFonts w:hint="eastAsia" w:ascii="宋体" w:hAnsi="宋体" w:eastAsia="宋体" w:cs="宋体"/>
                      <w:i w:val="0"/>
                      <w:iCs w:val="0"/>
                      <w:color w:val="auto"/>
                      <w:kern w:val="0"/>
                      <w:sz w:val="21"/>
                      <w:szCs w:val="21"/>
                      <w:u w:val="none"/>
                      <w:lang w:val="en-US" w:eastAsia="zh-CN" w:bidi="ar"/>
                    </w:rPr>
                    <w:t>高排气筒（</w:t>
                  </w:r>
                  <w:r>
                    <w:rPr>
                      <w:rFonts w:hint="default" w:ascii="Times New Roman" w:hAnsi="Times New Roman" w:eastAsia="宋体" w:cs="Times New Roman"/>
                      <w:i w:val="0"/>
                      <w:iCs w:val="0"/>
                      <w:color w:val="auto"/>
                      <w:kern w:val="0"/>
                      <w:sz w:val="21"/>
                      <w:szCs w:val="21"/>
                      <w:u w:val="none"/>
                      <w:lang w:val="en-US" w:eastAsia="zh-CN" w:bidi="ar"/>
                    </w:rPr>
                    <w:t>DA001</w:t>
                  </w:r>
                  <w:r>
                    <w:rPr>
                      <w:rFonts w:hint="eastAsia" w:ascii="宋体" w:hAnsi="宋体" w:eastAsia="宋体" w:cs="宋体"/>
                      <w:i w:val="0"/>
                      <w:iCs w:val="0"/>
                      <w:color w:val="auto"/>
                      <w:kern w:val="0"/>
                      <w:sz w:val="21"/>
                      <w:szCs w:val="21"/>
                      <w:u w:val="none"/>
                      <w:lang w:val="en-US" w:eastAsia="zh-CN" w:bidi="ar"/>
                    </w:rPr>
                    <w:t>）排放</w:t>
                  </w:r>
                </w:p>
              </w:tc>
            </w:tr>
            <w:tr w14:paraId="3F319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4" w:type="dxa"/>
                  <w:vMerge w:val="continue"/>
                  <w:shd w:val="clear" w:color="auto" w:fill="auto"/>
                  <w:noWrap/>
                  <w:vAlign w:val="center"/>
                </w:tcPr>
                <w:p w14:paraId="458782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075" w:type="dxa"/>
                  <w:shd w:val="clear" w:color="auto" w:fill="auto"/>
                  <w:noWrap/>
                  <w:vAlign w:val="center"/>
                </w:tcPr>
                <w:p w14:paraId="63C0B8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实验室消毒</w:t>
                  </w:r>
                </w:p>
              </w:tc>
              <w:tc>
                <w:tcPr>
                  <w:tcW w:w="1303" w:type="dxa"/>
                  <w:shd w:val="clear" w:color="auto" w:fill="auto"/>
                  <w:noWrap/>
                  <w:vAlign w:val="center"/>
                </w:tcPr>
                <w:p w14:paraId="517B93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有机废气</w:t>
                  </w:r>
                </w:p>
              </w:tc>
              <w:tc>
                <w:tcPr>
                  <w:tcW w:w="1607" w:type="dxa"/>
                  <w:shd w:val="clear" w:color="auto" w:fill="auto"/>
                  <w:noWrap/>
                  <w:vAlign w:val="center"/>
                </w:tcPr>
                <w:p w14:paraId="4CA4F0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乙醇</w:t>
                  </w:r>
                </w:p>
              </w:tc>
              <w:tc>
                <w:tcPr>
                  <w:tcW w:w="2989" w:type="dxa"/>
                  <w:vMerge w:val="continue"/>
                  <w:shd w:val="clear" w:color="auto" w:fill="auto"/>
                  <w:vAlign w:val="center"/>
                </w:tcPr>
                <w:p w14:paraId="00411B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r>
            <w:tr w14:paraId="3511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4" w:type="dxa"/>
                  <w:shd w:val="clear" w:color="auto" w:fill="auto"/>
                  <w:noWrap/>
                  <w:vAlign w:val="center"/>
                </w:tcPr>
                <w:p w14:paraId="091DB2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噪声</w:t>
                  </w:r>
                </w:p>
              </w:tc>
              <w:tc>
                <w:tcPr>
                  <w:tcW w:w="1075" w:type="dxa"/>
                  <w:shd w:val="clear" w:color="auto" w:fill="auto"/>
                  <w:noWrap/>
                  <w:vAlign w:val="center"/>
                </w:tcPr>
                <w:p w14:paraId="10CAAF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设备运行</w:t>
                  </w:r>
                </w:p>
              </w:tc>
              <w:tc>
                <w:tcPr>
                  <w:tcW w:w="1303" w:type="dxa"/>
                  <w:shd w:val="clear" w:color="auto" w:fill="auto"/>
                  <w:noWrap/>
                  <w:vAlign w:val="center"/>
                </w:tcPr>
                <w:p w14:paraId="6E1C3F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设备噪声</w:t>
                  </w:r>
                </w:p>
              </w:tc>
              <w:tc>
                <w:tcPr>
                  <w:tcW w:w="1607" w:type="dxa"/>
                  <w:shd w:val="clear" w:color="auto" w:fill="auto"/>
                  <w:noWrap/>
                  <w:vAlign w:val="center"/>
                </w:tcPr>
                <w:p w14:paraId="5DF7FD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等效声级</w:t>
                  </w:r>
                </w:p>
              </w:tc>
              <w:tc>
                <w:tcPr>
                  <w:tcW w:w="2989" w:type="dxa"/>
                  <w:shd w:val="clear" w:color="auto" w:fill="auto"/>
                  <w:vAlign w:val="center"/>
                </w:tcPr>
                <w:p w14:paraId="54C349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达标排放</w:t>
                  </w:r>
                </w:p>
              </w:tc>
            </w:tr>
            <w:tr w14:paraId="1001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4" w:type="dxa"/>
                  <w:vMerge w:val="restart"/>
                  <w:shd w:val="clear" w:color="auto" w:fill="auto"/>
                  <w:noWrap/>
                  <w:vAlign w:val="center"/>
                </w:tcPr>
                <w:p w14:paraId="6EF74C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固废</w:t>
                  </w:r>
                </w:p>
              </w:tc>
              <w:tc>
                <w:tcPr>
                  <w:tcW w:w="1075" w:type="dxa"/>
                  <w:shd w:val="clear" w:color="auto" w:fill="auto"/>
                  <w:noWrap/>
                  <w:vAlign w:val="center"/>
                </w:tcPr>
                <w:p w14:paraId="039453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检验</w:t>
                  </w:r>
                </w:p>
              </w:tc>
              <w:tc>
                <w:tcPr>
                  <w:tcW w:w="1303" w:type="dxa"/>
                  <w:shd w:val="clear" w:color="auto" w:fill="auto"/>
                  <w:noWrap/>
                  <w:vAlign w:val="center"/>
                </w:tcPr>
                <w:p w14:paraId="0B87B0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不合格品</w:t>
                  </w:r>
                </w:p>
              </w:tc>
              <w:tc>
                <w:tcPr>
                  <w:tcW w:w="1607" w:type="dxa"/>
                  <w:shd w:val="clear" w:color="auto" w:fill="auto"/>
                  <w:noWrap/>
                  <w:vAlign w:val="center"/>
                </w:tcPr>
                <w:p w14:paraId="28ED54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废胶囊</w:t>
                  </w:r>
                </w:p>
              </w:tc>
              <w:tc>
                <w:tcPr>
                  <w:tcW w:w="2989" w:type="dxa"/>
                  <w:shd w:val="clear" w:color="auto" w:fill="auto"/>
                  <w:noWrap/>
                  <w:vAlign w:val="center"/>
                </w:tcPr>
                <w:p w14:paraId="2BE2AE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收集后暂存于厂区危废间，委托有资质单位进行处置</w:t>
                  </w:r>
                </w:p>
              </w:tc>
            </w:tr>
            <w:tr w14:paraId="2B9EF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4" w:type="dxa"/>
                  <w:vMerge w:val="continue"/>
                  <w:shd w:val="clear" w:color="auto" w:fill="auto"/>
                  <w:noWrap/>
                  <w:vAlign w:val="center"/>
                </w:tcPr>
                <w:p w14:paraId="79B2B9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075" w:type="dxa"/>
                  <w:shd w:val="clear" w:color="auto" w:fill="auto"/>
                  <w:noWrap/>
                  <w:vAlign w:val="center"/>
                </w:tcPr>
                <w:p w14:paraId="4599F7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原料包装</w:t>
                  </w:r>
                </w:p>
              </w:tc>
              <w:tc>
                <w:tcPr>
                  <w:tcW w:w="1303" w:type="dxa"/>
                  <w:shd w:val="clear" w:color="auto" w:fill="auto"/>
                  <w:noWrap/>
                  <w:vAlign w:val="center"/>
                </w:tcPr>
                <w:p w14:paraId="46B4B8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一般包装废物</w:t>
                  </w:r>
                </w:p>
              </w:tc>
              <w:tc>
                <w:tcPr>
                  <w:tcW w:w="1607" w:type="dxa"/>
                  <w:shd w:val="clear" w:color="auto" w:fill="auto"/>
                  <w:noWrap/>
                  <w:vAlign w:val="center"/>
                </w:tcPr>
                <w:p w14:paraId="6489F4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包装袋、纸箱等</w:t>
                  </w:r>
                </w:p>
              </w:tc>
              <w:tc>
                <w:tcPr>
                  <w:tcW w:w="2989" w:type="dxa"/>
                  <w:shd w:val="clear" w:color="auto" w:fill="auto"/>
                  <w:noWrap/>
                  <w:vAlign w:val="center"/>
                </w:tcPr>
                <w:p w14:paraId="39AC83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委托物资公司回收利用</w:t>
                  </w:r>
                </w:p>
              </w:tc>
            </w:tr>
            <w:tr w14:paraId="43561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4" w:type="dxa"/>
                  <w:vMerge w:val="continue"/>
                  <w:shd w:val="clear" w:color="auto" w:fill="auto"/>
                  <w:noWrap/>
                  <w:vAlign w:val="center"/>
                </w:tcPr>
                <w:p w14:paraId="09778C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075" w:type="dxa"/>
                  <w:vMerge w:val="restart"/>
                  <w:shd w:val="clear" w:color="auto" w:fill="auto"/>
                  <w:noWrap/>
                  <w:vAlign w:val="center"/>
                </w:tcPr>
                <w:p w14:paraId="2CBD94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实验、检测</w:t>
                  </w:r>
                </w:p>
              </w:tc>
              <w:tc>
                <w:tcPr>
                  <w:tcW w:w="1303" w:type="dxa"/>
                  <w:vMerge w:val="restart"/>
                  <w:shd w:val="clear" w:color="auto" w:fill="auto"/>
                  <w:noWrap/>
                  <w:vAlign w:val="center"/>
                </w:tcPr>
                <w:p w14:paraId="352FCF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实验室废物</w:t>
                  </w:r>
                </w:p>
              </w:tc>
              <w:tc>
                <w:tcPr>
                  <w:tcW w:w="1607" w:type="dxa"/>
                  <w:shd w:val="clear" w:color="auto" w:fill="auto"/>
                  <w:noWrap/>
                  <w:vAlign w:val="center"/>
                </w:tcPr>
                <w:p w14:paraId="2E3586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废弃样本（粪便）</w:t>
                  </w:r>
                </w:p>
              </w:tc>
              <w:tc>
                <w:tcPr>
                  <w:tcW w:w="2989" w:type="dxa"/>
                  <w:vMerge w:val="restart"/>
                  <w:shd w:val="clear" w:color="auto" w:fill="auto"/>
                  <w:noWrap/>
                  <w:vAlign w:val="center"/>
                </w:tcPr>
                <w:p w14:paraId="225912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暂存于厂区危废间，委托有资质单位处置</w:t>
                  </w:r>
                </w:p>
              </w:tc>
            </w:tr>
            <w:tr w14:paraId="098E7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4" w:type="dxa"/>
                  <w:vMerge w:val="continue"/>
                  <w:shd w:val="clear" w:color="auto" w:fill="auto"/>
                  <w:noWrap/>
                  <w:vAlign w:val="center"/>
                </w:tcPr>
                <w:p w14:paraId="3F8558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075" w:type="dxa"/>
                  <w:vMerge w:val="continue"/>
                  <w:shd w:val="clear" w:color="auto" w:fill="auto"/>
                  <w:noWrap/>
                  <w:vAlign w:val="center"/>
                </w:tcPr>
                <w:p w14:paraId="292D33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303" w:type="dxa"/>
                  <w:vMerge w:val="continue"/>
                  <w:shd w:val="clear" w:color="auto" w:fill="auto"/>
                  <w:noWrap/>
                  <w:vAlign w:val="center"/>
                </w:tcPr>
                <w:p w14:paraId="53A17F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607" w:type="dxa"/>
                  <w:shd w:val="clear" w:color="auto" w:fill="auto"/>
                  <w:noWrap/>
                  <w:vAlign w:val="center"/>
                </w:tcPr>
                <w:p w14:paraId="0868B9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废</w:t>
                  </w:r>
                  <w:r>
                    <w:rPr>
                      <w:rFonts w:hint="eastAsia" w:ascii="宋体" w:hAnsi="宋体" w:cs="宋体"/>
                      <w:i w:val="0"/>
                      <w:iCs w:val="0"/>
                      <w:color w:val="auto"/>
                      <w:kern w:val="0"/>
                      <w:sz w:val="21"/>
                      <w:szCs w:val="21"/>
                      <w:u w:val="none"/>
                      <w:lang w:val="en-US" w:eastAsia="zh-CN" w:bidi="ar"/>
                    </w:rPr>
                    <w:t>劳保用品</w:t>
                  </w:r>
                </w:p>
              </w:tc>
              <w:tc>
                <w:tcPr>
                  <w:tcW w:w="2989" w:type="dxa"/>
                  <w:vMerge w:val="continue"/>
                  <w:shd w:val="clear" w:color="auto" w:fill="auto"/>
                  <w:noWrap/>
                  <w:vAlign w:val="center"/>
                </w:tcPr>
                <w:p w14:paraId="56E590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p>
              </w:tc>
            </w:tr>
            <w:tr w14:paraId="54F59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4" w:type="dxa"/>
                  <w:vMerge w:val="continue"/>
                  <w:shd w:val="clear" w:color="auto" w:fill="auto"/>
                  <w:noWrap/>
                  <w:vAlign w:val="center"/>
                </w:tcPr>
                <w:p w14:paraId="7F3112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075" w:type="dxa"/>
                  <w:vMerge w:val="continue"/>
                  <w:shd w:val="clear" w:color="auto" w:fill="auto"/>
                  <w:noWrap/>
                  <w:vAlign w:val="center"/>
                </w:tcPr>
                <w:p w14:paraId="543E16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303" w:type="dxa"/>
                  <w:vMerge w:val="continue"/>
                  <w:shd w:val="clear" w:color="auto" w:fill="auto"/>
                  <w:noWrap/>
                  <w:vAlign w:val="center"/>
                </w:tcPr>
                <w:p w14:paraId="10B121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607" w:type="dxa"/>
                  <w:shd w:val="clear" w:color="auto" w:fill="auto"/>
                  <w:noWrap/>
                  <w:vAlign w:val="center"/>
                </w:tcPr>
                <w:p w14:paraId="614C18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废一次性耗材</w:t>
                  </w:r>
                </w:p>
              </w:tc>
              <w:tc>
                <w:tcPr>
                  <w:tcW w:w="2989" w:type="dxa"/>
                  <w:vMerge w:val="continue"/>
                  <w:shd w:val="clear" w:color="auto" w:fill="auto"/>
                  <w:noWrap/>
                  <w:vAlign w:val="center"/>
                </w:tcPr>
                <w:p w14:paraId="4ECFE1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p>
              </w:tc>
            </w:tr>
            <w:tr w14:paraId="77B7D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714" w:type="dxa"/>
                  <w:vMerge w:val="continue"/>
                  <w:shd w:val="clear" w:color="auto" w:fill="auto"/>
                  <w:noWrap/>
                  <w:vAlign w:val="center"/>
                </w:tcPr>
                <w:p w14:paraId="437D28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075" w:type="dxa"/>
                  <w:vMerge w:val="continue"/>
                  <w:shd w:val="clear" w:color="auto" w:fill="auto"/>
                  <w:noWrap/>
                  <w:vAlign w:val="center"/>
                </w:tcPr>
                <w:p w14:paraId="71D7E7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303" w:type="dxa"/>
                  <w:vMerge w:val="restart"/>
                  <w:shd w:val="clear" w:color="auto" w:fill="auto"/>
                  <w:noWrap/>
                  <w:vAlign w:val="center"/>
                </w:tcPr>
                <w:p w14:paraId="4D6C53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实验室废液</w:t>
                  </w:r>
                </w:p>
              </w:tc>
              <w:tc>
                <w:tcPr>
                  <w:tcW w:w="1607" w:type="dxa"/>
                  <w:shd w:val="clear" w:color="auto" w:fill="auto"/>
                  <w:noWrap/>
                  <w:vAlign w:val="center"/>
                </w:tcPr>
                <w:p w14:paraId="52044B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各类试剂</w:t>
                  </w:r>
                </w:p>
              </w:tc>
              <w:tc>
                <w:tcPr>
                  <w:tcW w:w="2989" w:type="dxa"/>
                  <w:vMerge w:val="continue"/>
                  <w:shd w:val="clear" w:color="auto" w:fill="auto"/>
                  <w:noWrap/>
                  <w:vAlign w:val="center"/>
                </w:tcPr>
                <w:p w14:paraId="33AEF9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p>
              </w:tc>
            </w:tr>
            <w:tr w14:paraId="15F7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4" w:type="dxa"/>
                  <w:vMerge w:val="continue"/>
                  <w:shd w:val="clear" w:color="auto" w:fill="auto"/>
                  <w:noWrap/>
                  <w:vAlign w:val="center"/>
                </w:tcPr>
                <w:p w14:paraId="5741F5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075" w:type="dxa"/>
                  <w:vMerge w:val="continue"/>
                  <w:shd w:val="clear" w:color="auto" w:fill="auto"/>
                  <w:noWrap/>
                  <w:vAlign w:val="center"/>
                </w:tcPr>
                <w:p w14:paraId="553582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303" w:type="dxa"/>
                  <w:vMerge w:val="continue"/>
                  <w:shd w:val="clear" w:color="auto" w:fill="auto"/>
                  <w:noWrap/>
                  <w:vAlign w:val="center"/>
                </w:tcPr>
                <w:p w14:paraId="3E6242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607" w:type="dxa"/>
                  <w:shd w:val="clear" w:color="auto" w:fill="auto"/>
                  <w:noWrap/>
                  <w:vAlign w:val="center"/>
                </w:tcPr>
                <w:p w14:paraId="6651FD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初次清洗废液</w:t>
                  </w:r>
                </w:p>
              </w:tc>
              <w:tc>
                <w:tcPr>
                  <w:tcW w:w="2989" w:type="dxa"/>
                  <w:vMerge w:val="continue"/>
                  <w:shd w:val="clear" w:color="auto" w:fill="auto"/>
                  <w:noWrap/>
                  <w:vAlign w:val="center"/>
                </w:tcPr>
                <w:p w14:paraId="1672E0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p>
              </w:tc>
            </w:tr>
            <w:tr w14:paraId="13F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4" w:type="dxa"/>
                  <w:vMerge w:val="continue"/>
                  <w:shd w:val="clear" w:color="auto" w:fill="auto"/>
                  <w:noWrap/>
                  <w:vAlign w:val="center"/>
                </w:tcPr>
                <w:p w14:paraId="7EBBF9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075" w:type="dxa"/>
                  <w:shd w:val="clear" w:color="auto" w:fill="auto"/>
                  <w:noWrap/>
                  <w:vAlign w:val="center"/>
                </w:tcPr>
                <w:p w14:paraId="1A648C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新风系统、生物安全柜</w:t>
                  </w:r>
                </w:p>
              </w:tc>
              <w:tc>
                <w:tcPr>
                  <w:tcW w:w="1303" w:type="dxa"/>
                  <w:shd w:val="clear" w:color="auto" w:fill="auto"/>
                  <w:noWrap/>
                  <w:vAlign w:val="center"/>
                </w:tcPr>
                <w:p w14:paraId="1FA2B7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废过滤介质</w:t>
                  </w:r>
                </w:p>
              </w:tc>
              <w:tc>
                <w:tcPr>
                  <w:tcW w:w="1607" w:type="dxa"/>
                  <w:shd w:val="clear" w:color="auto" w:fill="auto"/>
                  <w:noWrap/>
                  <w:vAlign w:val="center"/>
                </w:tcPr>
                <w:p w14:paraId="0A7FAC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有机物等</w:t>
                  </w:r>
                </w:p>
              </w:tc>
              <w:tc>
                <w:tcPr>
                  <w:tcW w:w="2989" w:type="dxa"/>
                  <w:vMerge w:val="continue"/>
                  <w:shd w:val="clear" w:color="auto" w:fill="auto"/>
                  <w:vAlign w:val="center"/>
                </w:tcPr>
                <w:p w14:paraId="376A2A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p>
              </w:tc>
            </w:tr>
            <w:tr w14:paraId="3FAF7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4" w:type="dxa"/>
                  <w:vMerge w:val="continue"/>
                  <w:shd w:val="clear" w:color="auto" w:fill="auto"/>
                  <w:noWrap/>
                  <w:vAlign w:val="center"/>
                </w:tcPr>
                <w:p w14:paraId="760D88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075" w:type="dxa"/>
                  <w:shd w:val="clear" w:color="auto" w:fill="auto"/>
                  <w:noWrap/>
                  <w:vAlign w:val="center"/>
                </w:tcPr>
                <w:p w14:paraId="24D76F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废气处理</w:t>
                  </w:r>
                </w:p>
              </w:tc>
              <w:tc>
                <w:tcPr>
                  <w:tcW w:w="1303" w:type="dxa"/>
                  <w:shd w:val="clear" w:color="auto" w:fill="auto"/>
                  <w:noWrap/>
                  <w:vAlign w:val="center"/>
                </w:tcPr>
                <w:p w14:paraId="0D7B00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废活性炭</w:t>
                  </w:r>
                </w:p>
              </w:tc>
              <w:tc>
                <w:tcPr>
                  <w:tcW w:w="1607" w:type="dxa"/>
                  <w:shd w:val="clear" w:color="auto" w:fill="auto"/>
                  <w:noWrap/>
                  <w:vAlign w:val="center"/>
                </w:tcPr>
                <w:p w14:paraId="276037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有机物</w:t>
                  </w:r>
                </w:p>
              </w:tc>
              <w:tc>
                <w:tcPr>
                  <w:tcW w:w="2989" w:type="dxa"/>
                  <w:vMerge w:val="continue"/>
                  <w:shd w:val="clear" w:color="auto" w:fill="auto"/>
                  <w:vAlign w:val="center"/>
                </w:tcPr>
                <w:p w14:paraId="713C51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r>
            <w:tr w14:paraId="58366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4" w:type="dxa"/>
                  <w:vMerge w:val="continue"/>
                  <w:shd w:val="clear" w:color="auto" w:fill="auto"/>
                  <w:noWrap/>
                  <w:vAlign w:val="center"/>
                </w:tcPr>
                <w:p w14:paraId="164984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1075" w:type="dxa"/>
                  <w:shd w:val="clear" w:color="auto" w:fill="auto"/>
                  <w:noWrap/>
                  <w:vAlign w:val="center"/>
                </w:tcPr>
                <w:p w14:paraId="1978EB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日常生产</w:t>
                  </w:r>
                </w:p>
              </w:tc>
              <w:tc>
                <w:tcPr>
                  <w:tcW w:w="1303" w:type="dxa"/>
                  <w:shd w:val="clear" w:color="auto" w:fill="auto"/>
                  <w:noWrap/>
                  <w:vAlign w:val="center"/>
                </w:tcPr>
                <w:p w14:paraId="2D3393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生活垃圾</w:t>
                  </w:r>
                </w:p>
              </w:tc>
              <w:tc>
                <w:tcPr>
                  <w:tcW w:w="1607" w:type="dxa"/>
                  <w:shd w:val="clear" w:color="auto" w:fill="auto"/>
                  <w:noWrap/>
                  <w:vAlign w:val="center"/>
                </w:tcPr>
                <w:p w14:paraId="045DCB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2989" w:type="dxa"/>
                  <w:shd w:val="clear" w:color="auto" w:fill="auto"/>
                  <w:noWrap/>
                  <w:vAlign w:val="center"/>
                </w:tcPr>
                <w:p w14:paraId="50140D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委托环卫部门统一清运</w:t>
                  </w:r>
                </w:p>
              </w:tc>
            </w:tr>
          </w:tbl>
          <w:p w14:paraId="3D7CF256">
            <w:pPr>
              <w:keepNext w:val="0"/>
              <w:keepLines w:val="0"/>
              <w:suppressLineNumbers w:val="0"/>
              <w:spacing w:before="0" w:beforeAutospacing="0" w:after="0" w:afterAutospacing="0"/>
              <w:ind w:left="0" w:right="0" w:firstLine="0" w:firstLineChars="0"/>
              <w:rPr>
                <w:rFonts w:hint="default"/>
                <w:color w:val="auto"/>
                <w:vertAlign w:val="baseline"/>
              </w:rPr>
            </w:pPr>
          </w:p>
        </w:tc>
      </w:tr>
      <w:tr w14:paraId="355A3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vAlign w:val="center"/>
          </w:tcPr>
          <w:p w14:paraId="0B0FE745">
            <w:pPr>
              <w:keepNext w:val="0"/>
              <w:keepLines w:val="0"/>
              <w:suppressLineNumbers w:val="0"/>
              <w:spacing w:before="0" w:beforeAutospacing="0" w:after="0" w:afterAutospacing="0"/>
              <w:ind w:left="0" w:right="0" w:firstLine="0" w:firstLineChars="0"/>
              <w:jc w:val="center"/>
              <w:rPr>
                <w:rFonts w:hint="eastAsia"/>
                <w:color w:val="auto"/>
              </w:rPr>
            </w:pPr>
            <w:r>
              <w:rPr>
                <w:rFonts w:hint="eastAsia"/>
                <w:color w:val="auto"/>
              </w:rPr>
              <w:t>与项目有关的原有环境污染问题</w:t>
            </w:r>
          </w:p>
        </w:tc>
        <w:tc>
          <w:tcPr>
            <w:tcW w:w="7918" w:type="dxa"/>
            <w:vAlign w:val="center"/>
          </w:tcPr>
          <w:p w14:paraId="5B6DB6B0">
            <w:pPr>
              <w:keepNext w:val="0"/>
              <w:keepLines w:val="0"/>
              <w:suppressLineNumbers w:val="0"/>
              <w:bidi w:val="0"/>
              <w:spacing w:before="0" w:beforeAutospacing="0" w:after="0" w:afterAutospacing="0"/>
              <w:ind w:left="0" w:right="0"/>
              <w:rPr>
                <w:rFonts w:hint="default" w:eastAsia="宋体"/>
                <w:lang w:val="en-US" w:eastAsia="zh-CN"/>
              </w:rPr>
            </w:pPr>
            <w:r>
              <w:rPr>
                <w:rFonts w:hint="default"/>
                <w:highlight w:val="none"/>
              </w:rPr>
              <w:t>本项目为新建项目，租用杭州万控电器成套有限公司闲置厂房，不存在与本项目有关的原有环境污染问题。</w:t>
            </w:r>
          </w:p>
        </w:tc>
      </w:tr>
    </w:tbl>
    <w:p w14:paraId="58124647">
      <w:pPr>
        <w:pStyle w:val="2"/>
        <w:ind w:left="0" w:leftChars="0" w:firstLine="0" w:firstLineChars="0"/>
        <w:sectPr>
          <w:pgSz w:w="11906" w:h="16838"/>
          <w:pgMar w:top="1440" w:right="1800" w:bottom="1440" w:left="1800" w:header="851" w:footer="992" w:gutter="0"/>
          <w:cols w:space="425" w:num="1"/>
          <w:docGrid w:type="lines" w:linePitch="312" w:charSpace="0"/>
        </w:sectPr>
      </w:pPr>
    </w:p>
    <w:p w14:paraId="25E6EC67">
      <w:pPr>
        <w:pStyle w:val="3"/>
        <w:rPr>
          <w:b w:val="0"/>
          <w:bCs/>
        </w:rPr>
      </w:pPr>
      <w:r>
        <w:rPr>
          <w:rFonts w:hint="eastAsia"/>
          <w:b w:val="0"/>
          <w:bCs/>
        </w:rPr>
        <w:t>三</w:t>
      </w:r>
      <w:r>
        <w:rPr>
          <w:b w:val="0"/>
          <w:bCs/>
        </w:rPr>
        <w:t>、</w:t>
      </w:r>
      <w:r>
        <w:rPr>
          <w:rFonts w:hint="eastAsia"/>
          <w:b w:val="0"/>
          <w:bCs/>
        </w:rPr>
        <w:t>区域环境质量现状、环境保护目标及评价标准</w:t>
      </w:r>
      <w:bookmarkEnd w:id="7"/>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7930"/>
      </w:tblGrid>
      <w:tr w14:paraId="57425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Align w:val="center"/>
          </w:tcPr>
          <w:p w14:paraId="21C5DEBC">
            <w:pPr>
              <w:pStyle w:val="2"/>
              <w:keepNext w:val="0"/>
              <w:keepLines w:val="0"/>
              <w:suppressLineNumbers w:val="0"/>
              <w:spacing w:before="0" w:beforeAutospacing="0" w:after="0" w:afterAutospacing="0" w:line="240" w:lineRule="auto"/>
              <w:ind w:left="0" w:right="0" w:firstLine="0" w:firstLineChars="0"/>
              <w:jc w:val="center"/>
              <w:rPr>
                <w:rFonts w:hint="default"/>
                <w:color w:val="auto"/>
              </w:rPr>
            </w:pPr>
            <w:r>
              <w:rPr>
                <w:rFonts w:hint="eastAsia"/>
                <w:color w:val="auto"/>
              </w:rPr>
              <w:t>区域环境质量现状</w:t>
            </w:r>
          </w:p>
        </w:tc>
        <w:tc>
          <w:tcPr>
            <w:tcW w:w="7930" w:type="dxa"/>
            <w:vAlign w:val="top"/>
          </w:tcPr>
          <w:p w14:paraId="01555C0A">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1、大气环境质量现状</w:t>
            </w:r>
          </w:p>
          <w:p w14:paraId="5F3D770B">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(1) 基本污染物环境质量现状</w:t>
            </w:r>
          </w:p>
          <w:p w14:paraId="4015DFFC">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default"/>
                <w:color w:val="auto"/>
              </w:rPr>
              <w:t>①</w:t>
            </w:r>
            <w:r>
              <w:rPr>
                <w:rFonts w:hint="eastAsia"/>
                <w:color w:val="auto"/>
              </w:rPr>
              <w:t>达标区判定</w:t>
            </w:r>
          </w:p>
          <w:p w14:paraId="1454C89C">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zCs w:val="21"/>
                <w:lang w:val="en-US" w:eastAsia="zh-CN"/>
              </w:rPr>
            </w:pPr>
            <w:r>
              <w:rPr>
                <w:rFonts w:hint="eastAsia"/>
                <w:color w:val="auto"/>
                <w:szCs w:val="21"/>
              </w:rPr>
              <w:t>根</w:t>
            </w:r>
            <w:r>
              <w:rPr>
                <w:rFonts w:hint="default" w:ascii="Times New Roman" w:hAnsi="Times New Roman" w:cs="Times New Roman"/>
                <w:color w:val="auto"/>
                <w:szCs w:val="21"/>
              </w:rPr>
              <w:t>据《2024年杭州市余杭区生态环境状况公报》，2024年，余杭区环境空气优良率83.7%，同比下降3.6个百分点；PM2.5平均浓度29.0uμg/m</w:t>
            </w:r>
            <w:r>
              <w:rPr>
                <w:rFonts w:hint="default" w:ascii="Times New Roman" w:hAnsi="Times New Roman" w:cs="Times New Roman"/>
                <w:color w:val="auto"/>
                <w:szCs w:val="21"/>
                <w:vertAlign w:val="superscript"/>
              </w:rPr>
              <w:t>3</w:t>
            </w:r>
            <w:r>
              <w:rPr>
                <w:rFonts w:hint="default" w:ascii="Times New Roman" w:hAnsi="Times New Roman" w:cs="Times New Roman"/>
                <w:color w:val="auto"/>
                <w:szCs w:val="21"/>
              </w:rPr>
              <w:t>，同比下降2.3μg/m</w:t>
            </w:r>
            <w:r>
              <w:rPr>
                <w:rFonts w:hint="default" w:ascii="Times New Roman" w:hAnsi="Times New Roman" w:cs="Times New Roman"/>
                <w:color w:val="auto"/>
                <w:szCs w:val="21"/>
                <w:vertAlign w:val="superscript"/>
              </w:rPr>
              <w:t>3</w:t>
            </w:r>
            <w:r>
              <w:rPr>
                <w:rFonts w:hint="default" w:ascii="Times New Roman" w:hAnsi="Times New Roman" w:cs="Times New Roman"/>
                <w:color w:val="auto"/>
                <w:szCs w:val="21"/>
              </w:rPr>
              <w:t>，降幅7.3%；PM10平均浓度43.7μg/m</w:t>
            </w:r>
            <w:r>
              <w:rPr>
                <w:rFonts w:hint="default" w:ascii="Times New Roman" w:hAnsi="Times New Roman" w:cs="Times New Roman"/>
                <w:color w:val="auto"/>
                <w:szCs w:val="21"/>
                <w:vertAlign w:val="superscript"/>
              </w:rPr>
              <w:t>3</w:t>
            </w:r>
            <w:r>
              <w:rPr>
                <w:rFonts w:hint="default" w:ascii="Times New Roman" w:hAnsi="Times New Roman" w:cs="Times New Roman"/>
                <w:color w:val="auto"/>
                <w:szCs w:val="21"/>
              </w:rPr>
              <w:t>，同比下降9.7μg/m</w:t>
            </w:r>
            <w:r>
              <w:rPr>
                <w:rFonts w:hint="default" w:ascii="Times New Roman" w:hAnsi="Times New Roman" w:cs="Times New Roman"/>
                <w:color w:val="auto"/>
                <w:szCs w:val="21"/>
                <w:vertAlign w:val="superscript"/>
              </w:rPr>
              <w:t>3</w:t>
            </w:r>
            <w:r>
              <w:rPr>
                <w:rFonts w:hint="default" w:ascii="Times New Roman" w:hAnsi="Times New Roman" w:cs="Times New Roman"/>
                <w:color w:val="auto"/>
                <w:szCs w:val="21"/>
              </w:rPr>
              <w:t>，降幅18.2%；O3-90per浓度为164μg/m</w:t>
            </w:r>
            <w:r>
              <w:rPr>
                <w:rFonts w:hint="default" w:ascii="Times New Roman" w:hAnsi="Times New Roman" w:cs="Times New Roman"/>
                <w:color w:val="auto"/>
                <w:szCs w:val="21"/>
                <w:vertAlign w:val="superscript"/>
              </w:rPr>
              <w:t>3</w:t>
            </w:r>
            <w:r>
              <w:rPr>
                <w:rFonts w:hint="default" w:ascii="Times New Roman" w:hAnsi="Times New Roman" w:cs="Times New Roman"/>
                <w:color w:val="auto"/>
                <w:szCs w:val="21"/>
              </w:rPr>
              <w:t>，同比上升6μg/m</w:t>
            </w:r>
            <w:r>
              <w:rPr>
                <w:rFonts w:hint="default" w:ascii="Times New Roman" w:hAnsi="Times New Roman" w:cs="Times New Roman"/>
                <w:color w:val="auto"/>
                <w:szCs w:val="21"/>
                <w:vertAlign w:val="superscript"/>
              </w:rPr>
              <w:t>3</w:t>
            </w:r>
            <w:r>
              <w:rPr>
                <w:rFonts w:hint="default" w:ascii="Times New Roman" w:hAnsi="Times New Roman" w:cs="Times New Roman"/>
                <w:color w:val="auto"/>
                <w:szCs w:val="21"/>
              </w:rPr>
              <w:t>，涨幅3.8%。SO</w:t>
            </w:r>
            <w:r>
              <w:rPr>
                <w:rFonts w:hint="default" w:ascii="Times New Roman" w:hAnsi="Times New Roman" w:cs="Times New Roman"/>
                <w:color w:val="auto"/>
                <w:szCs w:val="21"/>
                <w:vertAlign w:val="subscript"/>
              </w:rPr>
              <w:t>2</w:t>
            </w:r>
            <w:r>
              <w:rPr>
                <w:rFonts w:hint="default" w:ascii="Times New Roman" w:hAnsi="Times New Roman" w:cs="Times New Roman"/>
                <w:color w:val="auto"/>
                <w:szCs w:val="21"/>
              </w:rPr>
              <w:t>和NO</w:t>
            </w:r>
            <w:r>
              <w:rPr>
                <w:rFonts w:hint="default" w:ascii="Times New Roman" w:hAnsi="Times New Roman" w:cs="Times New Roman"/>
                <w:color w:val="auto"/>
                <w:szCs w:val="21"/>
                <w:vertAlign w:val="subscript"/>
              </w:rPr>
              <w:t>2</w:t>
            </w:r>
            <w:r>
              <w:rPr>
                <w:rFonts w:hint="default" w:ascii="Times New Roman" w:hAnsi="Times New Roman" w:cs="Times New Roman"/>
                <w:color w:val="auto"/>
                <w:szCs w:val="21"/>
              </w:rPr>
              <w:t>年平均浓度达到一级标准，PM</w:t>
            </w:r>
            <w:r>
              <w:rPr>
                <w:rFonts w:hint="default" w:ascii="Times New Roman" w:hAnsi="Times New Roman" w:cs="Times New Roman"/>
                <w:color w:val="auto"/>
                <w:szCs w:val="21"/>
                <w:vertAlign w:val="subscript"/>
              </w:rPr>
              <w:t>2.5</w:t>
            </w:r>
            <w:r>
              <w:rPr>
                <w:rFonts w:hint="default" w:ascii="Times New Roman" w:hAnsi="Times New Roman" w:cs="Times New Roman"/>
                <w:color w:val="auto"/>
                <w:szCs w:val="21"/>
              </w:rPr>
              <w:t>、PM</w:t>
            </w:r>
            <w:r>
              <w:rPr>
                <w:rFonts w:hint="default" w:ascii="Times New Roman" w:hAnsi="Times New Roman" w:cs="Times New Roman"/>
                <w:color w:val="auto"/>
                <w:szCs w:val="21"/>
                <w:vertAlign w:val="subscript"/>
              </w:rPr>
              <w:t>10</w:t>
            </w:r>
            <w:r>
              <w:rPr>
                <w:rFonts w:hint="default" w:ascii="Times New Roman" w:hAnsi="Times New Roman" w:cs="Times New Roman"/>
                <w:color w:val="auto"/>
                <w:szCs w:val="21"/>
              </w:rPr>
              <w:t>年平均浓度达到二级标准。综上所述，2024年余杭区环境空气质量为不达标区，超标污染物是臭氧。</w:t>
            </w:r>
          </w:p>
          <w:p w14:paraId="0D7EE0BD">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根据《余杭区环境空气质量提质进位三年行动方案（2024-2026年）》，为提升区域大气环境质量，拟采取</w:t>
            </w:r>
            <w:r>
              <w:rPr>
                <w:rFonts w:hint="eastAsia"/>
                <w:lang w:val="en-US" w:eastAsia="zh-CN"/>
              </w:rPr>
              <w:t>以下</w:t>
            </w:r>
            <w:r>
              <w:rPr>
                <w:rFonts w:hint="default"/>
                <w:lang w:val="en-US" w:eastAsia="zh-CN"/>
              </w:rPr>
              <w:t>措施：</w:t>
            </w:r>
          </w:p>
          <w:p w14:paraId="6027351E">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（1）工业源减排：完成207个省市减排任务、142个区级项目，淘汰3台2蒸吨生物质锅炉，推进活性炭集中再生与氮氧化物深度治理。​</w:t>
            </w:r>
          </w:p>
          <w:p w14:paraId="27B40AF7">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（2）扬尘源管控：技术赋能：部署公交车移动监测、无人机巡查、走航车监测等设备，建立工地扬尘预警处置机制；​长效管理：实现颗粒物异常的快速闭环处置，良渚论坛保障期间创同期PM₂.₅最优水平。​</w:t>
            </w:r>
          </w:p>
          <w:p w14:paraId="4EC191B9">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（3）移动源治理：淘汰国四及以下柴油车327辆、老旧非道机械301台。</w:t>
            </w:r>
          </w:p>
          <w:p w14:paraId="3EAE14FE">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（4）生活源整治：安装餐饮油烟在线监测189套，119家汽修企业纳入活性炭“绿岛”再生体系；​建成62个高位瞭望设施，落实“1530”秸秆焚烧闭环处置</w:t>
            </w:r>
            <w:r>
              <w:rPr>
                <w:rFonts w:hint="eastAsia"/>
                <w:lang w:val="en-US" w:eastAsia="zh-CN"/>
              </w:rPr>
              <w:t>机制。</w:t>
            </w:r>
          </w:p>
          <w:p w14:paraId="2C03454D">
            <w:pPr>
              <w:keepNext w:val="0"/>
              <w:keepLines w:val="0"/>
              <w:suppressLineNumbers w:val="0"/>
              <w:bidi w:val="0"/>
              <w:spacing w:before="0" w:beforeAutospacing="0" w:after="0" w:afterAutospacing="0"/>
              <w:ind w:left="0" w:right="0"/>
              <w:rPr>
                <w:rFonts w:hint="default" w:eastAsia="宋体"/>
                <w:lang w:val="en-US" w:eastAsia="zh-CN"/>
              </w:rPr>
            </w:pPr>
            <w:r>
              <w:rPr>
                <w:rFonts w:hint="eastAsia"/>
              </w:rPr>
              <w:t>2、地表水环境</w:t>
            </w:r>
          </w:p>
          <w:p w14:paraId="61643A28">
            <w:pPr>
              <w:keepNext w:val="0"/>
              <w:keepLines w:val="0"/>
              <w:suppressLineNumbers w:val="0"/>
              <w:bidi w:val="0"/>
              <w:spacing w:before="0" w:beforeAutospacing="0" w:after="0" w:afterAutospacing="0"/>
              <w:ind w:left="0" w:right="0"/>
              <w:rPr>
                <w:rFonts w:hint="eastAsia"/>
              </w:rPr>
            </w:pPr>
            <w:r>
              <w:rPr>
                <w:rFonts w:hint="default"/>
              </w:rPr>
              <w:t>为</w:t>
            </w:r>
            <w:r>
              <w:rPr>
                <w:rFonts w:hint="eastAsia"/>
              </w:rPr>
              <w:t>本项目附近河道为</w:t>
            </w:r>
            <w:r>
              <w:rPr>
                <w:rFonts w:hint="eastAsia"/>
                <w:lang w:val="en-US" w:eastAsia="zh-CN"/>
              </w:rPr>
              <w:t>木桥港(余杭塘河支流)</w:t>
            </w:r>
            <w:r>
              <w:rPr>
                <w:rFonts w:hint="eastAsia"/>
              </w:rPr>
              <w:t>，汇入余杭塘河(仓前段)。根据《浙江省水功能区水环境功能区划分方案》(2015)，水功能区为余杭塘河余杭农业、工业用水区，水环境功能区为农业、工业用水区，目标水质为Ⅲ类。</w:t>
            </w:r>
          </w:p>
          <w:p w14:paraId="47F99E5B">
            <w:pPr>
              <w:keepNext w:val="0"/>
              <w:keepLines w:val="0"/>
              <w:suppressLineNumbers w:val="0"/>
              <w:bidi w:val="0"/>
              <w:spacing w:before="0" w:beforeAutospacing="0" w:after="0" w:afterAutospacing="0"/>
              <w:ind w:left="0" w:right="0"/>
              <w:rPr>
                <w:rFonts w:hint="default"/>
              </w:rPr>
            </w:pPr>
            <w:r>
              <w:rPr>
                <w:rFonts w:hint="eastAsia"/>
              </w:rPr>
              <w:t>为了解项目附近水环境质量现状，本次环评引用智慧河道云平台中2023年10月~12月余杭塘河(仓前街道段</w:t>
            </w:r>
            <w:r>
              <w:rPr>
                <w:rFonts w:hint="eastAsia"/>
                <w:lang w:eastAsia="zh-CN"/>
              </w:rPr>
              <w:t>，</w:t>
            </w:r>
            <w:r>
              <w:rPr>
                <w:rFonts w:hint="eastAsia"/>
                <w:lang w:val="en-US" w:eastAsia="zh-CN"/>
              </w:rPr>
              <w:t>位于本项目西北侧约4km处</w:t>
            </w:r>
            <w:r>
              <w:rPr>
                <w:rFonts w:hint="eastAsia"/>
              </w:rPr>
              <w:t>)的水质监测数据进行评价</w:t>
            </w:r>
            <w:r>
              <w:rPr>
                <w:rFonts w:hint="eastAsia"/>
                <w:lang w:eastAsia="zh-CN"/>
              </w:rPr>
              <w:t>，</w:t>
            </w:r>
            <w:r>
              <w:rPr>
                <w:rFonts w:hint="eastAsia"/>
              </w:rPr>
              <w:t>具体监测结果见表3-2</w:t>
            </w:r>
            <w:r>
              <w:rPr>
                <w:rFonts w:hint="default"/>
              </w:rPr>
              <w:t>。</w:t>
            </w:r>
          </w:p>
          <w:p w14:paraId="6AC3EE2B">
            <w:pPr>
              <w:pStyle w:val="2"/>
              <w:keepNext w:val="0"/>
              <w:keepLines w:val="0"/>
              <w:suppressLineNumbers w:val="0"/>
              <w:spacing w:before="0" w:beforeAutospacing="0" w:after="0" w:afterAutospacing="0"/>
              <w:ind w:left="0" w:right="0" w:firstLine="0" w:firstLineChars="0"/>
              <w:jc w:val="center"/>
              <w:rPr>
                <w:rFonts w:hint="default" w:eastAsia="黑体" w:cs="Times New Roman"/>
                <w:bCs/>
                <w:color w:val="auto"/>
                <w:szCs w:val="24"/>
              </w:rPr>
            </w:pPr>
            <w:r>
              <w:rPr>
                <w:rFonts w:hint="default" w:eastAsia="黑体" w:cs="Times New Roman"/>
                <w:bCs/>
                <w:color w:val="auto"/>
                <w:szCs w:val="24"/>
              </w:rPr>
              <w:t>表3-</w:t>
            </w:r>
            <w:r>
              <w:rPr>
                <w:rFonts w:hint="eastAsia" w:eastAsia="黑体" w:cs="Times New Roman"/>
                <w:bCs/>
                <w:color w:val="auto"/>
                <w:szCs w:val="24"/>
                <w:lang w:val="en-US" w:eastAsia="zh-CN"/>
              </w:rPr>
              <w:t>2</w:t>
            </w:r>
            <w:r>
              <w:rPr>
                <w:rFonts w:hint="default" w:eastAsia="黑体" w:cs="Times New Roman"/>
                <w:bCs/>
                <w:color w:val="auto"/>
                <w:szCs w:val="24"/>
              </w:rPr>
              <w:t xml:space="preserve">  </w:t>
            </w:r>
            <w:r>
              <w:rPr>
                <w:rFonts w:hint="eastAsia" w:eastAsia="黑体" w:cs="Times New Roman"/>
                <w:bCs/>
                <w:color w:val="auto"/>
                <w:szCs w:val="24"/>
                <w:lang w:val="en-US" w:eastAsia="zh-CN"/>
              </w:rPr>
              <w:t>地表水环境质量现状一览表</w:t>
            </w:r>
            <w:r>
              <w:rPr>
                <w:rFonts w:hint="default" w:eastAsia="黑体" w:cs="Times New Roman"/>
                <w:bCs/>
                <w:color w:val="auto"/>
                <w:szCs w:val="24"/>
              </w:rPr>
              <w:t xml:space="preserve"> 单位：mg/L（pH除外）</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63"/>
              <w:gridCol w:w="1204"/>
              <w:gridCol w:w="833"/>
              <w:gridCol w:w="1101"/>
              <w:gridCol w:w="1101"/>
              <w:gridCol w:w="1314"/>
              <w:gridCol w:w="888"/>
            </w:tblGrid>
            <w:tr w14:paraId="61D9A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trPr>
              <w:tc>
                <w:tcPr>
                  <w:tcW w:w="820" w:type="pct"/>
                  <w:tcBorders>
                    <w:tl2br w:val="nil"/>
                    <w:tr2bl w:val="nil"/>
                  </w:tcBorders>
                  <w:shd w:val="clear" w:color="auto" w:fill="FFFFFF"/>
                  <w:vAlign w:val="center"/>
                </w:tcPr>
                <w:p w14:paraId="63FBC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监测断面</w:t>
                  </w:r>
                </w:p>
              </w:tc>
              <w:tc>
                <w:tcPr>
                  <w:tcW w:w="781" w:type="pct"/>
                  <w:tcBorders>
                    <w:tl2br w:val="nil"/>
                    <w:tr2bl w:val="nil"/>
                  </w:tcBorders>
                  <w:shd w:val="clear" w:color="auto" w:fill="FFFFFF"/>
                  <w:vAlign w:val="center"/>
                </w:tcPr>
                <w:p w14:paraId="07F48A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检测时间</w:t>
                  </w:r>
                </w:p>
              </w:tc>
              <w:tc>
                <w:tcPr>
                  <w:tcW w:w="540" w:type="pct"/>
                  <w:tcBorders>
                    <w:tl2br w:val="nil"/>
                    <w:tr2bl w:val="nil"/>
                  </w:tcBorders>
                  <w:shd w:val="clear" w:color="auto" w:fill="FFFFFF"/>
                  <w:vAlign w:val="center"/>
                </w:tcPr>
                <w:p w14:paraId="4EAA77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pH</w:t>
                  </w:r>
                </w:p>
              </w:tc>
              <w:tc>
                <w:tcPr>
                  <w:tcW w:w="714" w:type="pct"/>
                  <w:tcBorders>
                    <w:tl2br w:val="nil"/>
                    <w:tr2bl w:val="nil"/>
                  </w:tcBorders>
                  <w:shd w:val="clear" w:color="auto" w:fill="FFFFFF"/>
                  <w:vAlign w:val="center"/>
                </w:tcPr>
                <w:p w14:paraId="48CD74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氨氮</w:t>
                  </w:r>
                </w:p>
              </w:tc>
              <w:tc>
                <w:tcPr>
                  <w:tcW w:w="714" w:type="pct"/>
                  <w:tcBorders>
                    <w:tl2br w:val="nil"/>
                    <w:tr2bl w:val="nil"/>
                  </w:tcBorders>
                  <w:shd w:val="clear" w:color="auto" w:fill="FFFFFF"/>
                  <w:vAlign w:val="center"/>
                </w:tcPr>
                <w:p w14:paraId="6DEE8F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溶解氧</w:t>
                  </w:r>
                </w:p>
              </w:tc>
              <w:tc>
                <w:tcPr>
                  <w:tcW w:w="852" w:type="pct"/>
                  <w:tcBorders>
                    <w:tl2br w:val="nil"/>
                    <w:tr2bl w:val="nil"/>
                  </w:tcBorders>
                  <w:shd w:val="clear" w:color="auto" w:fill="FFFFFF"/>
                  <w:vAlign w:val="center"/>
                </w:tcPr>
                <w:p w14:paraId="535499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化学需氧量</w:t>
                  </w:r>
                </w:p>
              </w:tc>
              <w:tc>
                <w:tcPr>
                  <w:tcW w:w="576" w:type="pct"/>
                  <w:tcBorders>
                    <w:tl2br w:val="nil"/>
                    <w:tr2bl w:val="nil"/>
                  </w:tcBorders>
                  <w:shd w:val="clear" w:color="auto" w:fill="FFFFFF"/>
                  <w:vAlign w:val="center"/>
                </w:tcPr>
                <w:p w14:paraId="4DD602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总磷</w:t>
                  </w:r>
                </w:p>
              </w:tc>
            </w:tr>
            <w:tr w14:paraId="6636C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pct"/>
                  <w:vMerge w:val="restart"/>
                  <w:tcBorders>
                    <w:tl2br w:val="nil"/>
                    <w:tr2bl w:val="nil"/>
                  </w:tcBorders>
                  <w:shd w:val="clear" w:color="auto" w:fill="FFFFFF"/>
                  <w:vAlign w:val="center"/>
                </w:tcPr>
                <w:p w14:paraId="586516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余杭塘河（仓前街道段）</w:t>
                  </w:r>
                </w:p>
              </w:tc>
              <w:tc>
                <w:tcPr>
                  <w:tcW w:w="781" w:type="pct"/>
                  <w:tcBorders>
                    <w:tl2br w:val="nil"/>
                    <w:tr2bl w:val="nil"/>
                  </w:tcBorders>
                  <w:shd w:val="clear" w:color="auto" w:fill="FFFFFF"/>
                  <w:vAlign w:val="center"/>
                </w:tcPr>
                <w:p w14:paraId="755C0C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lang w:val="en-US"/>
                    </w:rPr>
                  </w:pPr>
                  <w:r>
                    <w:rPr>
                      <w:rFonts w:hint="eastAsia" w:ascii="Times New Roman" w:hAnsi="Times New Roman" w:eastAsia="宋体" w:cs="Times New Roman"/>
                      <w:sz w:val="21"/>
                      <w:szCs w:val="21"/>
                      <w:lang w:val="en-US" w:eastAsia="zh-CN"/>
                    </w:rPr>
                    <w:t>2023.10</w:t>
                  </w:r>
                </w:p>
              </w:tc>
              <w:tc>
                <w:tcPr>
                  <w:tcW w:w="540" w:type="pct"/>
                  <w:tcBorders>
                    <w:tl2br w:val="nil"/>
                    <w:tr2bl w:val="nil"/>
                  </w:tcBorders>
                  <w:shd w:val="clear" w:color="auto" w:fill="FFFFFF"/>
                  <w:vAlign w:val="center"/>
                </w:tcPr>
                <w:p w14:paraId="16FF77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7.6</w:t>
                  </w:r>
                </w:p>
              </w:tc>
              <w:tc>
                <w:tcPr>
                  <w:tcW w:w="714" w:type="pct"/>
                  <w:tcBorders>
                    <w:tl2br w:val="nil"/>
                    <w:tr2bl w:val="nil"/>
                  </w:tcBorders>
                  <w:shd w:val="clear" w:color="auto" w:fill="FFFFFF"/>
                  <w:vAlign w:val="center"/>
                </w:tcPr>
                <w:p w14:paraId="26DF5E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0.282</w:t>
                  </w:r>
                </w:p>
              </w:tc>
              <w:tc>
                <w:tcPr>
                  <w:tcW w:w="714" w:type="pct"/>
                  <w:tcBorders>
                    <w:tl2br w:val="nil"/>
                    <w:tr2bl w:val="nil"/>
                  </w:tcBorders>
                  <w:shd w:val="clear" w:color="auto" w:fill="FFFFFF"/>
                  <w:vAlign w:val="center"/>
                </w:tcPr>
                <w:p w14:paraId="520303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3.2</w:t>
                  </w:r>
                </w:p>
              </w:tc>
              <w:tc>
                <w:tcPr>
                  <w:tcW w:w="852" w:type="pct"/>
                  <w:tcBorders>
                    <w:tl2br w:val="nil"/>
                    <w:tr2bl w:val="nil"/>
                  </w:tcBorders>
                  <w:shd w:val="clear" w:color="auto" w:fill="FFFFFF"/>
                  <w:vAlign w:val="center"/>
                </w:tcPr>
                <w:p w14:paraId="454CE0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2.2</w:t>
                  </w:r>
                </w:p>
              </w:tc>
              <w:tc>
                <w:tcPr>
                  <w:tcW w:w="576" w:type="pct"/>
                  <w:tcBorders>
                    <w:tl2br w:val="nil"/>
                    <w:tr2bl w:val="nil"/>
                  </w:tcBorders>
                  <w:shd w:val="clear" w:color="auto" w:fill="FFFFFF"/>
                  <w:vAlign w:val="center"/>
                </w:tcPr>
                <w:p w14:paraId="76AB82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0.11</w:t>
                  </w:r>
                </w:p>
              </w:tc>
            </w:tr>
            <w:tr w14:paraId="6255B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pct"/>
                  <w:vMerge w:val="continue"/>
                  <w:tcBorders>
                    <w:tl2br w:val="nil"/>
                    <w:tr2bl w:val="nil"/>
                  </w:tcBorders>
                  <w:shd w:val="clear" w:color="auto" w:fill="FFFFFF"/>
                  <w:vAlign w:val="center"/>
                </w:tcPr>
                <w:p w14:paraId="33F6DB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p>
              </w:tc>
              <w:tc>
                <w:tcPr>
                  <w:tcW w:w="781" w:type="pct"/>
                  <w:tcBorders>
                    <w:tl2br w:val="nil"/>
                    <w:tr2bl w:val="nil"/>
                  </w:tcBorders>
                  <w:shd w:val="clear" w:color="auto" w:fill="FFFFFF"/>
                  <w:vAlign w:val="center"/>
                </w:tcPr>
                <w:p w14:paraId="2A80B5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lang w:val="en-US"/>
                    </w:rPr>
                  </w:pPr>
                  <w:r>
                    <w:rPr>
                      <w:rFonts w:hint="eastAsia" w:ascii="Times New Roman" w:hAnsi="Times New Roman" w:eastAsia="宋体" w:cs="Times New Roman"/>
                      <w:sz w:val="21"/>
                      <w:szCs w:val="21"/>
                      <w:lang w:val="en-US" w:eastAsia="zh-CN"/>
                    </w:rPr>
                    <w:t>2023.11</w:t>
                  </w:r>
                </w:p>
              </w:tc>
              <w:tc>
                <w:tcPr>
                  <w:tcW w:w="540" w:type="pct"/>
                  <w:tcBorders>
                    <w:tl2br w:val="nil"/>
                    <w:tr2bl w:val="nil"/>
                  </w:tcBorders>
                  <w:shd w:val="clear" w:color="auto" w:fill="FFFFFF"/>
                  <w:vAlign w:val="center"/>
                </w:tcPr>
                <w:p w14:paraId="18A0CE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7.4</w:t>
                  </w:r>
                </w:p>
              </w:tc>
              <w:tc>
                <w:tcPr>
                  <w:tcW w:w="714" w:type="pct"/>
                  <w:tcBorders>
                    <w:tl2br w:val="nil"/>
                    <w:tr2bl w:val="nil"/>
                  </w:tcBorders>
                  <w:shd w:val="clear" w:color="auto" w:fill="FFFFFF"/>
                  <w:vAlign w:val="center"/>
                </w:tcPr>
                <w:p w14:paraId="5974E7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0.226</w:t>
                  </w:r>
                </w:p>
              </w:tc>
              <w:tc>
                <w:tcPr>
                  <w:tcW w:w="714" w:type="pct"/>
                  <w:tcBorders>
                    <w:tl2br w:val="nil"/>
                    <w:tr2bl w:val="nil"/>
                  </w:tcBorders>
                  <w:shd w:val="clear" w:color="auto" w:fill="FFFFFF"/>
                  <w:vAlign w:val="center"/>
                </w:tcPr>
                <w:p w14:paraId="5F7B7F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5</w:t>
                  </w:r>
                </w:p>
              </w:tc>
              <w:tc>
                <w:tcPr>
                  <w:tcW w:w="852" w:type="pct"/>
                  <w:tcBorders>
                    <w:tl2br w:val="nil"/>
                    <w:tr2bl w:val="nil"/>
                  </w:tcBorders>
                  <w:shd w:val="clear" w:color="auto" w:fill="FFFFFF"/>
                  <w:vAlign w:val="center"/>
                </w:tcPr>
                <w:p w14:paraId="424F3B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3.3</w:t>
                  </w:r>
                </w:p>
              </w:tc>
              <w:tc>
                <w:tcPr>
                  <w:tcW w:w="576" w:type="pct"/>
                  <w:tcBorders>
                    <w:tl2br w:val="nil"/>
                    <w:tr2bl w:val="nil"/>
                  </w:tcBorders>
                  <w:shd w:val="clear" w:color="auto" w:fill="FFFFFF"/>
                  <w:vAlign w:val="center"/>
                </w:tcPr>
                <w:p w14:paraId="69E118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0.11</w:t>
                  </w:r>
                </w:p>
              </w:tc>
            </w:tr>
            <w:tr w14:paraId="3F3CA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pct"/>
                  <w:vMerge w:val="continue"/>
                  <w:tcBorders>
                    <w:tl2br w:val="nil"/>
                    <w:tr2bl w:val="nil"/>
                  </w:tcBorders>
                  <w:shd w:val="clear" w:color="auto" w:fill="FFFFFF"/>
                  <w:vAlign w:val="center"/>
                </w:tcPr>
                <w:p w14:paraId="642FBF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p>
              </w:tc>
              <w:tc>
                <w:tcPr>
                  <w:tcW w:w="781" w:type="pct"/>
                  <w:tcBorders>
                    <w:tl2br w:val="nil"/>
                    <w:tr2bl w:val="nil"/>
                  </w:tcBorders>
                  <w:shd w:val="clear" w:color="auto" w:fill="FFFFFF"/>
                  <w:vAlign w:val="center"/>
                </w:tcPr>
                <w:p w14:paraId="6A69C2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lang w:val="en-US"/>
                    </w:rPr>
                  </w:pPr>
                  <w:r>
                    <w:rPr>
                      <w:rFonts w:hint="eastAsia" w:ascii="Times New Roman" w:hAnsi="Times New Roman" w:eastAsia="宋体" w:cs="Times New Roman"/>
                      <w:sz w:val="21"/>
                      <w:szCs w:val="21"/>
                      <w:lang w:val="en-US" w:eastAsia="zh-CN"/>
                    </w:rPr>
                    <w:t>2023.12</w:t>
                  </w:r>
                </w:p>
              </w:tc>
              <w:tc>
                <w:tcPr>
                  <w:tcW w:w="540" w:type="pct"/>
                  <w:tcBorders>
                    <w:tl2br w:val="nil"/>
                    <w:tr2bl w:val="nil"/>
                  </w:tcBorders>
                  <w:shd w:val="clear" w:color="auto" w:fill="FFFFFF"/>
                  <w:vAlign w:val="center"/>
                </w:tcPr>
                <w:p w14:paraId="3660D4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8</w:t>
                  </w:r>
                </w:p>
              </w:tc>
              <w:tc>
                <w:tcPr>
                  <w:tcW w:w="714" w:type="pct"/>
                  <w:tcBorders>
                    <w:tl2br w:val="nil"/>
                    <w:tr2bl w:val="nil"/>
                  </w:tcBorders>
                  <w:shd w:val="clear" w:color="auto" w:fill="FFFFFF"/>
                  <w:vAlign w:val="center"/>
                </w:tcPr>
                <w:p w14:paraId="1E8F87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0.25</w:t>
                  </w:r>
                </w:p>
              </w:tc>
              <w:tc>
                <w:tcPr>
                  <w:tcW w:w="714" w:type="pct"/>
                  <w:tcBorders>
                    <w:tl2br w:val="nil"/>
                    <w:tr2bl w:val="nil"/>
                  </w:tcBorders>
                  <w:shd w:val="clear" w:color="auto" w:fill="FFFFFF"/>
                  <w:vAlign w:val="center"/>
                </w:tcPr>
                <w:p w14:paraId="2CD858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3.3</w:t>
                  </w:r>
                </w:p>
              </w:tc>
              <w:tc>
                <w:tcPr>
                  <w:tcW w:w="852" w:type="pct"/>
                  <w:tcBorders>
                    <w:tl2br w:val="nil"/>
                    <w:tr2bl w:val="nil"/>
                  </w:tcBorders>
                  <w:shd w:val="clear" w:color="auto" w:fill="FFFFFF"/>
                  <w:vAlign w:val="center"/>
                </w:tcPr>
                <w:p w14:paraId="378543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2.6</w:t>
                  </w:r>
                </w:p>
              </w:tc>
              <w:tc>
                <w:tcPr>
                  <w:tcW w:w="576" w:type="pct"/>
                  <w:tcBorders>
                    <w:tl2br w:val="nil"/>
                    <w:tr2bl w:val="nil"/>
                  </w:tcBorders>
                  <w:shd w:val="clear" w:color="auto" w:fill="FFFFFF"/>
                  <w:vAlign w:val="center"/>
                </w:tcPr>
                <w:p w14:paraId="76BC46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0.15</w:t>
                  </w:r>
                </w:p>
              </w:tc>
            </w:tr>
            <w:tr w14:paraId="451D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pct"/>
                  <w:tcBorders>
                    <w:tl2br w:val="nil"/>
                    <w:tr2bl w:val="nil"/>
                  </w:tcBorders>
                  <w:shd w:val="clear" w:color="auto" w:fill="FFFFFF"/>
                  <w:vAlign w:val="center"/>
                </w:tcPr>
                <w:p w14:paraId="7B47D0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Ⅲ 类标准</w:t>
                  </w:r>
                </w:p>
              </w:tc>
              <w:tc>
                <w:tcPr>
                  <w:tcW w:w="781" w:type="pct"/>
                  <w:tcBorders>
                    <w:tl2br w:val="nil"/>
                    <w:tr2bl w:val="nil"/>
                  </w:tcBorders>
                  <w:shd w:val="clear" w:color="auto" w:fill="FFFFFF"/>
                  <w:vAlign w:val="center"/>
                </w:tcPr>
                <w:p w14:paraId="744CEA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540" w:type="pct"/>
                  <w:tcBorders>
                    <w:tl2br w:val="nil"/>
                    <w:tr2bl w:val="nil"/>
                  </w:tcBorders>
                  <w:shd w:val="clear" w:color="auto" w:fill="FFFFFF"/>
                  <w:vAlign w:val="center"/>
                </w:tcPr>
                <w:p w14:paraId="08E8E4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lang w:val="en-US"/>
                    </w:rPr>
                  </w:pPr>
                  <w:r>
                    <w:rPr>
                      <w:rFonts w:hint="eastAsia" w:ascii="Times New Roman" w:hAnsi="Times New Roman" w:eastAsia="宋体" w:cs="Times New Roman"/>
                      <w:sz w:val="21"/>
                      <w:szCs w:val="21"/>
                      <w:lang w:val="en-US" w:eastAsia="zh-CN"/>
                    </w:rPr>
                    <w:t>6~9</w:t>
                  </w:r>
                </w:p>
              </w:tc>
              <w:tc>
                <w:tcPr>
                  <w:tcW w:w="714" w:type="pct"/>
                  <w:tcBorders>
                    <w:tl2br w:val="nil"/>
                    <w:tr2bl w:val="nil"/>
                  </w:tcBorders>
                  <w:shd w:val="clear" w:color="auto" w:fill="FFFFFF"/>
                  <w:vAlign w:val="center"/>
                </w:tcPr>
                <w:p w14:paraId="316593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≤1.0</w:t>
                  </w:r>
                </w:p>
              </w:tc>
              <w:tc>
                <w:tcPr>
                  <w:tcW w:w="714" w:type="pct"/>
                  <w:tcBorders>
                    <w:tl2br w:val="nil"/>
                    <w:tr2bl w:val="nil"/>
                  </w:tcBorders>
                  <w:shd w:val="clear" w:color="auto" w:fill="FFFFFF"/>
                  <w:vAlign w:val="center"/>
                </w:tcPr>
                <w:p w14:paraId="6750C4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≥5</w:t>
                  </w:r>
                </w:p>
              </w:tc>
              <w:tc>
                <w:tcPr>
                  <w:tcW w:w="852" w:type="pct"/>
                  <w:tcBorders>
                    <w:tl2br w:val="nil"/>
                    <w:tr2bl w:val="nil"/>
                  </w:tcBorders>
                  <w:shd w:val="clear" w:color="auto" w:fill="FFFFFF"/>
                  <w:vAlign w:val="center"/>
                </w:tcPr>
                <w:p w14:paraId="714E51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≤20</w:t>
                  </w:r>
                </w:p>
              </w:tc>
              <w:tc>
                <w:tcPr>
                  <w:tcW w:w="576" w:type="pct"/>
                  <w:tcBorders>
                    <w:tl2br w:val="nil"/>
                    <w:tr2bl w:val="nil"/>
                  </w:tcBorders>
                  <w:shd w:val="clear" w:color="auto" w:fill="FFFFFF"/>
                  <w:vAlign w:val="center"/>
                </w:tcPr>
                <w:p w14:paraId="4A9793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≤0.2</w:t>
                  </w:r>
                </w:p>
              </w:tc>
            </w:tr>
            <w:tr w14:paraId="45EDF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0" w:type="pct"/>
                  <w:tcBorders>
                    <w:tl2br w:val="nil"/>
                    <w:tr2bl w:val="nil"/>
                  </w:tcBorders>
                  <w:shd w:val="clear" w:color="auto" w:fill="FFFFFF"/>
                  <w:vAlign w:val="center"/>
                </w:tcPr>
                <w:p w14:paraId="533DE5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达标情况</w:t>
                  </w:r>
                </w:p>
              </w:tc>
              <w:tc>
                <w:tcPr>
                  <w:tcW w:w="781" w:type="pct"/>
                  <w:tcBorders>
                    <w:tl2br w:val="nil"/>
                    <w:tr2bl w:val="nil"/>
                  </w:tcBorders>
                  <w:shd w:val="clear" w:color="auto" w:fill="FFFFFF"/>
                  <w:vAlign w:val="center"/>
                </w:tcPr>
                <w:p w14:paraId="22B7D4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w:t>
                  </w:r>
                </w:p>
              </w:tc>
              <w:tc>
                <w:tcPr>
                  <w:tcW w:w="540" w:type="pct"/>
                  <w:tcBorders>
                    <w:tl2br w:val="nil"/>
                    <w:tr2bl w:val="nil"/>
                  </w:tcBorders>
                  <w:shd w:val="clear" w:color="auto" w:fill="FFFFFF"/>
                  <w:vAlign w:val="center"/>
                </w:tcPr>
                <w:p w14:paraId="0075CF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达标</w:t>
                  </w:r>
                </w:p>
              </w:tc>
              <w:tc>
                <w:tcPr>
                  <w:tcW w:w="714" w:type="pct"/>
                  <w:tcBorders>
                    <w:tl2br w:val="nil"/>
                    <w:tr2bl w:val="nil"/>
                  </w:tcBorders>
                  <w:shd w:val="clear" w:color="auto" w:fill="FFFFFF"/>
                  <w:vAlign w:val="center"/>
                </w:tcPr>
                <w:p w14:paraId="6B4E27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达标</w:t>
                  </w:r>
                </w:p>
              </w:tc>
              <w:tc>
                <w:tcPr>
                  <w:tcW w:w="714" w:type="pct"/>
                  <w:tcBorders>
                    <w:tl2br w:val="nil"/>
                    <w:tr2bl w:val="nil"/>
                  </w:tcBorders>
                  <w:shd w:val="clear" w:color="auto" w:fill="FFFFFF"/>
                  <w:vAlign w:val="center"/>
                </w:tcPr>
                <w:p w14:paraId="042CCC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不达标</w:t>
                  </w:r>
                </w:p>
              </w:tc>
              <w:tc>
                <w:tcPr>
                  <w:tcW w:w="852" w:type="pct"/>
                  <w:tcBorders>
                    <w:tl2br w:val="nil"/>
                    <w:tr2bl w:val="nil"/>
                  </w:tcBorders>
                  <w:shd w:val="clear" w:color="auto" w:fill="FFFFFF"/>
                  <w:vAlign w:val="center"/>
                </w:tcPr>
                <w:p w14:paraId="4747DF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达标</w:t>
                  </w:r>
                </w:p>
              </w:tc>
              <w:tc>
                <w:tcPr>
                  <w:tcW w:w="576" w:type="pct"/>
                  <w:tcBorders>
                    <w:tl2br w:val="nil"/>
                    <w:tr2bl w:val="nil"/>
                  </w:tcBorders>
                  <w:shd w:val="clear" w:color="auto" w:fill="FFFFFF"/>
                  <w:vAlign w:val="center"/>
                </w:tcPr>
                <w:p w14:paraId="3D106C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达标</w:t>
                  </w:r>
                </w:p>
              </w:tc>
            </w:tr>
          </w:tbl>
          <w:p w14:paraId="42240D24">
            <w:pPr>
              <w:pStyle w:val="2"/>
              <w:keepNext w:val="0"/>
              <w:keepLines w:val="0"/>
              <w:suppressLineNumbers w:val="0"/>
              <w:bidi w:val="0"/>
              <w:spacing w:before="0" w:beforeAutospacing="0" w:after="0" w:afterAutospacing="0"/>
              <w:ind w:left="0" w:right="0"/>
              <w:rPr>
                <w:rFonts w:hint="default"/>
              </w:rPr>
            </w:pPr>
            <w:r>
              <w:rPr>
                <w:rFonts w:hint="eastAsia"/>
              </w:rPr>
              <w:t>根据监测结果可知，余杭塘河(仓前街道段)水质不能达到《地表水环境质量标准》(GB3838-2002)中Ⅲ类标准要求</w:t>
            </w:r>
            <w:r>
              <w:rPr>
                <w:rFonts w:hint="eastAsia"/>
                <w:lang w:eastAsia="zh-CN"/>
              </w:rPr>
              <w:t>，</w:t>
            </w:r>
            <w:r>
              <w:rPr>
                <w:rFonts w:hint="eastAsia"/>
              </w:rPr>
              <w:t>超标因子为溶解氧。根据《余杭塘河(余杭段)“一河一策”实施方案(2021-2023年)》，余杭塘河沿线城镇生活污水虽然已经采用纳管处理，但还存在着雨污未分流、管道老化失修等问题，引起河道水质变差。本项目建设内容包括管线工程，排水体制采用雨污分流制，推进生活污染的治理，不会加重周边河道水质污染</w:t>
            </w:r>
            <w:r>
              <w:rPr>
                <w:rFonts w:hint="default"/>
              </w:rPr>
              <w:t>。</w:t>
            </w:r>
          </w:p>
          <w:p w14:paraId="5B5F180D">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3、声环境</w:t>
            </w:r>
          </w:p>
          <w:p w14:paraId="700B232A">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default"/>
                <w:color w:val="auto"/>
              </w:rPr>
              <w:t>本项目厂界外50m范围无声环境保护目标，根据《建设项目环境影响报告表编制技术指南》（污染影响类）无需开展现状调查。</w:t>
            </w:r>
          </w:p>
          <w:p w14:paraId="7FA68233">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4、生态环境</w:t>
            </w:r>
          </w:p>
          <w:p w14:paraId="32346670">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default"/>
                <w:color w:val="auto"/>
              </w:rPr>
              <w:t>本项目位于浙江省杭州市余杭区五常街道绮颐弄10号1幢301室，占地范围内不含生态环境保护目标，故不进行生态现状调查。</w:t>
            </w:r>
          </w:p>
          <w:p w14:paraId="13DC65A6">
            <w:pPr>
              <w:pStyle w:val="2"/>
              <w:keepNext w:val="0"/>
              <w:keepLines w:val="0"/>
              <w:suppressLineNumbers w:val="0"/>
              <w:spacing w:before="0" w:beforeAutospacing="0" w:after="0" w:afterAutospacing="0"/>
              <w:ind w:left="0" w:right="0" w:firstLine="480"/>
              <w:rPr>
                <w:rFonts w:hint="eastAsia" w:eastAsia="宋体"/>
                <w:color w:val="auto"/>
                <w:lang w:val="en-US" w:eastAsia="zh-CN"/>
              </w:rPr>
            </w:pPr>
            <w:r>
              <w:rPr>
                <w:rFonts w:hint="eastAsia"/>
                <w:color w:val="auto"/>
              </w:rPr>
              <w:t>5、电磁辐射</w:t>
            </w:r>
          </w:p>
          <w:p w14:paraId="51117156">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default"/>
                <w:color w:val="auto"/>
              </w:rPr>
              <w:t>本项目不涉及电磁辐射影响。</w:t>
            </w:r>
          </w:p>
          <w:p w14:paraId="048D1CF7">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6、地下水、土壤环境</w:t>
            </w:r>
          </w:p>
          <w:p w14:paraId="31DC9598">
            <w:pPr>
              <w:pStyle w:val="2"/>
              <w:keepNext w:val="0"/>
              <w:keepLines w:val="0"/>
              <w:suppressLineNumbers w:val="0"/>
              <w:spacing w:before="0" w:beforeAutospacing="0" w:after="0" w:afterAutospacing="0"/>
              <w:ind w:left="0" w:right="0" w:firstLine="480" w:firstLineChars="200"/>
              <w:rPr>
                <w:rFonts w:hint="default"/>
                <w:color w:val="auto"/>
              </w:rPr>
            </w:pPr>
            <w:r>
              <w:rPr>
                <w:rFonts w:hint="default"/>
                <w:color w:val="auto"/>
              </w:rPr>
              <w:t>本项目产生的危险废物贮存于厂区危废间内。危废间</w:t>
            </w:r>
            <w:r>
              <w:rPr>
                <w:rFonts w:hint="eastAsia"/>
                <w:color w:val="auto"/>
                <w:lang w:eastAsia="zh-CN"/>
              </w:rPr>
              <w:t>、</w:t>
            </w:r>
            <w:r>
              <w:rPr>
                <w:rFonts w:hint="eastAsia"/>
                <w:color w:val="auto"/>
                <w:lang w:val="en-US" w:eastAsia="zh-CN"/>
              </w:rPr>
              <w:t>原辅料存放区域均</w:t>
            </w:r>
            <w:r>
              <w:rPr>
                <w:rFonts w:hint="default"/>
                <w:color w:val="auto"/>
              </w:rPr>
              <w:t>做防腐防渗处理，无地下水、土壤环境污染途径，无需开展地下水、土壤环境质量现状调查。</w:t>
            </w:r>
          </w:p>
        </w:tc>
      </w:tr>
      <w:tr w14:paraId="19131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Align w:val="center"/>
          </w:tcPr>
          <w:p w14:paraId="2ACFA176">
            <w:pPr>
              <w:pStyle w:val="2"/>
              <w:keepNext w:val="0"/>
              <w:keepLines w:val="0"/>
              <w:suppressLineNumbers w:val="0"/>
              <w:spacing w:before="0" w:beforeAutospacing="0" w:after="0" w:afterAutospacing="0" w:line="240" w:lineRule="auto"/>
              <w:ind w:left="0" w:right="0" w:firstLine="0" w:firstLineChars="0"/>
              <w:jc w:val="center"/>
              <w:rPr>
                <w:rFonts w:hint="default"/>
                <w:color w:val="auto"/>
              </w:rPr>
            </w:pPr>
            <w:r>
              <w:rPr>
                <w:rFonts w:hint="eastAsia"/>
                <w:color w:val="auto"/>
              </w:rPr>
              <w:t>环境</w:t>
            </w:r>
          </w:p>
          <w:p w14:paraId="08439617">
            <w:pPr>
              <w:pStyle w:val="2"/>
              <w:keepNext w:val="0"/>
              <w:keepLines w:val="0"/>
              <w:suppressLineNumbers w:val="0"/>
              <w:spacing w:before="0" w:beforeAutospacing="0" w:after="0" w:afterAutospacing="0" w:line="240" w:lineRule="auto"/>
              <w:ind w:left="0" w:right="0" w:firstLine="0" w:firstLineChars="0"/>
              <w:jc w:val="center"/>
              <w:rPr>
                <w:rFonts w:hint="default"/>
                <w:color w:val="auto"/>
              </w:rPr>
            </w:pPr>
            <w:r>
              <w:rPr>
                <w:rFonts w:hint="eastAsia"/>
                <w:color w:val="auto"/>
              </w:rPr>
              <w:t>保护</w:t>
            </w:r>
          </w:p>
          <w:p w14:paraId="2AAE3609">
            <w:pPr>
              <w:pStyle w:val="2"/>
              <w:keepNext w:val="0"/>
              <w:keepLines w:val="0"/>
              <w:suppressLineNumbers w:val="0"/>
              <w:spacing w:before="0" w:beforeAutospacing="0" w:after="0" w:afterAutospacing="0" w:line="240" w:lineRule="auto"/>
              <w:ind w:left="0" w:right="0" w:firstLine="0" w:firstLineChars="0"/>
              <w:jc w:val="center"/>
              <w:rPr>
                <w:rFonts w:hint="default"/>
                <w:color w:val="auto"/>
              </w:rPr>
            </w:pPr>
            <w:r>
              <w:rPr>
                <w:rFonts w:hint="eastAsia"/>
                <w:color w:val="auto"/>
              </w:rPr>
              <w:t>目标</w:t>
            </w:r>
          </w:p>
        </w:tc>
        <w:tc>
          <w:tcPr>
            <w:tcW w:w="7930" w:type="dxa"/>
            <w:vAlign w:val="top"/>
          </w:tcPr>
          <w:p w14:paraId="4925C365">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1、大气环境保护目标</w:t>
            </w:r>
          </w:p>
          <w:p w14:paraId="4B0A8333">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default"/>
                <w:color w:val="auto"/>
              </w:rPr>
              <w:t>根据现场勘查，项目厂界外500m范围</w:t>
            </w:r>
            <w:r>
              <w:rPr>
                <w:rFonts w:hint="eastAsia"/>
                <w:color w:val="auto"/>
              </w:rPr>
              <w:t>有</w:t>
            </w:r>
            <w:r>
              <w:rPr>
                <w:rFonts w:hint="default"/>
                <w:color w:val="auto"/>
              </w:rPr>
              <w:t>住宅用地。项目周边环境概况图见附图。</w:t>
            </w:r>
            <w:r>
              <w:rPr>
                <w:rFonts w:hint="eastAsia"/>
                <w:color w:val="auto"/>
              </w:rPr>
              <w:t>大气环境保护目标见表3-</w:t>
            </w:r>
            <w:r>
              <w:rPr>
                <w:rFonts w:hint="eastAsia"/>
                <w:color w:val="auto"/>
                <w:lang w:val="en-US" w:eastAsia="zh-CN"/>
              </w:rPr>
              <w:t>3</w:t>
            </w:r>
            <w:r>
              <w:rPr>
                <w:rFonts w:hint="eastAsia"/>
                <w:color w:val="auto"/>
              </w:rPr>
              <w:t>。</w:t>
            </w:r>
          </w:p>
          <w:p w14:paraId="4067E26D">
            <w:pPr>
              <w:pStyle w:val="2"/>
              <w:keepNext w:val="0"/>
              <w:keepLines w:val="0"/>
              <w:suppressLineNumbers w:val="0"/>
              <w:spacing w:before="0" w:beforeAutospacing="0" w:after="0" w:afterAutospacing="0"/>
              <w:ind w:left="0" w:right="0" w:firstLine="0" w:firstLineChars="0"/>
              <w:jc w:val="center"/>
              <w:rPr>
                <w:rFonts w:hint="default"/>
                <w:color w:val="auto"/>
              </w:rPr>
            </w:pPr>
            <w:r>
              <w:rPr>
                <w:rFonts w:hint="default" w:eastAsia="黑体" w:cs="Times New Roman"/>
                <w:bCs/>
                <w:color w:val="auto"/>
                <w:szCs w:val="24"/>
              </w:rPr>
              <w:t>表3-</w:t>
            </w:r>
            <w:r>
              <w:rPr>
                <w:rFonts w:hint="eastAsia" w:eastAsia="黑体" w:cs="Times New Roman"/>
                <w:bCs/>
                <w:color w:val="auto"/>
                <w:szCs w:val="24"/>
                <w:lang w:val="en-US" w:eastAsia="zh-CN"/>
              </w:rPr>
              <w:t>3</w:t>
            </w:r>
            <w:r>
              <w:rPr>
                <w:rFonts w:hint="default" w:eastAsia="黑体" w:cs="Times New Roman"/>
                <w:bCs/>
                <w:color w:val="auto"/>
                <w:szCs w:val="24"/>
              </w:rPr>
              <w:t xml:space="preserve">  </w:t>
            </w:r>
            <w:r>
              <w:rPr>
                <w:rFonts w:hint="eastAsia" w:eastAsia="黑体" w:cs="Times New Roman"/>
                <w:bCs/>
                <w:color w:val="auto"/>
                <w:szCs w:val="24"/>
              </w:rPr>
              <w:t>大气环境保护目标</w:t>
            </w:r>
          </w:p>
          <w:tbl>
            <w:tblPr>
              <w:tblStyle w:val="22"/>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43"/>
              <w:gridCol w:w="1017"/>
              <w:gridCol w:w="981"/>
              <w:gridCol w:w="517"/>
              <w:gridCol w:w="944"/>
              <w:gridCol w:w="599"/>
              <w:gridCol w:w="585"/>
              <w:gridCol w:w="909"/>
            </w:tblGrid>
            <w:tr w14:paraId="12EFB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92" w:type="pct"/>
                  <w:vMerge w:val="restart"/>
                  <w:vAlign w:val="center"/>
                </w:tcPr>
                <w:p w14:paraId="3276A81A">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保护目标名称</w:t>
                  </w:r>
                </w:p>
              </w:tc>
              <w:tc>
                <w:tcPr>
                  <w:tcW w:w="1298" w:type="pct"/>
                  <w:gridSpan w:val="2"/>
                  <w:vAlign w:val="center"/>
                </w:tcPr>
                <w:p w14:paraId="02A82072">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pacing w:val="4"/>
                      <w:position w:val="1"/>
                      <w:sz w:val="21"/>
                      <w:szCs w:val="21"/>
                    </w:rPr>
                    <w:t>坐标/m</w:t>
                  </w:r>
                </w:p>
              </w:tc>
              <w:tc>
                <w:tcPr>
                  <w:tcW w:w="335" w:type="pct"/>
                  <w:vMerge w:val="restart"/>
                  <w:vAlign w:val="center"/>
                </w:tcPr>
                <w:p w14:paraId="31688CDF">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pacing w:val="4"/>
                      <w:sz w:val="21"/>
                      <w:szCs w:val="21"/>
                    </w:rPr>
                    <w:t>保护</w:t>
                  </w:r>
                  <w:r>
                    <w:rPr>
                      <w:rFonts w:hint="default" w:ascii="Times New Roman" w:hAnsi="Times New Roman" w:cs="Times New Roman"/>
                      <w:color w:val="auto"/>
                      <w:spacing w:val="5"/>
                      <w:sz w:val="21"/>
                      <w:szCs w:val="21"/>
                    </w:rPr>
                    <w:t>对象</w:t>
                  </w:r>
                </w:p>
              </w:tc>
              <w:tc>
                <w:tcPr>
                  <w:tcW w:w="613" w:type="pct"/>
                  <w:vMerge w:val="restart"/>
                  <w:vAlign w:val="center"/>
                </w:tcPr>
                <w:p w14:paraId="7549A3CC">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保护内容</w:t>
                  </w:r>
                </w:p>
              </w:tc>
              <w:tc>
                <w:tcPr>
                  <w:tcW w:w="389" w:type="pct"/>
                  <w:vMerge w:val="restart"/>
                  <w:vAlign w:val="center"/>
                </w:tcPr>
                <w:p w14:paraId="3E1153D5">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pacing w:val="4"/>
                      <w:sz w:val="21"/>
                      <w:szCs w:val="21"/>
                    </w:rPr>
                    <w:t>环境</w:t>
                  </w:r>
                  <w:r>
                    <w:rPr>
                      <w:rFonts w:hint="default" w:ascii="Times New Roman" w:hAnsi="Times New Roman" w:cs="Times New Roman"/>
                      <w:color w:val="auto"/>
                      <w:spacing w:val="3"/>
                      <w:sz w:val="21"/>
                      <w:szCs w:val="21"/>
                    </w:rPr>
                    <w:t>功能</w:t>
                  </w:r>
                  <w:r>
                    <w:rPr>
                      <w:rFonts w:hint="default" w:ascii="Times New Roman" w:hAnsi="Times New Roman" w:cs="Times New Roman"/>
                      <w:color w:val="auto"/>
                      <w:sz w:val="21"/>
                      <w:szCs w:val="21"/>
                    </w:rPr>
                    <w:t>区</w:t>
                  </w:r>
                </w:p>
              </w:tc>
              <w:tc>
                <w:tcPr>
                  <w:tcW w:w="380" w:type="pct"/>
                  <w:vMerge w:val="restart"/>
                  <w:vAlign w:val="center"/>
                </w:tcPr>
                <w:p w14:paraId="382354F7">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pacing w:val="4"/>
                      <w:sz w:val="21"/>
                      <w:szCs w:val="21"/>
                    </w:rPr>
                    <w:t>相对厂址方位</w:t>
                  </w:r>
                </w:p>
              </w:tc>
              <w:tc>
                <w:tcPr>
                  <w:tcW w:w="590" w:type="pct"/>
                  <w:vMerge w:val="restart"/>
                  <w:vAlign w:val="center"/>
                </w:tcPr>
                <w:p w14:paraId="7AF4616F">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相对厂界</w:t>
                  </w:r>
                  <w:r>
                    <w:rPr>
                      <w:rFonts w:hint="default" w:ascii="Times New Roman" w:hAnsi="Times New Roman" w:cs="Times New Roman"/>
                      <w:color w:val="auto"/>
                      <w:spacing w:val="5"/>
                      <w:sz w:val="21"/>
                      <w:szCs w:val="21"/>
                    </w:rPr>
                    <w:t>距离/m</w:t>
                  </w:r>
                </w:p>
              </w:tc>
            </w:tr>
            <w:tr w14:paraId="74D66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92" w:type="pct"/>
                  <w:vMerge w:val="continue"/>
                  <w:vAlign w:val="center"/>
                </w:tcPr>
                <w:p w14:paraId="2A0EAB87">
                  <w:pPr>
                    <w:spacing w:line="240" w:lineRule="auto"/>
                    <w:ind w:firstLine="0" w:firstLineChars="0"/>
                    <w:jc w:val="center"/>
                    <w:rPr>
                      <w:rFonts w:hint="default" w:ascii="Times New Roman" w:hAnsi="Times New Roman" w:cs="Times New Roman"/>
                      <w:color w:val="auto"/>
                      <w:sz w:val="21"/>
                      <w:szCs w:val="21"/>
                    </w:rPr>
                  </w:pPr>
                </w:p>
              </w:tc>
              <w:tc>
                <w:tcPr>
                  <w:tcW w:w="660" w:type="pct"/>
                  <w:vAlign w:val="center"/>
                </w:tcPr>
                <w:p w14:paraId="1D52EEDC">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pacing w:val="5"/>
                      <w:sz w:val="21"/>
                      <w:szCs w:val="21"/>
                    </w:rPr>
                    <w:t>X</w:t>
                  </w:r>
                </w:p>
              </w:tc>
              <w:tc>
                <w:tcPr>
                  <w:tcW w:w="637" w:type="pct"/>
                  <w:vAlign w:val="center"/>
                </w:tcPr>
                <w:p w14:paraId="0A973012">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pacing w:val="4"/>
                      <w:sz w:val="21"/>
                      <w:szCs w:val="21"/>
                    </w:rPr>
                    <w:t>Y</w:t>
                  </w:r>
                </w:p>
              </w:tc>
              <w:tc>
                <w:tcPr>
                  <w:tcW w:w="335" w:type="pct"/>
                  <w:vMerge w:val="continue"/>
                  <w:vAlign w:val="center"/>
                </w:tcPr>
                <w:p w14:paraId="5F992CA6">
                  <w:pPr>
                    <w:spacing w:line="240" w:lineRule="auto"/>
                    <w:ind w:firstLine="0" w:firstLineChars="0"/>
                    <w:jc w:val="center"/>
                    <w:rPr>
                      <w:rFonts w:hint="default" w:ascii="Times New Roman" w:hAnsi="Times New Roman" w:cs="Times New Roman"/>
                      <w:color w:val="auto"/>
                      <w:sz w:val="21"/>
                      <w:szCs w:val="21"/>
                    </w:rPr>
                  </w:pPr>
                </w:p>
              </w:tc>
              <w:tc>
                <w:tcPr>
                  <w:tcW w:w="613" w:type="pct"/>
                  <w:vMerge w:val="continue"/>
                  <w:vAlign w:val="center"/>
                </w:tcPr>
                <w:p w14:paraId="41D7B93B">
                  <w:pPr>
                    <w:spacing w:line="240" w:lineRule="auto"/>
                    <w:ind w:firstLine="0" w:firstLineChars="0"/>
                    <w:jc w:val="center"/>
                    <w:rPr>
                      <w:rFonts w:hint="default" w:ascii="Times New Roman" w:hAnsi="Times New Roman" w:cs="Times New Roman"/>
                      <w:color w:val="auto"/>
                      <w:sz w:val="21"/>
                      <w:szCs w:val="21"/>
                    </w:rPr>
                  </w:pPr>
                </w:p>
              </w:tc>
              <w:tc>
                <w:tcPr>
                  <w:tcW w:w="389" w:type="pct"/>
                  <w:vMerge w:val="continue"/>
                  <w:vAlign w:val="center"/>
                </w:tcPr>
                <w:p w14:paraId="5DB766C8">
                  <w:pPr>
                    <w:spacing w:line="240" w:lineRule="auto"/>
                    <w:ind w:firstLine="0" w:firstLineChars="0"/>
                    <w:jc w:val="center"/>
                    <w:rPr>
                      <w:rFonts w:hint="default" w:ascii="Times New Roman" w:hAnsi="Times New Roman" w:cs="Times New Roman"/>
                      <w:color w:val="auto"/>
                      <w:sz w:val="21"/>
                      <w:szCs w:val="21"/>
                    </w:rPr>
                  </w:pPr>
                </w:p>
              </w:tc>
              <w:tc>
                <w:tcPr>
                  <w:tcW w:w="380" w:type="pct"/>
                  <w:vMerge w:val="continue"/>
                  <w:vAlign w:val="center"/>
                </w:tcPr>
                <w:p w14:paraId="7FFF0DC0">
                  <w:pPr>
                    <w:spacing w:line="240" w:lineRule="auto"/>
                    <w:ind w:firstLine="0" w:firstLineChars="0"/>
                    <w:jc w:val="center"/>
                    <w:rPr>
                      <w:rFonts w:hint="default" w:ascii="Times New Roman" w:hAnsi="Times New Roman" w:cs="Times New Roman"/>
                      <w:color w:val="auto"/>
                      <w:sz w:val="21"/>
                      <w:szCs w:val="21"/>
                    </w:rPr>
                  </w:pPr>
                </w:p>
              </w:tc>
              <w:tc>
                <w:tcPr>
                  <w:tcW w:w="590" w:type="pct"/>
                  <w:vMerge w:val="continue"/>
                  <w:vAlign w:val="center"/>
                </w:tcPr>
                <w:p w14:paraId="1BAAE130">
                  <w:pPr>
                    <w:spacing w:line="240" w:lineRule="auto"/>
                    <w:ind w:firstLine="0" w:firstLineChars="0"/>
                    <w:jc w:val="center"/>
                    <w:rPr>
                      <w:rFonts w:hint="default" w:ascii="Times New Roman" w:hAnsi="Times New Roman" w:cs="Times New Roman"/>
                      <w:color w:val="auto"/>
                      <w:sz w:val="21"/>
                      <w:szCs w:val="21"/>
                    </w:rPr>
                  </w:pPr>
                </w:p>
              </w:tc>
            </w:tr>
            <w:tr w14:paraId="075C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92" w:type="pct"/>
                  <w:vAlign w:val="center"/>
                </w:tcPr>
                <w:p w14:paraId="47C664FD">
                  <w:pPr>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西溪花城</w:t>
                  </w:r>
                </w:p>
              </w:tc>
              <w:tc>
                <w:tcPr>
                  <w:tcW w:w="660" w:type="pct"/>
                  <w:vAlign w:val="center"/>
                </w:tcPr>
                <w:p w14:paraId="013C2DFC">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120.031610</w:t>
                  </w:r>
                </w:p>
              </w:tc>
              <w:tc>
                <w:tcPr>
                  <w:tcW w:w="637" w:type="pct"/>
                  <w:vAlign w:val="center"/>
                </w:tcPr>
                <w:p w14:paraId="31EB7D8C">
                  <w:pPr>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30.25392</w:t>
                  </w:r>
                  <w:r>
                    <w:rPr>
                      <w:rFonts w:hint="eastAsia" w:cs="Times New Roman"/>
                      <w:color w:val="auto"/>
                      <w:sz w:val="21"/>
                      <w:szCs w:val="21"/>
                      <w:lang w:val="en-US" w:eastAsia="zh-CN"/>
                    </w:rPr>
                    <w:t>3</w:t>
                  </w:r>
                </w:p>
              </w:tc>
              <w:tc>
                <w:tcPr>
                  <w:tcW w:w="335" w:type="pct"/>
                  <w:shd w:val="clear" w:color="auto" w:fill="auto"/>
                  <w:vAlign w:val="center"/>
                </w:tcPr>
                <w:p w14:paraId="26979E56">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居民</w:t>
                  </w:r>
                </w:p>
              </w:tc>
              <w:tc>
                <w:tcPr>
                  <w:tcW w:w="613" w:type="pct"/>
                  <w:vAlign w:val="center"/>
                </w:tcPr>
                <w:p w14:paraId="0A7CD7E7">
                  <w:pPr>
                    <w:spacing w:line="240" w:lineRule="auto"/>
                    <w:ind w:firstLine="0" w:firstLineChars="0"/>
                    <w:jc w:val="center"/>
                    <w:rPr>
                      <w:rFonts w:hint="default" w:ascii="Times New Roman" w:hAnsi="Times New Roman" w:cs="Times New Roman"/>
                      <w:color w:val="auto"/>
                      <w:sz w:val="21"/>
                      <w:szCs w:val="21"/>
                    </w:rPr>
                  </w:pPr>
                  <w:r>
                    <w:rPr>
                      <w:rFonts w:hint="eastAsia" w:cs="Times New Roman"/>
                      <w:color w:val="auto"/>
                      <w:sz w:val="21"/>
                      <w:szCs w:val="21"/>
                      <w:lang w:val="en-US" w:eastAsia="zh-CN"/>
                    </w:rPr>
                    <w:t>4000户，</w:t>
                  </w:r>
                  <w:r>
                    <w:rPr>
                      <w:rFonts w:hint="default" w:ascii="Times New Roman" w:hAnsi="Times New Roman" w:cs="Times New Roman"/>
                      <w:color w:val="auto"/>
                      <w:sz w:val="21"/>
                      <w:szCs w:val="21"/>
                    </w:rPr>
                    <w:t>约</w:t>
                  </w:r>
                  <w:r>
                    <w:rPr>
                      <w:rFonts w:hint="eastAsia" w:cs="Times New Roman"/>
                      <w:color w:val="auto"/>
                      <w:sz w:val="21"/>
                      <w:szCs w:val="21"/>
                      <w:lang w:val="en-US" w:eastAsia="zh-CN"/>
                    </w:rPr>
                    <w:t>1200</w:t>
                  </w:r>
                  <w:r>
                    <w:rPr>
                      <w:rFonts w:hint="default" w:ascii="Times New Roman" w:hAnsi="Times New Roman" w:cs="Times New Roman"/>
                      <w:color w:val="auto"/>
                      <w:sz w:val="21"/>
                      <w:szCs w:val="21"/>
                      <w:lang w:val="en-US" w:eastAsia="zh-CN"/>
                    </w:rPr>
                    <w:t>0</w:t>
                  </w:r>
                  <w:r>
                    <w:rPr>
                      <w:rFonts w:hint="default" w:ascii="Times New Roman" w:hAnsi="Times New Roman" w:cs="Times New Roman"/>
                      <w:color w:val="auto"/>
                      <w:sz w:val="21"/>
                      <w:szCs w:val="21"/>
                    </w:rPr>
                    <w:t>人</w:t>
                  </w:r>
                </w:p>
              </w:tc>
              <w:tc>
                <w:tcPr>
                  <w:tcW w:w="389" w:type="pct"/>
                  <w:vMerge w:val="restart"/>
                  <w:vAlign w:val="center"/>
                </w:tcPr>
                <w:p w14:paraId="56458BC8">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二类</w:t>
                  </w:r>
                </w:p>
              </w:tc>
              <w:tc>
                <w:tcPr>
                  <w:tcW w:w="380" w:type="pct"/>
                  <w:vAlign w:val="center"/>
                </w:tcPr>
                <w:p w14:paraId="58E4F524">
                  <w:pPr>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N</w:t>
                  </w:r>
                  <w:r>
                    <w:rPr>
                      <w:rFonts w:hint="eastAsia" w:cs="Times New Roman"/>
                      <w:color w:val="auto"/>
                      <w:sz w:val="21"/>
                      <w:szCs w:val="21"/>
                      <w:lang w:val="en-US" w:eastAsia="zh-CN"/>
                    </w:rPr>
                    <w:t>W</w:t>
                  </w:r>
                </w:p>
              </w:tc>
              <w:tc>
                <w:tcPr>
                  <w:tcW w:w="590" w:type="pct"/>
                  <w:vAlign w:val="center"/>
                </w:tcPr>
                <w:p w14:paraId="12733665">
                  <w:pPr>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119</w:t>
                  </w:r>
                </w:p>
              </w:tc>
            </w:tr>
            <w:tr w14:paraId="3CEA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92" w:type="pct"/>
                  <w:vAlign w:val="center"/>
                </w:tcPr>
                <w:p w14:paraId="71E3C8F1">
                  <w:pPr>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西溪玫瑰</w:t>
                  </w:r>
                </w:p>
              </w:tc>
              <w:tc>
                <w:tcPr>
                  <w:tcW w:w="660" w:type="pct"/>
                  <w:vAlign w:val="center"/>
                </w:tcPr>
                <w:p w14:paraId="0B68D659">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120.035494</w:t>
                  </w:r>
                </w:p>
              </w:tc>
              <w:tc>
                <w:tcPr>
                  <w:tcW w:w="637" w:type="pct"/>
                  <w:vAlign w:val="center"/>
                </w:tcPr>
                <w:p w14:paraId="2CD1D5C3">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30.251922</w:t>
                  </w:r>
                </w:p>
              </w:tc>
              <w:tc>
                <w:tcPr>
                  <w:tcW w:w="335" w:type="pct"/>
                  <w:shd w:val="clear" w:color="auto" w:fill="auto"/>
                  <w:vAlign w:val="center"/>
                </w:tcPr>
                <w:p w14:paraId="38D9A11D">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居民</w:t>
                  </w:r>
                </w:p>
              </w:tc>
              <w:tc>
                <w:tcPr>
                  <w:tcW w:w="613" w:type="pct"/>
                  <w:vAlign w:val="center"/>
                </w:tcPr>
                <w:p w14:paraId="0C704E91">
                  <w:pPr>
                    <w:spacing w:line="240" w:lineRule="auto"/>
                    <w:ind w:firstLine="0" w:firstLineChars="0"/>
                    <w:jc w:val="center"/>
                    <w:rPr>
                      <w:rFonts w:hint="default" w:ascii="Times New Roman" w:hAnsi="Times New Roman" w:cs="Times New Roman"/>
                      <w:color w:val="auto"/>
                      <w:sz w:val="21"/>
                      <w:szCs w:val="21"/>
                    </w:rPr>
                  </w:pPr>
                  <w:r>
                    <w:rPr>
                      <w:rFonts w:hint="eastAsia" w:cs="Times New Roman"/>
                      <w:color w:val="auto"/>
                      <w:sz w:val="21"/>
                      <w:szCs w:val="21"/>
                      <w:lang w:val="en-US" w:eastAsia="zh-CN"/>
                    </w:rPr>
                    <w:t>1900户，</w:t>
                  </w:r>
                  <w:r>
                    <w:rPr>
                      <w:rFonts w:hint="default" w:ascii="Times New Roman" w:hAnsi="Times New Roman" w:cs="Times New Roman"/>
                      <w:color w:val="auto"/>
                      <w:sz w:val="21"/>
                      <w:szCs w:val="21"/>
                    </w:rPr>
                    <w:t>约</w:t>
                  </w:r>
                  <w:r>
                    <w:rPr>
                      <w:rFonts w:hint="eastAsia" w:cs="Times New Roman"/>
                      <w:color w:val="auto"/>
                      <w:sz w:val="21"/>
                      <w:szCs w:val="21"/>
                      <w:lang w:val="en-US" w:eastAsia="zh-CN"/>
                    </w:rPr>
                    <w:t>570</w:t>
                  </w:r>
                  <w:r>
                    <w:rPr>
                      <w:rFonts w:hint="default" w:ascii="Times New Roman" w:hAnsi="Times New Roman" w:cs="Times New Roman"/>
                      <w:color w:val="auto"/>
                      <w:sz w:val="21"/>
                      <w:szCs w:val="21"/>
                      <w:lang w:val="en-US" w:eastAsia="zh-CN"/>
                    </w:rPr>
                    <w:t>0</w:t>
                  </w:r>
                  <w:r>
                    <w:rPr>
                      <w:rFonts w:hint="default" w:ascii="Times New Roman" w:hAnsi="Times New Roman" w:cs="Times New Roman"/>
                      <w:color w:val="auto"/>
                      <w:sz w:val="21"/>
                      <w:szCs w:val="21"/>
                    </w:rPr>
                    <w:t>人</w:t>
                  </w:r>
                </w:p>
              </w:tc>
              <w:tc>
                <w:tcPr>
                  <w:tcW w:w="389" w:type="pct"/>
                  <w:vMerge w:val="continue"/>
                  <w:vAlign w:val="center"/>
                </w:tcPr>
                <w:p w14:paraId="71C3CF89">
                  <w:pPr>
                    <w:spacing w:line="240" w:lineRule="auto"/>
                    <w:ind w:firstLine="0" w:firstLineChars="0"/>
                    <w:jc w:val="center"/>
                    <w:rPr>
                      <w:rFonts w:hint="default" w:ascii="Times New Roman" w:hAnsi="Times New Roman" w:cs="Times New Roman"/>
                      <w:color w:val="auto"/>
                      <w:sz w:val="21"/>
                      <w:szCs w:val="21"/>
                    </w:rPr>
                  </w:pPr>
                </w:p>
              </w:tc>
              <w:tc>
                <w:tcPr>
                  <w:tcW w:w="380" w:type="pct"/>
                  <w:vAlign w:val="center"/>
                </w:tcPr>
                <w:p w14:paraId="04AFBA2D">
                  <w:pPr>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E</w:t>
                  </w:r>
                </w:p>
              </w:tc>
              <w:tc>
                <w:tcPr>
                  <w:tcW w:w="590" w:type="pct"/>
                  <w:vAlign w:val="center"/>
                </w:tcPr>
                <w:p w14:paraId="3735B190">
                  <w:pPr>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127</w:t>
                  </w:r>
                </w:p>
              </w:tc>
            </w:tr>
            <w:tr w14:paraId="7A423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92" w:type="pct"/>
                  <w:vAlign w:val="center"/>
                </w:tcPr>
                <w:p w14:paraId="732396EF">
                  <w:pPr>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西溪景苑</w:t>
                  </w:r>
                </w:p>
              </w:tc>
              <w:tc>
                <w:tcPr>
                  <w:tcW w:w="660" w:type="pct"/>
                  <w:vAlign w:val="center"/>
                </w:tcPr>
                <w:p w14:paraId="6C39DFB2">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120.028247</w:t>
                  </w:r>
                </w:p>
              </w:tc>
              <w:tc>
                <w:tcPr>
                  <w:tcW w:w="637" w:type="pct"/>
                  <w:vAlign w:val="center"/>
                </w:tcPr>
                <w:p w14:paraId="6903B32B">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30.252013</w:t>
                  </w:r>
                </w:p>
              </w:tc>
              <w:tc>
                <w:tcPr>
                  <w:tcW w:w="335" w:type="pct"/>
                  <w:shd w:val="clear" w:color="auto" w:fill="auto"/>
                  <w:vAlign w:val="center"/>
                </w:tcPr>
                <w:p w14:paraId="0E01D846">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居民</w:t>
                  </w:r>
                </w:p>
              </w:tc>
              <w:tc>
                <w:tcPr>
                  <w:tcW w:w="613" w:type="pct"/>
                  <w:vAlign w:val="center"/>
                </w:tcPr>
                <w:p w14:paraId="691DA192">
                  <w:pPr>
                    <w:spacing w:line="240" w:lineRule="auto"/>
                    <w:ind w:firstLine="0" w:firstLineChars="0"/>
                    <w:jc w:val="center"/>
                    <w:rPr>
                      <w:rFonts w:hint="default" w:ascii="Times New Roman" w:hAnsi="Times New Roman" w:cs="Times New Roman"/>
                      <w:color w:val="auto"/>
                      <w:sz w:val="21"/>
                      <w:szCs w:val="21"/>
                    </w:rPr>
                  </w:pPr>
                  <w:r>
                    <w:rPr>
                      <w:rFonts w:hint="eastAsia" w:cs="Times New Roman"/>
                      <w:color w:val="auto"/>
                      <w:sz w:val="21"/>
                      <w:szCs w:val="21"/>
                      <w:lang w:val="en-US" w:eastAsia="zh-CN"/>
                    </w:rPr>
                    <w:t>900户，</w:t>
                  </w:r>
                  <w:r>
                    <w:rPr>
                      <w:rFonts w:hint="default" w:ascii="Times New Roman" w:hAnsi="Times New Roman" w:cs="Times New Roman"/>
                      <w:color w:val="auto"/>
                      <w:sz w:val="21"/>
                      <w:szCs w:val="21"/>
                    </w:rPr>
                    <w:t>约</w:t>
                  </w:r>
                  <w:r>
                    <w:rPr>
                      <w:rFonts w:hint="eastAsia" w:cs="Times New Roman"/>
                      <w:color w:val="auto"/>
                      <w:sz w:val="21"/>
                      <w:szCs w:val="21"/>
                      <w:lang w:val="en-US" w:eastAsia="zh-CN"/>
                    </w:rPr>
                    <w:t>270</w:t>
                  </w:r>
                  <w:r>
                    <w:rPr>
                      <w:rFonts w:hint="default" w:ascii="Times New Roman" w:hAnsi="Times New Roman" w:cs="Times New Roman"/>
                      <w:color w:val="auto"/>
                      <w:sz w:val="21"/>
                      <w:szCs w:val="21"/>
                      <w:lang w:val="en-US" w:eastAsia="zh-CN"/>
                    </w:rPr>
                    <w:t>0</w:t>
                  </w:r>
                  <w:r>
                    <w:rPr>
                      <w:rFonts w:hint="default" w:ascii="Times New Roman" w:hAnsi="Times New Roman" w:cs="Times New Roman"/>
                      <w:color w:val="auto"/>
                      <w:sz w:val="21"/>
                      <w:szCs w:val="21"/>
                    </w:rPr>
                    <w:t>人</w:t>
                  </w:r>
                </w:p>
              </w:tc>
              <w:tc>
                <w:tcPr>
                  <w:tcW w:w="389" w:type="pct"/>
                  <w:vMerge w:val="continue"/>
                  <w:vAlign w:val="center"/>
                </w:tcPr>
                <w:p w14:paraId="6D91EE2E">
                  <w:pPr>
                    <w:spacing w:line="240" w:lineRule="auto"/>
                    <w:ind w:firstLine="0" w:firstLineChars="0"/>
                    <w:jc w:val="center"/>
                    <w:rPr>
                      <w:rFonts w:hint="default" w:ascii="Times New Roman" w:hAnsi="Times New Roman" w:cs="Times New Roman"/>
                      <w:color w:val="auto"/>
                      <w:sz w:val="21"/>
                      <w:szCs w:val="21"/>
                    </w:rPr>
                  </w:pPr>
                </w:p>
              </w:tc>
              <w:tc>
                <w:tcPr>
                  <w:tcW w:w="380" w:type="pct"/>
                  <w:vAlign w:val="center"/>
                </w:tcPr>
                <w:p w14:paraId="5E79EAF2">
                  <w:pPr>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W</w:t>
                  </w:r>
                </w:p>
              </w:tc>
              <w:tc>
                <w:tcPr>
                  <w:tcW w:w="590" w:type="pct"/>
                  <w:vAlign w:val="center"/>
                </w:tcPr>
                <w:p w14:paraId="6BD2BA4D">
                  <w:pPr>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467</w:t>
                  </w:r>
                </w:p>
              </w:tc>
            </w:tr>
            <w:tr w14:paraId="7D6B6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92" w:type="pct"/>
                  <w:vAlign w:val="center"/>
                </w:tcPr>
                <w:p w14:paraId="251189AD">
                  <w:pPr>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五常第二幼儿园</w:t>
                  </w:r>
                </w:p>
              </w:tc>
              <w:tc>
                <w:tcPr>
                  <w:tcW w:w="660" w:type="pct"/>
                  <w:vAlign w:val="center"/>
                </w:tcPr>
                <w:p w14:paraId="5E072739">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120.031546</w:t>
                  </w:r>
                </w:p>
              </w:tc>
              <w:tc>
                <w:tcPr>
                  <w:tcW w:w="637" w:type="pct"/>
                  <w:vAlign w:val="center"/>
                </w:tcPr>
                <w:p w14:paraId="38345121">
                  <w:pPr>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30.25255</w:t>
                  </w:r>
                  <w:r>
                    <w:rPr>
                      <w:rFonts w:hint="eastAsia" w:cs="Times New Roman"/>
                      <w:color w:val="auto"/>
                      <w:sz w:val="21"/>
                      <w:szCs w:val="21"/>
                      <w:lang w:val="en-US" w:eastAsia="zh-CN"/>
                    </w:rPr>
                    <w:t>1</w:t>
                  </w:r>
                </w:p>
              </w:tc>
              <w:tc>
                <w:tcPr>
                  <w:tcW w:w="335" w:type="pct"/>
                  <w:shd w:val="clear" w:color="auto" w:fill="auto"/>
                  <w:vAlign w:val="center"/>
                </w:tcPr>
                <w:p w14:paraId="555385BE">
                  <w:pPr>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师生</w:t>
                  </w:r>
                </w:p>
              </w:tc>
              <w:tc>
                <w:tcPr>
                  <w:tcW w:w="613" w:type="pct"/>
                  <w:vAlign w:val="center"/>
                </w:tcPr>
                <w:p w14:paraId="2AD98869">
                  <w:pPr>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约</w:t>
                  </w:r>
                  <w:r>
                    <w:rPr>
                      <w:rFonts w:hint="eastAsia" w:cs="Times New Roman"/>
                      <w:color w:val="auto"/>
                      <w:sz w:val="21"/>
                      <w:szCs w:val="21"/>
                      <w:lang w:val="en-US" w:eastAsia="zh-CN"/>
                    </w:rPr>
                    <w:t>255</w:t>
                  </w:r>
                  <w:r>
                    <w:rPr>
                      <w:rFonts w:hint="default" w:ascii="Times New Roman" w:hAnsi="Times New Roman" w:cs="Times New Roman"/>
                      <w:color w:val="auto"/>
                      <w:sz w:val="21"/>
                      <w:szCs w:val="21"/>
                    </w:rPr>
                    <w:t>人</w:t>
                  </w:r>
                </w:p>
              </w:tc>
              <w:tc>
                <w:tcPr>
                  <w:tcW w:w="389" w:type="pct"/>
                  <w:vMerge w:val="continue"/>
                  <w:vAlign w:val="center"/>
                </w:tcPr>
                <w:p w14:paraId="42E59258">
                  <w:pPr>
                    <w:spacing w:line="240" w:lineRule="auto"/>
                    <w:ind w:firstLine="0" w:firstLineChars="0"/>
                    <w:jc w:val="center"/>
                    <w:rPr>
                      <w:rFonts w:hint="default" w:ascii="Times New Roman" w:hAnsi="Times New Roman" w:cs="Times New Roman"/>
                      <w:color w:val="auto"/>
                      <w:sz w:val="21"/>
                      <w:szCs w:val="21"/>
                    </w:rPr>
                  </w:pPr>
                </w:p>
              </w:tc>
              <w:tc>
                <w:tcPr>
                  <w:tcW w:w="380" w:type="pct"/>
                  <w:vAlign w:val="center"/>
                </w:tcPr>
                <w:p w14:paraId="75562873">
                  <w:pPr>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W</w:t>
                  </w:r>
                </w:p>
              </w:tc>
              <w:tc>
                <w:tcPr>
                  <w:tcW w:w="590" w:type="pct"/>
                  <w:vAlign w:val="center"/>
                </w:tcPr>
                <w:p w14:paraId="4AFB7E8C">
                  <w:pPr>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129</w:t>
                  </w:r>
                </w:p>
              </w:tc>
            </w:tr>
            <w:tr w14:paraId="68F63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92" w:type="pct"/>
                  <w:vAlign w:val="center"/>
                </w:tcPr>
                <w:p w14:paraId="0669F654">
                  <w:pPr>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五常街道老年学校</w:t>
                  </w:r>
                </w:p>
              </w:tc>
              <w:tc>
                <w:tcPr>
                  <w:tcW w:w="660" w:type="pct"/>
                  <w:vAlign w:val="center"/>
                </w:tcPr>
                <w:p w14:paraId="44958AB8">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120.031642</w:t>
                  </w:r>
                </w:p>
              </w:tc>
              <w:tc>
                <w:tcPr>
                  <w:tcW w:w="637" w:type="pct"/>
                  <w:vAlign w:val="center"/>
                </w:tcPr>
                <w:p w14:paraId="364BCE07">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30.251723</w:t>
                  </w:r>
                </w:p>
              </w:tc>
              <w:tc>
                <w:tcPr>
                  <w:tcW w:w="335" w:type="pct"/>
                  <w:shd w:val="clear" w:color="auto" w:fill="auto"/>
                  <w:vAlign w:val="center"/>
                </w:tcPr>
                <w:p w14:paraId="0E7D096E">
                  <w:pPr>
                    <w:spacing w:line="240" w:lineRule="auto"/>
                    <w:ind w:firstLine="0" w:firstLineChars="0"/>
                    <w:jc w:val="center"/>
                    <w:rPr>
                      <w:rFonts w:hint="eastAsia" w:cs="Times New Roman"/>
                      <w:color w:val="auto"/>
                      <w:sz w:val="21"/>
                      <w:szCs w:val="21"/>
                      <w:lang w:val="en-US" w:eastAsia="zh-CN"/>
                    </w:rPr>
                  </w:pPr>
                  <w:r>
                    <w:rPr>
                      <w:rFonts w:hint="eastAsia" w:cs="Times New Roman"/>
                      <w:color w:val="auto"/>
                      <w:sz w:val="21"/>
                      <w:szCs w:val="21"/>
                      <w:lang w:val="en-US" w:eastAsia="zh-CN"/>
                    </w:rPr>
                    <w:t>师生</w:t>
                  </w:r>
                </w:p>
              </w:tc>
              <w:tc>
                <w:tcPr>
                  <w:tcW w:w="613" w:type="pct"/>
                  <w:vAlign w:val="center"/>
                </w:tcPr>
                <w:p w14:paraId="6F75C906">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约</w:t>
                  </w:r>
                  <w:r>
                    <w:rPr>
                      <w:rFonts w:hint="eastAsia" w:cs="Times New Roman"/>
                      <w:color w:val="auto"/>
                      <w:sz w:val="21"/>
                      <w:szCs w:val="21"/>
                      <w:lang w:val="en-US" w:eastAsia="zh-CN"/>
                    </w:rPr>
                    <w:t>40</w:t>
                  </w:r>
                  <w:r>
                    <w:rPr>
                      <w:rFonts w:hint="default" w:ascii="Times New Roman" w:hAnsi="Times New Roman" w:cs="Times New Roman"/>
                      <w:color w:val="auto"/>
                      <w:sz w:val="21"/>
                      <w:szCs w:val="21"/>
                      <w:lang w:val="en-US" w:eastAsia="zh-CN"/>
                    </w:rPr>
                    <w:t>0</w:t>
                  </w:r>
                  <w:r>
                    <w:rPr>
                      <w:rFonts w:hint="default" w:ascii="Times New Roman" w:hAnsi="Times New Roman" w:cs="Times New Roman"/>
                      <w:color w:val="auto"/>
                      <w:sz w:val="21"/>
                      <w:szCs w:val="21"/>
                    </w:rPr>
                    <w:t>人</w:t>
                  </w:r>
                </w:p>
              </w:tc>
              <w:tc>
                <w:tcPr>
                  <w:tcW w:w="389" w:type="pct"/>
                  <w:vMerge w:val="continue"/>
                  <w:vAlign w:val="center"/>
                </w:tcPr>
                <w:p w14:paraId="64A1A18E">
                  <w:pPr>
                    <w:spacing w:line="240" w:lineRule="auto"/>
                    <w:ind w:firstLine="0" w:firstLineChars="0"/>
                    <w:jc w:val="center"/>
                    <w:rPr>
                      <w:rFonts w:hint="default" w:ascii="Times New Roman" w:hAnsi="Times New Roman" w:cs="Times New Roman"/>
                      <w:color w:val="auto"/>
                      <w:sz w:val="21"/>
                      <w:szCs w:val="21"/>
                    </w:rPr>
                  </w:pPr>
                </w:p>
              </w:tc>
              <w:tc>
                <w:tcPr>
                  <w:tcW w:w="380" w:type="pct"/>
                  <w:vAlign w:val="center"/>
                </w:tcPr>
                <w:p w14:paraId="2AEE82D9">
                  <w:pPr>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SW</w:t>
                  </w:r>
                </w:p>
              </w:tc>
              <w:tc>
                <w:tcPr>
                  <w:tcW w:w="590" w:type="pct"/>
                  <w:vAlign w:val="center"/>
                </w:tcPr>
                <w:p w14:paraId="1143D074">
                  <w:pPr>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163</w:t>
                  </w:r>
                </w:p>
              </w:tc>
            </w:tr>
            <w:tr w14:paraId="3CF97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92" w:type="pct"/>
                  <w:vAlign w:val="center"/>
                </w:tcPr>
                <w:p w14:paraId="6FDF589C">
                  <w:pPr>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五常幼儿园西溪园区</w:t>
                  </w:r>
                </w:p>
              </w:tc>
              <w:tc>
                <w:tcPr>
                  <w:tcW w:w="660" w:type="pct"/>
                  <w:vAlign w:val="center"/>
                </w:tcPr>
                <w:p w14:paraId="3F52E772">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120.035575</w:t>
                  </w:r>
                </w:p>
              </w:tc>
              <w:tc>
                <w:tcPr>
                  <w:tcW w:w="637" w:type="pct"/>
                  <w:vAlign w:val="center"/>
                </w:tcPr>
                <w:p w14:paraId="5F4B9659">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30.250312</w:t>
                  </w:r>
                </w:p>
              </w:tc>
              <w:tc>
                <w:tcPr>
                  <w:tcW w:w="335" w:type="pct"/>
                  <w:shd w:val="clear" w:color="auto" w:fill="auto"/>
                  <w:vAlign w:val="center"/>
                </w:tcPr>
                <w:p w14:paraId="52D0A56A">
                  <w:pPr>
                    <w:spacing w:line="240" w:lineRule="auto"/>
                    <w:ind w:firstLine="0" w:firstLineChars="0"/>
                    <w:jc w:val="center"/>
                    <w:rPr>
                      <w:rFonts w:hint="eastAsia" w:cs="Times New Roman"/>
                      <w:color w:val="auto"/>
                      <w:sz w:val="21"/>
                      <w:szCs w:val="21"/>
                      <w:lang w:val="en-US" w:eastAsia="zh-CN"/>
                    </w:rPr>
                  </w:pPr>
                  <w:r>
                    <w:rPr>
                      <w:rFonts w:hint="eastAsia" w:cs="Times New Roman"/>
                      <w:color w:val="auto"/>
                      <w:sz w:val="21"/>
                      <w:szCs w:val="21"/>
                      <w:lang w:val="en-US" w:eastAsia="zh-CN"/>
                    </w:rPr>
                    <w:t>师生</w:t>
                  </w:r>
                </w:p>
              </w:tc>
              <w:tc>
                <w:tcPr>
                  <w:tcW w:w="613" w:type="pct"/>
                  <w:vAlign w:val="center"/>
                </w:tcPr>
                <w:p w14:paraId="66B447ED">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约</w:t>
                  </w:r>
                  <w:r>
                    <w:rPr>
                      <w:rFonts w:hint="eastAsia" w:cs="Times New Roman"/>
                      <w:color w:val="auto"/>
                      <w:sz w:val="21"/>
                      <w:szCs w:val="21"/>
                      <w:lang w:val="en-US" w:eastAsia="zh-CN"/>
                    </w:rPr>
                    <w:t>50</w:t>
                  </w:r>
                  <w:r>
                    <w:rPr>
                      <w:rFonts w:hint="default" w:ascii="Times New Roman" w:hAnsi="Times New Roman" w:cs="Times New Roman"/>
                      <w:color w:val="auto"/>
                      <w:sz w:val="21"/>
                      <w:szCs w:val="21"/>
                      <w:lang w:val="en-US" w:eastAsia="zh-CN"/>
                    </w:rPr>
                    <w:t>0</w:t>
                  </w:r>
                  <w:r>
                    <w:rPr>
                      <w:rFonts w:hint="default" w:ascii="Times New Roman" w:hAnsi="Times New Roman" w:cs="Times New Roman"/>
                      <w:color w:val="auto"/>
                      <w:sz w:val="21"/>
                      <w:szCs w:val="21"/>
                    </w:rPr>
                    <w:t>人</w:t>
                  </w:r>
                </w:p>
              </w:tc>
              <w:tc>
                <w:tcPr>
                  <w:tcW w:w="389" w:type="pct"/>
                  <w:vMerge w:val="continue"/>
                  <w:vAlign w:val="center"/>
                </w:tcPr>
                <w:p w14:paraId="341D90BB">
                  <w:pPr>
                    <w:spacing w:line="240" w:lineRule="auto"/>
                    <w:ind w:firstLine="0" w:firstLineChars="0"/>
                    <w:jc w:val="center"/>
                    <w:rPr>
                      <w:rFonts w:hint="default" w:ascii="Times New Roman" w:hAnsi="Times New Roman" w:cs="Times New Roman"/>
                      <w:color w:val="auto"/>
                      <w:sz w:val="21"/>
                      <w:szCs w:val="21"/>
                    </w:rPr>
                  </w:pPr>
                </w:p>
              </w:tc>
              <w:tc>
                <w:tcPr>
                  <w:tcW w:w="380" w:type="pct"/>
                  <w:vAlign w:val="center"/>
                </w:tcPr>
                <w:p w14:paraId="7ADD7A6D">
                  <w:pPr>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SE</w:t>
                  </w:r>
                </w:p>
              </w:tc>
              <w:tc>
                <w:tcPr>
                  <w:tcW w:w="590" w:type="pct"/>
                  <w:vAlign w:val="center"/>
                </w:tcPr>
                <w:p w14:paraId="575C8441">
                  <w:pPr>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298</w:t>
                  </w:r>
                </w:p>
              </w:tc>
            </w:tr>
            <w:tr w14:paraId="5BCBC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92" w:type="pct"/>
                  <w:vAlign w:val="center"/>
                </w:tcPr>
                <w:p w14:paraId="3BD08741">
                  <w:pPr>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杭州师范大学附属学校</w:t>
                  </w:r>
                </w:p>
              </w:tc>
              <w:tc>
                <w:tcPr>
                  <w:tcW w:w="660" w:type="pct"/>
                  <w:vAlign w:val="center"/>
                </w:tcPr>
                <w:p w14:paraId="17A43651">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120.037189</w:t>
                  </w:r>
                </w:p>
              </w:tc>
              <w:tc>
                <w:tcPr>
                  <w:tcW w:w="637" w:type="pct"/>
                  <w:vAlign w:val="center"/>
                </w:tcPr>
                <w:p w14:paraId="4DA2C7D4">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30.249953</w:t>
                  </w:r>
                </w:p>
              </w:tc>
              <w:tc>
                <w:tcPr>
                  <w:tcW w:w="335" w:type="pct"/>
                  <w:shd w:val="clear" w:color="auto" w:fill="auto"/>
                  <w:vAlign w:val="center"/>
                </w:tcPr>
                <w:p w14:paraId="030BF1A9">
                  <w:pPr>
                    <w:spacing w:line="240" w:lineRule="auto"/>
                    <w:ind w:firstLine="0" w:firstLineChars="0"/>
                    <w:jc w:val="center"/>
                    <w:rPr>
                      <w:rFonts w:hint="eastAsia" w:cs="Times New Roman"/>
                      <w:color w:val="auto"/>
                      <w:sz w:val="21"/>
                      <w:szCs w:val="21"/>
                      <w:lang w:val="en-US" w:eastAsia="zh-CN"/>
                    </w:rPr>
                  </w:pPr>
                  <w:r>
                    <w:rPr>
                      <w:rFonts w:hint="eastAsia" w:cs="Times New Roman"/>
                      <w:color w:val="auto"/>
                      <w:sz w:val="21"/>
                      <w:szCs w:val="21"/>
                      <w:lang w:val="en-US" w:eastAsia="zh-CN"/>
                    </w:rPr>
                    <w:t>师生</w:t>
                  </w:r>
                </w:p>
              </w:tc>
              <w:tc>
                <w:tcPr>
                  <w:tcW w:w="613" w:type="pct"/>
                  <w:vAlign w:val="center"/>
                </w:tcPr>
                <w:p w14:paraId="35C47167">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约</w:t>
                  </w:r>
                  <w:r>
                    <w:rPr>
                      <w:rFonts w:hint="eastAsia" w:cs="Times New Roman"/>
                      <w:color w:val="auto"/>
                      <w:sz w:val="21"/>
                      <w:szCs w:val="21"/>
                      <w:lang w:val="en-US" w:eastAsia="zh-CN"/>
                    </w:rPr>
                    <w:t>150</w:t>
                  </w:r>
                  <w:r>
                    <w:rPr>
                      <w:rFonts w:hint="default" w:ascii="Times New Roman" w:hAnsi="Times New Roman" w:cs="Times New Roman"/>
                      <w:color w:val="auto"/>
                      <w:sz w:val="21"/>
                      <w:szCs w:val="21"/>
                      <w:lang w:val="en-US" w:eastAsia="zh-CN"/>
                    </w:rPr>
                    <w:t>0</w:t>
                  </w:r>
                  <w:r>
                    <w:rPr>
                      <w:rFonts w:hint="default" w:ascii="Times New Roman" w:hAnsi="Times New Roman" w:cs="Times New Roman"/>
                      <w:color w:val="auto"/>
                      <w:sz w:val="21"/>
                      <w:szCs w:val="21"/>
                    </w:rPr>
                    <w:t>人</w:t>
                  </w:r>
                </w:p>
              </w:tc>
              <w:tc>
                <w:tcPr>
                  <w:tcW w:w="389" w:type="pct"/>
                  <w:vMerge w:val="continue"/>
                  <w:vAlign w:val="center"/>
                </w:tcPr>
                <w:p w14:paraId="717D2D25">
                  <w:pPr>
                    <w:spacing w:line="240" w:lineRule="auto"/>
                    <w:ind w:firstLine="0" w:firstLineChars="0"/>
                    <w:jc w:val="center"/>
                    <w:rPr>
                      <w:rFonts w:hint="default" w:ascii="Times New Roman" w:hAnsi="Times New Roman" w:cs="Times New Roman"/>
                      <w:color w:val="auto"/>
                      <w:sz w:val="21"/>
                      <w:szCs w:val="21"/>
                    </w:rPr>
                  </w:pPr>
                </w:p>
              </w:tc>
              <w:tc>
                <w:tcPr>
                  <w:tcW w:w="380" w:type="pct"/>
                  <w:vAlign w:val="center"/>
                </w:tcPr>
                <w:p w14:paraId="00D6604E">
                  <w:pPr>
                    <w:spacing w:line="240" w:lineRule="auto"/>
                    <w:ind w:firstLine="0" w:firstLineChars="0"/>
                    <w:jc w:val="center"/>
                    <w:rPr>
                      <w:rFonts w:hint="eastAsia" w:cs="Times New Roman"/>
                      <w:color w:val="auto"/>
                      <w:sz w:val="21"/>
                      <w:szCs w:val="21"/>
                      <w:lang w:val="en-US" w:eastAsia="zh-CN"/>
                    </w:rPr>
                  </w:pPr>
                  <w:r>
                    <w:rPr>
                      <w:rFonts w:hint="eastAsia" w:cs="Times New Roman"/>
                      <w:color w:val="auto"/>
                      <w:sz w:val="21"/>
                      <w:szCs w:val="21"/>
                      <w:lang w:val="en-US" w:eastAsia="zh-CN"/>
                    </w:rPr>
                    <w:t>SE</w:t>
                  </w:r>
                </w:p>
              </w:tc>
              <w:tc>
                <w:tcPr>
                  <w:tcW w:w="590" w:type="pct"/>
                  <w:vAlign w:val="center"/>
                </w:tcPr>
                <w:p w14:paraId="37AD9277">
                  <w:pPr>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383</w:t>
                  </w:r>
                </w:p>
              </w:tc>
            </w:tr>
          </w:tbl>
          <w:p w14:paraId="6235D404">
            <w:pPr>
              <w:pStyle w:val="10"/>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rPr>
            </w:pPr>
            <w:r>
              <w:rPr>
                <w:rFonts w:hint="default" w:ascii="Times New Roman" w:hAnsi="Times New Roman" w:cs="Times New Roman"/>
              </w:rPr>
              <w:t>2</w:t>
            </w:r>
            <w:r>
              <w:rPr>
                <w:rFonts w:hint="eastAsia" w:ascii="Times New Roman" w:hAnsi="Times New Roman" w:cs="Times New Roman"/>
                <w:lang w:eastAsia="zh-CN"/>
              </w:rPr>
              <w:t>、</w:t>
            </w:r>
            <w:r>
              <w:rPr>
                <w:rFonts w:hint="default" w:ascii="Times New Roman" w:hAnsi="Times New Roman" w:cs="Times New Roman"/>
              </w:rPr>
              <w:t>规划保护目标</w:t>
            </w:r>
          </w:p>
          <w:p w14:paraId="4EE1E0C6">
            <w:pPr>
              <w:pStyle w:val="11"/>
              <w:keepNext w:val="0"/>
              <w:keepLines w:val="0"/>
              <w:suppressLineNumbers w:val="0"/>
              <w:spacing w:before="0" w:beforeAutospacing="0" w:after="0" w:afterAutospacing="0" w:line="360" w:lineRule="auto"/>
              <w:ind w:left="0" w:right="0" w:firstLine="480" w:firstLineChars="200"/>
              <w:rPr>
                <w:rFonts w:hint="default"/>
              </w:rPr>
            </w:pPr>
            <w:r>
              <w:rPr>
                <w:rFonts w:hint="default"/>
              </w:rPr>
              <w:t>根据《</w:t>
            </w:r>
            <w:r>
              <w:rPr>
                <w:rFonts w:hint="eastAsia"/>
              </w:rPr>
              <w:t>杭州市余杭区未来科技城单元详细规划</w:t>
            </w:r>
            <w:r>
              <w:rPr>
                <w:rFonts w:hint="default"/>
              </w:rPr>
              <w:t>》，本项目厂界500m范围内</w:t>
            </w:r>
            <w:r>
              <w:rPr>
                <w:rFonts w:hint="eastAsia"/>
                <w:lang w:val="en-US" w:eastAsia="zh-CN"/>
              </w:rPr>
              <w:t>均已建成，</w:t>
            </w:r>
            <w:r>
              <w:rPr>
                <w:rFonts w:hint="default"/>
              </w:rPr>
              <w:t>不存在</w:t>
            </w:r>
            <w:r>
              <w:rPr>
                <w:rFonts w:hint="eastAsia"/>
                <w:lang w:val="en-US" w:eastAsia="zh-CN"/>
              </w:rPr>
              <w:t>未建设的</w:t>
            </w:r>
            <w:r>
              <w:rPr>
                <w:rFonts w:hint="default"/>
              </w:rPr>
              <w:t>住宅区、学校等</w:t>
            </w:r>
            <w:r>
              <w:rPr>
                <w:rFonts w:hint="eastAsia"/>
                <w:lang w:val="en-US" w:eastAsia="zh-CN"/>
              </w:rPr>
              <w:t>规划</w:t>
            </w:r>
            <w:r>
              <w:rPr>
                <w:rFonts w:hint="default"/>
              </w:rPr>
              <w:t>保护目标。</w:t>
            </w:r>
          </w:p>
          <w:p w14:paraId="556DF963">
            <w:pPr>
              <w:pStyle w:val="2"/>
              <w:keepNext w:val="0"/>
              <w:keepLines w:val="0"/>
              <w:suppressLineNumbers w:val="0"/>
              <w:spacing w:before="0" w:beforeAutospacing="0" w:after="0" w:afterAutospacing="0"/>
              <w:ind w:left="0" w:right="0" w:firstLine="480"/>
              <w:rPr>
                <w:rFonts w:hint="default"/>
                <w:color w:val="auto"/>
              </w:rPr>
            </w:pPr>
            <w:r>
              <w:rPr>
                <w:rFonts w:hint="eastAsia"/>
                <w:color w:val="auto"/>
                <w:lang w:val="en-US" w:eastAsia="zh-CN"/>
              </w:rPr>
              <w:t>3</w:t>
            </w:r>
            <w:r>
              <w:rPr>
                <w:rFonts w:hint="eastAsia"/>
                <w:color w:val="auto"/>
              </w:rPr>
              <w:t>、声环境</w:t>
            </w:r>
          </w:p>
          <w:p w14:paraId="6F732F50">
            <w:pPr>
              <w:pStyle w:val="2"/>
              <w:keepNext w:val="0"/>
              <w:keepLines w:val="0"/>
              <w:suppressLineNumbers w:val="0"/>
              <w:spacing w:before="0" w:beforeAutospacing="0" w:after="0" w:afterAutospacing="0"/>
              <w:ind w:left="0" w:right="0" w:firstLine="480"/>
              <w:rPr>
                <w:rFonts w:hint="default"/>
                <w:color w:val="auto"/>
              </w:rPr>
            </w:pPr>
            <w:r>
              <w:rPr>
                <w:rFonts w:hint="default"/>
                <w:color w:val="auto"/>
              </w:rPr>
              <w:t>根据现场勘查，厂界外50米范围无声环境保护目标。</w:t>
            </w:r>
          </w:p>
          <w:p w14:paraId="71C2FA22">
            <w:pPr>
              <w:pStyle w:val="2"/>
              <w:keepNext w:val="0"/>
              <w:keepLines w:val="0"/>
              <w:suppressLineNumbers w:val="0"/>
              <w:spacing w:before="0" w:beforeAutospacing="0" w:after="0" w:afterAutospacing="0"/>
              <w:ind w:left="0" w:right="0" w:firstLine="480"/>
              <w:rPr>
                <w:rFonts w:hint="default"/>
                <w:color w:val="auto"/>
              </w:rPr>
            </w:pPr>
            <w:r>
              <w:rPr>
                <w:rFonts w:hint="eastAsia"/>
                <w:color w:val="auto"/>
                <w:lang w:val="en-US" w:eastAsia="zh-CN"/>
              </w:rPr>
              <w:t>4</w:t>
            </w:r>
            <w:r>
              <w:rPr>
                <w:rFonts w:hint="eastAsia"/>
                <w:color w:val="auto"/>
              </w:rPr>
              <w:t>、地下水环境</w:t>
            </w:r>
          </w:p>
          <w:p w14:paraId="11F71BCE">
            <w:pPr>
              <w:pStyle w:val="2"/>
              <w:keepNext w:val="0"/>
              <w:keepLines w:val="0"/>
              <w:suppressLineNumbers w:val="0"/>
              <w:spacing w:before="0" w:beforeAutospacing="0" w:after="0" w:afterAutospacing="0"/>
              <w:ind w:left="0" w:right="0" w:firstLine="480"/>
              <w:rPr>
                <w:rFonts w:hint="default"/>
                <w:color w:val="auto"/>
              </w:rPr>
            </w:pPr>
            <w:r>
              <w:rPr>
                <w:rFonts w:hint="default"/>
                <w:color w:val="auto"/>
              </w:rPr>
              <w:t>根据现场勘查，厂界外500米范围内无地下水集中式饮用水源和热水、矿泉水、温泉等特殊地下水资源。</w:t>
            </w:r>
          </w:p>
          <w:p w14:paraId="7B547FBC">
            <w:pPr>
              <w:pStyle w:val="2"/>
              <w:keepNext w:val="0"/>
              <w:keepLines w:val="0"/>
              <w:suppressLineNumbers w:val="0"/>
              <w:spacing w:before="0" w:beforeAutospacing="0" w:after="0" w:afterAutospacing="0"/>
              <w:ind w:left="0" w:right="0" w:firstLine="480"/>
              <w:rPr>
                <w:rFonts w:hint="default"/>
                <w:color w:val="auto"/>
              </w:rPr>
            </w:pPr>
            <w:r>
              <w:rPr>
                <w:rFonts w:hint="eastAsia"/>
                <w:color w:val="auto"/>
                <w:lang w:val="en-US" w:eastAsia="zh-CN"/>
              </w:rPr>
              <w:t>5</w:t>
            </w:r>
            <w:r>
              <w:rPr>
                <w:rFonts w:hint="eastAsia"/>
                <w:color w:val="auto"/>
              </w:rPr>
              <w:t>、生态环境</w:t>
            </w:r>
          </w:p>
          <w:p w14:paraId="79052BE0">
            <w:pPr>
              <w:pStyle w:val="2"/>
              <w:keepNext w:val="0"/>
              <w:keepLines w:val="0"/>
              <w:suppressLineNumbers w:val="0"/>
              <w:spacing w:before="0" w:beforeAutospacing="0" w:after="0" w:afterAutospacing="0"/>
              <w:ind w:left="0" w:right="0" w:firstLine="480" w:firstLineChars="200"/>
              <w:rPr>
                <w:rFonts w:hint="default"/>
                <w:color w:val="auto"/>
              </w:rPr>
            </w:pPr>
            <w:r>
              <w:rPr>
                <w:rFonts w:hint="default"/>
                <w:color w:val="auto"/>
              </w:rPr>
              <w:t>本项目</w:t>
            </w:r>
            <w:r>
              <w:rPr>
                <w:rFonts w:hint="eastAsia"/>
                <w:color w:val="auto"/>
              </w:rPr>
              <w:t>用地范围内</w:t>
            </w:r>
            <w:r>
              <w:rPr>
                <w:rFonts w:hint="default"/>
                <w:color w:val="auto"/>
              </w:rPr>
              <w:t>无生态环境保护目标。</w:t>
            </w:r>
          </w:p>
        </w:tc>
      </w:tr>
      <w:tr w14:paraId="54986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Align w:val="center"/>
          </w:tcPr>
          <w:p w14:paraId="00F11B56">
            <w:pPr>
              <w:pStyle w:val="2"/>
              <w:keepNext w:val="0"/>
              <w:keepLines w:val="0"/>
              <w:suppressLineNumbers w:val="0"/>
              <w:spacing w:before="0" w:beforeAutospacing="0" w:after="0" w:afterAutospacing="0" w:line="240" w:lineRule="auto"/>
              <w:ind w:left="0" w:right="0" w:firstLine="0" w:firstLineChars="0"/>
              <w:jc w:val="center"/>
              <w:rPr>
                <w:rFonts w:hint="default"/>
                <w:color w:val="auto"/>
              </w:rPr>
            </w:pPr>
            <w:r>
              <w:rPr>
                <w:rFonts w:hint="eastAsia"/>
                <w:color w:val="auto"/>
              </w:rPr>
              <w:t>污染物排放控制标准</w:t>
            </w:r>
          </w:p>
        </w:tc>
        <w:tc>
          <w:tcPr>
            <w:tcW w:w="7930" w:type="dxa"/>
            <w:vAlign w:val="top"/>
          </w:tcPr>
          <w:p w14:paraId="3700CD76">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1、废水</w:t>
            </w:r>
          </w:p>
          <w:p w14:paraId="1DE347F5">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default"/>
                <w:color w:val="auto"/>
              </w:rPr>
              <w:t>本项目员工的生活污水经化粪池处理后纳入市政污水管网，</w:t>
            </w:r>
            <w:r>
              <w:rPr>
                <w:rFonts w:hint="eastAsia"/>
                <w:color w:val="auto"/>
                <w:lang w:val="en-US" w:eastAsia="zh-CN"/>
              </w:rPr>
              <w:t>清洗废水经实验室污水处理设施处理后纳管，</w:t>
            </w:r>
            <w:r>
              <w:rPr>
                <w:rFonts w:hint="default"/>
                <w:color w:val="auto"/>
              </w:rPr>
              <w:t>经</w:t>
            </w:r>
            <w:r>
              <w:rPr>
                <w:rFonts w:hint="eastAsia"/>
                <w:color w:val="auto"/>
                <w:lang w:val="en-US" w:eastAsia="zh-CN"/>
              </w:rPr>
              <w:t>余杭</w:t>
            </w:r>
            <w:r>
              <w:rPr>
                <w:rFonts w:hint="default"/>
                <w:color w:val="auto"/>
              </w:rPr>
              <w:t>污水处理厂集中处理后外排。纳管标准执行《污水综合排放标准》（GB8978-1996）中的三级标准，</w:t>
            </w:r>
            <w:r>
              <w:rPr>
                <w:rFonts w:hint="eastAsia"/>
                <w:color w:val="auto"/>
                <w:lang w:val="en-US" w:eastAsia="zh-CN"/>
              </w:rPr>
              <w:t>余杭</w:t>
            </w:r>
            <w:r>
              <w:rPr>
                <w:rFonts w:hint="default"/>
                <w:color w:val="auto"/>
              </w:rPr>
              <w:t>污水处理厂尾水COD</w:t>
            </w:r>
            <w:r>
              <w:rPr>
                <w:rFonts w:hint="default"/>
                <w:color w:val="auto"/>
                <w:vertAlign w:val="subscript"/>
              </w:rPr>
              <w:t>Cr</w:t>
            </w:r>
            <w:r>
              <w:rPr>
                <w:rFonts w:hint="default"/>
                <w:color w:val="auto"/>
              </w:rPr>
              <w:t>、氨氮、总氮、总磷主要污染指标执行《城镇污水处理厂主要水污染物排放标准》（DB33/2169-2018）表1排放限值，其余指标执行《城镇污水处理厂污染物排放标准》（GB18918-2002）一级A标准。项目废水污染物排放标准具体见下表3-</w:t>
            </w:r>
            <w:r>
              <w:rPr>
                <w:rFonts w:hint="eastAsia"/>
                <w:color w:val="auto"/>
                <w:lang w:val="en-US" w:eastAsia="zh-CN"/>
              </w:rPr>
              <w:t>4</w:t>
            </w:r>
            <w:r>
              <w:rPr>
                <w:rFonts w:hint="default"/>
                <w:color w:val="auto"/>
              </w:rPr>
              <w:t>。</w:t>
            </w:r>
          </w:p>
          <w:p w14:paraId="7AEE64B9">
            <w:pPr>
              <w:pStyle w:val="2"/>
              <w:keepNext w:val="0"/>
              <w:keepLines w:val="0"/>
              <w:suppressLineNumbers w:val="0"/>
              <w:spacing w:before="0" w:beforeAutospacing="0" w:after="0" w:afterAutospacing="0"/>
              <w:ind w:left="0" w:right="0" w:firstLine="0" w:firstLineChars="0"/>
              <w:jc w:val="center"/>
              <w:rPr>
                <w:rFonts w:hint="default" w:eastAsia="黑体" w:cs="Times New Roman"/>
                <w:bCs/>
                <w:color w:val="auto"/>
                <w:szCs w:val="24"/>
              </w:rPr>
            </w:pPr>
            <w:r>
              <w:rPr>
                <w:rFonts w:hint="default" w:eastAsia="黑体" w:cs="Times New Roman"/>
                <w:bCs/>
                <w:color w:val="auto"/>
                <w:szCs w:val="24"/>
              </w:rPr>
              <w:t>表3-</w:t>
            </w:r>
            <w:r>
              <w:rPr>
                <w:rFonts w:hint="eastAsia" w:eastAsia="黑体" w:cs="Times New Roman"/>
                <w:bCs/>
                <w:color w:val="auto"/>
                <w:szCs w:val="24"/>
                <w:lang w:val="en-US" w:eastAsia="zh-CN"/>
              </w:rPr>
              <w:t>4</w:t>
            </w:r>
            <w:r>
              <w:rPr>
                <w:rFonts w:hint="default" w:eastAsia="黑体" w:cs="Times New Roman"/>
                <w:bCs/>
                <w:color w:val="auto"/>
                <w:szCs w:val="24"/>
              </w:rPr>
              <w:t xml:space="preserve">  </w:t>
            </w:r>
            <w:r>
              <w:rPr>
                <w:rFonts w:hint="eastAsia" w:eastAsia="黑体" w:cs="Times New Roman"/>
                <w:bCs/>
                <w:color w:val="auto"/>
                <w:szCs w:val="24"/>
              </w:rPr>
              <w:t>项目废水污染物排放标准  单位：mg/L，pH除外</w:t>
            </w:r>
          </w:p>
          <w:tbl>
            <w:tblPr>
              <w:tblStyle w:val="22"/>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5"/>
              <w:gridCol w:w="459"/>
              <w:gridCol w:w="974"/>
              <w:gridCol w:w="974"/>
              <w:gridCol w:w="974"/>
              <w:gridCol w:w="974"/>
              <w:gridCol w:w="977"/>
              <w:gridCol w:w="1000"/>
            </w:tblGrid>
            <w:tr w14:paraId="06EBF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jc w:val="center"/>
              </w:trPr>
              <w:tc>
                <w:tcPr>
                  <w:tcW w:w="5000" w:type="pct"/>
                  <w:gridSpan w:val="8"/>
                  <w:vAlign w:val="center"/>
                </w:tcPr>
                <w:p w14:paraId="42C32F8B">
                  <w:pPr>
                    <w:spacing w:line="240" w:lineRule="auto"/>
                    <w:ind w:firstLine="0" w:firstLineChars="0"/>
                    <w:jc w:val="left"/>
                    <w:rPr>
                      <w:rFonts w:cs="Times New Roman"/>
                      <w:color w:val="auto"/>
                      <w:spacing w:val="8"/>
                      <w:sz w:val="21"/>
                      <w:szCs w:val="21"/>
                    </w:rPr>
                  </w:pPr>
                  <w:r>
                    <w:rPr>
                      <w:rFonts w:cs="Times New Roman"/>
                      <w:color w:val="auto"/>
                      <w:spacing w:val="8"/>
                      <w:sz w:val="21"/>
                      <w:szCs w:val="21"/>
                    </w:rPr>
                    <w:t>纳管标准：《污水综合排放标准》（GB8978-1996）中的三级标准</w:t>
                  </w:r>
                </w:p>
                <w:p w14:paraId="5B03FA56">
                  <w:pPr>
                    <w:spacing w:line="240" w:lineRule="auto"/>
                    <w:ind w:firstLine="0" w:firstLineChars="0"/>
                    <w:jc w:val="left"/>
                    <w:rPr>
                      <w:rFonts w:cs="Times New Roman"/>
                      <w:color w:val="auto"/>
                      <w:spacing w:val="8"/>
                      <w:sz w:val="21"/>
                      <w:szCs w:val="21"/>
                    </w:rPr>
                  </w:pPr>
                  <w:r>
                    <w:rPr>
                      <w:rFonts w:cs="Times New Roman"/>
                      <w:color w:val="auto"/>
                      <w:spacing w:val="8"/>
                      <w:sz w:val="21"/>
                      <w:szCs w:val="21"/>
                    </w:rPr>
                    <w:t>纳管去向：</w:t>
                  </w:r>
                  <w:r>
                    <w:rPr>
                      <w:rFonts w:hint="eastAsia" w:cs="Times New Roman"/>
                      <w:color w:val="auto"/>
                      <w:spacing w:val="8"/>
                      <w:sz w:val="21"/>
                      <w:szCs w:val="21"/>
                      <w:lang w:val="en-US" w:eastAsia="zh-CN"/>
                    </w:rPr>
                    <w:t>余杭</w:t>
                  </w:r>
                  <w:r>
                    <w:rPr>
                      <w:rFonts w:cs="Times New Roman"/>
                      <w:color w:val="auto"/>
                      <w:spacing w:val="8"/>
                      <w:sz w:val="21"/>
                      <w:szCs w:val="21"/>
                    </w:rPr>
                    <w:t>污水处理厂</w:t>
                  </w:r>
                </w:p>
              </w:tc>
            </w:tr>
            <w:tr w14:paraId="29D3B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1190" w:type="pct"/>
                  <w:gridSpan w:val="2"/>
                  <w:vAlign w:val="center"/>
                </w:tcPr>
                <w:p w14:paraId="2FDC7DA7">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污染物</w:t>
                  </w:r>
                </w:p>
              </w:tc>
              <w:tc>
                <w:tcPr>
                  <w:tcW w:w="632" w:type="pct"/>
                  <w:vAlign w:val="center"/>
                </w:tcPr>
                <w:p w14:paraId="1BF83288">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pH值</w:t>
                  </w:r>
                </w:p>
              </w:tc>
              <w:tc>
                <w:tcPr>
                  <w:tcW w:w="632" w:type="pct"/>
                  <w:vAlign w:val="center"/>
                </w:tcPr>
                <w:p w14:paraId="61C5E6CE">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COD</w:t>
                  </w:r>
                </w:p>
              </w:tc>
              <w:tc>
                <w:tcPr>
                  <w:tcW w:w="632" w:type="pct"/>
                  <w:vAlign w:val="center"/>
                </w:tcPr>
                <w:p w14:paraId="53DCB176">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NH</w:t>
                  </w:r>
                  <w:r>
                    <w:rPr>
                      <w:rFonts w:cs="Times New Roman"/>
                      <w:color w:val="auto"/>
                      <w:spacing w:val="8"/>
                      <w:sz w:val="21"/>
                      <w:szCs w:val="21"/>
                      <w:vertAlign w:val="subscript"/>
                    </w:rPr>
                    <w:t>3</w:t>
                  </w:r>
                  <w:r>
                    <w:rPr>
                      <w:rFonts w:cs="Times New Roman"/>
                      <w:color w:val="auto"/>
                      <w:spacing w:val="8"/>
                      <w:sz w:val="21"/>
                      <w:szCs w:val="21"/>
                    </w:rPr>
                    <w:t>-N</w:t>
                  </w:r>
                </w:p>
              </w:tc>
              <w:tc>
                <w:tcPr>
                  <w:tcW w:w="632" w:type="pct"/>
                  <w:vAlign w:val="center"/>
                </w:tcPr>
                <w:p w14:paraId="42752215">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SS</w:t>
                  </w:r>
                </w:p>
              </w:tc>
              <w:tc>
                <w:tcPr>
                  <w:tcW w:w="634" w:type="pct"/>
                  <w:vAlign w:val="center"/>
                </w:tcPr>
                <w:p w14:paraId="6879FF6C">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TP</w:t>
                  </w:r>
                </w:p>
              </w:tc>
              <w:tc>
                <w:tcPr>
                  <w:tcW w:w="643" w:type="pct"/>
                  <w:vAlign w:val="center"/>
                </w:tcPr>
                <w:p w14:paraId="22B40320">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动植物油</w:t>
                  </w:r>
                </w:p>
              </w:tc>
            </w:tr>
            <w:tr w14:paraId="4341B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892" w:type="pct"/>
                  <w:vAlign w:val="center"/>
                </w:tcPr>
                <w:p w14:paraId="77689882">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标准限值</w:t>
                  </w:r>
                </w:p>
              </w:tc>
              <w:tc>
                <w:tcPr>
                  <w:tcW w:w="297" w:type="pct"/>
                  <w:vAlign w:val="center"/>
                </w:tcPr>
                <w:p w14:paraId="53DC43D6">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w:t>
                  </w:r>
                </w:p>
              </w:tc>
              <w:tc>
                <w:tcPr>
                  <w:tcW w:w="632" w:type="pct"/>
                  <w:vAlign w:val="center"/>
                </w:tcPr>
                <w:p w14:paraId="2BD48B65">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6-9</w:t>
                  </w:r>
                </w:p>
              </w:tc>
              <w:tc>
                <w:tcPr>
                  <w:tcW w:w="632" w:type="pct"/>
                  <w:vAlign w:val="center"/>
                </w:tcPr>
                <w:p w14:paraId="74976282">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500</w:t>
                  </w:r>
                </w:p>
              </w:tc>
              <w:tc>
                <w:tcPr>
                  <w:tcW w:w="632" w:type="pct"/>
                  <w:vAlign w:val="center"/>
                </w:tcPr>
                <w:p w14:paraId="451A050D">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35</w:t>
                  </w:r>
                  <w:r>
                    <w:rPr>
                      <w:rFonts w:cs="Times New Roman"/>
                      <w:color w:val="auto"/>
                      <w:spacing w:val="8"/>
                      <w:sz w:val="21"/>
                      <w:szCs w:val="21"/>
                      <w:vertAlign w:val="superscript"/>
                    </w:rPr>
                    <w:t>*1</w:t>
                  </w:r>
                </w:p>
              </w:tc>
              <w:tc>
                <w:tcPr>
                  <w:tcW w:w="632" w:type="pct"/>
                  <w:vAlign w:val="center"/>
                </w:tcPr>
                <w:p w14:paraId="7759B91C">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400</w:t>
                  </w:r>
                </w:p>
              </w:tc>
              <w:tc>
                <w:tcPr>
                  <w:tcW w:w="634" w:type="pct"/>
                  <w:vAlign w:val="center"/>
                </w:tcPr>
                <w:p w14:paraId="5ECE83AF">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8</w:t>
                  </w:r>
                  <w:r>
                    <w:rPr>
                      <w:rFonts w:cs="Times New Roman"/>
                      <w:color w:val="auto"/>
                      <w:spacing w:val="8"/>
                      <w:sz w:val="21"/>
                      <w:szCs w:val="21"/>
                      <w:vertAlign w:val="superscript"/>
                    </w:rPr>
                    <w:t>*1</w:t>
                  </w:r>
                </w:p>
              </w:tc>
              <w:tc>
                <w:tcPr>
                  <w:tcW w:w="643" w:type="pct"/>
                  <w:vAlign w:val="center"/>
                </w:tcPr>
                <w:p w14:paraId="0E584BAB">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100</w:t>
                  </w:r>
                </w:p>
              </w:tc>
            </w:tr>
            <w:tr w14:paraId="3FEF9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5000" w:type="pct"/>
                  <w:gridSpan w:val="8"/>
                  <w:vAlign w:val="center"/>
                </w:tcPr>
                <w:p w14:paraId="4E43DC31">
                  <w:pPr>
                    <w:spacing w:line="240" w:lineRule="auto"/>
                    <w:ind w:firstLine="0" w:firstLineChars="0"/>
                    <w:jc w:val="left"/>
                    <w:rPr>
                      <w:rFonts w:cs="Times New Roman"/>
                      <w:color w:val="auto"/>
                      <w:spacing w:val="8"/>
                      <w:sz w:val="21"/>
                      <w:szCs w:val="21"/>
                    </w:rPr>
                  </w:pPr>
                  <w:r>
                    <w:rPr>
                      <w:rFonts w:cs="Times New Roman"/>
                      <w:color w:val="auto"/>
                      <w:spacing w:val="8"/>
                      <w:sz w:val="21"/>
                      <w:szCs w:val="21"/>
                    </w:rPr>
                    <w:t>外排环境标准：COD</w:t>
                  </w:r>
                  <w:r>
                    <w:rPr>
                      <w:rFonts w:cs="Times New Roman"/>
                      <w:color w:val="auto"/>
                      <w:spacing w:val="8"/>
                      <w:sz w:val="21"/>
                      <w:szCs w:val="21"/>
                      <w:vertAlign w:val="subscript"/>
                    </w:rPr>
                    <w:t>Cr</w:t>
                  </w:r>
                  <w:r>
                    <w:rPr>
                      <w:rFonts w:cs="Times New Roman"/>
                      <w:color w:val="auto"/>
                      <w:spacing w:val="8"/>
                      <w:sz w:val="21"/>
                      <w:szCs w:val="21"/>
                    </w:rPr>
                    <w:t>、氨氮、总氮、总磷主要污染指标执行《城镇污水处理厂主要水污染物排放标准》（DB33/2169-2018）表1排放限值，其余指标执行《城镇污水处理厂污染物排放标准》（GB18918-2002）一级A标准</w:t>
                  </w:r>
                </w:p>
              </w:tc>
            </w:tr>
            <w:tr w14:paraId="20B5C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1190" w:type="pct"/>
                  <w:gridSpan w:val="2"/>
                  <w:vAlign w:val="center"/>
                </w:tcPr>
                <w:p w14:paraId="03814FE7">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污染物</w:t>
                  </w:r>
                </w:p>
              </w:tc>
              <w:tc>
                <w:tcPr>
                  <w:tcW w:w="632" w:type="pct"/>
                  <w:vAlign w:val="center"/>
                </w:tcPr>
                <w:p w14:paraId="1EDA4CBE">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pH值</w:t>
                  </w:r>
                </w:p>
              </w:tc>
              <w:tc>
                <w:tcPr>
                  <w:tcW w:w="632" w:type="pct"/>
                  <w:vAlign w:val="center"/>
                </w:tcPr>
                <w:p w14:paraId="50459677">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COD</w:t>
                  </w:r>
                </w:p>
              </w:tc>
              <w:tc>
                <w:tcPr>
                  <w:tcW w:w="632" w:type="pct"/>
                  <w:vAlign w:val="center"/>
                </w:tcPr>
                <w:p w14:paraId="00017BD9">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NH</w:t>
                  </w:r>
                  <w:r>
                    <w:rPr>
                      <w:rFonts w:cs="Times New Roman"/>
                      <w:color w:val="auto"/>
                      <w:spacing w:val="8"/>
                      <w:sz w:val="21"/>
                      <w:szCs w:val="21"/>
                      <w:vertAlign w:val="subscript"/>
                    </w:rPr>
                    <w:t>3</w:t>
                  </w:r>
                  <w:r>
                    <w:rPr>
                      <w:rFonts w:cs="Times New Roman"/>
                      <w:color w:val="auto"/>
                      <w:spacing w:val="8"/>
                      <w:sz w:val="21"/>
                      <w:szCs w:val="21"/>
                    </w:rPr>
                    <w:t>-N</w:t>
                  </w:r>
                </w:p>
              </w:tc>
              <w:tc>
                <w:tcPr>
                  <w:tcW w:w="632" w:type="pct"/>
                  <w:vAlign w:val="center"/>
                </w:tcPr>
                <w:p w14:paraId="107908C2">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SS</w:t>
                  </w:r>
                </w:p>
              </w:tc>
              <w:tc>
                <w:tcPr>
                  <w:tcW w:w="634" w:type="pct"/>
                  <w:vAlign w:val="center"/>
                </w:tcPr>
                <w:p w14:paraId="61146228">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TP</w:t>
                  </w:r>
                </w:p>
              </w:tc>
              <w:tc>
                <w:tcPr>
                  <w:tcW w:w="643" w:type="pct"/>
                  <w:vAlign w:val="center"/>
                </w:tcPr>
                <w:p w14:paraId="785D21EB">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动植物油</w:t>
                  </w:r>
                </w:p>
              </w:tc>
            </w:tr>
            <w:tr w14:paraId="3A4FF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892" w:type="pct"/>
                  <w:vAlign w:val="center"/>
                </w:tcPr>
                <w:p w14:paraId="5FE514CA">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标准限值</w:t>
                  </w:r>
                </w:p>
              </w:tc>
              <w:tc>
                <w:tcPr>
                  <w:tcW w:w="297" w:type="pct"/>
                  <w:vAlign w:val="center"/>
                </w:tcPr>
                <w:p w14:paraId="3874F471">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w:t>
                  </w:r>
                </w:p>
              </w:tc>
              <w:tc>
                <w:tcPr>
                  <w:tcW w:w="632" w:type="pct"/>
                  <w:vAlign w:val="center"/>
                </w:tcPr>
                <w:p w14:paraId="32C93592">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6-9</w:t>
                  </w:r>
                </w:p>
              </w:tc>
              <w:tc>
                <w:tcPr>
                  <w:tcW w:w="632" w:type="pct"/>
                  <w:vAlign w:val="center"/>
                </w:tcPr>
                <w:p w14:paraId="7A0B6F34">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40</w:t>
                  </w:r>
                </w:p>
              </w:tc>
              <w:tc>
                <w:tcPr>
                  <w:tcW w:w="632" w:type="pct"/>
                  <w:vAlign w:val="center"/>
                </w:tcPr>
                <w:p w14:paraId="63D63751">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2(4)</w:t>
                  </w:r>
                  <w:r>
                    <w:rPr>
                      <w:rFonts w:cs="Times New Roman"/>
                      <w:color w:val="auto"/>
                      <w:spacing w:val="8"/>
                      <w:sz w:val="21"/>
                      <w:szCs w:val="21"/>
                      <w:vertAlign w:val="superscript"/>
                    </w:rPr>
                    <w:t>*2</w:t>
                  </w:r>
                </w:p>
              </w:tc>
              <w:tc>
                <w:tcPr>
                  <w:tcW w:w="632" w:type="pct"/>
                  <w:vAlign w:val="center"/>
                </w:tcPr>
                <w:p w14:paraId="2E76DA80">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10</w:t>
                  </w:r>
                </w:p>
              </w:tc>
              <w:tc>
                <w:tcPr>
                  <w:tcW w:w="634" w:type="pct"/>
                  <w:vAlign w:val="center"/>
                </w:tcPr>
                <w:p w14:paraId="07236A87">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0.3</w:t>
                  </w:r>
                </w:p>
              </w:tc>
              <w:tc>
                <w:tcPr>
                  <w:tcW w:w="643" w:type="pct"/>
                  <w:vAlign w:val="center"/>
                </w:tcPr>
                <w:p w14:paraId="26364687">
                  <w:pPr>
                    <w:spacing w:line="240" w:lineRule="auto"/>
                    <w:ind w:firstLine="0" w:firstLineChars="0"/>
                    <w:jc w:val="center"/>
                    <w:rPr>
                      <w:rFonts w:cs="Times New Roman"/>
                      <w:color w:val="auto"/>
                      <w:spacing w:val="8"/>
                      <w:sz w:val="21"/>
                      <w:szCs w:val="21"/>
                    </w:rPr>
                  </w:pPr>
                  <w:r>
                    <w:rPr>
                      <w:rFonts w:cs="Times New Roman"/>
                      <w:color w:val="auto"/>
                      <w:spacing w:val="8"/>
                      <w:sz w:val="21"/>
                      <w:szCs w:val="21"/>
                    </w:rPr>
                    <w:t>1</w:t>
                  </w:r>
                </w:p>
              </w:tc>
            </w:tr>
            <w:tr w14:paraId="2C288B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5000" w:type="pct"/>
                  <w:gridSpan w:val="8"/>
                  <w:vAlign w:val="center"/>
                </w:tcPr>
                <w:p w14:paraId="706E242F">
                  <w:pPr>
                    <w:spacing w:line="240" w:lineRule="auto"/>
                    <w:ind w:firstLine="0" w:firstLineChars="0"/>
                    <w:rPr>
                      <w:rFonts w:cs="Times New Roman"/>
                      <w:color w:val="auto"/>
                      <w:spacing w:val="8"/>
                      <w:sz w:val="21"/>
                      <w:szCs w:val="21"/>
                    </w:rPr>
                  </w:pPr>
                  <w:r>
                    <w:rPr>
                      <w:rFonts w:hint="eastAsia" w:cs="Times New Roman"/>
                      <w:color w:val="auto"/>
                      <w:spacing w:val="8"/>
                      <w:sz w:val="21"/>
                      <w:szCs w:val="21"/>
                    </w:rPr>
                    <w:t>注1：为浙江省人民政府发布实施的《工业企业废水氮、磷污染物间接排放限值》 （DB33/887-2013）表1中其他企业的排放限值。注2：括号内数值为每年11月1日至次年 3月31日执行。</w:t>
                  </w:r>
                </w:p>
              </w:tc>
            </w:tr>
          </w:tbl>
          <w:p w14:paraId="721F9CC6">
            <w:pPr>
              <w:pStyle w:val="2"/>
              <w:keepNext w:val="0"/>
              <w:keepLines w:val="0"/>
              <w:suppressLineNumbers w:val="0"/>
              <w:spacing w:before="0" w:beforeAutospacing="0" w:after="0" w:afterAutospacing="0" w:line="240" w:lineRule="auto"/>
              <w:ind w:left="0" w:right="0" w:firstLine="0" w:firstLineChars="0"/>
              <w:rPr>
                <w:rFonts w:hint="default" w:eastAsia="黑体" w:cs="Times New Roman"/>
                <w:bCs/>
                <w:color w:val="auto"/>
                <w:sz w:val="18"/>
                <w:szCs w:val="18"/>
              </w:rPr>
            </w:pPr>
          </w:p>
          <w:p w14:paraId="653ECB47">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2、废气</w:t>
            </w:r>
          </w:p>
          <w:p w14:paraId="0FB95D63">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default"/>
                <w:color w:val="auto"/>
              </w:rPr>
              <w:t>本项目</w:t>
            </w:r>
            <w:r>
              <w:rPr>
                <w:rFonts w:hint="eastAsia"/>
                <w:color w:val="auto"/>
                <w:lang w:val="en-US" w:eastAsia="zh-CN"/>
              </w:rPr>
              <w:t>在生产过程中会产生氯化氢、非甲烷总烃、臭气浓度污染物，其中氯化氢、非甲烷总烃、臭气浓度有组织排放执行《制药工业大气污染物排放标准》（DB33/310005-2021）中相关限值要求，氯化氢、臭气浓度无组织排放执行《制药工业大气污染物排放标准》（DB33/310005-2021）表7中相关限值要求；非甲烷总烃无组织排放执行《大气污染物综合排放标准》（GB16297-1996）中相关限值要求；厂区内非甲烷总烃无组织排放执行《制药工业大气污染物排放标准》（DB33/310005-2021）表6中相关限值要求。</w:t>
            </w:r>
            <w:r>
              <w:rPr>
                <w:rFonts w:hint="default"/>
                <w:color w:val="auto"/>
              </w:rPr>
              <w:t>具体排放标准见下表。</w:t>
            </w:r>
          </w:p>
          <w:p w14:paraId="74C510AE">
            <w:pPr>
              <w:pStyle w:val="2"/>
              <w:keepNext w:val="0"/>
              <w:keepLines w:val="0"/>
              <w:suppressLineNumbers w:val="0"/>
              <w:spacing w:before="0" w:beforeAutospacing="0" w:after="0" w:afterAutospacing="0"/>
              <w:ind w:left="0" w:right="0" w:firstLine="0" w:firstLineChars="0"/>
              <w:jc w:val="center"/>
              <w:rPr>
                <w:rFonts w:hint="default" w:eastAsia="黑体" w:cs="Times New Roman"/>
                <w:bCs/>
                <w:color w:val="auto"/>
                <w:szCs w:val="24"/>
              </w:rPr>
            </w:pPr>
            <w:r>
              <w:rPr>
                <w:rFonts w:hint="default" w:eastAsia="黑体" w:cs="Times New Roman"/>
                <w:bCs/>
                <w:color w:val="auto"/>
                <w:szCs w:val="24"/>
              </w:rPr>
              <w:t>表3-</w:t>
            </w:r>
            <w:r>
              <w:rPr>
                <w:rFonts w:hint="eastAsia" w:eastAsia="黑体" w:cs="Times New Roman"/>
                <w:bCs/>
                <w:color w:val="auto"/>
                <w:szCs w:val="24"/>
                <w:lang w:val="en-US" w:eastAsia="zh-CN"/>
              </w:rPr>
              <w:t>5</w:t>
            </w:r>
            <w:r>
              <w:rPr>
                <w:rFonts w:hint="default" w:eastAsia="黑体" w:cs="Times New Roman"/>
                <w:bCs/>
                <w:color w:val="auto"/>
                <w:szCs w:val="24"/>
              </w:rPr>
              <w:t xml:space="preserve">  </w:t>
            </w:r>
            <w:r>
              <w:rPr>
                <w:rFonts w:hint="eastAsia" w:eastAsia="黑体" w:cs="Times New Roman"/>
                <w:bCs/>
                <w:color w:val="auto"/>
                <w:szCs w:val="24"/>
              </w:rPr>
              <w:t>大气污染物排放限值 单位:mg/m</w:t>
            </w:r>
            <w:r>
              <w:rPr>
                <w:rFonts w:hint="eastAsia" w:eastAsia="黑体" w:cs="Times New Roman"/>
                <w:bCs/>
                <w:color w:val="auto"/>
                <w:szCs w:val="24"/>
                <w:vertAlign w:val="superscript"/>
              </w:rPr>
              <w:t>3</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589"/>
              <w:gridCol w:w="1860"/>
              <w:gridCol w:w="3430"/>
            </w:tblGrid>
            <w:tr w14:paraId="00A06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35" w:type="pct"/>
                  <w:noWrap w:val="0"/>
                  <w:vAlign w:val="center"/>
                </w:tcPr>
                <w:p w14:paraId="0DDA39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000000"/>
                      <w:sz w:val="21"/>
                      <w:szCs w:val="21"/>
                    </w:rPr>
                  </w:pPr>
                  <w:r>
                    <w:rPr>
                      <w:rFonts w:hint="default"/>
                      <w:color w:val="000000"/>
                      <w:sz w:val="21"/>
                      <w:szCs w:val="21"/>
                    </w:rPr>
                    <w:t>序号</w:t>
                  </w:r>
                </w:p>
              </w:tc>
              <w:tc>
                <w:tcPr>
                  <w:tcW w:w="1031" w:type="pct"/>
                  <w:noWrap w:val="0"/>
                  <w:vAlign w:val="center"/>
                </w:tcPr>
                <w:p w14:paraId="66C6D0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000000"/>
                      <w:sz w:val="21"/>
                      <w:szCs w:val="21"/>
                    </w:rPr>
                  </w:pPr>
                  <w:r>
                    <w:rPr>
                      <w:rFonts w:hint="default"/>
                      <w:color w:val="000000"/>
                      <w:sz w:val="21"/>
                      <w:szCs w:val="21"/>
                    </w:rPr>
                    <w:t>污染物项目</w:t>
                  </w:r>
                </w:p>
              </w:tc>
              <w:tc>
                <w:tcPr>
                  <w:tcW w:w="1207" w:type="pct"/>
                  <w:noWrap w:val="0"/>
                  <w:vAlign w:val="center"/>
                </w:tcPr>
                <w:p w14:paraId="606D05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eastAsia="宋体"/>
                      <w:color w:val="000000"/>
                      <w:sz w:val="21"/>
                      <w:szCs w:val="21"/>
                      <w:lang w:val="en-US" w:eastAsia="zh-CN"/>
                    </w:rPr>
                  </w:pPr>
                  <w:r>
                    <w:rPr>
                      <w:rFonts w:hint="eastAsia"/>
                      <w:color w:val="000000"/>
                      <w:sz w:val="21"/>
                      <w:szCs w:val="21"/>
                      <w:lang w:val="en-US" w:eastAsia="zh-CN"/>
                    </w:rPr>
                    <w:t>排放限值</w:t>
                  </w:r>
                </w:p>
              </w:tc>
              <w:tc>
                <w:tcPr>
                  <w:tcW w:w="2226" w:type="pct"/>
                  <w:noWrap w:val="0"/>
                  <w:vAlign w:val="center"/>
                </w:tcPr>
                <w:p w14:paraId="634004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000000"/>
                      <w:sz w:val="21"/>
                      <w:szCs w:val="21"/>
                    </w:rPr>
                  </w:pPr>
                  <w:r>
                    <w:rPr>
                      <w:rFonts w:hint="default"/>
                      <w:color w:val="000000"/>
                      <w:sz w:val="21"/>
                      <w:szCs w:val="21"/>
                    </w:rPr>
                    <w:t>污染物排放监控位置</w:t>
                  </w:r>
                </w:p>
              </w:tc>
            </w:tr>
            <w:tr w14:paraId="307E6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35" w:type="pct"/>
                  <w:noWrap w:val="0"/>
                  <w:vAlign w:val="center"/>
                </w:tcPr>
                <w:p w14:paraId="32CECF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eastAsia="宋体"/>
                      <w:color w:val="000000"/>
                      <w:sz w:val="21"/>
                      <w:szCs w:val="21"/>
                      <w:lang w:val="en-US" w:eastAsia="zh-CN"/>
                    </w:rPr>
                  </w:pPr>
                  <w:r>
                    <w:rPr>
                      <w:rFonts w:hint="eastAsia"/>
                      <w:color w:val="000000"/>
                      <w:sz w:val="21"/>
                      <w:szCs w:val="21"/>
                      <w:lang w:val="en-US" w:eastAsia="zh-CN"/>
                    </w:rPr>
                    <w:t>1</w:t>
                  </w:r>
                </w:p>
              </w:tc>
              <w:tc>
                <w:tcPr>
                  <w:tcW w:w="1031" w:type="pct"/>
                  <w:noWrap w:val="0"/>
                  <w:vAlign w:val="center"/>
                </w:tcPr>
                <w:p w14:paraId="6936B4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000000"/>
                      <w:sz w:val="21"/>
                      <w:szCs w:val="21"/>
                    </w:rPr>
                  </w:pPr>
                  <w:r>
                    <w:rPr>
                      <w:rFonts w:hint="eastAsia"/>
                      <w:color w:val="000000"/>
                      <w:sz w:val="21"/>
                      <w:szCs w:val="21"/>
                      <w:lang w:val="en-US" w:eastAsia="zh-CN"/>
                    </w:rPr>
                    <w:t>氯化氢</w:t>
                  </w:r>
                </w:p>
              </w:tc>
              <w:tc>
                <w:tcPr>
                  <w:tcW w:w="1207" w:type="pct"/>
                  <w:noWrap w:val="0"/>
                  <w:vAlign w:val="center"/>
                </w:tcPr>
                <w:p w14:paraId="206EE5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eastAsia="宋体"/>
                      <w:color w:val="000000"/>
                      <w:sz w:val="21"/>
                      <w:szCs w:val="21"/>
                      <w:lang w:val="en-US" w:eastAsia="zh-CN"/>
                    </w:rPr>
                  </w:pPr>
                  <w:r>
                    <w:rPr>
                      <w:rFonts w:hint="eastAsia"/>
                      <w:color w:val="000000"/>
                      <w:sz w:val="21"/>
                      <w:szCs w:val="21"/>
                      <w:lang w:val="en-US" w:eastAsia="zh-CN"/>
                    </w:rPr>
                    <w:t>10</w:t>
                  </w:r>
                </w:p>
              </w:tc>
              <w:tc>
                <w:tcPr>
                  <w:tcW w:w="2226" w:type="pct"/>
                  <w:vMerge w:val="restart"/>
                  <w:noWrap w:val="0"/>
                  <w:vAlign w:val="center"/>
                </w:tcPr>
                <w:p w14:paraId="5D5ABF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000000"/>
                      <w:sz w:val="21"/>
                      <w:szCs w:val="21"/>
                    </w:rPr>
                  </w:pPr>
                  <w:r>
                    <w:rPr>
                      <w:rFonts w:hint="default"/>
                      <w:color w:val="000000"/>
                      <w:sz w:val="21"/>
                      <w:szCs w:val="21"/>
                    </w:rPr>
                    <w:t>车间或生产设施排气筒</w:t>
                  </w:r>
                </w:p>
              </w:tc>
            </w:tr>
            <w:tr w14:paraId="6CAB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35" w:type="pct"/>
                  <w:noWrap w:val="0"/>
                  <w:vAlign w:val="center"/>
                </w:tcPr>
                <w:p w14:paraId="2B37DD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000000"/>
                      <w:sz w:val="21"/>
                      <w:szCs w:val="21"/>
                      <w:lang w:val="en-US" w:eastAsia="zh-CN"/>
                    </w:rPr>
                  </w:pPr>
                  <w:r>
                    <w:rPr>
                      <w:rFonts w:hint="eastAsia"/>
                      <w:color w:val="000000"/>
                      <w:sz w:val="21"/>
                      <w:szCs w:val="21"/>
                      <w:lang w:val="en-US" w:eastAsia="zh-CN"/>
                    </w:rPr>
                    <w:t>2</w:t>
                  </w:r>
                </w:p>
              </w:tc>
              <w:tc>
                <w:tcPr>
                  <w:tcW w:w="1031" w:type="pct"/>
                  <w:noWrap w:val="0"/>
                  <w:vAlign w:val="center"/>
                </w:tcPr>
                <w:p w14:paraId="169DE3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000000"/>
                      <w:sz w:val="21"/>
                      <w:szCs w:val="21"/>
                      <w:lang w:val="en-US" w:eastAsia="zh-CN"/>
                    </w:rPr>
                  </w:pPr>
                  <w:r>
                    <w:rPr>
                      <w:rFonts w:hint="eastAsia"/>
                      <w:color w:val="000000"/>
                      <w:sz w:val="21"/>
                      <w:szCs w:val="21"/>
                      <w:lang w:val="en-US" w:eastAsia="zh-CN"/>
                    </w:rPr>
                    <w:t>非甲烷总烃</w:t>
                  </w:r>
                </w:p>
              </w:tc>
              <w:tc>
                <w:tcPr>
                  <w:tcW w:w="1207" w:type="pct"/>
                  <w:noWrap w:val="0"/>
                  <w:vAlign w:val="center"/>
                </w:tcPr>
                <w:p w14:paraId="76CE2C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000000"/>
                      <w:sz w:val="21"/>
                      <w:szCs w:val="21"/>
                      <w:lang w:val="en-US" w:eastAsia="zh-CN"/>
                    </w:rPr>
                  </w:pPr>
                  <w:r>
                    <w:rPr>
                      <w:rFonts w:hint="eastAsia"/>
                      <w:color w:val="000000"/>
                      <w:sz w:val="21"/>
                      <w:szCs w:val="21"/>
                      <w:lang w:val="en-US" w:eastAsia="zh-CN"/>
                    </w:rPr>
                    <w:t>60</w:t>
                  </w:r>
                </w:p>
              </w:tc>
              <w:tc>
                <w:tcPr>
                  <w:tcW w:w="2226" w:type="pct"/>
                  <w:vMerge w:val="continue"/>
                  <w:noWrap w:val="0"/>
                  <w:vAlign w:val="center"/>
                </w:tcPr>
                <w:p w14:paraId="7D7AB2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000000"/>
                      <w:sz w:val="21"/>
                      <w:szCs w:val="21"/>
                    </w:rPr>
                  </w:pPr>
                </w:p>
              </w:tc>
            </w:tr>
            <w:tr w14:paraId="55623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35" w:type="pct"/>
                  <w:noWrap w:val="0"/>
                  <w:vAlign w:val="center"/>
                </w:tcPr>
                <w:p w14:paraId="2D3012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000000"/>
                      <w:sz w:val="21"/>
                      <w:szCs w:val="21"/>
                      <w:lang w:val="en-US" w:eastAsia="zh-CN"/>
                    </w:rPr>
                  </w:pPr>
                  <w:r>
                    <w:rPr>
                      <w:rFonts w:hint="eastAsia"/>
                      <w:color w:val="000000"/>
                      <w:sz w:val="21"/>
                      <w:szCs w:val="21"/>
                      <w:lang w:val="en-US" w:eastAsia="zh-CN"/>
                    </w:rPr>
                    <w:t>3</w:t>
                  </w:r>
                </w:p>
              </w:tc>
              <w:tc>
                <w:tcPr>
                  <w:tcW w:w="1031" w:type="pct"/>
                  <w:noWrap w:val="0"/>
                  <w:vAlign w:val="center"/>
                </w:tcPr>
                <w:p w14:paraId="44DE9F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000000"/>
                      <w:sz w:val="21"/>
                      <w:szCs w:val="21"/>
                      <w:lang w:val="en-US" w:eastAsia="zh-CN"/>
                    </w:rPr>
                  </w:pPr>
                  <w:r>
                    <w:rPr>
                      <w:rFonts w:hint="eastAsia"/>
                      <w:color w:val="000000"/>
                      <w:sz w:val="21"/>
                      <w:szCs w:val="21"/>
                      <w:lang w:val="en-US" w:eastAsia="zh-CN"/>
                    </w:rPr>
                    <w:t>臭气浓度</w:t>
                  </w:r>
                </w:p>
              </w:tc>
              <w:tc>
                <w:tcPr>
                  <w:tcW w:w="1207" w:type="pct"/>
                  <w:noWrap w:val="0"/>
                  <w:vAlign w:val="center"/>
                </w:tcPr>
                <w:p w14:paraId="159B80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000000"/>
                      <w:sz w:val="21"/>
                      <w:szCs w:val="21"/>
                      <w:lang w:val="en-US" w:eastAsia="zh-CN"/>
                    </w:rPr>
                  </w:pPr>
                  <w:r>
                    <w:rPr>
                      <w:rFonts w:hint="eastAsia"/>
                      <w:color w:val="000000"/>
                      <w:sz w:val="21"/>
                      <w:szCs w:val="21"/>
                      <w:lang w:val="en-US" w:eastAsia="zh-CN"/>
                    </w:rPr>
                    <w:t>1000</w:t>
                  </w:r>
                </w:p>
              </w:tc>
              <w:tc>
                <w:tcPr>
                  <w:tcW w:w="2226" w:type="pct"/>
                  <w:vMerge w:val="continue"/>
                  <w:noWrap w:val="0"/>
                  <w:vAlign w:val="center"/>
                </w:tcPr>
                <w:p w14:paraId="781BCE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000000"/>
                      <w:sz w:val="21"/>
                      <w:szCs w:val="21"/>
                    </w:rPr>
                  </w:pPr>
                </w:p>
              </w:tc>
            </w:tr>
          </w:tbl>
          <w:p w14:paraId="6BD66FE4">
            <w:pPr>
              <w:pStyle w:val="2"/>
              <w:keepNext w:val="0"/>
              <w:keepLines w:val="0"/>
              <w:suppressLineNumbers w:val="0"/>
              <w:spacing w:before="0" w:beforeAutospacing="0" w:after="0" w:afterAutospacing="0"/>
              <w:ind w:left="0" w:right="0" w:firstLine="0" w:firstLineChars="0"/>
              <w:jc w:val="center"/>
              <w:rPr>
                <w:rFonts w:hint="default" w:eastAsia="黑体" w:cs="Times New Roman"/>
                <w:bCs/>
                <w:color w:val="auto"/>
                <w:szCs w:val="24"/>
              </w:rPr>
            </w:pPr>
            <w:r>
              <w:rPr>
                <w:rFonts w:hint="default" w:eastAsia="黑体" w:cs="Times New Roman"/>
                <w:bCs/>
                <w:color w:val="auto"/>
                <w:szCs w:val="24"/>
              </w:rPr>
              <w:t>表3-</w:t>
            </w:r>
            <w:r>
              <w:rPr>
                <w:rFonts w:hint="eastAsia" w:eastAsia="黑体" w:cs="Times New Roman"/>
                <w:bCs/>
                <w:color w:val="auto"/>
                <w:szCs w:val="24"/>
                <w:lang w:val="en-US" w:eastAsia="zh-CN"/>
              </w:rPr>
              <w:t>6</w:t>
            </w:r>
            <w:r>
              <w:rPr>
                <w:rFonts w:hint="default" w:eastAsia="黑体" w:cs="Times New Roman"/>
                <w:bCs/>
                <w:color w:val="auto"/>
                <w:szCs w:val="24"/>
              </w:rPr>
              <w:t xml:space="preserve">  </w:t>
            </w:r>
            <w:r>
              <w:rPr>
                <w:rFonts w:hint="eastAsia" w:eastAsia="黑体" w:cs="Times New Roman"/>
                <w:bCs/>
                <w:color w:val="auto"/>
                <w:szCs w:val="24"/>
              </w:rPr>
              <w:t>企业边界大气污染物浓度限值</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5"/>
              <w:gridCol w:w="2836"/>
              <w:gridCol w:w="2813"/>
            </w:tblGrid>
            <w:tr w14:paraId="726E8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333" w:type="pct"/>
                  <w:vMerge w:val="restart"/>
                  <w:noWrap w:val="0"/>
                  <w:vAlign w:val="center"/>
                </w:tcPr>
                <w:p w14:paraId="40F1371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color w:val="000000"/>
                      <w:sz w:val="21"/>
                      <w:szCs w:val="21"/>
                    </w:rPr>
                  </w:pPr>
                  <w:r>
                    <w:rPr>
                      <w:rFonts w:hint="default"/>
                      <w:color w:val="000000"/>
                      <w:sz w:val="21"/>
                      <w:szCs w:val="21"/>
                    </w:rPr>
                    <w:t>污染物</w:t>
                  </w:r>
                </w:p>
              </w:tc>
              <w:tc>
                <w:tcPr>
                  <w:tcW w:w="3666" w:type="pct"/>
                  <w:gridSpan w:val="2"/>
                  <w:noWrap w:val="0"/>
                  <w:vAlign w:val="center"/>
                </w:tcPr>
                <w:p w14:paraId="429755B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color w:val="000000"/>
                      <w:sz w:val="21"/>
                      <w:szCs w:val="21"/>
                    </w:rPr>
                  </w:pPr>
                  <w:r>
                    <w:rPr>
                      <w:rFonts w:hint="default"/>
                      <w:color w:val="000000"/>
                      <w:sz w:val="21"/>
                      <w:szCs w:val="21"/>
                    </w:rPr>
                    <w:t>无组织排放监控浓度限值</w:t>
                  </w:r>
                </w:p>
              </w:tc>
            </w:tr>
            <w:tr w14:paraId="50DD0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33" w:type="pct"/>
                  <w:vMerge w:val="continue"/>
                  <w:noWrap w:val="0"/>
                  <w:vAlign w:val="center"/>
                </w:tcPr>
                <w:p w14:paraId="486EDC5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color w:val="000000"/>
                      <w:sz w:val="21"/>
                      <w:szCs w:val="21"/>
                    </w:rPr>
                  </w:pPr>
                </w:p>
              </w:tc>
              <w:tc>
                <w:tcPr>
                  <w:tcW w:w="1840" w:type="pct"/>
                  <w:noWrap w:val="0"/>
                  <w:vAlign w:val="center"/>
                </w:tcPr>
                <w:p w14:paraId="7E1541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sz w:val="21"/>
                      <w:szCs w:val="21"/>
                    </w:rPr>
                  </w:pPr>
                  <w:r>
                    <w:rPr>
                      <w:rFonts w:hint="default"/>
                      <w:color w:val="000000"/>
                      <w:sz w:val="21"/>
                      <w:szCs w:val="21"/>
                    </w:rPr>
                    <w:t>监测点</w:t>
                  </w:r>
                </w:p>
              </w:tc>
              <w:tc>
                <w:tcPr>
                  <w:tcW w:w="1825" w:type="pct"/>
                  <w:noWrap w:val="0"/>
                  <w:vAlign w:val="center"/>
                </w:tcPr>
                <w:p w14:paraId="46FE1D58">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firstLine="0" w:firstLineChars="0"/>
                    <w:jc w:val="center"/>
                    <w:textAlignment w:val="auto"/>
                    <w:rPr>
                      <w:rFonts w:hint="default"/>
                      <w:color w:val="000000"/>
                      <w:sz w:val="21"/>
                      <w:szCs w:val="21"/>
                    </w:rPr>
                  </w:pPr>
                  <w:r>
                    <w:rPr>
                      <w:rFonts w:hint="default"/>
                      <w:color w:val="000000"/>
                      <w:sz w:val="21"/>
                      <w:szCs w:val="21"/>
                    </w:rPr>
                    <w:t>浓度（mg/m</w:t>
                  </w:r>
                  <w:r>
                    <w:rPr>
                      <w:rFonts w:hint="default"/>
                      <w:color w:val="000000"/>
                      <w:sz w:val="21"/>
                      <w:szCs w:val="21"/>
                      <w:vertAlign w:val="superscript"/>
                    </w:rPr>
                    <w:t>3</w:t>
                  </w:r>
                  <w:r>
                    <w:rPr>
                      <w:rFonts w:hint="default"/>
                      <w:color w:val="000000"/>
                      <w:sz w:val="21"/>
                      <w:szCs w:val="21"/>
                    </w:rPr>
                    <w:t>）</w:t>
                  </w:r>
                </w:p>
              </w:tc>
            </w:tr>
            <w:tr w14:paraId="47E52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33" w:type="pct"/>
                  <w:noWrap w:val="0"/>
                  <w:vAlign w:val="center"/>
                </w:tcPr>
                <w:p w14:paraId="71EA81B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color w:val="000000"/>
                      <w:sz w:val="21"/>
                      <w:szCs w:val="21"/>
                    </w:rPr>
                  </w:pPr>
                  <w:r>
                    <w:rPr>
                      <w:rFonts w:hint="eastAsia"/>
                      <w:color w:val="000000"/>
                      <w:sz w:val="21"/>
                      <w:szCs w:val="21"/>
                      <w:lang w:val="en-US" w:eastAsia="zh-CN"/>
                    </w:rPr>
                    <w:t>氯化氢</w:t>
                  </w:r>
                </w:p>
              </w:tc>
              <w:tc>
                <w:tcPr>
                  <w:tcW w:w="1840" w:type="pct"/>
                  <w:vMerge w:val="restart"/>
                  <w:noWrap w:val="0"/>
                  <w:vAlign w:val="center"/>
                </w:tcPr>
                <w:p w14:paraId="7D18B2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sz w:val="21"/>
                      <w:szCs w:val="21"/>
                    </w:rPr>
                  </w:pPr>
                  <w:r>
                    <w:rPr>
                      <w:rFonts w:hint="default"/>
                      <w:color w:val="000000"/>
                      <w:sz w:val="21"/>
                      <w:szCs w:val="21"/>
                    </w:rPr>
                    <w:t>周界外浓度最高点</w:t>
                  </w:r>
                </w:p>
              </w:tc>
              <w:tc>
                <w:tcPr>
                  <w:tcW w:w="1825" w:type="pct"/>
                  <w:noWrap w:val="0"/>
                  <w:vAlign w:val="center"/>
                </w:tcPr>
                <w:p w14:paraId="34BB3B2C">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firstLine="0" w:firstLineChars="0"/>
                    <w:jc w:val="center"/>
                    <w:textAlignment w:val="auto"/>
                    <w:rPr>
                      <w:rFonts w:hint="default"/>
                      <w:color w:val="000000"/>
                      <w:sz w:val="21"/>
                      <w:szCs w:val="21"/>
                    </w:rPr>
                  </w:pPr>
                  <w:r>
                    <w:rPr>
                      <w:rFonts w:hint="eastAsia"/>
                      <w:color w:val="000000"/>
                      <w:sz w:val="21"/>
                      <w:szCs w:val="21"/>
                      <w:lang w:val="en-US" w:eastAsia="zh-CN"/>
                    </w:rPr>
                    <w:t>0.2</w:t>
                  </w:r>
                </w:p>
              </w:tc>
            </w:tr>
            <w:tr w14:paraId="70EEF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33" w:type="pct"/>
                  <w:noWrap w:val="0"/>
                  <w:vAlign w:val="center"/>
                </w:tcPr>
                <w:p w14:paraId="3B6A207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color w:val="000000"/>
                      <w:sz w:val="21"/>
                      <w:szCs w:val="21"/>
                      <w:lang w:val="en-US" w:eastAsia="zh-CN"/>
                    </w:rPr>
                  </w:pPr>
                  <w:r>
                    <w:rPr>
                      <w:rFonts w:hint="eastAsia"/>
                      <w:color w:val="000000"/>
                      <w:sz w:val="21"/>
                      <w:szCs w:val="21"/>
                      <w:lang w:val="en-US" w:eastAsia="zh-CN"/>
                    </w:rPr>
                    <w:t>臭气浓度</w:t>
                  </w:r>
                </w:p>
              </w:tc>
              <w:tc>
                <w:tcPr>
                  <w:tcW w:w="1840" w:type="pct"/>
                  <w:vMerge w:val="continue"/>
                  <w:noWrap w:val="0"/>
                  <w:vAlign w:val="center"/>
                </w:tcPr>
                <w:p w14:paraId="045DD4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sz w:val="21"/>
                      <w:szCs w:val="21"/>
                    </w:rPr>
                  </w:pPr>
                </w:p>
              </w:tc>
              <w:tc>
                <w:tcPr>
                  <w:tcW w:w="1825" w:type="pct"/>
                  <w:noWrap w:val="0"/>
                  <w:vAlign w:val="center"/>
                </w:tcPr>
                <w:p w14:paraId="5EE9766E">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firstLine="0" w:firstLineChars="0"/>
                    <w:jc w:val="center"/>
                    <w:textAlignment w:val="auto"/>
                    <w:rPr>
                      <w:rFonts w:hint="default"/>
                      <w:color w:val="000000"/>
                      <w:sz w:val="21"/>
                      <w:szCs w:val="21"/>
                      <w:lang w:val="en-US" w:eastAsia="zh-CN"/>
                    </w:rPr>
                  </w:pPr>
                  <w:r>
                    <w:rPr>
                      <w:rFonts w:hint="eastAsia"/>
                      <w:color w:val="000000"/>
                      <w:sz w:val="21"/>
                      <w:szCs w:val="21"/>
                      <w:lang w:val="en-US" w:eastAsia="zh-CN"/>
                    </w:rPr>
                    <w:t>20(无量纲)</w:t>
                  </w:r>
                </w:p>
              </w:tc>
            </w:tr>
            <w:tr w14:paraId="0EC08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33" w:type="pct"/>
                  <w:noWrap w:val="0"/>
                  <w:vAlign w:val="center"/>
                </w:tcPr>
                <w:p w14:paraId="5CE4EF1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color w:val="000000"/>
                      <w:sz w:val="21"/>
                      <w:szCs w:val="21"/>
                      <w:lang w:val="en-US" w:eastAsia="zh-CN"/>
                    </w:rPr>
                  </w:pPr>
                  <w:r>
                    <w:rPr>
                      <w:rFonts w:hint="eastAsia"/>
                      <w:color w:val="000000"/>
                      <w:sz w:val="21"/>
                      <w:szCs w:val="21"/>
                      <w:lang w:val="en-US" w:eastAsia="zh-CN"/>
                    </w:rPr>
                    <w:t>非甲烷总烃</w:t>
                  </w:r>
                </w:p>
              </w:tc>
              <w:tc>
                <w:tcPr>
                  <w:tcW w:w="1840" w:type="pct"/>
                  <w:vMerge w:val="continue"/>
                  <w:noWrap w:val="0"/>
                  <w:vAlign w:val="center"/>
                </w:tcPr>
                <w:p w14:paraId="1A17AD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sz w:val="21"/>
                      <w:szCs w:val="21"/>
                    </w:rPr>
                  </w:pPr>
                </w:p>
              </w:tc>
              <w:tc>
                <w:tcPr>
                  <w:tcW w:w="1825" w:type="pct"/>
                  <w:noWrap w:val="0"/>
                  <w:vAlign w:val="center"/>
                </w:tcPr>
                <w:p w14:paraId="3614A769">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firstLine="0" w:firstLineChars="0"/>
                    <w:jc w:val="center"/>
                    <w:textAlignment w:val="auto"/>
                    <w:rPr>
                      <w:rFonts w:hint="default"/>
                      <w:color w:val="000000"/>
                      <w:sz w:val="21"/>
                      <w:szCs w:val="21"/>
                      <w:lang w:val="en-US" w:eastAsia="zh-CN"/>
                    </w:rPr>
                  </w:pPr>
                  <w:r>
                    <w:rPr>
                      <w:rFonts w:hint="eastAsia"/>
                      <w:color w:val="000000"/>
                      <w:sz w:val="21"/>
                      <w:szCs w:val="21"/>
                      <w:lang w:val="en-US" w:eastAsia="zh-CN"/>
                    </w:rPr>
                    <w:t>4.0</w:t>
                  </w:r>
                </w:p>
              </w:tc>
            </w:tr>
            <w:tr w14:paraId="39D61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3"/>
                  <w:noWrap w:val="0"/>
                  <w:vAlign w:val="center"/>
                </w:tcPr>
                <w:p w14:paraId="113F9318">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firstLine="0" w:firstLineChars="0"/>
                    <w:jc w:val="both"/>
                    <w:textAlignment w:val="auto"/>
                    <w:rPr>
                      <w:rFonts w:hint="default"/>
                      <w:color w:val="000000"/>
                      <w:sz w:val="21"/>
                      <w:szCs w:val="21"/>
                      <w:lang w:val="en-US" w:eastAsia="zh-CN"/>
                    </w:rPr>
                  </w:pPr>
                  <w:r>
                    <w:rPr>
                      <w:rFonts w:hint="eastAsia"/>
                      <w:color w:val="000000"/>
                      <w:sz w:val="21"/>
                      <w:szCs w:val="21"/>
                      <w:lang w:val="en-US" w:eastAsia="zh-CN"/>
                    </w:rPr>
                    <w:t>备注：非甲烷总烃无组织排放执行《大气污染物综合排放标准》（GB16297-1996）</w:t>
                  </w:r>
                </w:p>
              </w:tc>
            </w:tr>
          </w:tbl>
          <w:p w14:paraId="52CED3C7">
            <w:pPr>
              <w:pStyle w:val="2"/>
              <w:keepNext w:val="0"/>
              <w:keepLines w:val="0"/>
              <w:suppressLineNumbers w:val="0"/>
              <w:spacing w:before="0" w:beforeAutospacing="0" w:after="0" w:afterAutospacing="0"/>
              <w:ind w:left="0" w:right="0" w:firstLine="0" w:firstLineChars="0"/>
              <w:jc w:val="center"/>
              <w:rPr>
                <w:rFonts w:hint="default" w:eastAsia="黑体" w:cs="Times New Roman"/>
                <w:bCs/>
                <w:color w:val="auto"/>
                <w:szCs w:val="24"/>
                <w:lang w:val="en-US" w:eastAsia="zh-CN"/>
              </w:rPr>
            </w:pPr>
            <w:r>
              <w:rPr>
                <w:rFonts w:hint="default" w:eastAsia="黑体" w:cs="Times New Roman"/>
                <w:bCs/>
                <w:color w:val="auto"/>
                <w:szCs w:val="24"/>
              </w:rPr>
              <w:t>表3-</w:t>
            </w:r>
            <w:r>
              <w:rPr>
                <w:rFonts w:hint="eastAsia" w:eastAsia="黑体" w:cs="Times New Roman"/>
                <w:bCs/>
                <w:color w:val="auto"/>
                <w:szCs w:val="24"/>
                <w:lang w:val="en-US" w:eastAsia="zh-CN"/>
              </w:rPr>
              <w:t>7</w:t>
            </w:r>
            <w:r>
              <w:rPr>
                <w:rFonts w:hint="default" w:eastAsia="黑体" w:cs="Times New Roman"/>
                <w:bCs/>
                <w:color w:val="auto"/>
                <w:szCs w:val="24"/>
              </w:rPr>
              <w:t xml:space="preserve">  </w:t>
            </w:r>
            <w:r>
              <w:rPr>
                <w:rFonts w:hint="eastAsia" w:eastAsia="黑体" w:cs="Times New Roman"/>
                <w:bCs/>
                <w:color w:val="auto"/>
                <w:szCs w:val="24"/>
                <w:lang w:val="en-US" w:eastAsia="zh-CN"/>
              </w:rPr>
              <w:t>厂区内</w:t>
            </w:r>
            <w:r>
              <w:rPr>
                <w:rFonts w:hint="eastAsia" w:eastAsia="黑体" w:cs="Times New Roman"/>
                <w:bCs/>
                <w:color w:val="auto"/>
                <w:szCs w:val="24"/>
              </w:rPr>
              <w:t>大气污染物浓度限值</w:t>
            </w:r>
            <w:r>
              <w:rPr>
                <w:rFonts w:hint="eastAsia" w:eastAsia="黑体" w:cs="Times New Roman"/>
                <w:bCs/>
                <w:color w:val="auto"/>
                <w:szCs w:val="24"/>
                <w:lang w:val="en-US" w:eastAsia="zh-CN"/>
              </w:rPr>
              <w:t xml:space="preserve">  单位mg/m</w:t>
            </w:r>
            <w:r>
              <w:rPr>
                <w:rFonts w:hint="eastAsia" w:eastAsia="黑体" w:cs="Times New Roman"/>
                <w:bCs/>
                <w:color w:val="auto"/>
                <w:szCs w:val="24"/>
                <w:vertAlign w:val="superscript"/>
                <w:lang w:val="en-US" w:eastAsia="zh-CN"/>
              </w:rPr>
              <w:t>3</w:t>
            </w:r>
          </w:p>
          <w:tbl>
            <w:tblPr>
              <w:tblStyle w:val="16"/>
              <w:tblW w:w="7711" w:type="dxa"/>
              <w:jc w:val="center"/>
              <w:tblLayout w:type="fixed"/>
              <w:tblCellMar>
                <w:top w:w="0" w:type="dxa"/>
                <w:left w:w="108" w:type="dxa"/>
                <w:bottom w:w="0" w:type="dxa"/>
                <w:right w:w="108" w:type="dxa"/>
              </w:tblCellMar>
            </w:tblPr>
            <w:tblGrid>
              <w:gridCol w:w="1403"/>
              <w:gridCol w:w="921"/>
              <w:gridCol w:w="3035"/>
              <w:gridCol w:w="2352"/>
            </w:tblGrid>
            <w:tr w14:paraId="37EE2641">
              <w:tblPrEx>
                <w:tblCellMar>
                  <w:top w:w="0" w:type="dxa"/>
                  <w:left w:w="108" w:type="dxa"/>
                  <w:bottom w:w="0" w:type="dxa"/>
                  <w:right w:w="108" w:type="dxa"/>
                </w:tblCellMar>
              </w:tblPrEx>
              <w:trPr>
                <w:trHeight w:val="340" w:hRule="atLeast"/>
                <w:jc w:val="center"/>
              </w:trPr>
              <w:tc>
                <w:tcPr>
                  <w:tcW w:w="909" w:type="pct"/>
                  <w:tcBorders>
                    <w:top w:val="single" w:color="auto" w:sz="4" w:space="0"/>
                    <w:left w:val="single" w:color="000000" w:sz="4" w:space="0"/>
                    <w:bottom w:val="single" w:color="auto" w:sz="4" w:space="0"/>
                    <w:right w:val="single" w:color="auto" w:sz="4" w:space="0"/>
                  </w:tcBorders>
                  <w:shd w:val="clear" w:color="auto" w:fill="auto"/>
                  <w:vAlign w:val="center"/>
                </w:tcPr>
                <w:p w14:paraId="362FB782">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pacing w:val="8"/>
                      <w:sz w:val="21"/>
                      <w:szCs w:val="21"/>
                    </w:rPr>
                  </w:pPr>
                  <w:r>
                    <w:rPr>
                      <w:rFonts w:hint="eastAsia" w:cs="Times New Roman"/>
                      <w:color w:val="auto"/>
                      <w:spacing w:val="8"/>
                      <w:sz w:val="21"/>
                      <w:szCs w:val="21"/>
                    </w:rPr>
                    <w:t>污染物</w:t>
                  </w:r>
                </w:p>
              </w:tc>
              <w:tc>
                <w:tcPr>
                  <w:tcW w:w="597" w:type="pct"/>
                  <w:tcBorders>
                    <w:top w:val="single" w:color="auto" w:sz="4" w:space="0"/>
                    <w:left w:val="single" w:color="auto" w:sz="4" w:space="0"/>
                    <w:bottom w:val="single" w:color="auto" w:sz="4" w:space="0"/>
                    <w:right w:val="single" w:color="auto" w:sz="4" w:space="0"/>
                  </w:tcBorders>
                  <w:shd w:val="clear" w:color="auto" w:fill="auto"/>
                  <w:vAlign w:val="center"/>
                </w:tcPr>
                <w:p w14:paraId="4153974C">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8"/>
                      <w:kern w:val="2"/>
                      <w:sz w:val="21"/>
                      <w:szCs w:val="21"/>
                      <w:lang w:val="en-US" w:eastAsia="zh-CN" w:bidi="ar-SA"/>
                    </w:rPr>
                  </w:pPr>
                  <w:r>
                    <w:rPr>
                      <w:rFonts w:hint="eastAsia" w:cs="Times New Roman"/>
                      <w:color w:val="auto"/>
                      <w:spacing w:val="8"/>
                      <w:sz w:val="21"/>
                      <w:szCs w:val="21"/>
                      <w:lang w:val="en-US" w:eastAsia="zh-CN"/>
                    </w:rPr>
                    <w:t>监控点限值</w:t>
                  </w:r>
                </w:p>
              </w:tc>
              <w:tc>
                <w:tcPr>
                  <w:tcW w:w="1967" w:type="pct"/>
                  <w:tcBorders>
                    <w:top w:val="single" w:color="auto" w:sz="4" w:space="0"/>
                    <w:left w:val="single" w:color="auto" w:sz="4" w:space="0"/>
                    <w:bottom w:val="single" w:color="auto" w:sz="4" w:space="0"/>
                    <w:right w:val="single" w:color="auto" w:sz="4" w:space="0"/>
                  </w:tcBorders>
                  <w:shd w:val="clear" w:color="auto" w:fill="auto"/>
                  <w:vAlign w:val="center"/>
                </w:tcPr>
                <w:p w14:paraId="3C450657">
                  <w:pPr>
                    <w:keepNext w:val="0"/>
                    <w:keepLines w:val="0"/>
                    <w:suppressLineNumbers w:val="0"/>
                    <w:spacing w:before="0" w:beforeAutospacing="0" w:after="0" w:afterAutospacing="0" w:line="240" w:lineRule="auto"/>
                    <w:ind w:left="0" w:right="0" w:firstLine="0" w:firstLineChars="0"/>
                    <w:jc w:val="center"/>
                    <w:rPr>
                      <w:rFonts w:hint="default" w:eastAsia="宋体" w:cs="Times New Roman"/>
                      <w:color w:val="auto"/>
                      <w:spacing w:val="8"/>
                      <w:sz w:val="21"/>
                      <w:szCs w:val="21"/>
                      <w:lang w:val="en-US" w:eastAsia="zh-CN"/>
                    </w:rPr>
                  </w:pPr>
                  <w:r>
                    <w:rPr>
                      <w:rFonts w:hint="eastAsia" w:cs="Times New Roman"/>
                      <w:color w:val="auto"/>
                      <w:spacing w:val="8"/>
                      <w:sz w:val="21"/>
                      <w:szCs w:val="21"/>
                      <w:lang w:val="en-US" w:eastAsia="zh-CN"/>
                    </w:rPr>
                    <w:t>限值含义</w:t>
                  </w:r>
                </w:p>
              </w:tc>
              <w:tc>
                <w:tcPr>
                  <w:tcW w:w="1525" w:type="pct"/>
                  <w:tcBorders>
                    <w:top w:val="single" w:color="auto" w:sz="4" w:space="0"/>
                    <w:left w:val="single" w:color="auto" w:sz="4" w:space="0"/>
                    <w:bottom w:val="single" w:color="auto" w:sz="4" w:space="0"/>
                    <w:right w:val="single" w:color="auto" w:sz="4" w:space="0"/>
                  </w:tcBorders>
                  <w:shd w:val="clear" w:color="auto" w:fill="auto"/>
                  <w:vAlign w:val="center"/>
                </w:tcPr>
                <w:p w14:paraId="23615E42">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pacing w:val="8"/>
                      <w:sz w:val="21"/>
                      <w:szCs w:val="21"/>
                      <w:lang w:val="en-US" w:eastAsia="zh-CN"/>
                    </w:rPr>
                  </w:pPr>
                  <w:r>
                    <w:rPr>
                      <w:rFonts w:hint="eastAsia" w:cs="Times New Roman"/>
                      <w:color w:val="auto"/>
                      <w:spacing w:val="8"/>
                      <w:sz w:val="21"/>
                      <w:szCs w:val="21"/>
                      <w:lang w:val="en-US" w:eastAsia="zh-CN"/>
                    </w:rPr>
                    <w:t>无组织排放监控位置</w:t>
                  </w:r>
                </w:p>
              </w:tc>
            </w:tr>
            <w:tr w14:paraId="458950CC">
              <w:tblPrEx>
                <w:tblCellMar>
                  <w:top w:w="0" w:type="dxa"/>
                  <w:left w:w="108" w:type="dxa"/>
                  <w:bottom w:w="0" w:type="dxa"/>
                  <w:right w:w="108" w:type="dxa"/>
                </w:tblCellMar>
              </w:tblPrEx>
              <w:trPr>
                <w:trHeight w:val="340" w:hRule="atLeast"/>
                <w:jc w:val="center"/>
              </w:trPr>
              <w:tc>
                <w:tcPr>
                  <w:tcW w:w="909" w:type="pct"/>
                  <w:vMerge w:val="restart"/>
                  <w:tcBorders>
                    <w:top w:val="single" w:color="auto" w:sz="4" w:space="0"/>
                    <w:left w:val="single" w:color="auto" w:sz="4" w:space="0"/>
                    <w:right w:val="single" w:color="auto" w:sz="4" w:space="0"/>
                  </w:tcBorders>
                  <w:shd w:val="clear" w:color="auto" w:fill="auto"/>
                  <w:vAlign w:val="center"/>
                </w:tcPr>
                <w:p w14:paraId="44B299AF">
                  <w:pPr>
                    <w:keepNext w:val="0"/>
                    <w:keepLines w:val="0"/>
                    <w:suppressLineNumbers w:val="0"/>
                    <w:spacing w:before="0" w:beforeAutospacing="0" w:after="0" w:afterAutospacing="0" w:line="240" w:lineRule="auto"/>
                    <w:ind w:left="0" w:right="0" w:firstLine="0" w:firstLineChars="0"/>
                    <w:jc w:val="center"/>
                    <w:rPr>
                      <w:rFonts w:hint="default" w:eastAsia="宋体" w:cs="Times New Roman"/>
                      <w:color w:val="auto"/>
                      <w:spacing w:val="8"/>
                      <w:sz w:val="21"/>
                      <w:szCs w:val="21"/>
                      <w:lang w:val="en-US" w:eastAsia="zh-CN"/>
                    </w:rPr>
                  </w:pPr>
                  <w:r>
                    <w:rPr>
                      <w:rFonts w:hint="eastAsia" w:cs="Times New Roman"/>
                      <w:color w:val="auto"/>
                      <w:spacing w:val="8"/>
                      <w:sz w:val="21"/>
                      <w:szCs w:val="21"/>
                      <w:lang w:val="en-US" w:eastAsia="zh-CN"/>
                    </w:rPr>
                    <w:t>非甲烷总烃</w:t>
                  </w:r>
                </w:p>
              </w:tc>
              <w:tc>
                <w:tcPr>
                  <w:tcW w:w="597" w:type="pct"/>
                  <w:tcBorders>
                    <w:top w:val="single" w:color="auto" w:sz="4" w:space="0"/>
                    <w:left w:val="single" w:color="auto" w:sz="4" w:space="0"/>
                    <w:bottom w:val="single" w:color="auto" w:sz="4" w:space="0"/>
                    <w:right w:val="single" w:color="auto" w:sz="4" w:space="0"/>
                  </w:tcBorders>
                  <w:shd w:val="clear" w:color="auto" w:fill="auto"/>
                  <w:vAlign w:val="center"/>
                </w:tcPr>
                <w:p w14:paraId="43C5587A">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8"/>
                      <w:kern w:val="2"/>
                      <w:sz w:val="21"/>
                      <w:szCs w:val="21"/>
                      <w:lang w:val="en-US" w:eastAsia="zh-CN" w:bidi="ar-SA"/>
                    </w:rPr>
                  </w:pPr>
                  <w:r>
                    <w:rPr>
                      <w:rFonts w:hint="eastAsia" w:cs="Times New Roman"/>
                      <w:color w:val="auto"/>
                      <w:spacing w:val="8"/>
                      <w:sz w:val="21"/>
                      <w:szCs w:val="21"/>
                      <w:lang w:val="en-US" w:eastAsia="zh-CN"/>
                    </w:rPr>
                    <w:t>6</w:t>
                  </w:r>
                </w:p>
              </w:tc>
              <w:tc>
                <w:tcPr>
                  <w:tcW w:w="1967" w:type="pct"/>
                  <w:tcBorders>
                    <w:top w:val="single" w:color="auto" w:sz="4" w:space="0"/>
                    <w:left w:val="single" w:color="auto" w:sz="4" w:space="0"/>
                    <w:bottom w:val="single" w:color="auto" w:sz="4" w:space="0"/>
                    <w:right w:val="single" w:color="auto" w:sz="4" w:space="0"/>
                  </w:tcBorders>
                  <w:shd w:val="clear" w:color="auto" w:fill="auto"/>
                  <w:vAlign w:val="center"/>
                </w:tcPr>
                <w:p w14:paraId="2C886E48">
                  <w:pPr>
                    <w:keepNext w:val="0"/>
                    <w:keepLines w:val="0"/>
                    <w:suppressLineNumbers w:val="0"/>
                    <w:spacing w:before="0" w:beforeAutospacing="0" w:after="0" w:afterAutospacing="0" w:line="240" w:lineRule="auto"/>
                    <w:ind w:left="0" w:right="0" w:firstLine="0" w:firstLineChars="0"/>
                    <w:jc w:val="center"/>
                    <w:rPr>
                      <w:rFonts w:hint="default" w:eastAsia="宋体" w:cs="Times New Roman"/>
                      <w:color w:val="auto"/>
                      <w:spacing w:val="8"/>
                      <w:sz w:val="21"/>
                      <w:szCs w:val="21"/>
                      <w:lang w:val="en-US" w:eastAsia="zh-CN"/>
                    </w:rPr>
                  </w:pPr>
                  <w:r>
                    <w:rPr>
                      <w:rFonts w:hint="eastAsia" w:cs="Times New Roman"/>
                      <w:color w:val="auto"/>
                      <w:spacing w:val="8"/>
                      <w:sz w:val="21"/>
                      <w:szCs w:val="21"/>
                      <w:lang w:val="en-US" w:eastAsia="zh-CN"/>
                    </w:rPr>
                    <w:t>监控点处1小时平均浓度值</w:t>
                  </w:r>
                </w:p>
              </w:tc>
              <w:tc>
                <w:tcPr>
                  <w:tcW w:w="1525" w:type="pct"/>
                  <w:vMerge w:val="restart"/>
                  <w:tcBorders>
                    <w:top w:val="single" w:color="auto" w:sz="4" w:space="0"/>
                    <w:left w:val="single" w:color="auto" w:sz="4" w:space="0"/>
                    <w:right w:val="single" w:color="auto" w:sz="4" w:space="0"/>
                  </w:tcBorders>
                  <w:shd w:val="clear" w:color="auto" w:fill="auto"/>
                  <w:vAlign w:val="center"/>
                </w:tcPr>
                <w:p w14:paraId="6AEC5FEF">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pacing w:val="8"/>
                      <w:sz w:val="21"/>
                      <w:szCs w:val="21"/>
                      <w:lang w:val="en-US" w:eastAsia="zh-CN"/>
                    </w:rPr>
                  </w:pPr>
                  <w:r>
                    <w:rPr>
                      <w:rFonts w:hint="eastAsia" w:cs="Times New Roman"/>
                      <w:color w:val="auto"/>
                      <w:spacing w:val="8"/>
                      <w:sz w:val="21"/>
                      <w:szCs w:val="21"/>
                      <w:lang w:val="en-US" w:eastAsia="zh-CN"/>
                    </w:rPr>
                    <w:t>在厂房外设置监控点</w:t>
                  </w:r>
                </w:p>
              </w:tc>
            </w:tr>
            <w:tr w14:paraId="3908F06C">
              <w:tblPrEx>
                <w:tblCellMar>
                  <w:top w:w="0" w:type="dxa"/>
                  <w:left w:w="108" w:type="dxa"/>
                  <w:bottom w:w="0" w:type="dxa"/>
                  <w:right w:w="108" w:type="dxa"/>
                </w:tblCellMar>
              </w:tblPrEx>
              <w:trPr>
                <w:trHeight w:val="340" w:hRule="atLeast"/>
                <w:jc w:val="center"/>
              </w:trPr>
              <w:tc>
                <w:tcPr>
                  <w:tcW w:w="909" w:type="pct"/>
                  <w:vMerge w:val="continue"/>
                  <w:tcBorders>
                    <w:left w:val="single" w:color="auto" w:sz="4" w:space="0"/>
                    <w:bottom w:val="single" w:color="auto" w:sz="4" w:space="0"/>
                    <w:right w:val="single" w:color="auto" w:sz="4" w:space="0"/>
                  </w:tcBorders>
                  <w:shd w:val="clear" w:color="auto" w:fill="auto"/>
                  <w:vAlign w:val="center"/>
                </w:tcPr>
                <w:p w14:paraId="5684228B">
                  <w:pPr>
                    <w:keepNext w:val="0"/>
                    <w:keepLines w:val="0"/>
                    <w:suppressLineNumbers w:val="0"/>
                    <w:spacing w:before="0" w:beforeAutospacing="0" w:after="0" w:afterAutospacing="0" w:line="240" w:lineRule="auto"/>
                    <w:ind w:left="0" w:right="0" w:firstLine="0" w:firstLineChars="0"/>
                    <w:jc w:val="center"/>
                    <w:rPr>
                      <w:rFonts w:hint="eastAsia" w:cs="Times New Roman"/>
                      <w:color w:val="auto"/>
                      <w:spacing w:val="8"/>
                      <w:sz w:val="21"/>
                      <w:szCs w:val="21"/>
                      <w:lang w:val="en-US" w:eastAsia="zh-CN"/>
                    </w:rPr>
                  </w:pPr>
                </w:p>
              </w:tc>
              <w:tc>
                <w:tcPr>
                  <w:tcW w:w="597" w:type="pct"/>
                  <w:tcBorders>
                    <w:top w:val="single" w:color="auto" w:sz="4" w:space="0"/>
                    <w:left w:val="single" w:color="auto" w:sz="4" w:space="0"/>
                    <w:bottom w:val="single" w:color="auto" w:sz="4" w:space="0"/>
                    <w:right w:val="single" w:color="auto" w:sz="4" w:space="0"/>
                  </w:tcBorders>
                  <w:shd w:val="clear" w:color="auto" w:fill="auto"/>
                  <w:vAlign w:val="center"/>
                </w:tcPr>
                <w:p w14:paraId="2C218749">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spacing w:val="8"/>
                      <w:kern w:val="2"/>
                      <w:sz w:val="21"/>
                      <w:szCs w:val="21"/>
                      <w:lang w:val="en-US" w:eastAsia="zh-CN" w:bidi="ar-SA"/>
                    </w:rPr>
                  </w:pPr>
                  <w:r>
                    <w:rPr>
                      <w:rFonts w:hint="eastAsia" w:cs="Times New Roman"/>
                      <w:color w:val="auto"/>
                      <w:spacing w:val="8"/>
                      <w:sz w:val="21"/>
                      <w:szCs w:val="21"/>
                      <w:lang w:val="en-US" w:eastAsia="zh-CN"/>
                    </w:rPr>
                    <w:t>20</w:t>
                  </w:r>
                </w:p>
              </w:tc>
              <w:tc>
                <w:tcPr>
                  <w:tcW w:w="1967" w:type="pct"/>
                  <w:tcBorders>
                    <w:top w:val="single" w:color="auto" w:sz="4" w:space="0"/>
                    <w:left w:val="single" w:color="auto" w:sz="4" w:space="0"/>
                    <w:bottom w:val="single" w:color="auto" w:sz="4" w:space="0"/>
                    <w:right w:val="single" w:color="auto" w:sz="4" w:space="0"/>
                  </w:tcBorders>
                  <w:shd w:val="clear" w:color="auto" w:fill="auto"/>
                  <w:vAlign w:val="center"/>
                </w:tcPr>
                <w:p w14:paraId="247F6E2D">
                  <w:pPr>
                    <w:keepNext w:val="0"/>
                    <w:keepLines w:val="0"/>
                    <w:suppressLineNumbers w:val="0"/>
                    <w:spacing w:before="0" w:beforeAutospacing="0" w:after="0" w:afterAutospacing="0" w:line="240" w:lineRule="auto"/>
                    <w:ind w:left="0" w:right="0" w:firstLine="0" w:firstLineChars="0"/>
                    <w:jc w:val="center"/>
                    <w:rPr>
                      <w:rFonts w:hint="default" w:eastAsia="宋体" w:cs="Times New Roman"/>
                      <w:color w:val="auto"/>
                      <w:spacing w:val="8"/>
                      <w:sz w:val="21"/>
                      <w:szCs w:val="21"/>
                      <w:lang w:val="en-US" w:eastAsia="zh-CN"/>
                    </w:rPr>
                  </w:pPr>
                  <w:r>
                    <w:rPr>
                      <w:rFonts w:hint="eastAsia" w:cs="Times New Roman"/>
                      <w:color w:val="auto"/>
                      <w:spacing w:val="8"/>
                      <w:sz w:val="21"/>
                      <w:szCs w:val="21"/>
                      <w:lang w:val="en-US" w:eastAsia="zh-CN"/>
                    </w:rPr>
                    <w:t>监控点处任意一次浓度值</w:t>
                  </w:r>
                </w:p>
              </w:tc>
              <w:tc>
                <w:tcPr>
                  <w:tcW w:w="1525" w:type="pct"/>
                  <w:vMerge w:val="continue"/>
                  <w:tcBorders>
                    <w:left w:val="single" w:color="auto" w:sz="4" w:space="0"/>
                    <w:bottom w:val="single" w:color="auto" w:sz="4" w:space="0"/>
                    <w:right w:val="single" w:color="auto" w:sz="4" w:space="0"/>
                  </w:tcBorders>
                  <w:shd w:val="clear" w:color="auto" w:fill="auto"/>
                  <w:vAlign w:val="center"/>
                </w:tcPr>
                <w:p w14:paraId="05C9ED69">
                  <w:pPr>
                    <w:keepNext w:val="0"/>
                    <w:keepLines w:val="0"/>
                    <w:suppressLineNumbers w:val="0"/>
                    <w:spacing w:before="0" w:beforeAutospacing="0" w:after="0" w:afterAutospacing="0" w:line="240" w:lineRule="auto"/>
                    <w:ind w:left="0" w:right="0" w:firstLine="0" w:firstLineChars="0"/>
                    <w:jc w:val="center"/>
                    <w:rPr>
                      <w:rFonts w:hint="eastAsia" w:cs="Times New Roman"/>
                      <w:color w:val="auto"/>
                      <w:spacing w:val="8"/>
                      <w:sz w:val="21"/>
                      <w:szCs w:val="21"/>
                      <w:lang w:val="en-US" w:eastAsia="zh-CN"/>
                    </w:rPr>
                  </w:pPr>
                </w:p>
              </w:tc>
            </w:tr>
          </w:tbl>
          <w:p w14:paraId="72551919">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3、噪声</w:t>
            </w:r>
          </w:p>
          <w:p w14:paraId="41014DD8">
            <w:pPr>
              <w:pStyle w:val="2"/>
              <w:keepNext w:val="0"/>
              <w:keepLines w:val="0"/>
              <w:suppressLineNumbers w:val="0"/>
              <w:spacing w:before="0" w:beforeAutospacing="0" w:after="0" w:afterAutospacing="0"/>
              <w:ind w:left="0" w:right="0" w:firstLine="480"/>
              <w:rPr>
                <w:rFonts w:hint="default"/>
                <w:color w:val="auto"/>
              </w:rPr>
            </w:pPr>
            <w:r>
              <w:rPr>
                <w:rFonts w:hint="default"/>
                <w:color w:val="auto"/>
              </w:rPr>
              <w:t>根据《杭州市余杭区声环境功能区划方案》，企业处于噪声</w:t>
            </w:r>
            <w:r>
              <w:rPr>
                <w:rFonts w:hint="eastAsia"/>
                <w:color w:val="auto"/>
                <w:lang w:val="en-US" w:eastAsia="zh-CN"/>
              </w:rPr>
              <w:t>2</w:t>
            </w:r>
            <w:r>
              <w:rPr>
                <w:rFonts w:hint="default"/>
                <w:color w:val="auto"/>
              </w:rPr>
              <w:t>类声环境功能区，项目所在</w:t>
            </w:r>
            <w:r>
              <w:rPr>
                <w:rFonts w:hint="eastAsia"/>
                <w:color w:val="auto"/>
              </w:rPr>
              <w:t>区域</w:t>
            </w:r>
            <w:r>
              <w:rPr>
                <w:rFonts w:hint="eastAsia"/>
                <w:color w:val="auto"/>
                <w:lang w:val="en-US" w:eastAsia="zh-CN"/>
              </w:rPr>
              <w:t>东</w:t>
            </w:r>
            <w:r>
              <w:rPr>
                <w:rFonts w:hint="default"/>
                <w:color w:val="auto"/>
              </w:rPr>
              <w:t>侧道路为</w:t>
            </w:r>
            <w:r>
              <w:rPr>
                <w:rFonts w:hint="eastAsia"/>
                <w:color w:val="auto"/>
                <w:lang w:val="en-US" w:eastAsia="zh-CN"/>
              </w:rPr>
              <w:t>荆长大道</w:t>
            </w:r>
            <w:r>
              <w:rPr>
                <w:rFonts w:hint="default"/>
                <w:color w:val="auto"/>
              </w:rPr>
              <w:t>，为</w:t>
            </w:r>
            <w:r>
              <w:rPr>
                <w:rFonts w:hint="eastAsia"/>
                <w:color w:val="auto"/>
                <w:lang w:val="en-US" w:eastAsia="zh-CN"/>
              </w:rPr>
              <w:t>城市次干路</w:t>
            </w:r>
            <w:r>
              <w:rPr>
                <w:rFonts w:hint="default"/>
                <w:color w:val="auto"/>
              </w:rPr>
              <w:t>，项目</w:t>
            </w:r>
            <w:r>
              <w:rPr>
                <w:rFonts w:hint="eastAsia"/>
                <w:color w:val="auto"/>
                <w:lang w:val="en-US" w:eastAsia="zh-CN"/>
              </w:rPr>
              <w:t>东</w:t>
            </w:r>
            <w:r>
              <w:rPr>
                <w:rFonts w:hint="default"/>
                <w:color w:val="auto"/>
              </w:rPr>
              <w:t>侧厂界距离</w:t>
            </w:r>
            <w:r>
              <w:rPr>
                <w:rFonts w:hint="eastAsia"/>
                <w:color w:val="auto"/>
                <w:lang w:val="en-US" w:eastAsia="zh-CN"/>
              </w:rPr>
              <w:t>荆长大道＞25</w:t>
            </w:r>
            <w:r>
              <w:rPr>
                <w:rFonts w:hint="default"/>
                <w:color w:val="auto"/>
              </w:rPr>
              <w:t>m，不在交通干线两侧距离划定要求的范围内，因此项目四周厂界噪声排放执行《工业企业厂界环境噪声排放标准》（GB12348-2008）中的</w:t>
            </w:r>
            <w:r>
              <w:rPr>
                <w:rFonts w:hint="eastAsia"/>
                <w:color w:val="auto"/>
                <w:lang w:val="en-US" w:eastAsia="zh-CN"/>
              </w:rPr>
              <w:t>2</w:t>
            </w:r>
            <w:r>
              <w:rPr>
                <w:rFonts w:hint="default"/>
                <w:color w:val="auto"/>
              </w:rPr>
              <w:t>类标准。具体标准值见表3-</w:t>
            </w:r>
            <w:r>
              <w:rPr>
                <w:rFonts w:hint="eastAsia"/>
                <w:color w:val="auto"/>
                <w:lang w:val="en-US" w:eastAsia="zh-CN"/>
              </w:rPr>
              <w:t>8</w:t>
            </w:r>
            <w:r>
              <w:rPr>
                <w:rFonts w:hint="default"/>
                <w:color w:val="auto"/>
              </w:rPr>
              <w:t>。</w:t>
            </w:r>
          </w:p>
          <w:p w14:paraId="64EE9E7E">
            <w:pPr>
              <w:pStyle w:val="2"/>
              <w:keepNext w:val="0"/>
              <w:keepLines w:val="0"/>
              <w:suppressLineNumbers w:val="0"/>
              <w:spacing w:before="0" w:beforeAutospacing="0" w:after="0" w:afterAutospacing="0"/>
              <w:ind w:left="0" w:right="0" w:firstLine="0" w:firstLineChars="0"/>
              <w:jc w:val="center"/>
              <w:rPr>
                <w:rFonts w:hint="default"/>
                <w:color w:val="auto"/>
              </w:rPr>
            </w:pPr>
            <w:r>
              <w:rPr>
                <w:rFonts w:hint="default" w:eastAsia="黑体" w:cs="Times New Roman"/>
                <w:bCs/>
                <w:color w:val="auto"/>
                <w:szCs w:val="24"/>
              </w:rPr>
              <w:t>表3-</w:t>
            </w:r>
            <w:r>
              <w:rPr>
                <w:rFonts w:hint="eastAsia" w:eastAsia="黑体" w:cs="Times New Roman"/>
                <w:bCs/>
                <w:color w:val="auto"/>
                <w:szCs w:val="24"/>
                <w:lang w:val="en-US" w:eastAsia="zh-CN"/>
              </w:rPr>
              <w:t>8</w:t>
            </w:r>
            <w:r>
              <w:rPr>
                <w:rFonts w:hint="default" w:eastAsia="黑体" w:cs="Times New Roman"/>
                <w:bCs/>
                <w:color w:val="auto"/>
                <w:szCs w:val="24"/>
              </w:rPr>
              <w:t xml:space="preserve">  </w:t>
            </w:r>
            <w:r>
              <w:rPr>
                <w:rFonts w:hint="eastAsia" w:eastAsia="黑体" w:cs="Times New Roman"/>
                <w:bCs/>
                <w:color w:val="auto"/>
                <w:szCs w:val="24"/>
              </w:rPr>
              <w:t>《工业企业厂界环境噪声排放标准》（GB12348-2008）</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2"/>
              <w:gridCol w:w="2391"/>
              <w:gridCol w:w="2391"/>
            </w:tblGrid>
            <w:tr w14:paraId="3D750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2" w:type="dxa"/>
                  <w:vMerge w:val="restart"/>
                  <w:tcBorders>
                    <w:top w:val="single" w:color="auto" w:sz="4" w:space="0"/>
                    <w:left w:val="single" w:color="auto" w:sz="4" w:space="0"/>
                    <w:right w:val="single" w:color="auto" w:sz="4" w:space="0"/>
                  </w:tcBorders>
                  <w:vAlign w:val="center"/>
                </w:tcPr>
                <w:p w14:paraId="2336C85C">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bCs/>
                      <w:color w:val="auto"/>
                      <w:sz w:val="21"/>
                      <w:szCs w:val="21"/>
                    </w:rPr>
                  </w:pPr>
                  <w:r>
                    <w:rPr>
                      <w:rFonts w:hint="eastAsia" w:cs="宋体"/>
                      <w:color w:val="auto"/>
                      <w:sz w:val="21"/>
                      <w:szCs w:val="21"/>
                      <w:lang w:bidi="ar"/>
                    </w:rPr>
                    <w:t>类别</w:t>
                  </w:r>
                </w:p>
              </w:tc>
              <w:tc>
                <w:tcPr>
                  <w:tcW w:w="5681" w:type="dxa"/>
                  <w:gridSpan w:val="2"/>
                  <w:tcBorders>
                    <w:top w:val="single" w:color="auto" w:sz="4" w:space="0"/>
                    <w:left w:val="single" w:color="auto" w:sz="4" w:space="0"/>
                    <w:bottom w:val="single" w:color="auto" w:sz="4" w:space="0"/>
                    <w:right w:val="single" w:color="auto" w:sz="4" w:space="0"/>
                  </w:tcBorders>
                  <w:vAlign w:val="center"/>
                </w:tcPr>
                <w:p w14:paraId="7CEDDE05">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bCs/>
                      <w:color w:val="auto"/>
                      <w:sz w:val="21"/>
                      <w:szCs w:val="21"/>
                    </w:rPr>
                  </w:pPr>
                  <w:r>
                    <w:rPr>
                      <w:rFonts w:hint="eastAsia" w:cs="宋体"/>
                      <w:color w:val="auto"/>
                      <w:sz w:val="21"/>
                      <w:szCs w:val="21"/>
                      <w:lang w:bidi="ar"/>
                    </w:rPr>
                    <w:t>等效声级</w:t>
                  </w:r>
                  <w:r>
                    <w:rPr>
                      <w:rFonts w:hint="default" w:cs="Times New Roman"/>
                      <w:color w:val="auto"/>
                      <w:sz w:val="21"/>
                      <w:szCs w:val="21"/>
                      <w:lang w:bidi="ar"/>
                    </w:rPr>
                    <w:t>Leq</w:t>
                  </w:r>
                </w:p>
              </w:tc>
            </w:tr>
            <w:tr w14:paraId="557C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2" w:type="dxa"/>
                  <w:vMerge w:val="continue"/>
                  <w:tcBorders>
                    <w:left w:val="single" w:color="auto" w:sz="4" w:space="0"/>
                    <w:bottom w:val="single" w:color="auto" w:sz="4" w:space="0"/>
                    <w:right w:val="single" w:color="auto" w:sz="4" w:space="0"/>
                  </w:tcBorders>
                  <w:vAlign w:val="center"/>
                </w:tcPr>
                <w:p w14:paraId="2791200E">
                  <w:pPr>
                    <w:keepNext w:val="0"/>
                    <w:keepLines w:val="0"/>
                    <w:suppressLineNumbers w:val="0"/>
                    <w:spacing w:before="0" w:beforeAutospacing="0" w:after="0" w:afterAutospacing="0" w:line="240" w:lineRule="auto"/>
                    <w:ind w:left="0" w:right="0" w:firstLine="0" w:firstLineChars="0"/>
                    <w:jc w:val="center"/>
                    <w:rPr>
                      <w:rFonts w:hint="default" w:cs="Times New Roman"/>
                      <w:bCs/>
                      <w:color w:val="auto"/>
                      <w:sz w:val="21"/>
                      <w:szCs w:val="21"/>
                    </w:rPr>
                  </w:pPr>
                </w:p>
              </w:tc>
              <w:tc>
                <w:tcPr>
                  <w:tcW w:w="2841" w:type="dxa"/>
                  <w:tcBorders>
                    <w:top w:val="single" w:color="auto" w:sz="4" w:space="0"/>
                    <w:left w:val="single" w:color="auto" w:sz="4" w:space="0"/>
                    <w:bottom w:val="single" w:color="auto" w:sz="4" w:space="0"/>
                    <w:right w:val="single" w:color="auto" w:sz="4" w:space="0"/>
                  </w:tcBorders>
                  <w:vAlign w:val="center"/>
                </w:tcPr>
                <w:p w14:paraId="50DA0463">
                  <w:pPr>
                    <w:pStyle w:val="10"/>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bCs/>
                      <w:color w:val="auto"/>
                      <w:sz w:val="21"/>
                      <w:szCs w:val="21"/>
                    </w:rPr>
                  </w:pPr>
                  <w:r>
                    <w:rPr>
                      <w:rFonts w:hint="default" w:ascii="Times New Roman" w:hAnsi="Times New Roman"/>
                      <w:color w:val="auto"/>
                      <w:kern w:val="0"/>
                      <w:sz w:val="21"/>
                      <w:szCs w:val="21"/>
                    </w:rPr>
                    <w:t>昼间</w:t>
                  </w:r>
                </w:p>
              </w:tc>
              <w:tc>
                <w:tcPr>
                  <w:tcW w:w="2840" w:type="dxa"/>
                  <w:tcBorders>
                    <w:top w:val="single" w:color="auto" w:sz="4" w:space="0"/>
                    <w:left w:val="single" w:color="auto" w:sz="4" w:space="0"/>
                    <w:bottom w:val="single" w:color="auto" w:sz="4" w:space="0"/>
                    <w:right w:val="single" w:color="auto" w:sz="4" w:space="0"/>
                  </w:tcBorders>
                  <w:vAlign w:val="center"/>
                </w:tcPr>
                <w:p w14:paraId="2BE8015D">
                  <w:pPr>
                    <w:pStyle w:val="10"/>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bCs/>
                      <w:color w:val="auto"/>
                      <w:sz w:val="21"/>
                      <w:szCs w:val="21"/>
                    </w:rPr>
                  </w:pPr>
                  <w:r>
                    <w:rPr>
                      <w:rFonts w:hint="default" w:ascii="Times New Roman" w:hAnsi="Times New Roman"/>
                      <w:color w:val="auto"/>
                      <w:kern w:val="0"/>
                      <w:sz w:val="21"/>
                      <w:szCs w:val="21"/>
                    </w:rPr>
                    <w:t>夜间</w:t>
                  </w:r>
                </w:p>
              </w:tc>
            </w:tr>
            <w:tr w14:paraId="77A2B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82" w:type="dxa"/>
                  <w:tcBorders>
                    <w:top w:val="single" w:color="auto" w:sz="4" w:space="0"/>
                    <w:left w:val="single" w:color="auto" w:sz="4" w:space="0"/>
                    <w:bottom w:val="single" w:color="auto" w:sz="4" w:space="0"/>
                    <w:right w:val="single" w:color="auto" w:sz="4" w:space="0"/>
                  </w:tcBorders>
                  <w:vAlign w:val="center"/>
                </w:tcPr>
                <w:p w14:paraId="0ADE69EA">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cs="Times New Roman"/>
                      <w:bCs/>
                      <w:color w:val="auto"/>
                      <w:sz w:val="21"/>
                      <w:szCs w:val="21"/>
                    </w:rPr>
                  </w:pPr>
                  <w:r>
                    <w:rPr>
                      <w:rFonts w:hint="eastAsia" w:cs="Times New Roman"/>
                      <w:color w:val="auto"/>
                      <w:sz w:val="21"/>
                      <w:szCs w:val="21"/>
                      <w:lang w:val="en-US" w:eastAsia="zh-CN" w:bidi="ar"/>
                    </w:rPr>
                    <w:t>2</w:t>
                  </w:r>
                  <w:r>
                    <w:rPr>
                      <w:rFonts w:hint="eastAsia" w:cs="宋体"/>
                      <w:color w:val="auto"/>
                      <w:sz w:val="21"/>
                      <w:szCs w:val="21"/>
                      <w:lang w:bidi="ar"/>
                    </w:rPr>
                    <w:t>类</w:t>
                  </w:r>
                </w:p>
              </w:tc>
              <w:tc>
                <w:tcPr>
                  <w:tcW w:w="2841" w:type="dxa"/>
                  <w:tcBorders>
                    <w:top w:val="single" w:color="auto" w:sz="4" w:space="0"/>
                    <w:left w:val="single" w:color="auto" w:sz="4" w:space="0"/>
                    <w:bottom w:val="single" w:color="auto" w:sz="4" w:space="0"/>
                    <w:right w:val="single" w:color="auto" w:sz="4" w:space="0"/>
                  </w:tcBorders>
                  <w:vAlign w:val="center"/>
                </w:tcPr>
                <w:p w14:paraId="76ED449E">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eastAsia="宋体" w:cs="Times New Roman"/>
                      <w:bCs/>
                      <w:color w:val="auto"/>
                      <w:sz w:val="21"/>
                      <w:szCs w:val="21"/>
                      <w:lang w:eastAsia="zh-CN"/>
                    </w:rPr>
                  </w:pPr>
                  <w:r>
                    <w:rPr>
                      <w:rFonts w:hint="eastAsia" w:cs="Times New Roman"/>
                      <w:color w:val="auto"/>
                      <w:sz w:val="21"/>
                      <w:szCs w:val="21"/>
                      <w:lang w:bidi="ar"/>
                    </w:rPr>
                    <w:t>6</w:t>
                  </w:r>
                  <w:r>
                    <w:rPr>
                      <w:rFonts w:hint="eastAsia" w:cs="Times New Roman"/>
                      <w:color w:val="auto"/>
                      <w:sz w:val="21"/>
                      <w:szCs w:val="21"/>
                      <w:lang w:val="en-US" w:eastAsia="zh-CN" w:bidi="ar"/>
                    </w:rPr>
                    <w:t>0</w:t>
                  </w:r>
                </w:p>
              </w:tc>
              <w:tc>
                <w:tcPr>
                  <w:tcW w:w="2840" w:type="dxa"/>
                  <w:tcBorders>
                    <w:top w:val="single" w:color="auto" w:sz="4" w:space="0"/>
                    <w:left w:val="single" w:color="auto" w:sz="4" w:space="0"/>
                    <w:bottom w:val="single" w:color="auto" w:sz="4" w:space="0"/>
                    <w:right w:val="single" w:color="auto" w:sz="4" w:space="0"/>
                  </w:tcBorders>
                  <w:vAlign w:val="center"/>
                </w:tcPr>
                <w:p w14:paraId="0549AE8C">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eastAsia="宋体" w:cs="Times New Roman"/>
                      <w:bCs/>
                      <w:color w:val="auto"/>
                      <w:sz w:val="21"/>
                      <w:szCs w:val="21"/>
                      <w:lang w:eastAsia="zh-CN"/>
                    </w:rPr>
                  </w:pPr>
                  <w:r>
                    <w:rPr>
                      <w:rFonts w:hint="default" w:cs="Times New Roman"/>
                      <w:color w:val="auto"/>
                      <w:sz w:val="21"/>
                      <w:szCs w:val="21"/>
                      <w:lang w:bidi="ar"/>
                    </w:rPr>
                    <w:t>5</w:t>
                  </w:r>
                  <w:r>
                    <w:rPr>
                      <w:rFonts w:hint="eastAsia" w:cs="Times New Roman"/>
                      <w:color w:val="auto"/>
                      <w:sz w:val="21"/>
                      <w:szCs w:val="21"/>
                      <w:lang w:val="en-US" w:eastAsia="zh-CN" w:bidi="ar"/>
                    </w:rPr>
                    <w:t>0</w:t>
                  </w:r>
                </w:p>
              </w:tc>
            </w:tr>
          </w:tbl>
          <w:p w14:paraId="5627B583">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4、固废</w:t>
            </w:r>
          </w:p>
          <w:p w14:paraId="77D9BEE1">
            <w:pPr>
              <w:pStyle w:val="2"/>
              <w:keepNext w:val="0"/>
              <w:keepLines w:val="0"/>
              <w:suppressLineNumbers w:val="0"/>
              <w:spacing w:before="0" w:beforeAutospacing="0" w:after="0" w:afterAutospacing="0"/>
              <w:ind w:left="0" w:right="0" w:firstLine="480" w:firstLineChars="200"/>
              <w:rPr>
                <w:rFonts w:hint="default"/>
                <w:color w:val="auto"/>
              </w:rPr>
            </w:pPr>
            <w:r>
              <w:rPr>
                <w:rFonts w:hint="default"/>
                <w:color w:val="auto"/>
              </w:rPr>
              <w:t>固体废物污染防治及其监督管理执行《中华人民共和国固体废物污染环境防治法》。根据《一般工业固体废物贮存和填埋污染控制标准》（GB18599-2020），采用库房、包装工具（罐、桶、包装袋等）贮存一般工业固体废物过程的污染控制，不适用该标准，但其贮存过程应满足相应防渗漏、防雨淋、防扬尘等环境保护要求；危险废物执行《危险废物贮存污染控制标准》（GB18597-2023）</w:t>
            </w:r>
            <w:r>
              <w:rPr>
                <w:rFonts w:hint="eastAsia"/>
                <w:color w:val="auto"/>
              </w:rPr>
              <w:t>中相关要求。</w:t>
            </w:r>
          </w:p>
        </w:tc>
      </w:tr>
      <w:tr w14:paraId="4FE4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1" w:hRule="atLeast"/>
        </w:trPr>
        <w:tc>
          <w:tcPr>
            <w:tcW w:w="592" w:type="dxa"/>
            <w:vAlign w:val="center"/>
          </w:tcPr>
          <w:p w14:paraId="54BFFB48">
            <w:pPr>
              <w:pStyle w:val="2"/>
              <w:keepNext w:val="0"/>
              <w:keepLines w:val="0"/>
              <w:suppressLineNumbers w:val="0"/>
              <w:spacing w:before="0" w:beforeAutospacing="0" w:after="0" w:afterAutospacing="0" w:line="240" w:lineRule="auto"/>
              <w:ind w:left="0" w:right="0" w:firstLine="0" w:firstLineChars="0"/>
              <w:jc w:val="center"/>
              <w:rPr>
                <w:rFonts w:hint="default"/>
                <w:color w:val="auto"/>
              </w:rPr>
            </w:pPr>
            <w:r>
              <w:rPr>
                <w:rFonts w:hint="eastAsia"/>
                <w:color w:val="auto"/>
              </w:rPr>
              <w:t>总量控制指标</w:t>
            </w:r>
          </w:p>
        </w:tc>
        <w:tc>
          <w:tcPr>
            <w:tcW w:w="7930" w:type="dxa"/>
          </w:tcPr>
          <w:p w14:paraId="3734FE68">
            <w:pPr>
              <w:keepNext w:val="0"/>
              <w:keepLines w:val="0"/>
              <w:suppressLineNumbers w:val="0"/>
              <w:spacing w:before="0" w:beforeAutospacing="0" w:after="0" w:afterAutospacing="0"/>
              <w:ind w:left="0" w:right="0" w:firstLine="480"/>
              <w:rPr>
                <w:rFonts w:hint="default" w:cs="Times New Roman"/>
                <w:color w:val="auto"/>
                <w:szCs w:val="24"/>
              </w:rPr>
            </w:pPr>
            <w:r>
              <w:rPr>
                <w:rFonts w:hint="eastAsia" w:cs="Times New Roman"/>
                <w:color w:val="auto"/>
                <w:szCs w:val="24"/>
              </w:rPr>
              <w:t>1、总量控制指标</w:t>
            </w:r>
          </w:p>
          <w:p w14:paraId="4FD05C8E">
            <w:pPr>
              <w:keepNext w:val="0"/>
              <w:keepLines w:val="0"/>
              <w:suppressLineNumbers w:val="0"/>
              <w:bidi w:val="0"/>
              <w:spacing w:before="0" w:beforeAutospacing="0" w:after="0" w:afterAutospacing="0"/>
              <w:ind w:left="0" w:right="0"/>
              <w:rPr>
                <w:rFonts w:hint="default"/>
                <w:color w:val="auto"/>
              </w:rPr>
            </w:pPr>
            <w:r>
              <w:rPr>
                <w:rFonts w:hint="eastAsia"/>
                <w:color w:val="auto"/>
              </w:rPr>
              <w:t>根据现行的环保管理要求，污染物排放总量控制仍是我国现阶段强有力的环保管理措施，主要总量控制指标为：二氧化硫（SO</w:t>
            </w:r>
            <w:r>
              <w:rPr>
                <w:rFonts w:hint="eastAsia"/>
                <w:color w:val="auto"/>
                <w:vertAlign w:val="subscript"/>
              </w:rPr>
              <w:t>2</w:t>
            </w:r>
            <w:r>
              <w:rPr>
                <w:rFonts w:hint="eastAsia"/>
                <w:color w:val="auto"/>
              </w:rPr>
              <w:t>）、化学需氧量（COD）、氨氮（NH</w:t>
            </w:r>
            <w:r>
              <w:rPr>
                <w:rFonts w:hint="eastAsia"/>
                <w:color w:val="auto"/>
                <w:vertAlign w:val="subscript"/>
              </w:rPr>
              <w:t>3</w:t>
            </w:r>
            <w:r>
              <w:rPr>
                <w:rFonts w:hint="eastAsia"/>
                <w:color w:val="auto"/>
              </w:rPr>
              <w:t>-N）和氮氧化物（NOx）及重金属、挥发性有机物（VOCs）。</w:t>
            </w:r>
          </w:p>
          <w:p w14:paraId="41DFAFED">
            <w:pPr>
              <w:keepNext w:val="0"/>
              <w:keepLines w:val="0"/>
              <w:suppressLineNumbers w:val="0"/>
              <w:bidi w:val="0"/>
              <w:spacing w:before="0" w:beforeAutospacing="0" w:after="0" w:afterAutospacing="0"/>
              <w:ind w:left="0" w:right="0"/>
              <w:rPr>
                <w:rFonts w:hint="eastAsia"/>
                <w:color w:val="auto"/>
              </w:rPr>
            </w:pPr>
            <w:r>
              <w:rPr>
                <w:rFonts w:hint="eastAsia"/>
                <w:color w:val="auto"/>
              </w:rPr>
              <w:t>结合本项目的实际情况分析，本项目被纳入总量控制指标的有COD、VOCs、</w:t>
            </w:r>
            <w:r>
              <w:rPr>
                <w:rFonts w:hint="eastAsia"/>
                <w:color w:val="auto"/>
                <w:lang w:val="en-US" w:eastAsia="zh-CN"/>
              </w:rPr>
              <w:t>氨氮</w:t>
            </w:r>
            <w:r>
              <w:rPr>
                <w:rFonts w:hint="eastAsia"/>
                <w:color w:val="auto"/>
              </w:rPr>
              <w:t>。</w:t>
            </w:r>
          </w:p>
          <w:p w14:paraId="541D43DD">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2、污染物排放总量</w:t>
            </w:r>
          </w:p>
          <w:p w14:paraId="35D38700">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根据工程分析，本项目污染物排放总量情况见下表。</w:t>
            </w:r>
          </w:p>
          <w:p w14:paraId="0E040FDA">
            <w:pPr>
              <w:keepNext w:val="0"/>
              <w:keepLines w:val="0"/>
              <w:suppressLineNumbers w:val="0"/>
              <w:bidi w:val="0"/>
              <w:spacing w:before="0" w:beforeAutospacing="0" w:after="0" w:afterAutospacing="0"/>
              <w:ind w:left="0" w:leftChars="0" w:right="0" w:firstLine="0" w:firstLineChars="0"/>
              <w:jc w:val="center"/>
              <w:rPr>
                <w:rFonts w:hint="eastAsia" w:eastAsia="黑体" w:cs="Times New Roman"/>
                <w:bCs/>
                <w:color w:val="auto"/>
                <w:szCs w:val="24"/>
                <w:lang w:val="en-US" w:eastAsia="zh-CN"/>
              </w:rPr>
            </w:pPr>
            <w:r>
              <w:rPr>
                <w:rFonts w:hint="default" w:eastAsia="黑体" w:cs="Times New Roman"/>
                <w:bCs/>
                <w:color w:val="auto"/>
                <w:szCs w:val="24"/>
              </w:rPr>
              <w:t>表3-</w:t>
            </w:r>
            <w:r>
              <w:rPr>
                <w:rFonts w:hint="eastAsia" w:eastAsia="黑体" w:cs="Times New Roman"/>
                <w:bCs/>
                <w:color w:val="auto"/>
                <w:szCs w:val="24"/>
                <w:lang w:val="en-US" w:eastAsia="zh-CN"/>
              </w:rPr>
              <w:t>9</w:t>
            </w:r>
            <w:r>
              <w:rPr>
                <w:rFonts w:hint="default" w:eastAsia="黑体" w:cs="Times New Roman"/>
                <w:bCs/>
                <w:color w:val="auto"/>
                <w:szCs w:val="24"/>
              </w:rPr>
              <w:t xml:space="preserve">  </w:t>
            </w:r>
            <w:r>
              <w:rPr>
                <w:rFonts w:hint="eastAsia" w:eastAsia="黑体" w:cs="Times New Roman"/>
                <w:bCs/>
                <w:color w:val="auto"/>
                <w:szCs w:val="24"/>
              </w:rPr>
              <w:t>本项目污染物产排情况汇总</w:t>
            </w:r>
            <w:r>
              <w:rPr>
                <w:rFonts w:hint="eastAsia" w:eastAsia="黑体" w:cs="Times New Roman"/>
                <w:bCs/>
                <w:color w:val="auto"/>
                <w:szCs w:val="24"/>
                <w:lang w:val="en-US" w:eastAsia="zh-CN"/>
              </w:rPr>
              <w:t xml:space="preserve">  单位t/a</w:t>
            </w:r>
          </w:p>
          <w:tbl>
            <w:tblPr>
              <w:tblStyle w:val="16"/>
              <w:tblW w:w="77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3"/>
              <w:gridCol w:w="984"/>
              <w:gridCol w:w="1105"/>
              <w:gridCol w:w="1330"/>
              <w:gridCol w:w="1704"/>
              <w:gridCol w:w="1932"/>
            </w:tblGrid>
            <w:tr w14:paraId="2F162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799"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1864D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污染物</w:t>
                  </w:r>
                </w:p>
              </w:tc>
              <w:tc>
                <w:tcPr>
                  <w:tcW w:w="857" w:type="pct"/>
                  <w:tcBorders>
                    <w:top w:val="single" w:color="auto" w:sz="4" w:space="0"/>
                    <w:left w:val="nil"/>
                    <w:bottom w:val="single" w:color="auto" w:sz="4" w:space="0"/>
                    <w:right w:val="single" w:color="auto" w:sz="4" w:space="0"/>
                  </w:tcBorders>
                  <w:shd w:val="clear" w:color="auto" w:fill="auto"/>
                  <w:noWrap/>
                  <w:vAlign w:val="center"/>
                </w:tcPr>
                <w:p w14:paraId="7A5862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产生量</w:t>
                  </w:r>
                </w:p>
              </w:tc>
              <w:tc>
                <w:tcPr>
                  <w:tcW w:w="1098" w:type="pct"/>
                  <w:tcBorders>
                    <w:top w:val="single" w:color="auto" w:sz="4" w:space="0"/>
                    <w:left w:val="nil"/>
                    <w:bottom w:val="single" w:color="auto" w:sz="4" w:space="0"/>
                    <w:right w:val="single" w:color="auto" w:sz="4" w:space="0"/>
                  </w:tcBorders>
                  <w:shd w:val="clear" w:color="auto" w:fill="auto"/>
                  <w:noWrap/>
                  <w:vAlign w:val="center"/>
                </w:tcPr>
                <w:p w14:paraId="1EDA0D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削减量</w:t>
                  </w:r>
                </w:p>
              </w:tc>
              <w:tc>
                <w:tcPr>
                  <w:tcW w:w="1245" w:type="pct"/>
                  <w:tcBorders>
                    <w:top w:val="single" w:color="auto" w:sz="4" w:space="0"/>
                    <w:left w:val="nil"/>
                    <w:bottom w:val="single" w:color="auto" w:sz="4" w:space="0"/>
                    <w:right w:val="single" w:color="auto" w:sz="4" w:space="0"/>
                  </w:tcBorders>
                  <w:shd w:val="clear" w:color="auto" w:fill="auto"/>
                  <w:noWrap/>
                  <w:vAlign w:val="center"/>
                </w:tcPr>
                <w:p w14:paraId="4A2743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排放量</w:t>
                  </w:r>
                </w:p>
              </w:tc>
            </w:tr>
            <w:tr w14:paraId="0B75D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453" w:type="pct"/>
                  <w:vMerge w:val="restart"/>
                  <w:tcBorders>
                    <w:top w:val="nil"/>
                    <w:left w:val="single" w:color="auto" w:sz="4" w:space="0"/>
                    <w:bottom w:val="single" w:color="auto" w:sz="4" w:space="0"/>
                    <w:right w:val="single" w:color="auto" w:sz="4" w:space="0"/>
                  </w:tcBorders>
                  <w:shd w:val="clear" w:color="auto" w:fill="auto"/>
                  <w:noWrap/>
                  <w:vAlign w:val="center"/>
                </w:tcPr>
                <w:p w14:paraId="0DC32D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废水</w:t>
                  </w:r>
                </w:p>
              </w:tc>
              <w:tc>
                <w:tcPr>
                  <w:tcW w:w="634" w:type="pct"/>
                  <w:vMerge w:val="restart"/>
                  <w:tcBorders>
                    <w:top w:val="nil"/>
                    <w:left w:val="single" w:color="auto" w:sz="4" w:space="0"/>
                    <w:right w:val="single" w:color="auto" w:sz="4" w:space="0"/>
                  </w:tcBorders>
                  <w:shd w:val="clear" w:color="auto" w:fill="auto"/>
                  <w:noWrap/>
                  <w:vAlign w:val="center"/>
                </w:tcPr>
                <w:p w14:paraId="446526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eastAsia="zh-CN"/>
                    </w:rPr>
                  </w:pPr>
                  <w:r>
                    <w:rPr>
                      <w:rFonts w:hint="eastAsia" w:cs="Times New Roman"/>
                      <w:i w:val="0"/>
                      <w:iCs w:val="0"/>
                      <w:color w:val="000000"/>
                      <w:sz w:val="21"/>
                      <w:szCs w:val="21"/>
                      <w:u w:val="none"/>
                      <w:lang w:val="en-US" w:eastAsia="zh-CN"/>
                    </w:rPr>
                    <w:t>清洗废水</w:t>
                  </w:r>
                </w:p>
              </w:tc>
              <w:tc>
                <w:tcPr>
                  <w:tcW w:w="712" w:type="pct"/>
                  <w:tcBorders>
                    <w:top w:val="nil"/>
                    <w:left w:val="nil"/>
                    <w:bottom w:val="single" w:color="auto" w:sz="4" w:space="0"/>
                    <w:right w:val="single" w:color="auto" w:sz="4" w:space="0"/>
                  </w:tcBorders>
                  <w:shd w:val="clear" w:color="auto" w:fill="auto"/>
                  <w:noWrap/>
                  <w:vAlign w:val="center"/>
                </w:tcPr>
                <w:p w14:paraId="046082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废水量</w:t>
                  </w:r>
                </w:p>
              </w:tc>
              <w:tc>
                <w:tcPr>
                  <w:tcW w:w="857" w:type="pct"/>
                  <w:tcBorders>
                    <w:top w:val="nil"/>
                    <w:left w:val="nil"/>
                    <w:bottom w:val="single" w:color="auto" w:sz="4" w:space="0"/>
                    <w:right w:val="single" w:color="auto" w:sz="4" w:space="0"/>
                  </w:tcBorders>
                  <w:shd w:val="clear" w:color="auto" w:fill="auto"/>
                  <w:noWrap/>
                  <w:vAlign w:val="center"/>
                </w:tcPr>
                <w:p w14:paraId="7D8C01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eastAsia" w:cs="Times New Roman"/>
                      <w:i w:val="0"/>
                      <w:iCs w:val="0"/>
                      <w:color w:val="000000"/>
                      <w:kern w:val="0"/>
                      <w:sz w:val="21"/>
                      <w:szCs w:val="21"/>
                      <w:u w:val="none"/>
                      <w:lang w:val="en-US" w:eastAsia="zh-CN" w:bidi="ar"/>
                    </w:rPr>
                    <w:t>47.817</w:t>
                  </w:r>
                </w:p>
              </w:tc>
              <w:tc>
                <w:tcPr>
                  <w:tcW w:w="1098" w:type="pct"/>
                  <w:tcBorders>
                    <w:top w:val="nil"/>
                    <w:left w:val="nil"/>
                    <w:bottom w:val="single" w:color="auto" w:sz="4" w:space="0"/>
                    <w:right w:val="single" w:color="auto" w:sz="4" w:space="0"/>
                  </w:tcBorders>
                  <w:shd w:val="clear" w:color="auto" w:fill="auto"/>
                  <w:noWrap/>
                  <w:vAlign w:val="center"/>
                </w:tcPr>
                <w:p w14:paraId="2D04C6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245" w:type="pct"/>
                  <w:tcBorders>
                    <w:top w:val="nil"/>
                    <w:left w:val="nil"/>
                    <w:bottom w:val="single" w:color="auto" w:sz="4" w:space="0"/>
                    <w:right w:val="single" w:color="auto" w:sz="4" w:space="0"/>
                  </w:tcBorders>
                  <w:shd w:val="clear" w:color="auto" w:fill="auto"/>
                  <w:noWrap/>
                  <w:vAlign w:val="center"/>
                </w:tcPr>
                <w:p w14:paraId="1327C6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eastAsia" w:cs="Times New Roman"/>
                      <w:i w:val="0"/>
                      <w:iCs w:val="0"/>
                      <w:color w:val="000000"/>
                      <w:kern w:val="0"/>
                      <w:sz w:val="21"/>
                      <w:szCs w:val="21"/>
                      <w:u w:val="none"/>
                      <w:lang w:val="en-US" w:eastAsia="zh-CN" w:bidi="ar"/>
                    </w:rPr>
                    <w:t>47.817</w:t>
                  </w:r>
                </w:p>
              </w:tc>
            </w:tr>
            <w:tr w14:paraId="4D655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53" w:type="pct"/>
                  <w:vMerge w:val="continue"/>
                  <w:tcBorders>
                    <w:top w:val="nil"/>
                    <w:left w:val="single" w:color="auto" w:sz="4" w:space="0"/>
                    <w:bottom w:val="single" w:color="auto" w:sz="4" w:space="0"/>
                    <w:right w:val="single" w:color="auto" w:sz="4" w:space="0"/>
                  </w:tcBorders>
                  <w:shd w:val="clear" w:color="auto" w:fill="auto"/>
                  <w:noWrap/>
                  <w:vAlign w:val="center"/>
                </w:tcPr>
                <w:p w14:paraId="17D042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634" w:type="pct"/>
                  <w:vMerge w:val="continue"/>
                  <w:tcBorders>
                    <w:left w:val="single" w:color="auto" w:sz="4" w:space="0"/>
                    <w:right w:val="single" w:color="auto" w:sz="4" w:space="0"/>
                  </w:tcBorders>
                  <w:shd w:val="clear" w:color="auto" w:fill="auto"/>
                  <w:noWrap/>
                  <w:vAlign w:val="center"/>
                </w:tcPr>
                <w:p w14:paraId="6BA815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712" w:type="pct"/>
                  <w:tcBorders>
                    <w:top w:val="nil"/>
                    <w:left w:val="nil"/>
                    <w:bottom w:val="single" w:color="auto" w:sz="4" w:space="0"/>
                    <w:right w:val="single" w:color="auto" w:sz="4" w:space="0"/>
                  </w:tcBorders>
                  <w:shd w:val="clear" w:color="auto" w:fill="auto"/>
                  <w:noWrap/>
                  <w:vAlign w:val="center"/>
                </w:tcPr>
                <w:p w14:paraId="38B2F4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COD</w:t>
                  </w:r>
                </w:p>
              </w:tc>
              <w:tc>
                <w:tcPr>
                  <w:tcW w:w="857" w:type="pct"/>
                  <w:tcBorders>
                    <w:top w:val="nil"/>
                    <w:left w:val="nil"/>
                    <w:bottom w:val="single" w:color="auto" w:sz="4" w:space="0"/>
                    <w:right w:val="single" w:color="auto" w:sz="4" w:space="0"/>
                  </w:tcBorders>
                  <w:shd w:val="clear" w:color="auto" w:fill="auto"/>
                  <w:noWrap/>
                  <w:vAlign w:val="center"/>
                </w:tcPr>
                <w:p w14:paraId="595FF4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eastAsia" w:cs="Times New Roman"/>
                      <w:i w:val="0"/>
                      <w:iCs w:val="0"/>
                      <w:color w:val="000000"/>
                      <w:kern w:val="0"/>
                      <w:sz w:val="21"/>
                      <w:szCs w:val="21"/>
                      <w:u w:val="none"/>
                      <w:lang w:val="en-US" w:eastAsia="zh-CN" w:bidi="ar"/>
                    </w:rPr>
                    <w:t>0.014</w:t>
                  </w:r>
                </w:p>
              </w:tc>
              <w:tc>
                <w:tcPr>
                  <w:tcW w:w="1098" w:type="pct"/>
                  <w:tcBorders>
                    <w:top w:val="nil"/>
                    <w:left w:val="nil"/>
                    <w:bottom w:val="single" w:color="auto" w:sz="4" w:space="0"/>
                    <w:right w:val="single" w:color="auto" w:sz="4" w:space="0"/>
                  </w:tcBorders>
                  <w:shd w:val="clear" w:color="auto" w:fill="auto"/>
                  <w:noWrap/>
                  <w:vAlign w:val="center"/>
                </w:tcPr>
                <w:p w14:paraId="56FD8C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eastAsia" w:cs="Times New Roman"/>
                      <w:i w:val="0"/>
                      <w:iCs w:val="0"/>
                      <w:color w:val="000000"/>
                      <w:kern w:val="0"/>
                      <w:sz w:val="21"/>
                      <w:szCs w:val="21"/>
                      <w:u w:val="none"/>
                      <w:lang w:val="en-US" w:eastAsia="zh-CN" w:bidi="ar"/>
                    </w:rPr>
                    <w:t>0.012(0.013)</w:t>
                  </w:r>
                </w:p>
              </w:tc>
              <w:tc>
                <w:tcPr>
                  <w:tcW w:w="1245" w:type="pct"/>
                  <w:tcBorders>
                    <w:top w:val="nil"/>
                    <w:left w:val="nil"/>
                    <w:bottom w:val="single" w:color="auto" w:sz="4" w:space="0"/>
                    <w:right w:val="single" w:color="auto" w:sz="4" w:space="0"/>
                  </w:tcBorders>
                  <w:shd w:val="clear" w:color="auto" w:fill="auto"/>
                  <w:noWrap/>
                  <w:vAlign w:val="center"/>
                </w:tcPr>
                <w:p w14:paraId="29A8FE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eastAsia" w:cs="Times New Roman"/>
                      <w:i w:val="0"/>
                      <w:iCs w:val="0"/>
                      <w:color w:val="000000"/>
                      <w:kern w:val="0"/>
                      <w:sz w:val="21"/>
                      <w:szCs w:val="21"/>
                      <w:u w:val="none"/>
                      <w:lang w:val="en-US" w:eastAsia="zh-CN" w:bidi="ar"/>
                    </w:rPr>
                    <w:t>0.002(0.002)</w:t>
                  </w:r>
                </w:p>
              </w:tc>
            </w:tr>
            <w:tr w14:paraId="1B042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53" w:type="pct"/>
                  <w:vMerge w:val="continue"/>
                  <w:tcBorders>
                    <w:top w:val="nil"/>
                    <w:left w:val="single" w:color="auto" w:sz="4" w:space="0"/>
                    <w:bottom w:val="single" w:color="auto" w:sz="4" w:space="0"/>
                    <w:right w:val="single" w:color="auto" w:sz="4" w:space="0"/>
                  </w:tcBorders>
                  <w:shd w:val="clear" w:color="auto" w:fill="auto"/>
                  <w:noWrap/>
                  <w:vAlign w:val="center"/>
                </w:tcPr>
                <w:p w14:paraId="79DCFE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634" w:type="pct"/>
                  <w:vMerge w:val="continue"/>
                  <w:tcBorders>
                    <w:left w:val="single" w:color="auto" w:sz="4" w:space="0"/>
                    <w:right w:val="single" w:color="auto" w:sz="4" w:space="0"/>
                  </w:tcBorders>
                  <w:shd w:val="clear" w:color="auto" w:fill="auto"/>
                  <w:noWrap/>
                  <w:vAlign w:val="center"/>
                </w:tcPr>
                <w:p w14:paraId="6BEE08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712" w:type="pct"/>
                  <w:tcBorders>
                    <w:top w:val="nil"/>
                    <w:left w:val="nil"/>
                    <w:bottom w:val="single" w:color="auto" w:sz="4" w:space="0"/>
                    <w:right w:val="single" w:color="auto" w:sz="4" w:space="0"/>
                  </w:tcBorders>
                  <w:shd w:val="clear" w:color="auto" w:fill="auto"/>
                  <w:noWrap/>
                  <w:vAlign w:val="center"/>
                </w:tcPr>
                <w:p w14:paraId="1419DC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等线" w:cs="Times New Roman"/>
                      <w:i w:val="0"/>
                      <w:iCs w:val="0"/>
                      <w:color w:val="auto"/>
                      <w:kern w:val="0"/>
                      <w:sz w:val="21"/>
                      <w:szCs w:val="21"/>
                      <w:u w:val="none"/>
                      <w:lang w:val="en-US" w:eastAsia="zh-CN" w:bidi="ar"/>
                    </w:rPr>
                    <w:t>NH</w:t>
                  </w:r>
                  <w:r>
                    <w:rPr>
                      <w:rFonts w:hint="default" w:ascii="Times New Roman" w:hAnsi="Times New Roman" w:eastAsia="等线" w:cs="Times New Roman"/>
                      <w:i w:val="0"/>
                      <w:iCs w:val="0"/>
                      <w:color w:val="auto"/>
                      <w:kern w:val="0"/>
                      <w:sz w:val="21"/>
                      <w:szCs w:val="21"/>
                      <w:u w:val="none"/>
                      <w:vertAlign w:val="subscript"/>
                      <w:lang w:val="en-US" w:eastAsia="zh-CN" w:bidi="ar"/>
                    </w:rPr>
                    <w:t>3</w:t>
                  </w:r>
                  <w:r>
                    <w:rPr>
                      <w:rFonts w:hint="default" w:ascii="Times New Roman" w:hAnsi="Times New Roman" w:eastAsia="等线" w:cs="Times New Roman"/>
                      <w:i w:val="0"/>
                      <w:iCs w:val="0"/>
                      <w:color w:val="auto"/>
                      <w:kern w:val="0"/>
                      <w:sz w:val="21"/>
                      <w:szCs w:val="21"/>
                      <w:u w:val="none"/>
                      <w:lang w:val="en-US" w:eastAsia="zh-CN" w:bidi="ar"/>
                    </w:rPr>
                    <w:t>-N</w:t>
                  </w:r>
                </w:p>
              </w:tc>
              <w:tc>
                <w:tcPr>
                  <w:tcW w:w="857" w:type="pct"/>
                  <w:tcBorders>
                    <w:top w:val="nil"/>
                    <w:left w:val="nil"/>
                    <w:bottom w:val="single" w:color="auto" w:sz="4" w:space="0"/>
                    <w:right w:val="single" w:color="auto" w:sz="4" w:space="0"/>
                  </w:tcBorders>
                  <w:shd w:val="clear" w:color="auto" w:fill="auto"/>
                  <w:noWrap/>
                  <w:vAlign w:val="center"/>
                </w:tcPr>
                <w:p w14:paraId="5ECB3E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0.001</w:t>
                  </w:r>
                </w:p>
              </w:tc>
              <w:tc>
                <w:tcPr>
                  <w:tcW w:w="1098" w:type="pct"/>
                  <w:tcBorders>
                    <w:top w:val="nil"/>
                    <w:left w:val="nil"/>
                    <w:bottom w:val="single" w:color="auto" w:sz="4" w:space="0"/>
                    <w:right w:val="single" w:color="auto" w:sz="4" w:space="0"/>
                  </w:tcBorders>
                  <w:shd w:val="clear" w:color="auto" w:fill="auto"/>
                  <w:noWrap/>
                  <w:vAlign w:val="center"/>
                </w:tcPr>
                <w:p w14:paraId="69BDC2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0.001(0.0001)</w:t>
                  </w:r>
                </w:p>
              </w:tc>
              <w:tc>
                <w:tcPr>
                  <w:tcW w:w="1245" w:type="pct"/>
                  <w:tcBorders>
                    <w:top w:val="nil"/>
                    <w:left w:val="nil"/>
                    <w:bottom w:val="single" w:color="auto" w:sz="4" w:space="0"/>
                    <w:right w:val="single" w:color="auto" w:sz="4" w:space="0"/>
                  </w:tcBorders>
                  <w:shd w:val="clear" w:color="auto" w:fill="auto"/>
                  <w:noWrap/>
                  <w:vAlign w:val="center"/>
                </w:tcPr>
                <w:p w14:paraId="70AB70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0.0001(0.0001)</w:t>
                  </w:r>
                </w:p>
              </w:tc>
            </w:tr>
            <w:tr w14:paraId="7334E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53" w:type="pct"/>
                  <w:vMerge w:val="continue"/>
                  <w:tcBorders>
                    <w:top w:val="nil"/>
                    <w:left w:val="single" w:color="auto" w:sz="4" w:space="0"/>
                    <w:bottom w:val="single" w:color="auto" w:sz="4" w:space="0"/>
                    <w:right w:val="single" w:color="auto" w:sz="4" w:space="0"/>
                  </w:tcBorders>
                  <w:shd w:val="clear" w:color="auto" w:fill="auto"/>
                  <w:noWrap/>
                  <w:vAlign w:val="center"/>
                </w:tcPr>
                <w:p w14:paraId="647DFE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634" w:type="pct"/>
                  <w:vMerge w:val="continue"/>
                  <w:tcBorders>
                    <w:left w:val="single" w:color="auto" w:sz="4" w:space="0"/>
                    <w:bottom w:val="single" w:color="auto" w:sz="4" w:space="0"/>
                    <w:right w:val="single" w:color="auto" w:sz="4" w:space="0"/>
                  </w:tcBorders>
                  <w:shd w:val="clear" w:color="auto" w:fill="auto"/>
                  <w:noWrap/>
                  <w:vAlign w:val="center"/>
                </w:tcPr>
                <w:p w14:paraId="51D08F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712" w:type="pct"/>
                  <w:tcBorders>
                    <w:top w:val="nil"/>
                    <w:left w:val="nil"/>
                    <w:bottom w:val="single" w:color="auto" w:sz="4" w:space="0"/>
                    <w:right w:val="single" w:color="auto" w:sz="4" w:space="0"/>
                  </w:tcBorders>
                  <w:shd w:val="clear" w:color="auto" w:fill="auto"/>
                  <w:noWrap/>
                  <w:vAlign w:val="center"/>
                </w:tcPr>
                <w:p w14:paraId="79D9B0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eastAsia="等线" w:cs="Times New Roman"/>
                      <w:i w:val="0"/>
                      <w:iCs w:val="0"/>
                      <w:color w:val="auto"/>
                      <w:kern w:val="0"/>
                      <w:sz w:val="21"/>
                      <w:szCs w:val="21"/>
                      <w:u w:val="none"/>
                      <w:lang w:val="en-US" w:eastAsia="zh-CN" w:bidi="ar"/>
                    </w:rPr>
                    <w:t>TP</w:t>
                  </w:r>
                </w:p>
              </w:tc>
              <w:tc>
                <w:tcPr>
                  <w:tcW w:w="857" w:type="pct"/>
                  <w:tcBorders>
                    <w:top w:val="nil"/>
                    <w:left w:val="nil"/>
                    <w:bottom w:val="single" w:color="auto" w:sz="4" w:space="0"/>
                    <w:right w:val="single" w:color="auto" w:sz="4" w:space="0"/>
                  </w:tcBorders>
                  <w:shd w:val="clear" w:color="auto" w:fill="auto"/>
                  <w:noWrap/>
                  <w:vAlign w:val="center"/>
                </w:tcPr>
                <w:p w14:paraId="5039CA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0.0001</w:t>
                  </w:r>
                </w:p>
              </w:tc>
              <w:tc>
                <w:tcPr>
                  <w:tcW w:w="1098" w:type="pct"/>
                  <w:tcBorders>
                    <w:top w:val="nil"/>
                    <w:left w:val="nil"/>
                    <w:bottom w:val="single" w:color="auto" w:sz="4" w:space="0"/>
                    <w:right w:val="single" w:color="auto" w:sz="4" w:space="0"/>
                  </w:tcBorders>
                  <w:shd w:val="clear" w:color="auto" w:fill="auto"/>
                  <w:noWrap/>
                  <w:vAlign w:val="center"/>
                </w:tcPr>
                <w:p w14:paraId="0CBCEC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0.00002</w:t>
                  </w:r>
                </w:p>
              </w:tc>
              <w:tc>
                <w:tcPr>
                  <w:tcW w:w="1245" w:type="pct"/>
                  <w:tcBorders>
                    <w:top w:val="nil"/>
                    <w:left w:val="nil"/>
                    <w:bottom w:val="single" w:color="auto" w:sz="4" w:space="0"/>
                    <w:right w:val="single" w:color="auto" w:sz="4" w:space="0"/>
                  </w:tcBorders>
                  <w:shd w:val="clear" w:color="auto" w:fill="auto"/>
                  <w:noWrap/>
                  <w:vAlign w:val="center"/>
                </w:tcPr>
                <w:p w14:paraId="1E94C1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0.00008</w:t>
                  </w:r>
                </w:p>
              </w:tc>
            </w:tr>
            <w:tr w14:paraId="589D7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53" w:type="pct"/>
                  <w:vMerge w:val="continue"/>
                  <w:tcBorders>
                    <w:top w:val="nil"/>
                    <w:left w:val="single" w:color="auto" w:sz="4" w:space="0"/>
                    <w:bottom w:val="single" w:color="auto" w:sz="4" w:space="0"/>
                    <w:right w:val="single" w:color="auto" w:sz="4" w:space="0"/>
                  </w:tcBorders>
                  <w:shd w:val="clear" w:color="auto" w:fill="auto"/>
                  <w:noWrap/>
                  <w:vAlign w:val="center"/>
                </w:tcPr>
                <w:p w14:paraId="51B67A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634" w:type="pct"/>
                  <w:vMerge w:val="restart"/>
                  <w:tcBorders>
                    <w:top w:val="nil"/>
                    <w:left w:val="single" w:color="auto" w:sz="4" w:space="0"/>
                    <w:bottom w:val="single" w:color="auto" w:sz="4" w:space="0"/>
                    <w:right w:val="single" w:color="auto" w:sz="4" w:space="0"/>
                  </w:tcBorders>
                  <w:shd w:val="clear" w:color="auto" w:fill="auto"/>
                  <w:noWrap/>
                  <w:vAlign w:val="center"/>
                </w:tcPr>
                <w:p w14:paraId="221E40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生活污水</w:t>
                  </w:r>
                </w:p>
              </w:tc>
              <w:tc>
                <w:tcPr>
                  <w:tcW w:w="712" w:type="pct"/>
                  <w:tcBorders>
                    <w:top w:val="nil"/>
                    <w:left w:val="nil"/>
                    <w:bottom w:val="single" w:color="auto" w:sz="4" w:space="0"/>
                    <w:right w:val="single" w:color="auto" w:sz="4" w:space="0"/>
                  </w:tcBorders>
                  <w:shd w:val="clear" w:color="auto" w:fill="auto"/>
                  <w:noWrap/>
                  <w:vAlign w:val="center"/>
                </w:tcPr>
                <w:p w14:paraId="353DB0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废水量</w:t>
                  </w:r>
                </w:p>
              </w:tc>
              <w:tc>
                <w:tcPr>
                  <w:tcW w:w="857" w:type="pct"/>
                  <w:tcBorders>
                    <w:top w:val="nil"/>
                    <w:left w:val="nil"/>
                    <w:bottom w:val="single" w:color="auto" w:sz="4" w:space="0"/>
                    <w:right w:val="single" w:color="auto" w:sz="4" w:space="0"/>
                  </w:tcBorders>
                  <w:shd w:val="clear" w:color="auto" w:fill="auto"/>
                  <w:noWrap/>
                  <w:vAlign w:val="center"/>
                </w:tcPr>
                <w:p w14:paraId="1E60EC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eastAsia" w:cs="Times New Roman"/>
                      <w:i w:val="0"/>
                      <w:iCs w:val="0"/>
                      <w:color w:val="000000"/>
                      <w:kern w:val="0"/>
                      <w:sz w:val="21"/>
                      <w:szCs w:val="21"/>
                      <w:u w:val="none"/>
                      <w:lang w:val="en-US" w:eastAsia="zh-CN" w:bidi="ar"/>
                    </w:rPr>
                    <w:t>396.8</w:t>
                  </w:r>
                </w:p>
              </w:tc>
              <w:tc>
                <w:tcPr>
                  <w:tcW w:w="1098" w:type="pct"/>
                  <w:tcBorders>
                    <w:top w:val="nil"/>
                    <w:left w:val="nil"/>
                    <w:bottom w:val="single" w:color="auto" w:sz="4" w:space="0"/>
                    <w:right w:val="single" w:color="auto" w:sz="4" w:space="0"/>
                  </w:tcBorders>
                  <w:shd w:val="clear" w:color="auto" w:fill="auto"/>
                  <w:noWrap/>
                  <w:vAlign w:val="center"/>
                </w:tcPr>
                <w:p w14:paraId="5559EF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eastAsia" w:cs="Times New Roman"/>
                      <w:i w:val="0"/>
                      <w:iCs w:val="0"/>
                      <w:color w:val="000000"/>
                      <w:kern w:val="0"/>
                      <w:sz w:val="21"/>
                      <w:szCs w:val="21"/>
                      <w:u w:val="none"/>
                      <w:lang w:val="en-US" w:eastAsia="zh-CN" w:bidi="ar"/>
                    </w:rPr>
                    <w:t>/</w:t>
                  </w:r>
                </w:p>
              </w:tc>
              <w:tc>
                <w:tcPr>
                  <w:tcW w:w="1245" w:type="pct"/>
                  <w:tcBorders>
                    <w:top w:val="nil"/>
                    <w:left w:val="nil"/>
                    <w:bottom w:val="single" w:color="auto" w:sz="4" w:space="0"/>
                    <w:right w:val="single" w:color="auto" w:sz="4" w:space="0"/>
                  </w:tcBorders>
                  <w:shd w:val="clear" w:color="auto" w:fill="auto"/>
                  <w:noWrap/>
                  <w:vAlign w:val="center"/>
                </w:tcPr>
                <w:p w14:paraId="56995E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eastAsia" w:cs="Times New Roman"/>
                      <w:i w:val="0"/>
                      <w:iCs w:val="0"/>
                      <w:color w:val="000000"/>
                      <w:kern w:val="0"/>
                      <w:sz w:val="21"/>
                      <w:szCs w:val="21"/>
                      <w:u w:val="none"/>
                      <w:lang w:val="en-US" w:eastAsia="zh-CN" w:bidi="ar"/>
                    </w:rPr>
                    <w:t>396.8</w:t>
                  </w:r>
                </w:p>
              </w:tc>
            </w:tr>
            <w:tr w14:paraId="4D562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453" w:type="pct"/>
                  <w:vMerge w:val="continue"/>
                  <w:tcBorders>
                    <w:top w:val="nil"/>
                    <w:left w:val="single" w:color="auto" w:sz="4" w:space="0"/>
                    <w:bottom w:val="single" w:color="auto" w:sz="4" w:space="0"/>
                    <w:right w:val="single" w:color="auto" w:sz="4" w:space="0"/>
                  </w:tcBorders>
                  <w:shd w:val="clear" w:color="auto" w:fill="auto"/>
                  <w:noWrap/>
                  <w:vAlign w:val="center"/>
                </w:tcPr>
                <w:p w14:paraId="189806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634" w:type="pct"/>
                  <w:vMerge w:val="continue"/>
                  <w:tcBorders>
                    <w:top w:val="nil"/>
                    <w:left w:val="single" w:color="auto" w:sz="4" w:space="0"/>
                    <w:bottom w:val="single" w:color="auto" w:sz="4" w:space="0"/>
                    <w:right w:val="single" w:color="auto" w:sz="4" w:space="0"/>
                  </w:tcBorders>
                  <w:shd w:val="clear" w:color="auto" w:fill="auto"/>
                  <w:noWrap/>
                  <w:vAlign w:val="center"/>
                </w:tcPr>
                <w:p w14:paraId="309D02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712" w:type="pct"/>
                  <w:tcBorders>
                    <w:top w:val="nil"/>
                    <w:left w:val="nil"/>
                    <w:bottom w:val="single" w:color="auto" w:sz="4" w:space="0"/>
                    <w:right w:val="single" w:color="auto" w:sz="4" w:space="0"/>
                  </w:tcBorders>
                  <w:shd w:val="clear" w:color="auto" w:fill="auto"/>
                  <w:noWrap/>
                  <w:vAlign w:val="center"/>
                </w:tcPr>
                <w:p w14:paraId="43AF7B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COD</w:t>
                  </w:r>
                </w:p>
              </w:tc>
              <w:tc>
                <w:tcPr>
                  <w:tcW w:w="857" w:type="pct"/>
                  <w:tcBorders>
                    <w:top w:val="nil"/>
                    <w:left w:val="nil"/>
                    <w:bottom w:val="single" w:color="auto" w:sz="4" w:space="0"/>
                    <w:right w:val="single" w:color="auto" w:sz="4" w:space="0"/>
                  </w:tcBorders>
                  <w:shd w:val="clear" w:color="auto" w:fill="auto"/>
                  <w:noWrap/>
                  <w:vAlign w:val="center"/>
                </w:tcPr>
                <w:p w14:paraId="4A61EB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eastAsia" w:cs="Times New Roman"/>
                      <w:i w:val="0"/>
                      <w:iCs w:val="0"/>
                      <w:color w:val="000000"/>
                      <w:kern w:val="0"/>
                      <w:sz w:val="21"/>
                      <w:szCs w:val="21"/>
                      <w:u w:val="none"/>
                      <w:lang w:val="en-US" w:eastAsia="zh-CN" w:bidi="ar"/>
                    </w:rPr>
                    <w:t>0.139</w:t>
                  </w:r>
                </w:p>
              </w:tc>
              <w:tc>
                <w:tcPr>
                  <w:tcW w:w="1098" w:type="pct"/>
                  <w:tcBorders>
                    <w:top w:val="nil"/>
                    <w:left w:val="nil"/>
                    <w:bottom w:val="single" w:color="auto" w:sz="4" w:space="0"/>
                    <w:right w:val="single" w:color="auto" w:sz="4" w:space="0"/>
                  </w:tcBorders>
                  <w:shd w:val="clear" w:color="auto" w:fill="auto"/>
                  <w:noWrap/>
                  <w:vAlign w:val="center"/>
                </w:tcPr>
                <w:p w14:paraId="49AC28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eastAsia="zh-CN"/>
                    </w:rPr>
                  </w:pPr>
                  <w:r>
                    <w:rPr>
                      <w:rFonts w:hint="eastAsia" w:cs="Times New Roman"/>
                      <w:i w:val="0"/>
                      <w:iCs w:val="0"/>
                      <w:color w:val="000000"/>
                      <w:sz w:val="21"/>
                      <w:szCs w:val="21"/>
                      <w:u w:val="none"/>
                      <w:lang w:val="en-US" w:eastAsia="zh-CN"/>
                    </w:rPr>
                    <w:t>0.123(0.125)</w:t>
                  </w:r>
                </w:p>
              </w:tc>
              <w:tc>
                <w:tcPr>
                  <w:tcW w:w="1245" w:type="pct"/>
                  <w:tcBorders>
                    <w:top w:val="nil"/>
                    <w:left w:val="nil"/>
                    <w:bottom w:val="single" w:color="auto" w:sz="4" w:space="0"/>
                    <w:right w:val="single" w:color="auto" w:sz="4" w:space="0"/>
                  </w:tcBorders>
                  <w:shd w:val="clear" w:color="auto" w:fill="auto"/>
                  <w:noWrap/>
                  <w:vAlign w:val="center"/>
                </w:tcPr>
                <w:p w14:paraId="2D6C75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eastAsia" w:cs="Times New Roman"/>
                      <w:i w:val="0"/>
                      <w:iCs w:val="0"/>
                      <w:color w:val="000000"/>
                      <w:kern w:val="0"/>
                      <w:sz w:val="21"/>
                      <w:szCs w:val="21"/>
                      <w:u w:val="none"/>
                      <w:lang w:val="en-US" w:eastAsia="zh-CN" w:bidi="ar"/>
                    </w:rPr>
                    <w:t>0.016(0.014)</w:t>
                  </w:r>
                </w:p>
              </w:tc>
            </w:tr>
            <w:tr w14:paraId="070AA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453" w:type="pct"/>
                  <w:vMerge w:val="continue"/>
                  <w:tcBorders>
                    <w:top w:val="nil"/>
                    <w:left w:val="single" w:color="auto" w:sz="4" w:space="0"/>
                    <w:bottom w:val="single" w:color="auto" w:sz="4" w:space="0"/>
                    <w:right w:val="single" w:color="auto" w:sz="4" w:space="0"/>
                  </w:tcBorders>
                  <w:shd w:val="clear" w:color="auto" w:fill="auto"/>
                  <w:noWrap/>
                  <w:vAlign w:val="center"/>
                </w:tcPr>
                <w:p w14:paraId="6A073A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634" w:type="pct"/>
                  <w:vMerge w:val="continue"/>
                  <w:tcBorders>
                    <w:top w:val="nil"/>
                    <w:left w:val="single" w:color="auto" w:sz="4" w:space="0"/>
                    <w:bottom w:val="single" w:color="auto" w:sz="4" w:space="0"/>
                    <w:right w:val="single" w:color="auto" w:sz="4" w:space="0"/>
                  </w:tcBorders>
                  <w:shd w:val="clear" w:color="auto" w:fill="auto"/>
                  <w:noWrap/>
                  <w:vAlign w:val="center"/>
                </w:tcPr>
                <w:p w14:paraId="1D5E59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712" w:type="pct"/>
                  <w:tcBorders>
                    <w:top w:val="nil"/>
                    <w:left w:val="nil"/>
                    <w:bottom w:val="single" w:color="auto" w:sz="4" w:space="0"/>
                    <w:right w:val="single" w:color="auto" w:sz="4" w:space="0"/>
                  </w:tcBorders>
                  <w:shd w:val="clear" w:color="auto" w:fill="auto"/>
                  <w:noWrap/>
                  <w:vAlign w:val="center"/>
                </w:tcPr>
                <w:p w14:paraId="5CEB37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氨氮</w:t>
                  </w:r>
                </w:p>
              </w:tc>
              <w:tc>
                <w:tcPr>
                  <w:tcW w:w="857" w:type="pct"/>
                  <w:tcBorders>
                    <w:top w:val="nil"/>
                    <w:left w:val="nil"/>
                    <w:bottom w:val="single" w:color="auto" w:sz="4" w:space="0"/>
                    <w:right w:val="single" w:color="auto" w:sz="4" w:space="0"/>
                  </w:tcBorders>
                  <w:shd w:val="clear" w:color="auto" w:fill="auto"/>
                  <w:noWrap/>
                  <w:vAlign w:val="center"/>
                </w:tcPr>
                <w:p w14:paraId="70DF3E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eastAsia" w:cs="Times New Roman"/>
                      <w:i w:val="0"/>
                      <w:iCs w:val="0"/>
                      <w:color w:val="000000"/>
                      <w:kern w:val="0"/>
                      <w:sz w:val="21"/>
                      <w:szCs w:val="21"/>
                      <w:u w:val="none"/>
                      <w:lang w:val="en-US" w:eastAsia="zh-CN" w:bidi="ar"/>
                    </w:rPr>
                    <w:t>0.014</w:t>
                  </w:r>
                </w:p>
              </w:tc>
              <w:tc>
                <w:tcPr>
                  <w:tcW w:w="1098" w:type="pct"/>
                  <w:tcBorders>
                    <w:top w:val="nil"/>
                    <w:left w:val="nil"/>
                    <w:bottom w:val="single" w:color="auto" w:sz="4" w:space="0"/>
                    <w:right w:val="single" w:color="auto" w:sz="4" w:space="0"/>
                  </w:tcBorders>
                  <w:shd w:val="clear" w:color="auto" w:fill="auto"/>
                  <w:noWrap/>
                  <w:vAlign w:val="center"/>
                </w:tcPr>
                <w:p w14:paraId="4AA98D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eastAsia="zh-CN"/>
                    </w:rPr>
                  </w:pPr>
                  <w:r>
                    <w:rPr>
                      <w:rFonts w:hint="eastAsia" w:cs="Times New Roman"/>
                      <w:i w:val="0"/>
                      <w:iCs w:val="0"/>
                      <w:color w:val="000000"/>
                      <w:sz w:val="21"/>
                      <w:szCs w:val="21"/>
                      <w:u w:val="none"/>
                      <w:lang w:val="en-US" w:eastAsia="zh-CN"/>
                    </w:rPr>
                    <w:t>0.013(0.013)</w:t>
                  </w:r>
                </w:p>
              </w:tc>
              <w:tc>
                <w:tcPr>
                  <w:tcW w:w="1245" w:type="pct"/>
                  <w:tcBorders>
                    <w:top w:val="nil"/>
                    <w:left w:val="nil"/>
                    <w:bottom w:val="single" w:color="auto" w:sz="4" w:space="0"/>
                    <w:right w:val="single" w:color="auto" w:sz="4" w:space="0"/>
                  </w:tcBorders>
                  <w:shd w:val="clear" w:color="auto" w:fill="auto"/>
                  <w:noWrap/>
                  <w:vAlign w:val="center"/>
                </w:tcPr>
                <w:p w14:paraId="480040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w:t>
                  </w:r>
                  <w:r>
                    <w:rPr>
                      <w:rFonts w:hint="eastAsia" w:cs="Times New Roman"/>
                      <w:i w:val="0"/>
                      <w:iCs w:val="0"/>
                      <w:color w:val="000000"/>
                      <w:kern w:val="0"/>
                      <w:sz w:val="21"/>
                      <w:szCs w:val="21"/>
                      <w:u w:val="none"/>
                      <w:lang w:val="en-US" w:eastAsia="zh-CN" w:bidi="ar"/>
                    </w:rPr>
                    <w:t>1(0.001)</w:t>
                  </w:r>
                </w:p>
              </w:tc>
            </w:tr>
            <w:tr w14:paraId="48A1F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7" w:type="pct"/>
                  <w:gridSpan w:val="2"/>
                  <w:vMerge w:val="restart"/>
                  <w:tcBorders>
                    <w:top w:val="single" w:color="auto" w:sz="4" w:space="0"/>
                    <w:left w:val="single" w:color="auto" w:sz="4" w:space="0"/>
                    <w:right w:val="single" w:color="auto" w:sz="4" w:space="0"/>
                  </w:tcBorders>
                  <w:shd w:val="clear" w:color="auto" w:fill="auto"/>
                  <w:noWrap/>
                  <w:vAlign w:val="center"/>
                </w:tcPr>
                <w:p w14:paraId="38D522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废水合计</w:t>
                  </w:r>
                </w:p>
              </w:tc>
              <w:tc>
                <w:tcPr>
                  <w:tcW w:w="712" w:type="pct"/>
                  <w:tcBorders>
                    <w:top w:val="nil"/>
                    <w:left w:val="nil"/>
                    <w:bottom w:val="single" w:color="auto" w:sz="4" w:space="0"/>
                    <w:right w:val="single" w:color="auto" w:sz="4" w:space="0"/>
                  </w:tcBorders>
                  <w:shd w:val="clear" w:color="auto" w:fill="auto"/>
                  <w:noWrap/>
                  <w:vAlign w:val="center"/>
                </w:tcPr>
                <w:p w14:paraId="2BE85E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废水量</w:t>
                  </w:r>
                </w:p>
              </w:tc>
              <w:tc>
                <w:tcPr>
                  <w:tcW w:w="857" w:type="pct"/>
                  <w:tcBorders>
                    <w:top w:val="nil"/>
                    <w:left w:val="nil"/>
                    <w:bottom w:val="single" w:color="auto" w:sz="4" w:space="0"/>
                    <w:right w:val="single" w:color="auto" w:sz="4" w:space="0"/>
                  </w:tcBorders>
                  <w:shd w:val="clear" w:color="auto" w:fill="auto"/>
                  <w:noWrap/>
                  <w:vAlign w:val="center"/>
                </w:tcPr>
                <w:p w14:paraId="4A1BD8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eastAsia" w:cs="Times New Roman"/>
                      <w:i w:val="0"/>
                      <w:iCs w:val="0"/>
                      <w:color w:val="000000"/>
                      <w:kern w:val="0"/>
                      <w:sz w:val="21"/>
                      <w:szCs w:val="21"/>
                      <w:u w:val="none"/>
                      <w:lang w:val="en-US" w:eastAsia="zh-CN" w:bidi="ar"/>
                    </w:rPr>
                    <w:t>444.617</w:t>
                  </w:r>
                </w:p>
              </w:tc>
              <w:tc>
                <w:tcPr>
                  <w:tcW w:w="1098" w:type="pct"/>
                  <w:tcBorders>
                    <w:top w:val="nil"/>
                    <w:left w:val="nil"/>
                    <w:bottom w:val="single" w:color="auto" w:sz="4" w:space="0"/>
                    <w:right w:val="single" w:color="auto" w:sz="4" w:space="0"/>
                  </w:tcBorders>
                  <w:shd w:val="clear" w:color="auto" w:fill="auto"/>
                  <w:noWrap/>
                  <w:vAlign w:val="center"/>
                </w:tcPr>
                <w:p w14:paraId="24DC7B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1245" w:type="pct"/>
                  <w:tcBorders>
                    <w:top w:val="nil"/>
                    <w:left w:val="nil"/>
                    <w:bottom w:val="single" w:color="auto" w:sz="4" w:space="0"/>
                    <w:right w:val="single" w:color="auto" w:sz="4" w:space="0"/>
                  </w:tcBorders>
                  <w:shd w:val="clear" w:color="auto" w:fill="auto"/>
                  <w:noWrap/>
                  <w:vAlign w:val="center"/>
                </w:tcPr>
                <w:p w14:paraId="0FEE47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eastAsia" w:cs="Times New Roman"/>
                      <w:i w:val="0"/>
                      <w:iCs w:val="0"/>
                      <w:color w:val="000000"/>
                      <w:kern w:val="0"/>
                      <w:sz w:val="21"/>
                      <w:szCs w:val="21"/>
                      <w:u w:val="none"/>
                      <w:lang w:val="en-US" w:eastAsia="zh-CN" w:bidi="ar"/>
                    </w:rPr>
                    <w:t>444.617</w:t>
                  </w:r>
                </w:p>
              </w:tc>
            </w:tr>
            <w:tr w14:paraId="2AFA7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7" w:type="pct"/>
                  <w:gridSpan w:val="2"/>
                  <w:vMerge w:val="continue"/>
                  <w:tcBorders>
                    <w:left w:val="single" w:color="auto" w:sz="4" w:space="0"/>
                    <w:right w:val="single" w:color="auto" w:sz="4" w:space="0"/>
                  </w:tcBorders>
                  <w:shd w:val="clear" w:color="auto" w:fill="auto"/>
                  <w:noWrap/>
                  <w:vAlign w:val="center"/>
                </w:tcPr>
                <w:p w14:paraId="1807F3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712" w:type="pct"/>
                  <w:tcBorders>
                    <w:top w:val="nil"/>
                    <w:left w:val="nil"/>
                    <w:bottom w:val="single" w:color="auto" w:sz="4" w:space="0"/>
                    <w:right w:val="single" w:color="auto" w:sz="4" w:space="0"/>
                  </w:tcBorders>
                  <w:shd w:val="clear" w:color="auto" w:fill="auto"/>
                  <w:noWrap/>
                  <w:vAlign w:val="center"/>
                </w:tcPr>
                <w:p w14:paraId="01505B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COD</w:t>
                  </w:r>
                </w:p>
              </w:tc>
              <w:tc>
                <w:tcPr>
                  <w:tcW w:w="857" w:type="pct"/>
                  <w:tcBorders>
                    <w:top w:val="nil"/>
                    <w:left w:val="nil"/>
                    <w:bottom w:val="single" w:color="auto" w:sz="4" w:space="0"/>
                    <w:right w:val="single" w:color="auto" w:sz="4" w:space="0"/>
                  </w:tcBorders>
                  <w:shd w:val="clear" w:color="auto" w:fill="auto"/>
                  <w:noWrap/>
                  <w:vAlign w:val="center"/>
                </w:tcPr>
                <w:p w14:paraId="75DE23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eastAsia" w:cs="Times New Roman"/>
                      <w:i w:val="0"/>
                      <w:iCs w:val="0"/>
                      <w:color w:val="000000"/>
                      <w:kern w:val="0"/>
                      <w:sz w:val="21"/>
                      <w:szCs w:val="21"/>
                      <w:u w:val="none"/>
                      <w:lang w:val="en-US" w:eastAsia="zh-CN" w:bidi="ar"/>
                    </w:rPr>
                    <w:t>0.153</w:t>
                  </w:r>
                </w:p>
              </w:tc>
              <w:tc>
                <w:tcPr>
                  <w:tcW w:w="1098" w:type="pct"/>
                  <w:tcBorders>
                    <w:top w:val="nil"/>
                    <w:left w:val="nil"/>
                    <w:bottom w:val="single" w:color="auto" w:sz="4" w:space="0"/>
                    <w:right w:val="single" w:color="auto" w:sz="4" w:space="0"/>
                  </w:tcBorders>
                  <w:shd w:val="clear" w:color="auto" w:fill="auto"/>
                  <w:noWrap/>
                  <w:vAlign w:val="center"/>
                </w:tcPr>
                <w:p w14:paraId="39DD24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eastAsia="zh-CN"/>
                    </w:rPr>
                  </w:pPr>
                  <w:r>
                    <w:rPr>
                      <w:rFonts w:hint="eastAsia" w:cs="Times New Roman"/>
                      <w:i w:val="0"/>
                      <w:iCs w:val="0"/>
                      <w:color w:val="000000"/>
                      <w:sz w:val="21"/>
                      <w:szCs w:val="21"/>
                      <w:u w:val="none"/>
                      <w:lang w:val="en-US" w:eastAsia="zh-CN"/>
                    </w:rPr>
                    <w:t>0.135(0.137)</w:t>
                  </w:r>
                </w:p>
              </w:tc>
              <w:tc>
                <w:tcPr>
                  <w:tcW w:w="1245" w:type="pct"/>
                  <w:tcBorders>
                    <w:top w:val="nil"/>
                    <w:left w:val="nil"/>
                    <w:bottom w:val="single" w:color="auto" w:sz="4" w:space="0"/>
                    <w:right w:val="single" w:color="auto" w:sz="4" w:space="0"/>
                  </w:tcBorders>
                  <w:shd w:val="clear" w:color="auto" w:fill="auto"/>
                  <w:noWrap/>
                  <w:vAlign w:val="center"/>
                </w:tcPr>
                <w:p w14:paraId="535FFD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eastAsia="zh-CN"/>
                    </w:rPr>
                  </w:pPr>
                  <w:r>
                    <w:rPr>
                      <w:rFonts w:hint="eastAsia" w:cs="Times New Roman"/>
                      <w:i w:val="0"/>
                      <w:iCs w:val="0"/>
                      <w:color w:val="000000"/>
                      <w:sz w:val="21"/>
                      <w:szCs w:val="21"/>
                      <w:u w:val="none"/>
                      <w:lang w:val="en-US" w:eastAsia="zh-CN"/>
                    </w:rPr>
                    <w:t>0.018(0.016)</w:t>
                  </w:r>
                </w:p>
              </w:tc>
            </w:tr>
            <w:tr w14:paraId="57052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7" w:type="pct"/>
                  <w:gridSpan w:val="2"/>
                  <w:vMerge w:val="continue"/>
                  <w:tcBorders>
                    <w:left w:val="single" w:color="auto" w:sz="4" w:space="0"/>
                    <w:right w:val="single" w:color="auto" w:sz="4" w:space="0"/>
                  </w:tcBorders>
                  <w:shd w:val="clear" w:color="auto" w:fill="auto"/>
                  <w:noWrap/>
                  <w:vAlign w:val="center"/>
                </w:tcPr>
                <w:p w14:paraId="2E5033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712" w:type="pct"/>
                  <w:tcBorders>
                    <w:top w:val="nil"/>
                    <w:left w:val="nil"/>
                    <w:bottom w:val="single" w:color="auto" w:sz="4" w:space="0"/>
                    <w:right w:val="single" w:color="auto" w:sz="4" w:space="0"/>
                  </w:tcBorders>
                  <w:shd w:val="clear" w:color="auto" w:fill="auto"/>
                  <w:noWrap/>
                  <w:vAlign w:val="center"/>
                </w:tcPr>
                <w:p w14:paraId="3A6CAA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氨氮</w:t>
                  </w:r>
                </w:p>
              </w:tc>
              <w:tc>
                <w:tcPr>
                  <w:tcW w:w="857" w:type="pct"/>
                  <w:tcBorders>
                    <w:top w:val="nil"/>
                    <w:left w:val="nil"/>
                    <w:bottom w:val="single" w:color="auto" w:sz="4" w:space="0"/>
                    <w:right w:val="single" w:color="auto" w:sz="4" w:space="0"/>
                  </w:tcBorders>
                  <w:shd w:val="clear" w:color="auto" w:fill="auto"/>
                  <w:noWrap/>
                  <w:vAlign w:val="center"/>
                </w:tcPr>
                <w:p w14:paraId="76FF1C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eastAsia" w:cs="Times New Roman"/>
                      <w:i w:val="0"/>
                      <w:iCs w:val="0"/>
                      <w:color w:val="000000"/>
                      <w:kern w:val="0"/>
                      <w:sz w:val="21"/>
                      <w:szCs w:val="21"/>
                      <w:u w:val="none"/>
                      <w:lang w:val="en-US" w:eastAsia="zh-CN" w:bidi="ar"/>
                    </w:rPr>
                    <w:t>0.015</w:t>
                  </w:r>
                </w:p>
              </w:tc>
              <w:tc>
                <w:tcPr>
                  <w:tcW w:w="1098" w:type="pct"/>
                  <w:tcBorders>
                    <w:top w:val="nil"/>
                    <w:left w:val="nil"/>
                    <w:bottom w:val="single" w:color="auto" w:sz="4" w:space="0"/>
                    <w:right w:val="single" w:color="auto" w:sz="4" w:space="0"/>
                  </w:tcBorders>
                  <w:shd w:val="clear" w:color="auto" w:fill="auto"/>
                  <w:noWrap/>
                  <w:vAlign w:val="center"/>
                </w:tcPr>
                <w:p w14:paraId="53013E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eastAsia="zh-CN"/>
                    </w:rPr>
                  </w:pPr>
                  <w:r>
                    <w:rPr>
                      <w:rFonts w:hint="eastAsia" w:cs="Times New Roman"/>
                      <w:i w:val="0"/>
                      <w:iCs w:val="0"/>
                      <w:color w:val="000000"/>
                      <w:sz w:val="21"/>
                      <w:szCs w:val="21"/>
                      <w:u w:val="none"/>
                      <w:lang w:val="en-US" w:eastAsia="zh-CN"/>
                    </w:rPr>
                    <w:t>0.014(0.013)</w:t>
                  </w:r>
                </w:p>
              </w:tc>
              <w:tc>
                <w:tcPr>
                  <w:tcW w:w="1245" w:type="pct"/>
                  <w:tcBorders>
                    <w:top w:val="nil"/>
                    <w:left w:val="nil"/>
                    <w:bottom w:val="single" w:color="auto" w:sz="4" w:space="0"/>
                    <w:right w:val="single" w:color="auto" w:sz="4" w:space="0"/>
                  </w:tcBorders>
                  <w:shd w:val="clear" w:color="auto" w:fill="auto"/>
                  <w:noWrap/>
                  <w:vAlign w:val="center"/>
                </w:tcPr>
                <w:p w14:paraId="789272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eastAsia="zh-CN"/>
                    </w:rPr>
                  </w:pPr>
                  <w:r>
                    <w:rPr>
                      <w:rFonts w:hint="eastAsia" w:cs="Times New Roman"/>
                      <w:i w:val="0"/>
                      <w:iCs w:val="0"/>
                      <w:color w:val="000000"/>
                      <w:sz w:val="21"/>
                      <w:szCs w:val="21"/>
                      <w:u w:val="none"/>
                      <w:lang w:val="en-US" w:eastAsia="zh-CN"/>
                    </w:rPr>
                    <w:t>0.001(0.001)</w:t>
                  </w:r>
                </w:p>
              </w:tc>
            </w:tr>
            <w:tr w14:paraId="0F242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7" w:type="pct"/>
                  <w:gridSpan w:val="2"/>
                  <w:vMerge w:val="continue"/>
                  <w:tcBorders>
                    <w:left w:val="single" w:color="auto" w:sz="4" w:space="0"/>
                    <w:bottom w:val="single" w:color="auto" w:sz="4" w:space="0"/>
                    <w:right w:val="single" w:color="auto" w:sz="4" w:space="0"/>
                  </w:tcBorders>
                  <w:shd w:val="clear" w:color="auto" w:fill="auto"/>
                  <w:noWrap/>
                  <w:vAlign w:val="center"/>
                </w:tcPr>
                <w:p w14:paraId="2C5915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712" w:type="pct"/>
                  <w:tcBorders>
                    <w:top w:val="nil"/>
                    <w:left w:val="nil"/>
                    <w:bottom w:val="single" w:color="auto" w:sz="4" w:space="0"/>
                    <w:right w:val="single" w:color="auto" w:sz="4" w:space="0"/>
                  </w:tcBorders>
                  <w:shd w:val="clear" w:color="auto" w:fill="auto"/>
                  <w:noWrap/>
                  <w:vAlign w:val="center"/>
                </w:tcPr>
                <w:p w14:paraId="0C5FE4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eastAsia="等线" w:cs="Times New Roman"/>
                      <w:i w:val="0"/>
                      <w:iCs w:val="0"/>
                      <w:color w:val="auto"/>
                      <w:kern w:val="0"/>
                      <w:sz w:val="21"/>
                      <w:szCs w:val="21"/>
                      <w:u w:val="none"/>
                      <w:lang w:val="en-US" w:eastAsia="zh-CN" w:bidi="ar"/>
                    </w:rPr>
                    <w:t>TP</w:t>
                  </w:r>
                </w:p>
              </w:tc>
              <w:tc>
                <w:tcPr>
                  <w:tcW w:w="857" w:type="pct"/>
                  <w:tcBorders>
                    <w:top w:val="nil"/>
                    <w:left w:val="nil"/>
                    <w:bottom w:val="single" w:color="auto" w:sz="4" w:space="0"/>
                    <w:right w:val="single" w:color="auto" w:sz="4" w:space="0"/>
                  </w:tcBorders>
                  <w:shd w:val="clear" w:color="auto" w:fill="auto"/>
                  <w:noWrap/>
                  <w:vAlign w:val="center"/>
                </w:tcPr>
                <w:p w14:paraId="012444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0.0001</w:t>
                  </w:r>
                </w:p>
              </w:tc>
              <w:tc>
                <w:tcPr>
                  <w:tcW w:w="1098" w:type="pct"/>
                  <w:tcBorders>
                    <w:top w:val="nil"/>
                    <w:left w:val="nil"/>
                    <w:bottom w:val="single" w:color="auto" w:sz="4" w:space="0"/>
                    <w:right w:val="single" w:color="auto" w:sz="4" w:space="0"/>
                  </w:tcBorders>
                  <w:shd w:val="clear" w:color="auto" w:fill="auto"/>
                  <w:noWrap/>
                  <w:vAlign w:val="center"/>
                </w:tcPr>
                <w:p w14:paraId="083048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cs="Times New Roman"/>
                      <w:i w:val="0"/>
                      <w:iCs w:val="0"/>
                      <w:color w:val="000000"/>
                      <w:sz w:val="21"/>
                      <w:szCs w:val="21"/>
                      <w:u w:val="none"/>
                      <w:lang w:val="en-US" w:eastAsia="zh-CN"/>
                    </w:rPr>
                  </w:pPr>
                  <w:r>
                    <w:rPr>
                      <w:rFonts w:hint="eastAsia" w:cs="Times New Roman"/>
                      <w:i w:val="0"/>
                      <w:iCs w:val="0"/>
                      <w:color w:val="000000"/>
                      <w:kern w:val="0"/>
                      <w:sz w:val="21"/>
                      <w:szCs w:val="21"/>
                      <w:u w:val="none"/>
                      <w:lang w:val="en-US" w:eastAsia="zh-CN" w:bidi="ar"/>
                    </w:rPr>
                    <w:t>0.00002</w:t>
                  </w:r>
                </w:p>
              </w:tc>
              <w:tc>
                <w:tcPr>
                  <w:tcW w:w="1245" w:type="pct"/>
                  <w:tcBorders>
                    <w:top w:val="nil"/>
                    <w:left w:val="nil"/>
                    <w:bottom w:val="single" w:color="auto" w:sz="4" w:space="0"/>
                    <w:right w:val="single" w:color="auto" w:sz="4" w:space="0"/>
                  </w:tcBorders>
                  <w:shd w:val="clear" w:color="auto" w:fill="auto"/>
                  <w:noWrap/>
                  <w:vAlign w:val="center"/>
                </w:tcPr>
                <w:p w14:paraId="4ADC8F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cs="Times New Roman"/>
                      <w:i w:val="0"/>
                      <w:iCs w:val="0"/>
                      <w:color w:val="000000"/>
                      <w:sz w:val="21"/>
                      <w:szCs w:val="21"/>
                      <w:u w:val="none"/>
                      <w:lang w:val="en-US" w:eastAsia="zh-CN"/>
                    </w:rPr>
                  </w:pPr>
                  <w:r>
                    <w:rPr>
                      <w:rFonts w:hint="eastAsia" w:cs="Times New Roman"/>
                      <w:i w:val="0"/>
                      <w:iCs w:val="0"/>
                      <w:color w:val="000000"/>
                      <w:kern w:val="0"/>
                      <w:sz w:val="21"/>
                      <w:szCs w:val="21"/>
                      <w:u w:val="none"/>
                      <w:lang w:val="en-US" w:eastAsia="zh-CN" w:bidi="ar"/>
                    </w:rPr>
                    <w:t>0.00008</w:t>
                  </w:r>
                </w:p>
              </w:tc>
            </w:tr>
            <w:tr w14:paraId="0519C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087"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E48C3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废气</w:t>
                  </w:r>
                </w:p>
              </w:tc>
              <w:tc>
                <w:tcPr>
                  <w:tcW w:w="712" w:type="pct"/>
                  <w:tcBorders>
                    <w:top w:val="nil"/>
                    <w:left w:val="nil"/>
                    <w:bottom w:val="single" w:color="auto" w:sz="4" w:space="0"/>
                    <w:right w:val="single" w:color="auto" w:sz="4" w:space="0"/>
                  </w:tcBorders>
                  <w:shd w:val="clear" w:color="auto" w:fill="auto"/>
                  <w:noWrap/>
                  <w:vAlign w:val="center"/>
                </w:tcPr>
                <w:p w14:paraId="185C65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VOCs</w:t>
                  </w:r>
                </w:p>
              </w:tc>
              <w:tc>
                <w:tcPr>
                  <w:tcW w:w="857" w:type="pct"/>
                  <w:tcBorders>
                    <w:top w:val="nil"/>
                    <w:left w:val="nil"/>
                    <w:bottom w:val="single" w:color="auto" w:sz="4" w:space="0"/>
                    <w:right w:val="single" w:color="auto" w:sz="4" w:space="0"/>
                  </w:tcBorders>
                  <w:shd w:val="clear" w:color="auto" w:fill="auto"/>
                  <w:noWrap/>
                  <w:vAlign w:val="center"/>
                </w:tcPr>
                <w:p w14:paraId="1E3E15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0.0</w:t>
                  </w:r>
                  <w:r>
                    <w:rPr>
                      <w:rFonts w:hint="eastAsia" w:cs="Times New Roman"/>
                      <w:i w:val="0"/>
                      <w:iCs w:val="0"/>
                      <w:color w:val="000000"/>
                      <w:kern w:val="0"/>
                      <w:sz w:val="21"/>
                      <w:szCs w:val="21"/>
                      <w:u w:val="none"/>
                      <w:lang w:val="en-US" w:eastAsia="zh-CN" w:bidi="ar"/>
                    </w:rPr>
                    <w:t>15</w:t>
                  </w:r>
                </w:p>
              </w:tc>
              <w:tc>
                <w:tcPr>
                  <w:tcW w:w="1098" w:type="pct"/>
                  <w:tcBorders>
                    <w:top w:val="nil"/>
                    <w:left w:val="nil"/>
                    <w:bottom w:val="single" w:color="auto" w:sz="4" w:space="0"/>
                    <w:right w:val="single" w:color="auto" w:sz="4" w:space="0"/>
                  </w:tcBorders>
                  <w:shd w:val="clear" w:color="auto" w:fill="auto"/>
                  <w:noWrap/>
                  <w:vAlign w:val="center"/>
                </w:tcPr>
                <w:p w14:paraId="443027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0</w:t>
                  </w:r>
                  <w:r>
                    <w:rPr>
                      <w:rFonts w:hint="eastAsia" w:cs="Times New Roman"/>
                      <w:i w:val="0"/>
                      <w:iCs w:val="0"/>
                      <w:color w:val="000000"/>
                      <w:kern w:val="0"/>
                      <w:sz w:val="21"/>
                      <w:szCs w:val="21"/>
                      <w:u w:val="none"/>
                      <w:lang w:val="en-US" w:eastAsia="zh-CN" w:bidi="ar"/>
                    </w:rPr>
                    <w:t>.009</w:t>
                  </w:r>
                </w:p>
              </w:tc>
              <w:tc>
                <w:tcPr>
                  <w:tcW w:w="1245" w:type="pct"/>
                  <w:tcBorders>
                    <w:top w:val="nil"/>
                    <w:left w:val="nil"/>
                    <w:bottom w:val="single" w:color="auto" w:sz="4" w:space="0"/>
                    <w:right w:val="single" w:color="auto" w:sz="4" w:space="0"/>
                  </w:tcBorders>
                  <w:shd w:val="clear" w:color="auto" w:fill="auto"/>
                  <w:noWrap/>
                  <w:vAlign w:val="center"/>
                </w:tcPr>
                <w:p w14:paraId="00BAB7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w:t>
                  </w:r>
                  <w:r>
                    <w:rPr>
                      <w:rFonts w:hint="eastAsia" w:cs="Times New Roman"/>
                      <w:i w:val="0"/>
                      <w:iCs w:val="0"/>
                      <w:color w:val="000000"/>
                      <w:kern w:val="0"/>
                      <w:sz w:val="21"/>
                      <w:szCs w:val="21"/>
                      <w:u w:val="none"/>
                      <w:lang w:val="en-US" w:eastAsia="zh-CN" w:bidi="ar"/>
                    </w:rPr>
                    <w:t>06</w:t>
                  </w:r>
                </w:p>
              </w:tc>
            </w:tr>
            <w:tr w14:paraId="0A2F7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00" w:type="pct"/>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754F8C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sz w:val="21"/>
                      <w:szCs w:val="21"/>
                      <w:u w:val="none"/>
                    </w:rPr>
                    <w:t>注：括号外按《城镇污水处理厂主要水污染物排放标准》（DB33/2169-2018）表1排放限值，即COD按40mg/L、氨氮按2mg/L计算污染物排放量；括号内根据余杭污水处理厂一二三期和四期排放口排放限值的平均值，核算污染物排放总量时COD按35mg/L、氨氮按1.75mg/L计算。</w:t>
                  </w:r>
                </w:p>
              </w:tc>
            </w:tr>
          </w:tbl>
          <w:p w14:paraId="37590503">
            <w:pPr>
              <w:keepNext w:val="0"/>
              <w:keepLines w:val="0"/>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3、总量平衡方案</w:t>
            </w:r>
          </w:p>
          <w:p w14:paraId="250D77CD">
            <w:pPr>
              <w:keepNext w:val="0"/>
              <w:keepLines w:val="0"/>
              <w:suppressLineNumbers w:val="0"/>
              <w:bidi w:val="0"/>
              <w:spacing w:before="0" w:beforeAutospacing="0" w:after="0" w:afterAutospacing="0"/>
              <w:ind w:left="0" w:right="0"/>
              <w:rPr>
                <w:rFonts w:hint="eastAsia"/>
                <w:color w:val="auto"/>
              </w:rPr>
            </w:pPr>
            <w:r>
              <w:rPr>
                <w:rFonts w:hint="eastAsia"/>
                <w:color w:val="auto"/>
              </w:rPr>
              <w:t>根据余杭污水处理厂一二三期和四期排放口排放限值的平均值，核算污染物排放总量时COD按35mg/L、氨氮按1.75mg/L计算废水排放总量，因此本项目实施后，企业全厂污染物排放总量详见下表。</w:t>
            </w:r>
          </w:p>
          <w:p w14:paraId="06D8A8AC">
            <w:pPr>
              <w:pStyle w:val="2"/>
              <w:keepNext w:val="0"/>
              <w:keepLines w:val="0"/>
              <w:suppressLineNumbers w:val="0"/>
              <w:adjustRightInd w:val="0"/>
              <w:spacing w:before="0" w:beforeAutospacing="0" w:after="0" w:afterAutospacing="0"/>
              <w:ind w:left="0" w:right="0" w:firstLine="0" w:firstLineChars="0"/>
              <w:jc w:val="center"/>
              <w:rPr>
                <w:rFonts w:hint="default" w:eastAsia="黑体" w:cs="Times New Roman"/>
                <w:color w:val="auto"/>
                <w:lang w:val="en-US" w:eastAsia="zh-CN"/>
              </w:rPr>
            </w:pPr>
            <w:r>
              <w:rPr>
                <w:rFonts w:hint="default" w:eastAsia="黑体" w:cs="Times New Roman"/>
                <w:color w:val="auto"/>
              </w:rPr>
              <w:t>表</w:t>
            </w:r>
            <w:r>
              <w:rPr>
                <w:rFonts w:hint="eastAsia" w:eastAsia="黑体" w:cs="Times New Roman"/>
                <w:color w:val="auto"/>
              </w:rPr>
              <w:t>3-1</w:t>
            </w:r>
            <w:r>
              <w:rPr>
                <w:rFonts w:hint="eastAsia" w:eastAsia="黑体" w:cs="Times New Roman"/>
                <w:color w:val="auto"/>
                <w:lang w:val="en-US" w:eastAsia="zh-CN"/>
              </w:rPr>
              <w:t>1</w:t>
            </w:r>
            <w:r>
              <w:rPr>
                <w:rFonts w:hint="default" w:eastAsia="黑体" w:cs="Times New Roman"/>
                <w:color w:val="auto"/>
              </w:rPr>
              <w:t xml:space="preserve">  本项目实施后总量</w:t>
            </w:r>
            <w:r>
              <w:rPr>
                <w:rFonts w:hint="eastAsia" w:eastAsia="黑体" w:cs="Times New Roman"/>
                <w:color w:val="auto"/>
              </w:rPr>
              <w:t>指标一览表</w:t>
            </w:r>
            <w:r>
              <w:rPr>
                <w:rFonts w:hint="eastAsia" w:eastAsia="黑体" w:cs="Times New Roman"/>
                <w:color w:val="auto"/>
                <w:lang w:val="en-US" w:eastAsia="zh-CN"/>
              </w:rPr>
              <w:t xml:space="preserve">  单位t/a</w:t>
            </w:r>
          </w:p>
          <w:tbl>
            <w:tblPr>
              <w:tblStyle w:val="16"/>
              <w:tblW w:w="76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97"/>
              <w:gridCol w:w="1470"/>
              <w:gridCol w:w="1447"/>
              <w:gridCol w:w="1479"/>
              <w:gridCol w:w="1777"/>
            </w:tblGrid>
            <w:tr w14:paraId="74A08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975" w:type="pct"/>
                  <w:shd w:val="clear" w:color="auto" w:fill="auto"/>
                  <w:vAlign w:val="center"/>
                </w:tcPr>
                <w:p w14:paraId="58C378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类型</w:t>
                  </w:r>
                </w:p>
              </w:tc>
              <w:tc>
                <w:tcPr>
                  <w:tcW w:w="958" w:type="pct"/>
                  <w:shd w:val="clear" w:color="auto" w:fill="auto"/>
                  <w:vAlign w:val="center"/>
                </w:tcPr>
                <w:p w14:paraId="5D3923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污染物</w:t>
                  </w:r>
                </w:p>
              </w:tc>
              <w:tc>
                <w:tcPr>
                  <w:tcW w:w="943" w:type="pct"/>
                  <w:shd w:val="clear" w:color="auto" w:fill="auto"/>
                  <w:vAlign w:val="center"/>
                </w:tcPr>
                <w:p w14:paraId="553C2C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本项目排放量</w:t>
                  </w:r>
                </w:p>
              </w:tc>
              <w:tc>
                <w:tcPr>
                  <w:tcW w:w="964" w:type="pct"/>
                  <w:shd w:val="clear" w:color="auto" w:fill="auto"/>
                  <w:vAlign w:val="center"/>
                </w:tcPr>
                <w:p w14:paraId="7508A6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替代比例</w:t>
                  </w:r>
                </w:p>
              </w:tc>
              <w:tc>
                <w:tcPr>
                  <w:tcW w:w="1158" w:type="pct"/>
                  <w:shd w:val="clear" w:color="auto" w:fill="auto"/>
                  <w:vAlign w:val="center"/>
                </w:tcPr>
                <w:p w14:paraId="0AE281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区域削减替代量</w:t>
                  </w:r>
                </w:p>
              </w:tc>
            </w:tr>
            <w:tr w14:paraId="532A1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975" w:type="pct"/>
                  <w:vMerge w:val="restart"/>
                  <w:shd w:val="clear" w:color="auto" w:fill="auto"/>
                  <w:vAlign w:val="center"/>
                </w:tcPr>
                <w:p w14:paraId="1562C9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废水</w:t>
                  </w:r>
                </w:p>
              </w:tc>
              <w:tc>
                <w:tcPr>
                  <w:tcW w:w="958" w:type="pct"/>
                  <w:shd w:val="clear" w:color="auto" w:fill="auto"/>
                  <w:vAlign w:val="center"/>
                </w:tcPr>
                <w:p w14:paraId="789C0A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废水量</w:t>
                  </w:r>
                </w:p>
              </w:tc>
              <w:tc>
                <w:tcPr>
                  <w:tcW w:w="943" w:type="pct"/>
                  <w:shd w:val="clear" w:color="auto" w:fill="auto"/>
                  <w:vAlign w:val="center"/>
                </w:tcPr>
                <w:p w14:paraId="13DC93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444.617</w:t>
                  </w:r>
                </w:p>
              </w:tc>
              <w:tc>
                <w:tcPr>
                  <w:tcW w:w="964" w:type="pct"/>
                  <w:shd w:val="clear" w:color="auto" w:fill="auto"/>
                  <w:vAlign w:val="center"/>
                </w:tcPr>
                <w:p w14:paraId="3E2DAA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sz w:val="21"/>
                      <w:szCs w:val="21"/>
                      <w:u w:val="none"/>
                      <w:lang w:val="en-US" w:eastAsia="zh-CN"/>
                    </w:rPr>
                    <w:t>1:1</w:t>
                  </w:r>
                </w:p>
              </w:tc>
              <w:tc>
                <w:tcPr>
                  <w:tcW w:w="1158" w:type="pct"/>
                  <w:shd w:val="clear" w:color="auto" w:fill="auto"/>
                  <w:vAlign w:val="center"/>
                </w:tcPr>
                <w:p w14:paraId="2AEA35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444.617</w:t>
                  </w:r>
                </w:p>
              </w:tc>
            </w:tr>
            <w:tr w14:paraId="146F4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5" w:type="pct"/>
                  <w:vMerge w:val="continue"/>
                  <w:shd w:val="clear" w:color="auto" w:fill="auto"/>
                  <w:vAlign w:val="center"/>
                </w:tcPr>
                <w:p w14:paraId="6DE02E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p>
              </w:tc>
              <w:tc>
                <w:tcPr>
                  <w:tcW w:w="958" w:type="pct"/>
                  <w:shd w:val="clear" w:color="auto" w:fill="auto"/>
                  <w:vAlign w:val="center"/>
                </w:tcPr>
                <w:p w14:paraId="0E32EE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COD</w:t>
                  </w:r>
                  <w:r>
                    <w:rPr>
                      <w:rFonts w:hint="default" w:ascii="Times New Roman" w:hAnsi="Times New Roman" w:eastAsia="宋体" w:cs="Times New Roman"/>
                      <w:i w:val="0"/>
                      <w:iCs w:val="0"/>
                      <w:color w:val="auto"/>
                      <w:kern w:val="0"/>
                      <w:sz w:val="21"/>
                      <w:szCs w:val="21"/>
                      <w:u w:val="none"/>
                      <w:vertAlign w:val="subscript"/>
                      <w:lang w:val="en-US" w:eastAsia="zh-CN" w:bidi="ar"/>
                    </w:rPr>
                    <w:t>Cr</w:t>
                  </w:r>
                </w:p>
              </w:tc>
              <w:tc>
                <w:tcPr>
                  <w:tcW w:w="943" w:type="pct"/>
                  <w:shd w:val="clear" w:color="auto" w:fill="auto"/>
                  <w:vAlign w:val="center"/>
                </w:tcPr>
                <w:p w14:paraId="7EA88E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0.018</w:t>
                  </w:r>
                </w:p>
              </w:tc>
              <w:tc>
                <w:tcPr>
                  <w:tcW w:w="964" w:type="pct"/>
                  <w:shd w:val="clear" w:color="auto" w:fill="auto"/>
                  <w:noWrap/>
                  <w:vAlign w:val="center"/>
                </w:tcPr>
                <w:p w14:paraId="53FFA5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1:1</w:t>
                  </w:r>
                </w:p>
              </w:tc>
              <w:tc>
                <w:tcPr>
                  <w:tcW w:w="1777" w:type="dxa"/>
                  <w:shd w:val="clear" w:color="auto" w:fill="auto"/>
                  <w:noWrap/>
                  <w:vAlign w:val="center"/>
                </w:tcPr>
                <w:p w14:paraId="021A81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0.018</w:t>
                  </w:r>
                </w:p>
              </w:tc>
            </w:tr>
            <w:tr w14:paraId="6E87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975" w:type="pct"/>
                  <w:vMerge w:val="continue"/>
                  <w:shd w:val="clear" w:color="auto" w:fill="auto"/>
                  <w:vAlign w:val="center"/>
                </w:tcPr>
                <w:p w14:paraId="644FF9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auto"/>
                      <w:sz w:val="21"/>
                      <w:szCs w:val="21"/>
                      <w:u w:val="none"/>
                    </w:rPr>
                  </w:pPr>
                </w:p>
              </w:tc>
              <w:tc>
                <w:tcPr>
                  <w:tcW w:w="958" w:type="pct"/>
                  <w:shd w:val="clear" w:color="auto" w:fill="auto"/>
                  <w:vAlign w:val="center"/>
                </w:tcPr>
                <w:p w14:paraId="09090E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NH</w:t>
                  </w:r>
                  <w:r>
                    <w:rPr>
                      <w:rFonts w:hint="default" w:ascii="Times New Roman" w:hAnsi="Times New Roman" w:eastAsia="宋体" w:cs="Times New Roman"/>
                      <w:i w:val="0"/>
                      <w:iCs w:val="0"/>
                      <w:color w:val="auto"/>
                      <w:kern w:val="0"/>
                      <w:sz w:val="21"/>
                      <w:szCs w:val="21"/>
                      <w:u w:val="none"/>
                      <w:vertAlign w:val="sub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-N</w:t>
                  </w:r>
                </w:p>
              </w:tc>
              <w:tc>
                <w:tcPr>
                  <w:tcW w:w="943" w:type="pct"/>
                  <w:shd w:val="clear" w:color="auto" w:fill="auto"/>
                  <w:vAlign w:val="center"/>
                </w:tcPr>
                <w:p w14:paraId="144AA3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0.00</w:t>
                  </w:r>
                  <w:r>
                    <w:rPr>
                      <w:rFonts w:hint="eastAsia" w:cs="Times New Roman"/>
                      <w:i w:val="0"/>
                      <w:iCs w:val="0"/>
                      <w:color w:val="auto"/>
                      <w:kern w:val="0"/>
                      <w:sz w:val="21"/>
                      <w:szCs w:val="21"/>
                      <w:u w:val="none"/>
                      <w:lang w:val="en-US" w:eastAsia="zh-CN" w:bidi="ar"/>
                    </w:rPr>
                    <w:t>1</w:t>
                  </w:r>
                </w:p>
              </w:tc>
              <w:tc>
                <w:tcPr>
                  <w:tcW w:w="964" w:type="pct"/>
                  <w:shd w:val="clear" w:color="auto" w:fill="auto"/>
                  <w:noWrap/>
                  <w:vAlign w:val="center"/>
                </w:tcPr>
                <w:p w14:paraId="39BF79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1:1</w:t>
                  </w:r>
                </w:p>
              </w:tc>
              <w:tc>
                <w:tcPr>
                  <w:tcW w:w="1777" w:type="dxa"/>
                  <w:shd w:val="clear" w:color="auto" w:fill="auto"/>
                  <w:noWrap/>
                  <w:vAlign w:val="center"/>
                </w:tcPr>
                <w:p w14:paraId="439C89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w:t>
                  </w:r>
                  <w:r>
                    <w:rPr>
                      <w:rFonts w:hint="eastAsia" w:cs="Times New Roman"/>
                      <w:i w:val="0"/>
                      <w:iCs w:val="0"/>
                      <w:color w:val="auto"/>
                      <w:kern w:val="0"/>
                      <w:sz w:val="21"/>
                      <w:szCs w:val="21"/>
                      <w:u w:val="none"/>
                      <w:lang w:val="en-US" w:eastAsia="zh-CN" w:bidi="ar"/>
                    </w:rPr>
                    <w:t>1</w:t>
                  </w:r>
                </w:p>
              </w:tc>
            </w:tr>
            <w:tr w14:paraId="122B7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975" w:type="pct"/>
                  <w:shd w:val="clear" w:color="auto" w:fill="auto"/>
                  <w:vAlign w:val="center"/>
                </w:tcPr>
                <w:p w14:paraId="1BF085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废气</w:t>
                  </w:r>
                </w:p>
              </w:tc>
              <w:tc>
                <w:tcPr>
                  <w:tcW w:w="958" w:type="pct"/>
                  <w:shd w:val="clear" w:color="auto" w:fill="auto"/>
                  <w:vAlign w:val="center"/>
                </w:tcPr>
                <w:p w14:paraId="4DDDAF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VOCs</w:t>
                  </w:r>
                </w:p>
              </w:tc>
              <w:tc>
                <w:tcPr>
                  <w:tcW w:w="943" w:type="pct"/>
                  <w:shd w:val="clear" w:color="auto" w:fill="auto"/>
                  <w:vAlign w:val="center"/>
                </w:tcPr>
                <w:p w14:paraId="25ECB4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0.006</w:t>
                  </w:r>
                </w:p>
              </w:tc>
              <w:tc>
                <w:tcPr>
                  <w:tcW w:w="964" w:type="pct"/>
                  <w:shd w:val="clear" w:color="auto" w:fill="auto"/>
                  <w:noWrap/>
                  <w:vAlign w:val="center"/>
                </w:tcPr>
                <w:p w14:paraId="42BC6C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1:2</w:t>
                  </w:r>
                </w:p>
              </w:tc>
              <w:tc>
                <w:tcPr>
                  <w:tcW w:w="1158" w:type="pct"/>
                  <w:shd w:val="clear" w:color="auto" w:fill="auto"/>
                  <w:noWrap/>
                  <w:vAlign w:val="center"/>
                </w:tcPr>
                <w:p w14:paraId="423941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0.012</w:t>
                  </w:r>
                </w:p>
              </w:tc>
            </w:tr>
          </w:tbl>
          <w:p w14:paraId="3392BD7F">
            <w:pPr>
              <w:keepNext w:val="0"/>
              <w:keepLines w:val="0"/>
              <w:suppressLineNumbers w:val="0"/>
              <w:spacing w:before="0" w:beforeAutospacing="0" w:after="0" w:afterAutospacing="0"/>
              <w:ind w:left="0" w:leftChars="0" w:right="0" w:firstLine="0" w:firstLineChars="0"/>
              <w:rPr>
                <w:rFonts w:hint="default"/>
                <w:color w:val="auto"/>
              </w:rPr>
            </w:pPr>
          </w:p>
          <w:p w14:paraId="55B1160E">
            <w:pPr>
              <w:pStyle w:val="2"/>
              <w:keepNext w:val="0"/>
              <w:keepLines w:val="0"/>
              <w:suppressLineNumbers w:val="0"/>
              <w:spacing w:before="0" w:beforeAutospacing="0" w:after="0" w:afterAutospacing="0"/>
              <w:ind w:left="0" w:right="0"/>
              <w:rPr>
                <w:rFonts w:hint="default"/>
                <w:color w:val="auto"/>
              </w:rPr>
            </w:pPr>
          </w:p>
          <w:p w14:paraId="3BC7F770">
            <w:pPr>
              <w:pStyle w:val="2"/>
              <w:keepNext w:val="0"/>
              <w:keepLines w:val="0"/>
              <w:suppressLineNumbers w:val="0"/>
              <w:spacing w:before="0" w:beforeAutospacing="0" w:after="0" w:afterAutospacing="0"/>
              <w:ind w:left="0" w:right="0"/>
              <w:rPr>
                <w:rFonts w:hint="default"/>
                <w:color w:val="auto"/>
              </w:rPr>
            </w:pPr>
          </w:p>
          <w:p w14:paraId="06B27E6F">
            <w:pPr>
              <w:pStyle w:val="2"/>
              <w:keepNext w:val="0"/>
              <w:keepLines w:val="0"/>
              <w:suppressLineNumbers w:val="0"/>
              <w:spacing w:before="0" w:beforeAutospacing="0" w:after="0" w:afterAutospacing="0"/>
              <w:ind w:left="0" w:right="0"/>
              <w:rPr>
                <w:rFonts w:hint="default"/>
                <w:color w:val="auto"/>
              </w:rPr>
            </w:pPr>
          </w:p>
          <w:p w14:paraId="010184B2">
            <w:pPr>
              <w:pStyle w:val="2"/>
              <w:keepNext w:val="0"/>
              <w:keepLines w:val="0"/>
              <w:suppressLineNumbers w:val="0"/>
              <w:spacing w:before="0" w:beforeAutospacing="0" w:after="0" w:afterAutospacing="0"/>
              <w:ind w:left="0" w:right="0"/>
              <w:rPr>
                <w:rFonts w:hint="default"/>
                <w:color w:val="auto"/>
              </w:rPr>
            </w:pPr>
          </w:p>
          <w:p w14:paraId="523F9362">
            <w:pPr>
              <w:pStyle w:val="2"/>
              <w:keepNext w:val="0"/>
              <w:keepLines w:val="0"/>
              <w:suppressLineNumbers w:val="0"/>
              <w:spacing w:before="0" w:beforeAutospacing="0" w:after="0" w:afterAutospacing="0"/>
              <w:ind w:left="0" w:right="0"/>
              <w:rPr>
                <w:rFonts w:hint="default"/>
                <w:color w:val="auto"/>
              </w:rPr>
            </w:pPr>
          </w:p>
          <w:p w14:paraId="2D866E71">
            <w:pPr>
              <w:pStyle w:val="2"/>
              <w:keepNext w:val="0"/>
              <w:keepLines w:val="0"/>
              <w:suppressLineNumbers w:val="0"/>
              <w:spacing w:before="0" w:beforeAutospacing="0" w:after="0" w:afterAutospacing="0"/>
              <w:ind w:left="0" w:right="0"/>
              <w:rPr>
                <w:rFonts w:hint="default"/>
                <w:color w:val="auto"/>
              </w:rPr>
            </w:pPr>
          </w:p>
          <w:p w14:paraId="40722ED6">
            <w:pPr>
              <w:pStyle w:val="2"/>
              <w:keepNext w:val="0"/>
              <w:keepLines w:val="0"/>
              <w:suppressLineNumbers w:val="0"/>
              <w:spacing w:before="0" w:beforeAutospacing="0" w:after="0" w:afterAutospacing="0"/>
              <w:ind w:left="0" w:right="0"/>
              <w:rPr>
                <w:rFonts w:hint="default"/>
                <w:color w:val="auto"/>
              </w:rPr>
            </w:pPr>
          </w:p>
          <w:p w14:paraId="5F045BE0">
            <w:pPr>
              <w:pStyle w:val="2"/>
              <w:keepNext w:val="0"/>
              <w:keepLines w:val="0"/>
              <w:suppressLineNumbers w:val="0"/>
              <w:spacing w:before="0" w:beforeAutospacing="0" w:after="0" w:afterAutospacing="0"/>
              <w:ind w:left="0" w:right="0"/>
              <w:rPr>
                <w:rFonts w:hint="default"/>
                <w:color w:val="auto"/>
              </w:rPr>
            </w:pPr>
          </w:p>
          <w:p w14:paraId="3B756BEB">
            <w:pPr>
              <w:pStyle w:val="2"/>
              <w:keepNext w:val="0"/>
              <w:keepLines w:val="0"/>
              <w:suppressLineNumbers w:val="0"/>
              <w:spacing w:before="0" w:beforeAutospacing="0" w:after="0" w:afterAutospacing="0"/>
              <w:ind w:left="0" w:right="0"/>
              <w:rPr>
                <w:rFonts w:hint="default"/>
                <w:color w:val="auto"/>
              </w:rPr>
            </w:pPr>
          </w:p>
        </w:tc>
      </w:tr>
    </w:tbl>
    <w:p w14:paraId="1CC49947">
      <w:pPr>
        <w:pStyle w:val="2"/>
        <w:ind w:firstLine="0" w:firstLineChars="0"/>
        <w:sectPr>
          <w:pgSz w:w="11906" w:h="16838"/>
          <w:pgMar w:top="1440" w:right="1800" w:bottom="1440" w:left="1800" w:header="851" w:footer="992" w:gutter="0"/>
          <w:cols w:space="425" w:num="1"/>
          <w:docGrid w:type="lines" w:linePitch="312" w:charSpace="0"/>
        </w:sectPr>
      </w:pPr>
    </w:p>
    <w:p w14:paraId="086BCDEE">
      <w:pPr>
        <w:pStyle w:val="3"/>
        <w:rPr>
          <w:b w:val="0"/>
          <w:bCs/>
        </w:rPr>
      </w:pPr>
      <w:bookmarkStart w:id="8" w:name="_Toc8271"/>
      <w:bookmarkStart w:id="9" w:name="_Toc16144"/>
      <w:r>
        <w:rPr>
          <w:rFonts w:hint="eastAsia"/>
          <w:b w:val="0"/>
          <w:bCs/>
        </w:rPr>
        <w:t>四</w:t>
      </w:r>
      <w:r>
        <w:rPr>
          <w:b w:val="0"/>
          <w:bCs/>
        </w:rPr>
        <w:t>、</w:t>
      </w:r>
      <w:r>
        <w:rPr>
          <w:rFonts w:hint="eastAsia"/>
          <w:b w:val="0"/>
          <w:bCs/>
        </w:rPr>
        <w:t>主要环境影响和保护措施</w:t>
      </w:r>
      <w:bookmarkEnd w:id="8"/>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8"/>
        <w:gridCol w:w="7964"/>
      </w:tblGrid>
      <w:tr w14:paraId="2EAC7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Align w:val="center"/>
          </w:tcPr>
          <w:p w14:paraId="47FF67D9">
            <w:pPr>
              <w:pStyle w:val="2"/>
              <w:keepNext w:val="0"/>
              <w:keepLines w:val="0"/>
              <w:suppressLineNumbers w:val="0"/>
              <w:spacing w:before="0" w:beforeAutospacing="0" w:after="0" w:afterAutospacing="0" w:line="240" w:lineRule="auto"/>
              <w:ind w:left="0" w:right="0" w:firstLine="0" w:firstLineChars="0"/>
              <w:jc w:val="center"/>
              <w:rPr>
                <w:rFonts w:hint="default"/>
                <w:color w:val="auto"/>
              </w:rPr>
            </w:pPr>
            <w:r>
              <w:rPr>
                <w:rFonts w:hint="eastAsia"/>
                <w:color w:val="auto"/>
              </w:rPr>
              <w:t>施工期环境保护措施</w:t>
            </w:r>
          </w:p>
        </w:tc>
        <w:tc>
          <w:tcPr>
            <w:tcW w:w="7964" w:type="dxa"/>
            <w:vAlign w:val="center"/>
          </w:tcPr>
          <w:p w14:paraId="67FFCEA0">
            <w:pPr>
              <w:keepNext w:val="0"/>
              <w:keepLines w:val="0"/>
              <w:suppressLineNumbers w:val="0"/>
              <w:bidi w:val="0"/>
              <w:spacing w:before="0" w:beforeAutospacing="0" w:after="0" w:afterAutospacing="0"/>
              <w:ind w:left="0" w:right="0"/>
              <w:rPr>
                <w:rFonts w:hint="default" w:eastAsia="宋体"/>
                <w:color w:val="auto"/>
                <w:lang w:val="en-US" w:eastAsia="zh-CN"/>
              </w:rPr>
            </w:pPr>
            <w:r>
              <w:rPr>
                <w:rFonts w:hint="eastAsia"/>
                <w:lang w:val="en-US" w:eastAsia="zh-CN"/>
              </w:rPr>
              <w:t>本项目租赁现有空置厂房，施工期无土建工程，仅涉及厂房装修改造等施工方式，故本次评价不对施工期进行环境影响评价。</w:t>
            </w:r>
          </w:p>
        </w:tc>
      </w:tr>
      <w:tr w14:paraId="4F8EC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Align w:val="center"/>
          </w:tcPr>
          <w:p w14:paraId="106E81BB">
            <w:pPr>
              <w:pStyle w:val="2"/>
              <w:keepNext w:val="0"/>
              <w:keepLines w:val="0"/>
              <w:suppressLineNumbers w:val="0"/>
              <w:spacing w:before="0" w:beforeAutospacing="0" w:after="0" w:afterAutospacing="0" w:line="240" w:lineRule="auto"/>
              <w:ind w:left="0" w:right="0" w:firstLine="0" w:firstLineChars="0"/>
              <w:jc w:val="center"/>
              <w:rPr>
                <w:rFonts w:hint="default"/>
                <w:color w:val="auto"/>
              </w:rPr>
            </w:pPr>
            <w:r>
              <w:rPr>
                <w:rFonts w:hint="eastAsia"/>
                <w:color w:val="auto"/>
              </w:rPr>
              <w:t>运营期环境影响和保护措施</w:t>
            </w:r>
          </w:p>
        </w:tc>
        <w:tc>
          <w:tcPr>
            <w:tcW w:w="7964" w:type="dxa"/>
          </w:tcPr>
          <w:p w14:paraId="493DA65B">
            <w:pPr>
              <w:keepNext w:val="0"/>
              <w:keepLines w:val="0"/>
              <w:suppressLineNumbers w:val="0"/>
              <w:spacing w:before="0" w:beforeAutospacing="0" w:after="0" w:afterAutospacing="0"/>
              <w:ind w:left="0" w:right="0" w:firstLine="480"/>
              <w:rPr>
                <w:rFonts w:hint="default"/>
                <w:color w:val="auto"/>
              </w:rPr>
            </w:pPr>
            <w:r>
              <w:rPr>
                <w:rFonts w:hint="eastAsia"/>
                <w:color w:val="auto"/>
              </w:rPr>
              <w:t>一、废气</w:t>
            </w:r>
          </w:p>
          <w:p w14:paraId="052820F7">
            <w:pPr>
              <w:keepNext w:val="0"/>
              <w:keepLines w:val="0"/>
              <w:suppressLineNumbers w:val="0"/>
              <w:spacing w:before="0" w:beforeAutospacing="0" w:after="0" w:afterAutospacing="0"/>
              <w:ind w:left="0" w:right="0" w:firstLine="480"/>
              <w:rPr>
                <w:rFonts w:hint="eastAsia"/>
                <w:color w:val="auto"/>
                <w:lang w:val="en-US" w:eastAsia="zh-CN"/>
              </w:rPr>
            </w:pPr>
            <w:r>
              <w:rPr>
                <w:rFonts w:hint="eastAsia"/>
                <w:color w:val="auto"/>
                <w:lang w:val="en-US" w:eastAsia="zh-CN"/>
              </w:rPr>
              <w:t>1、废产排情况及源强核算</w:t>
            </w:r>
          </w:p>
          <w:p w14:paraId="43B5BE46">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本项目样本检测过程会使用极少量酸类试剂（Tris-HCl 缓冲液），样本采样过程会产生恶臭气体，以臭气浓度表征，具体如下：</w:t>
            </w:r>
          </w:p>
          <w:p w14:paraId="0A768616">
            <w:pPr>
              <w:keepNext w:val="0"/>
              <w:keepLines w:val="0"/>
              <w:numPr>
                <w:ilvl w:val="0"/>
                <w:numId w:val="4"/>
              </w:numPr>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酸性废气</w:t>
            </w:r>
          </w:p>
          <w:p w14:paraId="7460A275">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本项目样本前处理采用Tris-HCl 缓冲液进行缓冲稀释，使用过程中会挥发出极少量酸性废气，主要污染因子为HCl。本项目年用浓盐酸0.01kg/a，挥发量极少，且操作时间较短，本次评价仅定性分析。</w:t>
            </w:r>
          </w:p>
          <w:p w14:paraId="4B6101AF">
            <w:pPr>
              <w:keepNext w:val="0"/>
              <w:keepLines w:val="0"/>
              <w:numPr>
                <w:ilvl w:val="0"/>
                <w:numId w:val="4"/>
              </w:numPr>
              <w:suppressLineNumbers w:val="0"/>
              <w:bidi w:val="0"/>
              <w:spacing w:before="0" w:beforeAutospacing="0" w:after="0" w:afterAutospacing="0"/>
              <w:ind w:left="0" w:leftChars="0" w:right="0" w:firstLine="480" w:firstLineChars="200"/>
              <w:rPr>
                <w:rFonts w:hint="eastAsia"/>
                <w:color w:val="auto"/>
                <w:lang w:val="en-US" w:eastAsia="zh-CN"/>
              </w:rPr>
            </w:pPr>
            <w:r>
              <w:rPr>
                <w:rFonts w:hint="eastAsia"/>
                <w:color w:val="auto"/>
                <w:lang w:val="en-US" w:eastAsia="zh-CN"/>
              </w:rPr>
              <w:t>生物气溶胶</w:t>
            </w:r>
          </w:p>
          <w:p w14:paraId="2CD04610">
            <w:pPr>
              <w:keepNext w:val="0"/>
              <w:keepLines w:val="0"/>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本项目样本采集过程在生物安全柜中进行操作，生物安全柜内为负压状态以保证废气不会逸散出柜外进入实验室，其吸附率可达99.99%。操作过程中产生的气溶胶直径一般≥</w:t>
            </w:r>
            <w:r>
              <w:rPr>
                <w:rFonts w:hint="default" w:ascii="Times New Roman" w:hAnsi="Times New Roman" w:cs="Times New Roman"/>
                <w:color w:val="auto"/>
                <w:lang w:val="en-US" w:eastAsia="zh-CN"/>
              </w:rPr>
              <w:t>0.5μ</w:t>
            </w:r>
            <w:r>
              <w:rPr>
                <w:rFonts w:hint="eastAsia"/>
                <w:color w:val="auto"/>
                <w:lang w:val="en-US" w:eastAsia="zh-CN"/>
              </w:rPr>
              <w:t>m。因目前没有关于生物气溶胶的相关排放标准，且其危害性小，产生量小，故本环评对其不做进一步的定量分析。本项目</w:t>
            </w:r>
            <w:r>
              <w:rPr>
                <w:rFonts w:hint="default"/>
                <w:color w:val="auto"/>
              </w:rPr>
              <w:t>生物安全柜自带高效过滤器</w:t>
            </w:r>
            <w:r>
              <w:rPr>
                <w:rFonts w:hint="eastAsia"/>
                <w:color w:val="auto"/>
                <w:lang w:eastAsia="zh-CN"/>
              </w:rPr>
              <w:t>，</w:t>
            </w:r>
            <w:r>
              <w:rPr>
                <w:rFonts w:hint="eastAsia"/>
                <w:color w:val="auto"/>
                <w:lang w:val="en-US" w:eastAsia="zh-CN"/>
              </w:rPr>
              <w:t>采用无纺布及玻璃纤维作为过滤介质，可有效去除样本采集过程中产生的生物气溶胶。</w:t>
            </w:r>
          </w:p>
          <w:p w14:paraId="7281BCA0">
            <w:pPr>
              <w:keepNext w:val="0"/>
              <w:keepLines w:val="0"/>
              <w:numPr>
                <w:ilvl w:val="0"/>
                <w:numId w:val="4"/>
              </w:numPr>
              <w:suppressLineNumbers w:val="0"/>
              <w:bidi w:val="0"/>
              <w:spacing w:before="0" w:beforeAutospacing="0" w:after="0" w:afterAutospacing="0"/>
              <w:ind w:left="0" w:leftChars="0" w:right="0" w:firstLine="480" w:firstLineChars="200"/>
              <w:rPr>
                <w:rFonts w:hint="default"/>
                <w:color w:val="auto"/>
                <w:lang w:val="en-US" w:eastAsia="zh-CN"/>
              </w:rPr>
            </w:pPr>
            <w:r>
              <w:rPr>
                <w:rFonts w:hint="eastAsia"/>
                <w:color w:val="auto"/>
                <w:lang w:val="en-US" w:eastAsia="zh-CN"/>
              </w:rPr>
              <w:t>消毒废气</w:t>
            </w:r>
          </w:p>
          <w:p w14:paraId="6070B4C9">
            <w:pPr>
              <w:keepNext w:val="0"/>
              <w:keepLines w:val="0"/>
              <w:suppressLineNumbers w:val="0"/>
              <w:bidi w:val="0"/>
              <w:spacing w:before="0" w:beforeAutospacing="0" w:after="0" w:afterAutospacing="0"/>
              <w:ind w:left="0" w:right="0"/>
              <w:rPr>
                <w:rFonts w:hint="default"/>
                <w:lang w:val="en-US" w:eastAsia="zh-CN"/>
              </w:rPr>
            </w:pPr>
            <w:r>
              <w:rPr>
                <w:rFonts w:hint="eastAsia"/>
                <w:color w:val="auto"/>
                <w:lang w:val="en-US" w:eastAsia="zh-CN"/>
              </w:rPr>
              <w:t>本项目实验台面日常消毒采用75%乙醇溶液擦拭，根据建设单位提供资料，本项目乙醇年用量为20L/a，消毒频次为5天/次，单次持续时间约为1h，按照全部挥发进行折算，乙醇产生量约为0.015t/a，消毒工序在通风柜内进行，经废气收集系统收集后，进入“活</w:t>
            </w:r>
            <w:r>
              <w:rPr>
                <w:rFonts w:hint="eastAsia"/>
                <w:lang w:val="en-US" w:eastAsia="zh-CN"/>
              </w:rPr>
              <w:t>性炭吸附装置”进行处理，消毒废气收集效率为90%，活性炭处理效率按照70%计算，则本项目乙醇(以非甲烷总烃计算)排放量为0.004t/a，无组织排放量为0.002t/a。</w:t>
            </w:r>
          </w:p>
          <w:p w14:paraId="784870FC">
            <w:pPr>
              <w:keepNext w:val="0"/>
              <w:keepLines w:val="0"/>
              <w:numPr>
                <w:ilvl w:val="0"/>
                <w:numId w:val="4"/>
              </w:numPr>
              <w:suppressLineNumbers w:val="0"/>
              <w:bidi w:val="0"/>
              <w:spacing w:before="0" w:beforeAutospacing="0" w:after="0" w:afterAutospacing="0"/>
              <w:ind w:left="0" w:leftChars="0" w:right="0" w:firstLine="480" w:firstLineChars="200"/>
              <w:rPr>
                <w:rFonts w:hint="eastAsia"/>
                <w:color w:val="auto"/>
                <w:lang w:val="en-US" w:eastAsia="zh-CN"/>
              </w:rPr>
            </w:pPr>
            <w:r>
              <w:rPr>
                <w:rFonts w:hint="eastAsia"/>
                <w:color w:val="auto"/>
                <w:lang w:val="en-US" w:eastAsia="zh-CN"/>
              </w:rPr>
              <w:t>恶臭气体</w:t>
            </w:r>
          </w:p>
          <w:p w14:paraId="0071F6AA">
            <w:pPr>
              <w:keepNext w:val="0"/>
              <w:keepLines w:val="0"/>
              <w:widowControl w:val="0"/>
              <w:suppressLineNumbers w:val="0"/>
              <w:spacing w:before="0" w:beforeAutospacing="0" w:after="0" w:afterAutospacing="0" w:line="360" w:lineRule="auto"/>
              <w:ind w:left="0" w:right="0" w:firstLine="480" w:firstLineChars="200"/>
              <w:jc w:val="both"/>
              <w:rPr>
                <w:rFonts w:hint="default"/>
                <w:color w:val="auto"/>
                <w:sz w:val="24"/>
                <w:szCs w:val="24"/>
                <w:lang w:val="en-US"/>
              </w:rPr>
            </w:pPr>
            <w:r>
              <w:rPr>
                <w:rFonts w:hint="eastAsia" w:ascii="Times New Roman" w:hAnsi="Times New Roman" w:eastAsia="宋体" w:cs="宋体"/>
                <w:color w:val="auto"/>
                <w:kern w:val="2"/>
                <w:sz w:val="24"/>
                <w:szCs w:val="24"/>
                <w:lang w:val="en-US" w:eastAsia="zh-CN" w:bidi="ar"/>
              </w:rPr>
              <w:t>本项目</w:t>
            </w:r>
            <w:r>
              <w:rPr>
                <w:rFonts w:hint="eastAsia" w:cs="宋体"/>
                <w:color w:val="auto"/>
                <w:kern w:val="2"/>
                <w:sz w:val="24"/>
                <w:szCs w:val="24"/>
                <w:lang w:val="en-US" w:eastAsia="zh-CN" w:bidi="ar"/>
              </w:rPr>
              <w:t>样本（粪便）取样</w:t>
            </w:r>
            <w:r>
              <w:rPr>
                <w:rFonts w:hint="eastAsia" w:ascii="Times New Roman" w:hAnsi="Times New Roman" w:eastAsia="宋体" w:cs="宋体"/>
                <w:color w:val="auto"/>
                <w:kern w:val="2"/>
                <w:sz w:val="24"/>
                <w:szCs w:val="24"/>
                <w:lang w:val="en-US" w:eastAsia="zh-CN" w:bidi="ar"/>
              </w:rPr>
              <w:t>过程中产生</w:t>
            </w:r>
            <w:r>
              <w:rPr>
                <w:rFonts w:hint="eastAsia" w:cs="宋体"/>
                <w:color w:val="auto"/>
                <w:kern w:val="2"/>
                <w:sz w:val="24"/>
                <w:szCs w:val="24"/>
                <w:lang w:val="en-US" w:eastAsia="zh-CN" w:bidi="ar"/>
              </w:rPr>
              <w:t>恶臭气体，主要表征为臭气浓度</w:t>
            </w:r>
            <w:r>
              <w:rPr>
                <w:rFonts w:hint="eastAsia" w:ascii="Times New Roman" w:hAnsi="Times New Roman" w:eastAsia="宋体" w:cs="宋体"/>
                <w:color w:val="auto"/>
                <w:kern w:val="2"/>
                <w:sz w:val="24"/>
                <w:szCs w:val="24"/>
                <w:lang w:val="en-US" w:eastAsia="zh-CN" w:bidi="ar"/>
              </w:rPr>
              <w:t>。恶臭为人们对恶臭物质所感知的一种污染指标。其主要物质种类达上万种之多。由于其各种物质之间的相互作用（相加、协同、抵消及掩饰作用等），加之人类的嗅觉功能和恶臭物质取样分析等因素，迄今还难以对大多数恶臭物质作出浓度标准，本次项目执行《恶臭污染物排放标准》（</w:t>
            </w:r>
            <w:r>
              <w:rPr>
                <w:rFonts w:hint="default" w:ascii="Times New Roman" w:hAnsi="Times New Roman" w:eastAsia="宋体" w:cs="Times New Roman"/>
                <w:color w:val="auto"/>
                <w:kern w:val="2"/>
                <w:sz w:val="24"/>
                <w:szCs w:val="24"/>
                <w:lang w:val="en-US" w:eastAsia="zh-CN" w:bidi="ar"/>
              </w:rPr>
              <w:t>GB14554-93</w:t>
            </w:r>
            <w:r>
              <w:rPr>
                <w:rFonts w:hint="eastAsia" w:ascii="Times New Roman" w:hAnsi="Times New Roman" w:eastAsia="宋体" w:cs="宋体"/>
                <w:color w:val="auto"/>
                <w:kern w:val="2"/>
                <w:sz w:val="24"/>
                <w:szCs w:val="24"/>
                <w:lang w:val="en-US" w:eastAsia="zh-CN" w:bidi="ar"/>
              </w:rPr>
              <w:t>）中相应的恶臭排放限值。</w:t>
            </w:r>
          </w:p>
          <w:p w14:paraId="0121D396">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宋体"/>
                <w:color w:val="auto"/>
                <w:kern w:val="2"/>
                <w:sz w:val="24"/>
                <w:szCs w:val="24"/>
                <w:lang w:val="en-US" w:eastAsia="zh-CN" w:bidi="ar"/>
              </w:rPr>
            </w:pPr>
            <w:r>
              <w:rPr>
                <w:rFonts w:hint="eastAsia" w:cs="宋体"/>
                <w:color w:val="auto"/>
                <w:kern w:val="2"/>
                <w:sz w:val="24"/>
                <w:szCs w:val="24"/>
                <w:lang w:val="en-US" w:eastAsia="zh-CN" w:bidi="ar"/>
              </w:rPr>
              <w:t>本项目臭气浓度产生源强类比同《肠道微生态诊疗技术服务平台项目竣工环境保护验收监测报告》(报告编号：21ZH0061-FQ-02)，类比项目主要进行肠道菌液研发，年处理1600例粪便样本，类比项目研发工艺与本项目研发工艺类似，根据验收监测结果，其厂界臭气浓度＜10(无量纲)，臭气浓度经处理后排放可满足</w:t>
            </w:r>
            <w:r>
              <w:rPr>
                <w:rFonts w:hint="eastAsia" w:ascii="Times New Roman" w:hAnsi="Times New Roman" w:eastAsia="宋体" w:cs="宋体"/>
                <w:color w:val="auto"/>
                <w:kern w:val="2"/>
                <w:sz w:val="24"/>
                <w:szCs w:val="24"/>
                <w:lang w:val="en-US" w:eastAsia="zh-CN" w:bidi="ar"/>
              </w:rPr>
              <w:t>《恶臭污染物排放标准》（</w:t>
            </w:r>
            <w:r>
              <w:rPr>
                <w:rFonts w:hint="default" w:ascii="Times New Roman" w:hAnsi="Times New Roman" w:eastAsia="宋体" w:cs="Times New Roman"/>
                <w:color w:val="auto"/>
                <w:kern w:val="2"/>
                <w:sz w:val="24"/>
                <w:szCs w:val="24"/>
                <w:lang w:val="en-US" w:eastAsia="zh-CN" w:bidi="ar"/>
              </w:rPr>
              <w:t>GB14554-93</w:t>
            </w:r>
            <w:r>
              <w:rPr>
                <w:rFonts w:hint="eastAsia" w:ascii="Times New Roman" w:hAnsi="Times New Roman" w:eastAsia="宋体" w:cs="宋体"/>
                <w:color w:val="auto"/>
                <w:kern w:val="2"/>
                <w:sz w:val="24"/>
                <w:szCs w:val="24"/>
                <w:lang w:val="en-US" w:eastAsia="zh-CN" w:bidi="ar"/>
              </w:rPr>
              <w:t>）中相应的恶臭排放限值。</w:t>
            </w:r>
          </w:p>
          <w:p w14:paraId="4F18DE5F">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根据设计方案，本项目配套通风柜2台，单台风量约为850m</w:t>
            </w:r>
            <w:r>
              <w:rPr>
                <w:rFonts w:hint="eastAsia"/>
                <w:color w:val="auto"/>
                <w:vertAlign w:val="superscript"/>
                <w:lang w:val="en-US" w:eastAsia="zh-CN"/>
              </w:rPr>
              <w:t>3</w:t>
            </w:r>
            <w:r>
              <w:rPr>
                <w:rFonts w:hint="eastAsia"/>
                <w:color w:val="auto"/>
                <w:lang w:val="en-US" w:eastAsia="zh-CN"/>
              </w:rPr>
              <w:t>/h，合计风量1700m</w:t>
            </w:r>
            <w:r>
              <w:rPr>
                <w:rFonts w:hint="eastAsia"/>
                <w:color w:val="auto"/>
                <w:vertAlign w:val="superscript"/>
                <w:lang w:val="en-US" w:eastAsia="zh-CN"/>
              </w:rPr>
              <w:t>3</w:t>
            </w:r>
            <w:r>
              <w:rPr>
                <w:rFonts w:hint="eastAsia"/>
                <w:color w:val="auto"/>
                <w:lang w:val="en-US" w:eastAsia="zh-CN"/>
              </w:rPr>
              <w:t>/h。恶臭气体经收集后，进入“活性炭吸附装置”，经不低于15m的排气筒DA001高空排放。</w:t>
            </w:r>
          </w:p>
          <w:p w14:paraId="6B357513">
            <w:pPr>
              <w:pStyle w:val="7"/>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黑体" w:cs="Times New Roman"/>
                <w:color w:val="auto"/>
                <w:szCs w:val="24"/>
                <w:lang w:val="en-US" w:eastAsia="zh-CN"/>
              </w:rPr>
            </w:pPr>
            <w:r>
              <w:rPr>
                <w:rFonts w:hint="default" w:ascii="Times New Roman" w:hAnsi="Times New Roman" w:eastAsia="黑体" w:cs="Times New Roman"/>
                <w:color w:val="auto"/>
                <w:szCs w:val="24"/>
                <w:lang w:val="en-US" w:eastAsia="zh-CN"/>
              </w:rPr>
              <w:t>表4-</w:t>
            </w:r>
            <w:r>
              <w:rPr>
                <w:rFonts w:hint="eastAsia" w:ascii="Times New Roman" w:hAnsi="Times New Roman" w:eastAsia="黑体" w:cs="Times New Roman"/>
                <w:color w:val="auto"/>
                <w:szCs w:val="24"/>
                <w:lang w:val="en-US" w:eastAsia="zh-CN"/>
              </w:rPr>
              <w:t>1</w:t>
            </w:r>
            <w:r>
              <w:rPr>
                <w:rFonts w:hint="default" w:ascii="Times New Roman" w:hAnsi="Times New Roman" w:eastAsia="黑体" w:cs="Times New Roman"/>
                <w:color w:val="auto"/>
                <w:szCs w:val="24"/>
                <w:lang w:val="en-US" w:eastAsia="zh-CN"/>
              </w:rPr>
              <w:t xml:space="preserve">  </w:t>
            </w:r>
            <w:r>
              <w:rPr>
                <w:rFonts w:hint="eastAsia" w:ascii="Times New Roman" w:hAnsi="Times New Roman" w:eastAsia="黑体" w:cs="Times New Roman"/>
                <w:color w:val="auto"/>
                <w:szCs w:val="24"/>
                <w:lang w:val="en-US" w:eastAsia="zh-CN"/>
              </w:rPr>
              <w:t>本项目废气产排源强一览表</w:t>
            </w:r>
          </w:p>
          <w:tbl>
            <w:tblPr>
              <w:tblStyle w:val="16"/>
              <w:tblW w:w="77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0"/>
              <w:gridCol w:w="1130"/>
              <w:gridCol w:w="692"/>
              <w:gridCol w:w="750"/>
              <w:gridCol w:w="717"/>
              <w:gridCol w:w="738"/>
              <w:gridCol w:w="726"/>
              <w:gridCol w:w="819"/>
              <w:gridCol w:w="692"/>
              <w:gridCol w:w="759"/>
            </w:tblGrid>
            <w:tr w14:paraId="4877A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464" w:type="pct"/>
                  <w:vMerge w:val="restart"/>
                  <w:shd w:val="clear" w:color="auto" w:fill="auto"/>
                  <w:noWrap/>
                  <w:vAlign w:val="center"/>
                </w:tcPr>
                <w:p w14:paraId="1874CC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单元工序</w:t>
                  </w:r>
                </w:p>
              </w:tc>
              <w:tc>
                <w:tcPr>
                  <w:tcW w:w="729" w:type="pct"/>
                  <w:vMerge w:val="restart"/>
                  <w:shd w:val="clear" w:color="auto" w:fill="auto"/>
                  <w:noWrap/>
                  <w:vAlign w:val="center"/>
                </w:tcPr>
                <w:p w14:paraId="1C57EE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污染物</w:t>
                  </w:r>
                </w:p>
              </w:tc>
              <w:tc>
                <w:tcPr>
                  <w:tcW w:w="931" w:type="pct"/>
                  <w:gridSpan w:val="2"/>
                  <w:shd w:val="clear" w:color="auto" w:fill="auto"/>
                  <w:noWrap/>
                  <w:vAlign w:val="center"/>
                </w:tcPr>
                <w:p w14:paraId="3C67A9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产生量</w:t>
                  </w:r>
                </w:p>
              </w:tc>
              <w:tc>
                <w:tcPr>
                  <w:tcW w:w="462" w:type="pct"/>
                  <w:vMerge w:val="restart"/>
                  <w:shd w:val="clear" w:color="auto" w:fill="auto"/>
                  <w:noWrap/>
                  <w:vAlign w:val="center"/>
                </w:tcPr>
                <w:p w14:paraId="2F5F6D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收集效率</w:t>
                  </w:r>
                </w:p>
              </w:tc>
              <w:tc>
                <w:tcPr>
                  <w:tcW w:w="476" w:type="pct"/>
                  <w:vMerge w:val="restart"/>
                  <w:shd w:val="clear" w:color="auto" w:fill="auto"/>
                  <w:noWrap/>
                  <w:vAlign w:val="center"/>
                </w:tcPr>
                <w:p w14:paraId="5A4806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处理效率</w:t>
                  </w:r>
                </w:p>
              </w:tc>
              <w:tc>
                <w:tcPr>
                  <w:tcW w:w="997" w:type="pct"/>
                  <w:gridSpan w:val="2"/>
                  <w:shd w:val="clear" w:color="auto" w:fill="auto"/>
                  <w:noWrap/>
                  <w:vAlign w:val="center"/>
                </w:tcPr>
                <w:p w14:paraId="7BD3DC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有组织排放</w:t>
                  </w:r>
                </w:p>
              </w:tc>
              <w:tc>
                <w:tcPr>
                  <w:tcW w:w="936" w:type="pct"/>
                  <w:gridSpan w:val="2"/>
                  <w:shd w:val="clear" w:color="auto" w:fill="auto"/>
                  <w:noWrap/>
                  <w:vAlign w:val="center"/>
                </w:tcPr>
                <w:p w14:paraId="601C06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无组织排放</w:t>
                  </w:r>
                </w:p>
              </w:tc>
            </w:tr>
            <w:tr w14:paraId="4BE8D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4" w:type="pct"/>
                  <w:vMerge w:val="continue"/>
                  <w:shd w:val="clear" w:color="auto" w:fill="auto"/>
                  <w:noWrap/>
                  <w:vAlign w:val="center"/>
                </w:tcPr>
                <w:p w14:paraId="480D10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729" w:type="pct"/>
                  <w:vMerge w:val="continue"/>
                  <w:shd w:val="clear" w:color="auto" w:fill="auto"/>
                  <w:noWrap/>
                  <w:vAlign w:val="center"/>
                </w:tcPr>
                <w:p w14:paraId="5CEF97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446" w:type="pct"/>
                  <w:shd w:val="clear" w:color="auto" w:fill="auto"/>
                  <w:noWrap/>
                  <w:vAlign w:val="center"/>
                </w:tcPr>
                <w:p w14:paraId="4FA525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速率kg/h</w:t>
                  </w:r>
                </w:p>
              </w:tc>
              <w:tc>
                <w:tcPr>
                  <w:tcW w:w="484" w:type="pct"/>
                  <w:shd w:val="clear" w:color="auto" w:fill="auto"/>
                  <w:noWrap/>
                  <w:vAlign w:val="center"/>
                </w:tcPr>
                <w:p w14:paraId="494EE7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产生量t/a</w:t>
                  </w:r>
                </w:p>
              </w:tc>
              <w:tc>
                <w:tcPr>
                  <w:tcW w:w="462" w:type="pct"/>
                  <w:vMerge w:val="continue"/>
                  <w:shd w:val="clear" w:color="auto" w:fill="auto"/>
                  <w:noWrap/>
                  <w:vAlign w:val="center"/>
                </w:tcPr>
                <w:p w14:paraId="02E73A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476" w:type="pct"/>
                  <w:vMerge w:val="continue"/>
                  <w:shd w:val="clear" w:color="auto" w:fill="auto"/>
                  <w:noWrap/>
                  <w:vAlign w:val="center"/>
                </w:tcPr>
                <w:p w14:paraId="2F3A62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468" w:type="pct"/>
                  <w:shd w:val="clear" w:color="auto" w:fill="auto"/>
                  <w:noWrap/>
                  <w:vAlign w:val="center"/>
                </w:tcPr>
                <w:p w14:paraId="795A38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速率</w:t>
                  </w:r>
                </w:p>
                <w:p w14:paraId="01C4AE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kg/h</w:t>
                  </w:r>
                </w:p>
              </w:tc>
              <w:tc>
                <w:tcPr>
                  <w:tcW w:w="528" w:type="pct"/>
                  <w:shd w:val="clear" w:color="auto" w:fill="auto"/>
                  <w:noWrap/>
                  <w:vAlign w:val="center"/>
                </w:tcPr>
                <w:p w14:paraId="7F297B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排放浓度</w:t>
                  </w:r>
                  <w:r>
                    <w:rPr>
                      <w:rFonts w:hint="eastAsia" w:ascii="Times New Roman" w:hAnsi="Times New Roman" w:eastAsia="宋体" w:cs="Times New Roman"/>
                      <w:i w:val="0"/>
                      <w:iCs w:val="0"/>
                      <w:color w:val="000000"/>
                      <w:kern w:val="0"/>
                      <w:sz w:val="21"/>
                      <w:szCs w:val="21"/>
                      <w:u w:val="none"/>
                      <w:lang w:val="en-US" w:eastAsia="zh-CN" w:bidi="ar"/>
                    </w:rPr>
                    <w:t>mg/m</w:t>
                  </w:r>
                  <w:r>
                    <w:rPr>
                      <w:rFonts w:hint="eastAsia" w:ascii="Times New Roman" w:hAnsi="Times New Roman" w:eastAsia="宋体" w:cs="Times New Roman"/>
                      <w:i w:val="0"/>
                      <w:iCs w:val="0"/>
                      <w:color w:val="000000"/>
                      <w:kern w:val="0"/>
                      <w:sz w:val="21"/>
                      <w:szCs w:val="21"/>
                      <w:u w:val="none"/>
                      <w:vertAlign w:val="superscript"/>
                      <w:lang w:val="en-US" w:eastAsia="zh-CN" w:bidi="ar"/>
                    </w:rPr>
                    <w:t>3</w:t>
                  </w:r>
                </w:p>
              </w:tc>
              <w:tc>
                <w:tcPr>
                  <w:tcW w:w="446" w:type="pct"/>
                  <w:shd w:val="clear" w:color="auto" w:fill="auto"/>
                  <w:noWrap/>
                  <w:vAlign w:val="center"/>
                </w:tcPr>
                <w:p w14:paraId="75F4EF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速率</w:t>
                  </w:r>
                </w:p>
                <w:p w14:paraId="6890D6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kg/h</w:t>
                  </w:r>
                </w:p>
              </w:tc>
              <w:tc>
                <w:tcPr>
                  <w:tcW w:w="490" w:type="pct"/>
                  <w:shd w:val="clear" w:color="auto" w:fill="auto"/>
                  <w:noWrap/>
                  <w:vAlign w:val="center"/>
                </w:tcPr>
                <w:p w14:paraId="574A7A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排放量t/a</w:t>
                  </w:r>
                </w:p>
              </w:tc>
            </w:tr>
            <w:tr w14:paraId="61B89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4" w:type="pct"/>
                  <w:shd w:val="clear" w:color="auto" w:fill="auto"/>
                  <w:noWrap/>
                  <w:vAlign w:val="center"/>
                </w:tcPr>
                <w:p w14:paraId="1311A1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消毒</w:t>
                  </w:r>
                </w:p>
              </w:tc>
              <w:tc>
                <w:tcPr>
                  <w:tcW w:w="729" w:type="pct"/>
                  <w:shd w:val="clear" w:color="auto" w:fill="auto"/>
                  <w:noWrap/>
                  <w:vAlign w:val="center"/>
                </w:tcPr>
                <w:p w14:paraId="71BBC1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NMHC</w:t>
                  </w:r>
                </w:p>
              </w:tc>
              <w:tc>
                <w:tcPr>
                  <w:tcW w:w="446" w:type="pct"/>
                  <w:shd w:val="clear" w:color="auto" w:fill="auto"/>
                  <w:noWrap/>
                  <w:vAlign w:val="center"/>
                </w:tcPr>
                <w:p w14:paraId="64D9A1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0.300</w:t>
                  </w:r>
                </w:p>
              </w:tc>
              <w:tc>
                <w:tcPr>
                  <w:tcW w:w="484" w:type="pct"/>
                  <w:shd w:val="clear" w:color="auto" w:fill="auto"/>
                  <w:noWrap/>
                  <w:vAlign w:val="center"/>
                </w:tcPr>
                <w:p w14:paraId="6FAF93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0.015</w:t>
                  </w:r>
                </w:p>
              </w:tc>
              <w:tc>
                <w:tcPr>
                  <w:tcW w:w="462" w:type="pct"/>
                  <w:shd w:val="clear" w:color="auto" w:fill="auto"/>
                  <w:noWrap/>
                  <w:vAlign w:val="center"/>
                </w:tcPr>
                <w:p w14:paraId="77FC7E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90%</w:t>
                  </w:r>
                </w:p>
              </w:tc>
              <w:tc>
                <w:tcPr>
                  <w:tcW w:w="476" w:type="pct"/>
                  <w:shd w:val="clear" w:color="auto" w:fill="auto"/>
                  <w:noWrap/>
                  <w:vAlign w:val="center"/>
                </w:tcPr>
                <w:p w14:paraId="7ABC09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468" w:type="pct"/>
                  <w:shd w:val="clear" w:color="auto" w:fill="auto"/>
                  <w:noWrap/>
                  <w:vAlign w:val="center"/>
                </w:tcPr>
                <w:p w14:paraId="01DC98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0.081</w:t>
                  </w:r>
                </w:p>
              </w:tc>
              <w:tc>
                <w:tcPr>
                  <w:tcW w:w="528" w:type="pct"/>
                  <w:shd w:val="clear" w:color="auto" w:fill="auto"/>
                  <w:noWrap/>
                  <w:vAlign w:val="center"/>
                </w:tcPr>
                <w:p w14:paraId="1DF75B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0.048</w:t>
                  </w:r>
                </w:p>
              </w:tc>
              <w:tc>
                <w:tcPr>
                  <w:tcW w:w="446" w:type="pct"/>
                  <w:shd w:val="clear" w:color="auto" w:fill="auto"/>
                  <w:noWrap/>
                  <w:vAlign w:val="center"/>
                </w:tcPr>
                <w:p w14:paraId="68CB92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0.030</w:t>
                  </w:r>
                </w:p>
              </w:tc>
              <w:tc>
                <w:tcPr>
                  <w:tcW w:w="490" w:type="pct"/>
                  <w:shd w:val="clear" w:color="auto" w:fill="auto"/>
                  <w:noWrap/>
                  <w:vAlign w:val="center"/>
                </w:tcPr>
                <w:p w14:paraId="4E5ECC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w:t>
                  </w:r>
                </w:p>
              </w:tc>
            </w:tr>
            <w:tr w14:paraId="1913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4" w:type="pct"/>
                  <w:shd w:val="clear" w:color="auto" w:fill="auto"/>
                  <w:noWrap/>
                  <w:vAlign w:val="center"/>
                </w:tcPr>
                <w:p w14:paraId="26235D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实验</w:t>
                  </w:r>
                </w:p>
              </w:tc>
              <w:tc>
                <w:tcPr>
                  <w:tcW w:w="729" w:type="pct"/>
                  <w:shd w:val="clear" w:color="auto" w:fill="auto"/>
                  <w:noWrap/>
                  <w:vAlign w:val="center"/>
                </w:tcPr>
                <w:p w14:paraId="279BE2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HCl</w:t>
                  </w:r>
                </w:p>
              </w:tc>
              <w:tc>
                <w:tcPr>
                  <w:tcW w:w="446" w:type="pct"/>
                  <w:shd w:val="clear" w:color="auto" w:fill="auto"/>
                  <w:noWrap/>
                  <w:vAlign w:val="center"/>
                </w:tcPr>
                <w:p w14:paraId="4F393F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484" w:type="pct"/>
                  <w:shd w:val="clear" w:color="auto" w:fill="auto"/>
                  <w:noWrap/>
                  <w:vAlign w:val="center"/>
                </w:tcPr>
                <w:p w14:paraId="2A3430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少量</w:t>
                  </w:r>
                </w:p>
              </w:tc>
              <w:tc>
                <w:tcPr>
                  <w:tcW w:w="462" w:type="pct"/>
                  <w:shd w:val="clear" w:color="auto" w:fill="auto"/>
                  <w:noWrap/>
                  <w:vAlign w:val="center"/>
                </w:tcPr>
                <w:p w14:paraId="21266B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90%</w:t>
                  </w:r>
                </w:p>
              </w:tc>
              <w:tc>
                <w:tcPr>
                  <w:tcW w:w="476" w:type="pct"/>
                  <w:shd w:val="clear" w:color="auto" w:fill="auto"/>
                  <w:noWrap/>
                  <w:vAlign w:val="center"/>
                </w:tcPr>
                <w:p w14:paraId="08EE3B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468" w:type="pct"/>
                  <w:shd w:val="clear" w:color="auto" w:fill="auto"/>
                  <w:noWrap/>
                  <w:vAlign w:val="center"/>
                </w:tcPr>
                <w:p w14:paraId="6E5CD5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528" w:type="pct"/>
                  <w:shd w:val="clear" w:color="auto" w:fill="auto"/>
                  <w:noWrap/>
                  <w:vAlign w:val="center"/>
                </w:tcPr>
                <w:p w14:paraId="03E28E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446" w:type="pct"/>
                  <w:shd w:val="clear" w:color="auto" w:fill="auto"/>
                  <w:noWrap/>
                  <w:vAlign w:val="center"/>
                </w:tcPr>
                <w:p w14:paraId="1F7AE7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490" w:type="pct"/>
                  <w:shd w:val="clear" w:color="auto" w:fill="auto"/>
                  <w:noWrap/>
                  <w:vAlign w:val="center"/>
                </w:tcPr>
                <w:p w14:paraId="77C412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少量</w:t>
                  </w:r>
                </w:p>
              </w:tc>
            </w:tr>
            <w:tr w14:paraId="61D2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4" w:type="pct"/>
                  <w:shd w:val="clear" w:color="auto" w:fill="auto"/>
                  <w:noWrap/>
                  <w:vAlign w:val="center"/>
                </w:tcPr>
                <w:p w14:paraId="6CE2E8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实验</w:t>
                  </w:r>
                </w:p>
              </w:tc>
              <w:tc>
                <w:tcPr>
                  <w:tcW w:w="729" w:type="pct"/>
                  <w:shd w:val="clear" w:color="auto" w:fill="auto"/>
                  <w:noWrap/>
                  <w:vAlign w:val="center"/>
                </w:tcPr>
                <w:p w14:paraId="45C070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臭气浓度</w:t>
                  </w:r>
                </w:p>
              </w:tc>
              <w:tc>
                <w:tcPr>
                  <w:tcW w:w="446" w:type="pct"/>
                  <w:shd w:val="clear" w:color="auto" w:fill="auto"/>
                  <w:noWrap/>
                  <w:vAlign w:val="center"/>
                </w:tcPr>
                <w:p w14:paraId="693C9A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484" w:type="pct"/>
                  <w:shd w:val="clear" w:color="auto" w:fill="auto"/>
                  <w:noWrap/>
                  <w:vAlign w:val="center"/>
                </w:tcPr>
                <w:p w14:paraId="2FED93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少量</w:t>
                  </w:r>
                </w:p>
              </w:tc>
              <w:tc>
                <w:tcPr>
                  <w:tcW w:w="462" w:type="pct"/>
                  <w:shd w:val="clear" w:color="auto" w:fill="auto"/>
                  <w:noWrap/>
                  <w:vAlign w:val="center"/>
                </w:tcPr>
                <w:p w14:paraId="3C29F4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90%</w:t>
                  </w:r>
                </w:p>
              </w:tc>
              <w:tc>
                <w:tcPr>
                  <w:tcW w:w="476" w:type="pct"/>
                  <w:shd w:val="clear" w:color="auto" w:fill="auto"/>
                  <w:noWrap/>
                  <w:vAlign w:val="center"/>
                </w:tcPr>
                <w:p w14:paraId="654AE4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9</w:t>
                  </w:r>
                  <w:r>
                    <w:rPr>
                      <w:rFonts w:hint="default" w:ascii="Times New Roman" w:hAnsi="Times New Roman" w:eastAsia="宋体" w:cs="Times New Roman"/>
                      <w:i w:val="0"/>
                      <w:iCs w:val="0"/>
                      <w:color w:val="auto"/>
                      <w:kern w:val="0"/>
                      <w:sz w:val="21"/>
                      <w:szCs w:val="21"/>
                      <w:u w:val="none"/>
                      <w:lang w:val="en-US" w:eastAsia="zh-CN" w:bidi="ar"/>
                    </w:rPr>
                    <w:t>0%</w:t>
                  </w:r>
                </w:p>
              </w:tc>
              <w:tc>
                <w:tcPr>
                  <w:tcW w:w="468" w:type="pct"/>
                  <w:shd w:val="clear" w:color="auto" w:fill="auto"/>
                  <w:noWrap/>
                  <w:vAlign w:val="center"/>
                </w:tcPr>
                <w:p w14:paraId="22D772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528" w:type="pct"/>
                  <w:shd w:val="clear" w:color="auto" w:fill="auto"/>
                  <w:noWrap/>
                  <w:vAlign w:val="center"/>
                </w:tcPr>
                <w:p w14:paraId="7135FA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446" w:type="pct"/>
                  <w:shd w:val="clear" w:color="auto" w:fill="auto"/>
                  <w:noWrap/>
                  <w:vAlign w:val="center"/>
                </w:tcPr>
                <w:p w14:paraId="3586BD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490" w:type="pct"/>
                  <w:shd w:val="clear" w:color="auto" w:fill="auto"/>
                  <w:noWrap/>
                  <w:vAlign w:val="center"/>
                </w:tcPr>
                <w:p w14:paraId="14DF5E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少量</w:t>
                  </w:r>
                </w:p>
              </w:tc>
            </w:tr>
            <w:tr w14:paraId="2CE17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0"/>
                  <w:shd w:val="clear" w:color="auto" w:fill="auto"/>
                  <w:noWrap/>
                  <w:vAlign w:val="center"/>
                </w:tcPr>
                <w:p w14:paraId="50AF13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备注：消毒工序年操作时间按照50h计算。</w:t>
                  </w:r>
                </w:p>
              </w:tc>
            </w:tr>
          </w:tbl>
          <w:p w14:paraId="336A808F">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2、环境影响分析</w:t>
            </w:r>
          </w:p>
          <w:p w14:paraId="0EB09AA8">
            <w:pPr>
              <w:keepNext w:val="0"/>
              <w:keepLines w:val="0"/>
              <w:suppressLineNumbers w:val="0"/>
              <w:bidi w:val="0"/>
              <w:spacing w:before="0" w:beforeAutospacing="0" w:after="0" w:afterAutospacing="0"/>
              <w:ind w:left="0" w:right="0"/>
              <w:rPr>
                <w:rFonts w:hint="eastAsia"/>
                <w:color w:val="auto"/>
                <w:lang w:val="en-US" w:eastAsia="zh-CN"/>
              </w:rPr>
            </w:pPr>
            <w:r>
              <w:rPr>
                <w:rFonts w:hint="default"/>
                <w:color w:val="auto"/>
                <w:lang w:val="en-US" w:eastAsia="zh-CN"/>
              </w:rPr>
              <w:t>本项目在</w:t>
            </w:r>
            <w:r>
              <w:rPr>
                <w:rFonts w:hint="eastAsia"/>
                <w:color w:val="auto"/>
                <w:lang w:val="en-US" w:eastAsia="zh-CN"/>
              </w:rPr>
              <w:t>样本采集、前处理等</w:t>
            </w:r>
            <w:r>
              <w:rPr>
                <w:rFonts w:hint="default"/>
                <w:color w:val="auto"/>
                <w:lang w:val="en-US" w:eastAsia="zh-CN"/>
              </w:rPr>
              <w:t>过程中会使用到</w:t>
            </w:r>
            <w:r>
              <w:rPr>
                <w:rFonts w:hint="eastAsia"/>
                <w:color w:val="auto"/>
                <w:lang w:val="en-US" w:eastAsia="zh-CN"/>
              </w:rPr>
              <w:t>具有</w:t>
            </w:r>
            <w:r>
              <w:rPr>
                <w:rFonts w:hint="default"/>
                <w:color w:val="auto"/>
                <w:lang w:val="en-US" w:eastAsia="zh-CN"/>
              </w:rPr>
              <w:t>挥发性的化学试剂，如：</w:t>
            </w:r>
            <w:r>
              <w:rPr>
                <w:rFonts w:hint="eastAsia"/>
                <w:color w:val="auto"/>
                <w:lang w:val="en-US" w:eastAsia="zh-CN"/>
              </w:rPr>
              <w:t>HCl</w:t>
            </w:r>
            <w:r>
              <w:rPr>
                <w:rFonts w:hint="default"/>
                <w:color w:val="auto"/>
                <w:lang w:val="en-US" w:eastAsia="zh-CN"/>
              </w:rPr>
              <w:t>，但产生量较少，同时废气排放具有浓度低、分散、间歇排放等特点。</w:t>
            </w:r>
            <w:r>
              <w:rPr>
                <w:rFonts w:hint="eastAsia"/>
                <w:color w:val="auto"/>
                <w:lang w:val="en-US" w:eastAsia="zh-CN"/>
              </w:rPr>
              <w:t>本项目主要废气为样本采集过程产生的臭气浓度及实验室日常消毒过程中产生的有机废气(以非甲烷总烃计)，经活性炭吸附装置处理后，同时类比同类型项目验收监测结果，可做到稳定达标排放。</w:t>
            </w:r>
          </w:p>
          <w:p w14:paraId="4CAE785A">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3、监测计划</w:t>
            </w:r>
          </w:p>
          <w:p w14:paraId="4FD3D4D4">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本项目可参照《排污单位自行监测技术指南总则》(HJ819-2017)，自行制定污染源监测计划。</w:t>
            </w:r>
          </w:p>
          <w:p w14:paraId="69715302">
            <w:pPr>
              <w:pStyle w:val="7"/>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黑体" w:cs="Times New Roman"/>
                <w:color w:val="auto"/>
                <w:szCs w:val="24"/>
                <w:lang w:val="en-US" w:eastAsia="zh-CN"/>
              </w:rPr>
            </w:pPr>
            <w:r>
              <w:rPr>
                <w:rFonts w:hint="default" w:ascii="Times New Roman" w:hAnsi="Times New Roman" w:eastAsia="黑体" w:cs="Times New Roman"/>
                <w:color w:val="auto"/>
                <w:szCs w:val="24"/>
                <w:lang w:val="en-US" w:eastAsia="zh-CN"/>
              </w:rPr>
              <w:t>表4-</w:t>
            </w:r>
            <w:r>
              <w:rPr>
                <w:rFonts w:hint="eastAsia" w:ascii="Times New Roman" w:hAnsi="Times New Roman" w:eastAsia="黑体" w:cs="Times New Roman"/>
                <w:color w:val="auto"/>
                <w:szCs w:val="24"/>
                <w:lang w:val="en-US" w:eastAsia="zh-CN"/>
              </w:rPr>
              <w:t>3</w:t>
            </w:r>
            <w:r>
              <w:rPr>
                <w:rFonts w:hint="default" w:ascii="Times New Roman" w:hAnsi="Times New Roman" w:eastAsia="黑体" w:cs="Times New Roman"/>
                <w:color w:val="auto"/>
                <w:szCs w:val="24"/>
                <w:lang w:val="en-US" w:eastAsia="zh-CN"/>
              </w:rPr>
              <w:t xml:space="preserve">  排放口基本情况及有组织污染源监测表</w:t>
            </w:r>
          </w:p>
          <w:tbl>
            <w:tblPr>
              <w:tblStyle w:val="16"/>
              <w:tblW w:w="77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69"/>
              <w:gridCol w:w="1570"/>
              <w:gridCol w:w="1377"/>
              <w:gridCol w:w="1975"/>
              <w:gridCol w:w="1212"/>
            </w:tblGrid>
            <w:tr w14:paraId="289C2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569" w:type="dxa"/>
                  <w:tcBorders>
                    <w:top w:val="single" w:color="auto" w:sz="4" w:space="0"/>
                    <w:left w:val="single" w:color="auto" w:sz="0" w:space="0"/>
                    <w:bottom w:val="single" w:color="auto" w:sz="4" w:space="0"/>
                    <w:right w:val="single" w:color="auto" w:sz="4" w:space="0"/>
                  </w:tcBorders>
                  <w:shd w:val="clear" w:color="auto" w:fill="auto"/>
                  <w:noWrap/>
                  <w:vAlign w:val="center"/>
                </w:tcPr>
                <w:p w14:paraId="4EAC3D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排放口编号</w:t>
                  </w:r>
                </w:p>
              </w:tc>
              <w:tc>
                <w:tcPr>
                  <w:tcW w:w="15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3595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名称</w:t>
                  </w:r>
                </w:p>
              </w:tc>
              <w:tc>
                <w:tcPr>
                  <w:tcW w:w="13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664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排放口类型</w:t>
                  </w:r>
                </w:p>
              </w:tc>
              <w:tc>
                <w:tcPr>
                  <w:tcW w:w="19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1834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监测指标</w:t>
                  </w:r>
                </w:p>
              </w:tc>
              <w:tc>
                <w:tcPr>
                  <w:tcW w:w="12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35CC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监测频次</w:t>
                  </w:r>
                </w:p>
              </w:tc>
            </w:tr>
            <w:tr w14:paraId="71B34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5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6A8B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DA001</w:t>
                  </w:r>
                </w:p>
              </w:tc>
              <w:tc>
                <w:tcPr>
                  <w:tcW w:w="15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7FCD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实验废气排放口</w:t>
                  </w:r>
                </w:p>
              </w:tc>
              <w:tc>
                <w:tcPr>
                  <w:tcW w:w="13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97D2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一般排放口</w:t>
                  </w:r>
                </w:p>
              </w:tc>
              <w:tc>
                <w:tcPr>
                  <w:tcW w:w="19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0748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Times New Roman" w:hAnsi="Times New Roman" w:eastAsia="宋体" w:cs="Times New Roman"/>
                      <w:i w:val="0"/>
                      <w:iCs w:val="0"/>
                      <w:color w:val="auto"/>
                      <w:sz w:val="21"/>
                      <w:szCs w:val="21"/>
                      <w:u w:val="none"/>
                      <w:lang w:val="en-US" w:eastAsia="zh-CN"/>
                    </w:rPr>
                    <w:t>HCl、</w:t>
                  </w:r>
                  <w:r>
                    <w:rPr>
                      <w:rFonts w:hint="eastAsia" w:cs="Times New Roman"/>
                      <w:i w:val="0"/>
                      <w:iCs w:val="0"/>
                      <w:color w:val="auto"/>
                      <w:sz w:val="21"/>
                      <w:szCs w:val="21"/>
                      <w:u w:val="none"/>
                      <w:lang w:val="en-US" w:eastAsia="zh-CN"/>
                    </w:rPr>
                    <w:t>臭气浓度、NMHC</w:t>
                  </w:r>
                </w:p>
              </w:tc>
              <w:tc>
                <w:tcPr>
                  <w:tcW w:w="12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7772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每年一次</w:t>
                  </w:r>
                </w:p>
              </w:tc>
            </w:tr>
          </w:tbl>
          <w:p w14:paraId="0037C951">
            <w:pPr>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黑体" w:cs="Times New Roman"/>
                <w:color w:val="auto"/>
                <w:szCs w:val="24"/>
                <w:lang w:val="en-US" w:eastAsia="zh-CN"/>
              </w:rPr>
            </w:pPr>
            <w:r>
              <w:rPr>
                <w:rFonts w:hint="default" w:ascii="Times New Roman" w:hAnsi="Times New Roman" w:eastAsia="黑体" w:cs="Times New Roman"/>
                <w:color w:val="auto"/>
                <w:szCs w:val="24"/>
                <w:lang w:val="en-US" w:eastAsia="zh-CN"/>
              </w:rPr>
              <w:t>表4-</w:t>
            </w:r>
            <w:r>
              <w:rPr>
                <w:rFonts w:hint="eastAsia" w:eastAsia="黑体" w:cs="Times New Roman"/>
                <w:color w:val="auto"/>
                <w:szCs w:val="24"/>
                <w:lang w:val="en-US" w:eastAsia="zh-CN"/>
              </w:rPr>
              <w:t>4</w:t>
            </w:r>
            <w:r>
              <w:rPr>
                <w:rFonts w:hint="default" w:ascii="Times New Roman" w:hAnsi="Times New Roman" w:eastAsia="黑体" w:cs="Times New Roman"/>
                <w:color w:val="auto"/>
                <w:szCs w:val="24"/>
                <w:lang w:val="en-US" w:eastAsia="zh-CN"/>
              </w:rPr>
              <w:t xml:space="preserve">  项目无组织污染源监测表</w:t>
            </w:r>
          </w:p>
          <w:tbl>
            <w:tblPr>
              <w:tblStyle w:val="16"/>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10"/>
              <w:gridCol w:w="3125"/>
              <w:gridCol w:w="2310"/>
            </w:tblGrid>
            <w:tr w14:paraId="23DFA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1491" w:type="pct"/>
                  <w:tcBorders>
                    <w:top w:val="single" w:color="auto" w:sz="4" w:space="0"/>
                    <w:left w:val="single" w:color="auto" w:sz="0" w:space="0"/>
                    <w:bottom w:val="single" w:color="auto" w:sz="4" w:space="0"/>
                    <w:right w:val="single" w:color="auto" w:sz="4" w:space="0"/>
                  </w:tcBorders>
                  <w:shd w:val="clear" w:color="auto" w:fill="auto"/>
                  <w:noWrap/>
                  <w:vAlign w:val="center"/>
                </w:tcPr>
                <w:p w14:paraId="4C2159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监测点位</w:t>
                  </w:r>
                </w:p>
              </w:tc>
              <w:tc>
                <w:tcPr>
                  <w:tcW w:w="20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DD82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监测指标</w:t>
                  </w:r>
                </w:p>
              </w:tc>
              <w:tc>
                <w:tcPr>
                  <w:tcW w:w="1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1294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监测频次</w:t>
                  </w:r>
                </w:p>
              </w:tc>
            </w:tr>
            <w:tr w14:paraId="091A2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40F2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厂界四周</w:t>
                  </w:r>
                </w:p>
              </w:tc>
              <w:tc>
                <w:tcPr>
                  <w:tcW w:w="20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4045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HCl、臭气浓度</w:t>
                  </w:r>
                  <w:r>
                    <w:rPr>
                      <w:rFonts w:hint="eastAsia" w:cs="Times New Roman"/>
                      <w:i w:val="0"/>
                      <w:iCs w:val="0"/>
                      <w:color w:val="auto"/>
                      <w:sz w:val="21"/>
                      <w:szCs w:val="21"/>
                      <w:u w:val="none"/>
                      <w:lang w:val="en-US" w:eastAsia="zh-CN"/>
                    </w:rPr>
                    <w:t>、NMHC</w:t>
                  </w:r>
                </w:p>
              </w:tc>
              <w:tc>
                <w:tcPr>
                  <w:tcW w:w="1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1C82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每年一次</w:t>
                  </w:r>
                </w:p>
              </w:tc>
            </w:tr>
          </w:tbl>
          <w:p w14:paraId="5DEF10FD">
            <w:pPr>
              <w:keepNext w:val="0"/>
              <w:keepLines w:val="0"/>
              <w:numPr>
                <w:ilvl w:val="0"/>
                <w:numId w:val="5"/>
              </w:numPr>
              <w:suppressLineNumbers w:val="0"/>
              <w:bidi w:val="0"/>
              <w:spacing w:before="0" w:beforeAutospacing="0" w:after="0" w:afterAutospacing="0"/>
              <w:ind w:left="0" w:leftChars="0" w:right="0" w:firstLine="480" w:firstLineChars="200"/>
              <w:rPr>
                <w:rFonts w:hint="eastAsia"/>
                <w:color w:val="auto"/>
                <w:lang w:val="en-US" w:eastAsia="zh-CN"/>
              </w:rPr>
            </w:pPr>
            <w:r>
              <w:rPr>
                <w:rFonts w:hint="eastAsia"/>
                <w:color w:val="auto"/>
                <w:lang w:val="en-US" w:eastAsia="zh-CN"/>
              </w:rPr>
              <w:t>非正常工况</w:t>
            </w:r>
          </w:p>
          <w:p w14:paraId="09895D5E">
            <w:pPr>
              <w:keepNext w:val="0"/>
              <w:keepLines w:val="0"/>
              <w:suppressLineNumbers w:val="0"/>
              <w:bidi w:val="0"/>
              <w:spacing w:before="0" w:beforeAutospacing="0" w:after="0" w:afterAutospacing="0"/>
              <w:ind w:left="0" w:right="0"/>
              <w:rPr>
                <w:rFonts w:hint="default"/>
                <w:color w:val="auto"/>
              </w:rPr>
            </w:pPr>
            <w:r>
              <w:rPr>
                <w:rFonts w:hint="default"/>
                <w:color w:val="auto"/>
              </w:rPr>
              <w:t>为减少不正常排放污染物，建议建设单位做好防范工作：</w:t>
            </w:r>
          </w:p>
          <w:p w14:paraId="28E89F7B">
            <w:pPr>
              <w:keepNext w:val="0"/>
              <w:keepLines w:val="0"/>
              <w:suppressLineNumbers w:val="0"/>
              <w:bidi w:val="0"/>
              <w:spacing w:before="0" w:beforeAutospacing="0" w:after="0" w:afterAutospacing="0"/>
              <w:ind w:left="0" w:right="0"/>
              <w:rPr>
                <w:rFonts w:hint="default"/>
                <w:color w:val="auto"/>
              </w:rPr>
            </w:pPr>
            <w:r>
              <w:rPr>
                <w:rFonts w:hint="default"/>
                <w:color w:val="auto"/>
              </w:rPr>
              <w:t>a、平时注意废气处理设施的维护，及时发现处理设备的隐患，确保废气处理系统正常运行；开、停、检修要有预案，有严密周全的计划，确保不发生非正常排放，或使影响最小。</w:t>
            </w:r>
          </w:p>
          <w:p w14:paraId="3CBDC2F9">
            <w:pPr>
              <w:keepNext w:val="0"/>
              <w:keepLines w:val="0"/>
              <w:suppressLineNumbers w:val="0"/>
              <w:bidi w:val="0"/>
              <w:spacing w:before="0" w:beforeAutospacing="0" w:after="0" w:afterAutospacing="0"/>
              <w:ind w:left="0" w:right="0"/>
              <w:rPr>
                <w:rFonts w:hint="default" w:eastAsia="宋体"/>
                <w:color w:val="auto"/>
                <w:lang w:val="en-US" w:eastAsia="zh-CN"/>
              </w:rPr>
            </w:pPr>
            <w:r>
              <w:rPr>
                <w:rFonts w:hint="default"/>
                <w:color w:val="auto"/>
              </w:rPr>
              <w:t>b、应设有备用电源和备用处理设备和零件，以备停电或设备出现故障时保障及时更换使废气全部做到达标排放。</w:t>
            </w:r>
          </w:p>
          <w:p w14:paraId="27955B1F">
            <w:pPr>
              <w:keepNext w:val="0"/>
              <w:keepLines w:val="0"/>
              <w:suppressLineNumbers w:val="0"/>
              <w:bidi w:val="0"/>
              <w:spacing w:before="0" w:beforeAutospacing="0" w:after="0" w:afterAutospacing="0"/>
              <w:ind w:left="0" w:right="0"/>
              <w:rPr>
                <w:rFonts w:hint="default"/>
                <w:color w:val="auto"/>
              </w:rPr>
            </w:pPr>
            <w:r>
              <w:rPr>
                <w:rFonts w:hint="default"/>
                <w:color w:val="auto"/>
              </w:rPr>
              <w:t>c、对员工进行岗位培训。做好值班记录，实行岗位责任制。</w:t>
            </w:r>
          </w:p>
          <w:p w14:paraId="06067AFE">
            <w:pPr>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rPr>
              <w:t>本项目投产后，需加强环保管理，杜绝废气的不正常排放的发生。</w:t>
            </w:r>
          </w:p>
          <w:p w14:paraId="46440F6C">
            <w:pPr>
              <w:keepNext w:val="0"/>
              <w:keepLines w:val="0"/>
              <w:numPr>
                <w:ilvl w:val="0"/>
                <w:numId w:val="6"/>
              </w:numPr>
              <w:suppressLineNumbers w:val="0"/>
              <w:spacing w:before="0" w:beforeAutospacing="0" w:after="0" w:afterAutospacing="0"/>
              <w:ind w:left="0" w:right="0" w:firstLine="480"/>
              <w:rPr>
                <w:rFonts w:hint="default"/>
                <w:color w:val="auto"/>
              </w:rPr>
            </w:pPr>
            <w:r>
              <w:rPr>
                <w:rFonts w:hint="eastAsia"/>
                <w:color w:val="auto"/>
              </w:rPr>
              <w:t>水环境影响及防治措施</w:t>
            </w:r>
          </w:p>
          <w:p w14:paraId="6332E679">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本项目废水主要为实验废水、灭菌废水、恒温水槽更换废水及生活污水，其中生产过程中，车间保洁采用干式保洁方式，不涉及车间保洁废水，项目不设置洗衣房，不产生洗衣废水。本项目灭菌工序及恒温水槽均不与物料直接接触。</w:t>
            </w:r>
          </w:p>
          <w:p w14:paraId="1312CDDD">
            <w:pPr>
              <w:keepNext w:val="0"/>
              <w:keepLines w:val="0"/>
              <w:suppressLineNumbers w:val="0"/>
              <w:spacing w:before="0" w:beforeAutospacing="0" w:after="0" w:afterAutospacing="0"/>
              <w:ind w:left="480" w:leftChars="200" w:right="0" w:firstLine="0" w:firstLineChars="0"/>
              <w:rPr>
                <w:rFonts w:hint="default"/>
                <w:color w:val="auto"/>
              </w:rPr>
            </w:pPr>
            <w:r>
              <w:rPr>
                <w:rFonts w:hint="eastAsia"/>
                <w:color w:val="auto"/>
              </w:rPr>
              <w:t>1、废水产排情况及源强核算</w:t>
            </w:r>
          </w:p>
          <w:p w14:paraId="14493B9D">
            <w:pPr>
              <w:keepNext w:val="0"/>
              <w:keepLines w:val="0"/>
              <w:numPr>
                <w:ilvl w:val="0"/>
                <w:numId w:val="0"/>
              </w:numPr>
              <w:suppressLineNumbers w:val="0"/>
              <w:bidi w:val="0"/>
              <w:spacing w:before="0" w:beforeAutospacing="0" w:after="0" w:afterAutospacing="0"/>
              <w:ind w:left="480" w:leftChars="200" w:right="0" w:rightChars="0"/>
              <w:rPr>
                <w:rFonts w:hint="default" w:eastAsia="宋体"/>
                <w:color w:val="auto"/>
                <w:lang w:val="en-US" w:eastAsia="zh-CN"/>
              </w:rPr>
            </w:pPr>
            <w:r>
              <w:rPr>
                <w:rFonts w:hint="eastAsia"/>
                <w:color w:val="auto"/>
                <w:lang w:val="en-US" w:eastAsia="zh-CN"/>
              </w:rPr>
              <w:t>(1) 灭菌及恒温水槽废水</w:t>
            </w:r>
          </w:p>
          <w:p w14:paraId="455A3B9B">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本项目灭菌工序采用灭菌锅蒸煮灭菌，纯水使用量约为0.21t/a，损耗量按照10%计算，则灭菌工序废水产生量约为0.185t/a；电热恒温水槽纯水使用量约为0.01t/a，损耗量按照10%计算，则电热恒温水槽废水产生量约为0.012t/a。本项目灭菌锅与恒温水槽不直接与样本接触，且采用纯水补充，故水质较为清洁，水质中COD按照50mg/L计算。</w:t>
            </w:r>
          </w:p>
          <w:p w14:paraId="6810DCBD">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ind w:left="0" w:leftChars="0" w:right="0"/>
              <w:textAlignment w:val="auto"/>
              <w:rPr>
                <w:rFonts w:hint="default"/>
                <w:color w:val="auto"/>
              </w:rPr>
            </w:pPr>
            <w:r>
              <w:rPr>
                <w:rFonts w:hint="eastAsia"/>
                <w:color w:val="auto"/>
                <w:lang w:val="en-US" w:eastAsia="zh-CN"/>
              </w:rPr>
              <w:t>清洗废水</w:t>
            </w:r>
          </w:p>
          <w:p w14:paraId="107588E7">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本项目实验研发过程使用的耗材大多数为一次性耗材，无需进行清洗，经收集后暂存于危废间委托有资质单位进行处置，辅助研发使用的玻璃器皿约为1000个，进行清洗，每次清洗工序分为3步进行源强核算。具体清洗方式如下：</w:t>
            </w:r>
          </w:p>
          <w:p w14:paraId="35531AD6">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初次清洗：器皿清洗首次使用新鲜自来水进行清洗，平均每个器皿新鲜水用量按照40ml计算，则初次清洗用水量为9.92m</w:t>
            </w:r>
            <w:r>
              <w:rPr>
                <w:rFonts w:hint="eastAsia"/>
                <w:color w:val="auto"/>
                <w:vertAlign w:val="superscript"/>
                <w:lang w:val="en-US" w:eastAsia="zh-CN"/>
              </w:rPr>
              <w:t>3</w:t>
            </w:r>
            <w:r>
              <w:rPr>
                <w:rFonts w:hint="eastAsia"/>
                <w:color w:val="auto"/>
                <w:lang w:val="en-US" w:eastAsia="zh-CN"/>
              </w:rPr>
              <w:t>/a，废水排放系数按照0.8计算，则初期清洗废水产生量为7.94t/a，因各类化学物质含量较高，此股废水按照实验废液收集后，转移至废液收集桶，暂存于危废间，委托有资质的单位进行处置；</w:t>
            </w:r>
          </w:p>
          <w:p w14:paraId="7C473DA3">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二次清洗：初洗完毕后，需要用新鲜水再次清洗，其用水量按照200ml/次，每次清洗3遍计算，则二次清洗用水量为49.6m</w:t>
            </w:r>
            <w:r>
              <w:rPr>
                <w:rFonts w:hint="eastAsia"/>
                <w:color w:val="auto"/>
                <w:vertAlign w:val="superscript"/>
                <w:lang w:val="en-US" w:eastAsia="zh-CN"/>
              </w:rPr>
              <w:t>3</w:t>
            </w:r>
            <w:r>
              <w:rPr>
                <w:rFonts w:hint="eastAsia"/>
                <w:color w:val="auto"/>
                <w:lang w:val="en-US" w:eastAsia="zh-CN"/>
              </w:rPr>
              <w:t>/a，废水排放系数按照0.8计算，则初期清洗废水产生量为39.68t/a，主要污染因子为COD</w:t>
            </w:r>
            <w:r>
              <w:rPr>
                <w:rFonts w:hint="eastAsia"/>
                <w:color w:val="auto"/>
                <w:vertAlign w:val="subscript"/>
                <w:lang w:val="en-US" w:eastAsia="zh-CN"/>
              </w:rPr>
              <w:t>Cr</w:t>
            </w:r>
            <w:r>
              <w:rPr>
                <w:rFonts w:hint="eastAsia"/>
                <w:color w:val="auto"/>
                <w:lang w:val="en-US" w:eastAsia="zh-CN"/>
              </w:rPr>
              <w:t>、NH</w:t>
            </w:r>
            <w:r>
              <w:rPr>
                <w:rFonts w:hint="eastAsia"/>
                <w:color w:val="auto"/>
                <w:vertAlign w:val="subscript"/>
                <w:lang w:val="en-US" w:eastAsia="zh-CN"/>
              </w:rPr>
              <w:t>3</w:t>
            </w:r>
            <w:r>
              <w:rPr>
                <w:rFonts w:hint="eastAsia"/>
                <w:color w:val="auto"/>
                <w:lang w:val="en-US" w:eastAsia="zh-CN"/>
              </w:rPr>
              <w:t>-N、TP、粪大肠杆菌，此股废水进入实验室污水处理设施处理后，纳管排放；</w:t>
            </w:r>
          </w:p>
          <w:p w14:paraId="57BC357B">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lang w:val="en-US" w:eastAsia="zh-CN"/>
              </w:rPr>
              <w:t>纯水润洗：采用外购纯水进行润洗，平均每个器皿新鲜水用量按照40ml计算，则初次清洗用水量为9.92m</w:t>
            </w:r>
            <w:r>
              <w:rPr>
                <w:rFonts w:hint="eastAsia"/>
                <w:color w:val="auto"/>
                <w:vertAlign w:val="superscript"/>
                <w:lang w:val="en-US" w:eastAsia="zh-CN"/>
              </w:rPr>
              <w:t>3</w:t>
            </w:r>
            <w:r>
              <w:rPr>
                <w:rFonts w:hint="eastAsia"/>
                <w:color w:val="auto"/>
                <w:lang w:val="en-US" w:eastAsia="zh-CN"/>
              </w:rPr>
              <w:t>/a，废水排放系数按照0.8计算，则初期清洗废水产生量为7.936t/a，主要污染因子为COD</w:t>
            </w:r>
            <w:r>
              <w:rPr>
                <w:rFonts w:hint="eastAsia"/>
                <w:color w:val="auto"/>
                <w:vertAlign w:val="subscript"/>
                <w:lang w:val="en-US" w:eastAsia="zh-CN"/>
              </w:rPr>
              <w:t>Cr</w:t>
            </w:r>
            <w:r>
              <w:rPr>
                <w:rFonts w:hint="eastAsia"/>
                <w:color w:val="auto"/>
                <w:lang w:val="en-US" w:eastAsia="zh-CN"/>
              </w:rPr>
              <w:t>、NH</w:t>
            </w:r>
            <w:r>
              <w:rPr>
                <w:rFonts w:hint="eastAsia"/>
                <w:color w:val="auto"/>
                <w:vertAlign w:val="subscript"/>
                <w:lang w:val="en-US" w:eastAsia="zh-CN"/>
              </w:rPr>
              <w:t>3</w:t>
            </w:r>
            <w:r>
              <w:rPr>
                <w:rFonts w:hint="eastAsia"/>
                <w:color w:val="auto"/>
                <w:lang w:val="en-US" w:eastAsia="zh-CN"/>
              </w:rPr>
              <w:t>-N、TP、粪大肠杆菌，该股废水经收集后进入实验室废水处理系统处理后纳管排放。</w:t>
            </w:r>
          </w:p>
          <w:p w14:paraId="72FE0110">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ind w:left="0" w:leftChars="0" w:right="0"/>
              <w:textAlignment w:val="auto"/>
              <w:rPr>
                <w:rFonts w:hint="default"/>
                <w:color w:val="auto"/>
              </w:rPr>
            </w:pPr>
            <w:r>
              <w:rPr>
                <w:rFonts w:hint="eastAsia"/>
                <w:color w:val="auto"/>
              </w:rPr>
              <w:t>生活污水</w:t>
            </w:r>
          </w:p>
          <w:p w14:paraId="5ACF4995">
            <w:pPr>
              <w:keepNext w:val="0"/>
              <w:keepLines w:val="0"/>
              <w:suppressLineNumbers w:val="0"/>
              <w:bidi w:val="0"/>
              <w:spacing w:before="0" w:beforeAutospacing="0" w:after="0" w:afterAutospacing="0"/>
              <w:ind w:left="0" w:right="0"/>
              <w:rPr>
                <w:rFonts w:hint="default"/>
                <w:color w:val="auto"/>
              </w:rPr>
            </w:pPr>
            <w:r>
              <w:rPr>
                <w:rFonts w:hint="default"/>
                <w:color w:val="auto"/>
              </w:rPr>
              <w:t>本项目劳动定员</w:t>
            </w:r>
            <w:r>
              <w:rPr>
                <w:rFonts w:hint="eastAsia"/>
                <w:color w:val="auto"/>
              </w:rPr>
              <w:t>2</w:t>
            </w:r>
            <w:r>
              <w:rPr>
                <w:rFonts w:hint="default"/>
                <w:color w:val="auto"/>
              </w:rPr>
              <w:t>0人，年生产天数</w:t>
            </w:r>
            <w:r>
              <w:rPr>
                <w:rFonts w:hint="eastAsia"/>
                <w:color w:val="auto"/>
                <w:lang w:val="en-US" w:eastAsia="zh-CN"/>
              </w:rPr>
              <w:t>248</w:t>
            </w:r>
            <w:r>
              <w:rPr>
                <w:rFonts w:hint="default"/>
                <w:color w:val="auto"/>
              </w:rPr>
              <w:t>天，采用8h白班制。厂区内</w:t>
            </w:r>
            <w:r>
              <w:rPr>
                <w:rFonts w:hint="eastAsia"/>
                <w:color w:val="auto"/>
                <w:lang w:val="en-US" w:eastAsia="zh-CN"/>
              </w:rPr>
              <w:t>不</w:t>
            </w:r>
            <w:r>
              <w:rPr>
                <w:rFonts w:hint="default"/>
                <w:color w:val="auto"/>
              </w:rPr>
              <w:t>设食堂</w:t>
            </w:r>
            <w:r>
              <w:rPr>
                <w:rFonts w:hint="eastAsia"/>
                <w:color w:val="auto"/>
                <w:lang w:val="en-US" w:eastAsia="zh-CN"/>
              </w:rPr>
              <w:t>及宿舍</w:t>
            </w:r>
            <w:r>
              <w:rPr>
                <w:rFonts w:hint="default"/>
                <w:color w:val="auto"/>
              </w:rPr>
              <w:t>。</w:t>
            </w:r>
            <w:r>
              <w:rPr>
                <w:rFonts w:hint="eastAsia"/>
                <w:color w:val="auto"/>
                <w:lang w:val="en-US" w:eastAsia="zh-CN"/>
              </w:rPr>
              <w:t>人员平均</w:t>
            </w:r>
            <w:r>
              <w:rPr>
                <w:rFonts w:hint="default"/>
                <w:color w:val="auto"/>
              </w:rPr>
              <w:t>的生活用水定额按</w:t>
            </w:r>
            <w:r>
              <w:rPr>
                <w:rFonts w:hint="eastAsia"/>
                <w:color w:val="auto"/>
                <w:lang w:val="en-US" w:eastAsia="zh-CN"/>
              </w:rPr>
              <w:t>10</w:t>
            </w:r>
            <w:r>
              <w:rPr>
                <w:rFonts w:hint="default"/>
                <w:color w:val="auto"/>
              </w:rPr>
              <w:t>0L/（人</w:t>
            </w:r>
            <w:r>
              <w:rPr>
                <w:rFonts w:hint="eastAsia"/>
                <w:color w:val="auto"/>
              </w:rPr>
              <w:t>·</w:t>
            </w:r>
            <w:r>
              <w:rPr>
                <w:rFonts w:hint="default"/>
                <w:color w:val="auto"/>
              </w:rPr>
              <w:t>班）计算，则员工生活用水量约为</w:t>
            </w:r>
            <w:r>
              <w:rPr>
                <w:rFonts w:hint="eastAsia"/>
                <w:color w:val="auto"/>
                <w:lang w:val="en-US" w:eastAsia="zh-CN"/>
              </w:rPr>
              <w:t>496</w:t>
            </w:r>
            <w:r>
              <w:rPr>
                <w:rFonts w:hint="default"/>
                <w:color w:val="auto"/>
              </w:rPr>
              <w:t>t/a。生活污水排污系数按80%计算，则员工生活污水排放量为</w:t>
            </w:r>
            <w:r>
              <w:rPr>
                <w:rFonts w:hint="eastAsia"/>
                <w:color w:val="auto"/>
                <w:lang w:val="en-US" w:eastAsia="zh-CN"/>
              </w:rPr>
              <w:t>396.8</w:t>
            </w:r>
            <w:r>
              <w:rPr>
                <w:rFonts w:hint="default"/>
                <w:color w:val="auto"/>
              </w:rPr>
              <w:t>t/a。生活污水COD浓度约350mg/L、NH</w:t>
            </w:r>
            <w:r>
              <w:rPr>
                <w:rFonts w:hint="default"/>
                <w:color w:val="auto"/>
                <w:vertAlign w:val="subscript"/>
              </w:rPr>
              <w:t>3</w:t>
            </w:r>
            <w:r>
              <w:rPr>
                <w:rFonts w:hint="default"/>
                <w:color w:val="auto"/>
              </w:rPr>
              <w:t>-N浓度约35mg/L。</w:t>
            </w:r>
            <w:r>
              <w:rPr>
                <w:rFonts w:hint="eastAsia"/>
                <w:color w:val="auto"/>
                <w:lang w:val="en-US" w:eastAsia="zh-CN"/>
              </w:rPr>
              <w:t>经厂区化粪池预处理后，纳管排放。</w:t>
            </w:r>
            <w:r>
              <w:rPr>
                <w:rFonts w:hint="eastAsia"/>
                <w:color w:val="auto"/>
              </w:rPr>
              <w:t>本项目废水产排情况见下表。</w:t>
            </w:r>
          </w:p>
          <w:p w14:paraId="0FA8F8F8">
            <w:pPr>
              <w:keepNext w:val="0"/>
              <w:keepLines w:val="0"/>
              <w:numPr>
                <w:ilvl w:val="0"/>
                <w:numId w:val="8"/>
              </w:numPr>
              <w:suppressLineNumbers w:val="0"/>
              <w:spacing w:before="0" w:beforeAutospacing="0" w:after="0" w:afterAutospacing="0"/>
              <w:ind w:left="480" w:leftChars="200" w:right="0" w:firstLine="0" w:firstLineChars="0"/>
              <w:rPr>
                <w:rFonts w:hint="eastAsia"/>
                <w:color w:val="auto"/>
              </w:rPr>
            </w:pPr>
            <w:r>
              <w:rPr>
                <w:rFonts w:hint="eastAsia"/>
                <w:color w:val="auto"/>
              </w:rPr>
              <w:t>废水产排情况汇总</w:t>
            </w:r>
          </w:p>
          <w:p w14:paraId="10FCEA2C">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本项目废水产生浓度主要参考《污水处理厂工艺设计手册》(第二版)(化学工业出版社，2011年)中的常见水质分析汇总表，实验废水水质实例范围为CODcr：100-294mg/L、NH</w:t>
            </w:r>
            <w:r>
              <w:rPr>
                <w:rFonts w:hint="eastAsia"/>
                <w:color w:val="auto"/>
                <w:vertAlign w:val="subscript"/>
                <w:lang w:val="en-US" w:eastAsia="zh-CN"/>
              </w:rPr>
              <w:t>3</w:t>
            </w:r>
            <w:r>
              <w:rPr>
                <w:rFonts w:hint="eastAsia"/>
                <w:color w:val="auto"/>
                <w:lang w:val="en-US" w:eastAsia="zh-CN"/>
              </w:rPr>
              <w:t>-N：3-27mg/L，本项目按照最大污染影响选取该范围最大值，并向上取整数作为本项目清洗废水的源强，即CODcr：300mg/L、NH</w:t>
            </w:r>
            <w:r>
              <w:rPr>
                <w:rFonts w:hint="eastAsia"/>
                <w:color w:val="auto"/>
                <w:vertAlign w:val="subscript"/>
                <w:lang w:val="en-US" w:eastAsia="zh-CN"/>
              </w:rPr>
              <w:t>3</w:t>
            </w:r>
            <w:r>
              <w:rPr>
                <w:rFonts w:hint="eastAsia"/>
                <w:color w:val="auto"/>
                <w:lang w:val="en-US" w:eastAsia="zh-CN"/>
              </w:rPr>
              <w:t>-N：30mg/L；粪大肠杆菌产生浓度类比《上海沃本生物科技有限公司实验室项目竣工环境保护验收监测报告》(报告编号：2024H545)，类比项目主要进行肠道菌群冻干粉胶囊研发，主要废水有实验器皿清洗废水等，废水处理工艺采用泡腾片消毒，本项目实验室研发工艺与类比项目类似，因此实验器皿清洗废水中粪大肠杆菌产生浓度约为4700个/L；本项目原辅材料使用磷酸缓冲液进行配置稀释，项目采用3次清洗，清洗废水中的残留磷酸按照使用量的0.01%计算，即废水磷的总量约为0.1kg，计算得出TP的产生浓度约为2mg/L。</w:t>
            </w:r>
          </w:p>
          <w:p w14:paraId="32DAA906">
            <w:pPr>
              <w:pStyle w:val="2"/>
              <w:keepNext w:val="0"/>
              <w:keepLines w:val="0"/>
              <w:suppressLineNumbers w:val="0"/>
              <w:spacing w:before="0" w:beforeAutospacing="0" w:after="0" w:afterAutospacing="0"/>
              <w:ind w:left="0" w:right="0"/>
              <w:rPr>
                <w:rFonts w:hint="eastAsia"/>
                <w:color w:val="auto"/>
                <w:lang w:val="en-US" w:eastAsia="zh-CN"/>
              </w:rPr>
            </w:pPr>
          </w:p>
          <w:p w14:paraId="0C36B205">
            <w:pPr>
              <w:pStyle w:val="2"/>
              <w:keepNext w:val="0"/>
              <w:keepLines w:val="0"/>
              <w:suppressLineNumbers w:val="0"/>
              <w:spacing w:before="0" w:beforeAutospacing="0" w:after="0" w:afterAutospacing="0"/>
              <w:ind w:left="0" w:right="0"/>
              <w:rPr>
                <w:rFonts w:hint="eastAsia"/>
                <w:color w:val="auto"/>
                <w:lang w:val="en-US" w:eastAsia="zh-CN"/>
              </w:rPr>
            </w:pPr>
          </w:p>
          <w:p w14:paraId="3157F66F">
            <w:pPr>
              <w:pStyle w:val="2"/>
              <w:keepNext w:val="0"/>
              <w:keepLines w:val="0"/>
              <w:suppressLineNumbers w:val="0"/>
              <w:spacing w:before="0" w:beforeAutospacing="0" w:after="0" w:afterAutospacing="0"/>
              <w:ind w:left="0" w:right="0"/>
              <w:rPr>
                <w:rFonts w:hint="eastAsia"/>
                <w:color w:val="auto"/>
                <w:lang w:val="en-US" w:eastAsia="zh-CN"/>
              </w:rPr>
            </w:pPr>
          </w:p>
          <w:p w14:paraId="2098B4A4">
            <w:pPr>
              <w:pStyle w:val="2"/>
              <w:keepNext w:val="0"/>
              <w:keepLines w:val="0"/>
              <w:suppressLineNumbers w:val="0"/>
              <w:spacing w:before="0" w:beforeAutospacing="0" w:after="0" w:afterAutospacing="0"/>
              <w:ind w:left="0" w:right="0"/>
              <w:rPr>
                <w:rFonts w:hint="eastAsia"/>
                <w:color w:val="auto"/>
                <w:lang w:val="en-US" w:eastAsia="zh-CN"/>
              </w:rPr>
            </w:pPr>
          </w:p>
          <w:p w14:paraId="21023C92">
            <w:pPr>
              <w:pStyle w:val="2"/>
              <w:keepNext w:val="0"/>
              <w:keepLines w:val="0"/>
              <w:suppressLineNumbers w:val="0"/>
              <w:spacing w:before="0" w:beforeAutospacing="0" w:after="0" w:afterAutospacing="0"/>
              <w:ind w:left="0" w:right="0"/>
              <w:rPr>
                <w:rFonts w:hint="eastAsia"/>
                <w:color w:val="auto"/>
                <w:lang w:val="en-US" w:eastAsia="zh-CN"/>
              </w:rPr>
            </w:pPr>
          </w:p>
          <w:p w14:paraId="5641A23C">
            <w:pPr>
              <w:pStyle w:val="2"/>
              <w:keepNext w:val="0"/>
              <w:keepLines w:val="0"/>
              <w:suppressLineNumbers w:val="0"/>
              <w:spacing w:before="0" w:beforeAutospacing="0" w:after="0" w:afterAutospacing="0"/>
              <w:ind w:left="0" w:right="0"/>
              <w:rPr>
                <w:rFonts w:hint="eastAsia"/>
                <w:color w:val="auto"/>
                <w:lang w:val="en-US" w:eastAsia="zh-CN"/>
              </w:rPr>
            </w:pPr>
          </w:p>
          <w:p w14:paraId="06F018CF">
            <w:pPr>
              <w:pStyle w:val="2"/>
              <w:keepNext w:val="0"/>
              <w:keepLines w:val="0"/>
              <w:suppressLineNumbers w:val="0"/>
              <w:spacing w:before="0" w:beforeAutospacing="0" w:after="0" w:afterAutospacing="0"/>
              <w:ind w:left="0" w:right="0"/>
              <w:rPr>
                <w:rFonts w:hint="eastAsia"/>
                <w:color w:val="auto"/>
                <w:lang w:val="en-US" w:eastAsia="zh-CN"/>
              </w:rPr>
            </w:pPr>
          </w:p>
          <w:p w14:paraId="35B9465D">
            <w:pPr>
              <w:pStyle w:val="2"/>
              <w:keepNext w:val="0"/>
              <w:keepLines w:val="0"/>
              <w:suppressLineNumbers w:val="0"/>
              <w:spacing w:before="0" w:beforeAutospacing="0" w:after="0" w:afterAutospacing="0"/>
              <w:ind w:left="0" w:right="0"/>
              <w:rPr>
                <w:rFonts w:hint="eastAsia"/>
                <w:color w:val="auto"/>
                <w:lang w:val="en-US" w:eastAsia="zh-CN"/>
              </w:rPr>
            </w:pPr>
          </w:p>
          <w:p w14:paraId="2925329D">
            <w:pPr>
              <w:pStyle w:val="2"/>
              <w:keepNext w:val="0"/>
              <w:keepLines w:val="0"/>
              <w:suppressLineNumbers w:val="0"/>
              <w:spacing w:before="0" w:beforeAutospacing="0" w:after="0" w:afterAutospacing="0"/>
              <w:ind w:left="0" w:right="0"/>
              <w:rPr>
                <w:rFonts w:hint="eastAsia"/>
                <w:color w:val="auto"/>
                <w:lang w:val="en-US" w:eastAsia="zh-CN"/>
              </w:rPr>
            </w:pPr>
          </w:p>
          <w:p w14:paraId="452C2AF1">
            <w:pPr>
              <w:pStyle w:val="2"/>
              <w:keepNext w:val="0"/>
              <w:keepLines w:val="0"/>
              <w:suppressLineNumbers w:val="0"/>
              <w:spacing w:before="0" w:beforeAutospacing="0" w:after="0" w:afterAutospacing="0"/>
              <w:ind w:left="0" w:right="0"/>
              <w:rPr>
                <w:rFonts w:hint="eastAsia"/>
                <w:color w:val="auto"/>
                <w:lang w:val="en-US" w:eastAsia="zh-CN"/>
              </w:rPr>
            </w:pPr>
          </w:p>
          <w:p w14:paraId="24D93612">
            <w:pPr>
              <w:pStyle w:val="2"/>
              <w:keepNext w:val="0"/>
              <w:keepLines w:val="0"/>
              <w:suppressLineNumbers w:val="0"/>
              <w:spacing w:before="0" w:beforeAutospacing="0" w:after="0" w:afterAutospacing="0"/>
              <w:ind w:left="0" w:right="0"/>
              <w:rPr>
                <w:rFonts w:hint="eastAsia"/>
                <w:color w:val="auto"/>
                <w:lang w:val="en-US" w:eastAsia="zh-CN"/>
              </w:rPr>
            </w:pPr>
          </w:p>
          <w:p w14:paraId="5F45DAB5">
            <w:pPr>
              <w:pStyle w:val="2"/>
              <w:keepNext w:val="0"/>
              <w:keepLines w:val="0"/>
              <w:suppressLineNumbers w:val="0"/>
              <w:spacing w:before="0" w:beforeAutospacing="0" w:after="0" w:afterAutospacing="0"/>
              <w:ind w:left="0" w:right="0"/>
              <w:rPr>
                <w:rFonts w:hint="eastAsia"/>
                <w:color w:val="auto"/>
                <w:lang w:val="en-US" w:eastAsia="zh-CN"/>
              </w:rPr>
            </w:pPr>
          </w:p>
          <w:p w14:paraId="0B710FE2">
            <w:pPr>
              <w:pStyle w:val="2"/>
              <w:keepNext w:val="0"/>
              <w:keepLines w:val="0"/>
              <w:suppressLineNumbers w:val="0"/>
              <w:spacing w:before="0" w:beforeAutospacing="0" w:after="0" w:afterAutospacing="0"/>
              <w:ind w:left="0" w:right="0"/>
              <w:rPr>
                <w:rFonts w:hint="eastAsia"/>
                <w:color w:val="auto"/>
                <w:lang w:val="en-US" w:eastAsia="zh-CN"/>
              </w:rPr>
            </w:pPr>
          </w:p>
          <w:p w14:paraId="548E878F">
            <w:pPr>
              <w:pStyle w:val="2"/>
              <w:keepNext w:val="0"/>
              <w:keepLines w:val="0"/>
              <w:suppressLineNumbers w:val="0"/>
              <w:spacing w:before="0" w:beforeAutospacing="0" w:after="0" w:afterAutospacing="0"/>
              <w:ind w:left="0" w:right="0"/>
              <w:rPr>
                <w:rFonts w:hint="eastAsia"/>
                <w:color w:val="auto"/>
                <w:lang w:val="en-US" w:eastAsia="zh-CN"/>
              </w:rPr>
            </w:pPr>
          </w:p>
          <w:p w14:paraId="6FF6D5E8">
            <w:pPr>
              <w:pStyle w:val="2"/>
              <w:keepNext w:val="0"/>
              <w:keepLines w:val="0"/>
              <w:suppressLineNumbers w:val="0"/>
              <w:spacing w:before="0" w:beforeAutospacing="0" w:after="0" w:afterAutospacing="0"/>
              <w:ind w:left="0" w:right="0"/>
              <w:rPr>
                <w:rFonts w:hint="eastAsia"/>
                <w:color w:val="auto"/>
                <w:lang w:val="en-US" w:eastAsia="zh-CN"/>
              </w:rPr>
            </w:pPr>
          </w:p>
          <w:p w14:paraId="657EC847">
            <w:pPr>
              <w:pStyle w:val="2"/>
              <w:keepNext w:val="0"/>
              <w:keepLines w:val="0"/>
              <w:suppressLineNumbers w:val="0"/>
              <w:spacing w:before="0" w:beforeAutospacing="0" w:after="0" w:afterAutospacing="0"/>
              <w:ind w:left="0" w:right="0"/>
              <w:rPr>
                <w:rFonts w:hint="eastAsia"/>
                <w:color w:val="auto"/>
                <w:lang w:val="en-US" w:eastAsia="zh-CN"/>
              </w:rPr>
            </w:pPr>
          </w:p>
          <w:p w14:paraId="7CF8CD09">
            <w:pPr>
              <w:pStyle w:val="2"/>
              <w:keepNext w:val="0"/>
              <w:keepLines w:val="0"/>
              <w:suppressLineNumbers w:val="0"/>
              <w:spacing w:before="0" w:beforeAutospacing="0" w:after="0" w:afterAutospacing="0"/>
              <w:ind w:left="0" w:right="0"/>
              <w:rPr>
                <w:rFonts w:hint="eastAsia"/>
                <w:color w:val="auto"/>
                <w:lang w:val="en-US" w:eastAsia="zh-CN"/>
              </w:rPr>
            </w:pPr>
          </w:p>
          <w:p w14:paraId="69A7A5AF">
            <w:pPr>
              <w:pStyle w:val="2"/>
              <w:keepNext w:val="0"/>
              <w:keepLines w:val="0"/>
              <w:suppressLineNumbers w:val="0"/>
              <w:spacing w:before="0" w:beforeAutospacing="0" w:after="0" w:afterAutospacing="0"/>
              <w:ind w:left="0" w:right="0"/>
              <w:rPr>
                <w:rFonts w:hint="eastAsia"/>
                <w:color w:val="auto"/>
                <w:lang w:val="en-US" w:eastAsia="zh-CN"/>
              </w:rPr>
            </w:pPr>
          </w:p>
          <w:p w14:paraId="30EB5D4D">
            <w:pPr>
              <w:pStyle w:val="2"/>
              <w:keepNext w:val="0"/>
              <w:keepLines w:val="0"/>
              <w:suppressLineNumbers w:val="0"/>
              <w:spacing w:before="0" w:beforeAutospacing="0" w:after="0" w:afterAutospacing="0"/>
              <w:ind w:left="0" w:right="0"/>
              <w:rPr>
                <w:rFonts w:hint="eastAsia"/>
                <w:color w:val="auto"/>
                <w:lang w:val="en-US" w:eastAsia="zh-CN"/>
              </w:rPr>
            </w:pPr>
          </w:p>
          <w:p w14:paraId="10A06D6C">
            <w:pPr>
              <w:pStyle w:val="2"/>
              <w:keepNext w:val="0"/>
              <w:keepLines w:val="0"/>
              <w:suppressLineNumbers w:val="0"/>
              <w:spacing w:before="0" w:beforeAutospacing="0" w:after="0" w:afterAutospacing="0"/>
              <w:ind w:left="0" w:right="0"/>
              <w:rPr>
                <w:rFonts w:hint="eastAsia"/>
                <w:color w:val="auto"/>
                <w:lang w:val="en-US" w:eastAsia="zh-CN"/>
              </w:rPr>
            </w:pPr>
          </w:p>
          <w:p w14:paraId="34307D5F">
            <w:pPr>
              <w:pStyle w:val="2"/>
              <w:keepNext w:val="0"/>
              <w:keepLines w:val="0"/>
              <w:suppressLineNumbers w:val="0"/>
              <w:spacing w:before="0" w:beforeAutospacing="0" w:after="0" w:afterAutospacing="0"/>
              <w:ind w:left="0" w:right="0"/>
              <w:rPr>
                <w:rFonts w:hint="eastAsia"/>
                <w:color w:val="auto"/>
                <w:lang w:val="en-US" w:eastAsia="zh-CN"/>
              </w:rPr>
            </w:pPr>
          </w:p>
          <w:p w14:paraId="49A051E8">
            <w:pPr>
              <w:pStyle w:val="2"/>
              <w:keepNext w:val="0"/>
              <w:keepLines w:val="0"/>
              <w:suppressLineNumbers w:val="0"/>
              <w:spacing w:before="0" w:beforeAutospacing="0" w:after="0" w:afterAutospacing="0"/>
              <w:ind w:left="0" w:right="0"/>
              <w:rPr>
                <w:rFonts w:hint="eastAsia"/>
                <w:color w:val="auto"/>
                <w:lang w:val="en-US" w:eastAsia="zh-CN"/>
              </w:rPr>
            </w:pPr>
          </w:p>
          <w:p w14:paraId="10A74BF3">
            <w:pPr>
              <w:pStyle w:val="2"/>
              <w:keepNext w:val="0"/>
              <w:keepLines w:val="0"/>
              <w:suppressLineNumbers w:val="0"/>
              <w:spacing w:before="0" w:beforeAutospacing="0" w:after="0" w:afterAutospacing="0"/>
              <w:ind w:left="0" w:right="0"/>
              <w:rPr>
                <w:rFonts w:hint="default"/>
                <w:color w:val="auto"/>
                <w:lang w:val="en-US" w:eastAsia="zh-CN"/>
              </w:rPr>
            </w:pPr>
          </w:p>
        </w:tc>
      </w:tr>
    </w:tbl>
    <w:p w14:paraId="04A99D7F">
      <w:pPr>
        <w:pStyle w:val="2"/>
        <w:ind w:firstLine="0" w:firstLineChars="0"/>
        <w:sectPr>
          <w:pgSz w:w="11906" w:h="16838"/>
          <w:pgMar w:top="1440" w:right="1800" w:bottom="1440" w:left="1800" w:header="851" w:footer="992" w:gutter="0"/>
          <w:cols w:space="425" w:num="1"/>
          <w:docGrid w:type="lines"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13590"/>
      </w:tblGrid>
      <w:tr w14:paraId="0CDE7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6" w:hRule="atLeast"/>
        </w:trPr>
        <w:tc>
          <w:tcPr>
            <w:tcW w:w="584" w:type="dxa"/>
          </w:tcPr>
          <w:p w14:paraId="77E45A38">
            <w:pPr>
              <w:pStyle w:val="2"/>
              <w:keepNext w:val="0"/>
              <w:keepLines w:val="0"/>
              <w:suppressLineNumbers w:val="0"/>
              <w:spacing w:before="0" w:beforeAutospacing="0" w:after="0" w:afterAutospacing="0"/>
              <w:ind w:left="0" w:right="0" w:firstLine="480"/>
              <w:rPr>
                <w:rFonts w:hint="default"/>
                <w:color w:val="auto"/>
              </w:rPr>
            </w:pPr>
          </w:p>
        </w:tc>
        <w:tc>
          <w:tcPr>
            <w:tcW w:w="13590" w:type="dxa"/>
          </w:tcPr>
          <w:p w14:paraId="41C0F0E0">
            <w:pPr>
              <w:keepNext w:val="0"/>
              <w:keepLines w:val="0"/>
              <w:suppressLineNumbers w:val="0"/>
              <w:spacing w:before="0" w:beforeAutospacing="0" w:after="0" w:afterAutospacing="0"/>
              <w:ind w:left="0" w:right="0" w:firstLine="0" w:firstLineChars="0"/>
              <w:jc w:val="center"/>
              <w:rPr>
                <w:rFonts w:hint="default" w:eastAsia="黑体" w:cs="Times New Roman"/>
                <w:color w:val="auto"/>
                <w:szCs w:val="24"/>
              </w:rPr>
            </w:pPr>
            <w:r>
              <w:rPr>
                <w:rFonts w:hint="default" w:eastAsia="黑体" w:cs="Times New Roman"/>
                <w:color w:val="auto"/>
                <w:szCs w:val="24"/>
              </w:rPr>
              <w:t>表4-</w:t>
            </w:r>
            <w:r>
              <w:rPr>
                <w:rFonts w:hint="eastAsia" w:eastAsia="黑体" w:cs="Times New Roman"/>
                <w:color w:val="auto"/>
                <w:szCs w:val="24"/>
                <w:lang w:val="en-US" w:eastAsia="zh-CN"/>
              </w:rPr>
              <w:t>2</w:t>
            </w:r>
            <w:r>
              <w:rPr>
                <w:rFonts w:hint="default" w:eastAsia="黑体" w:cs="Times New Roman"/>
                <w:color w:val="auto"/>
                <w:szCs w:val="24"/>
              </w:rPr>
              <w:t xml:space="preserve">  </w:t>
            </w:r>
            <w:r>
              <w:rPr>
                <w:rFonts w:hint="eastAsia" w:eastAsia="黑体" w:cs="Times New Roman"/>
                <w:color w:val="auto"/>
                <w:szCs w:val="24"/>
              </w:rPr>
              <w:t>本项目废水产排情况汇总</w:t>
            </w:r>
            <w:r>
              <w:rPr>
                <w:rFonts w:hint="default" w:eastAsia="黑体" w:cs="Times New Roman"/>
                <w:color w:val="auto"/>
                <w:szCs w:val="24"/>
              </w:rPr>
              <w:t>表</w:t>
            </w:r>
          </w:p>
          <w:tbl>
            <w:tblPr>
              <w:tblStyle w:val="16"/>
              <w:tblW w:w="133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4"/>
              <w:gridCol w:w="642"/>
              <w:gridCol w:w="1293"/>
              <w:gridCol w:w="1194"/>
              <w:gridCol w:w="1065"/>
              <w:gridCol w:w="926"/>
              <w:gridCol w:w="833"/>
              <w:gridCol w:w="1071"/>
              <w:gridCol w:w="1183"/>
              <w:gridCol w:w="1071"/>
              <w:gridCol w:w="972"/>
              <w:gridCol w:w="1743"/>
              <w:gridCol w:w="677"/>
            </w:tblGrid>
            <w:tr w14:paraId="1A3C9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6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16F2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产排污环节</w:t>
                  </w:r>
                </w:p>
              </w:tc>
              <w:tc>
                <w:tcPr>
                  <w:tcW w:w="24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0E50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废水类别</w:t>
                  </w:r>
                </w:p>
              </w:tc>
              <w:tc>
                <w:tcPr>
                  <w:tcW w:w="48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786C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污染物种类</w:t>
                  </w:r>
                </w:p>
              </w:tc>
              <w:tc>
                <w:tcPr>
                  <w:tcW w:w="44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3B0D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产生量</w:t>
                  </w:r>
                  <w:r>
                    <w:rPr>
                      <w:rFonts w:hint="default" w:ascii="Times New Roman" w:hAnsi="Times New Roman" w:eastAsia="宋体" w:cs="Times New Roman"/>
                      <w:i w:val="0"/>
                      <w:iCs w:val="0"/>
                      <w:color w:val="auto"/>
                      <w:kern w:val="0"/>
                      <w:sz w:val="21"/>
                      <w:szCs w:val="21"/>
                      <w:u w:val="none"/>
                      <w:lang w:val="en-US" w:eastAsia="zh-CN" w:bidi="ar"/>
                    </w:rPr>
                    <w:t>t/a</w:t>
                  </w:r>
                </w:p>
              </w:tc>
              <w:tc>
                <w:tcPr>
                  <w:tcW w:w="39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B258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产生浓度</w:t>
                  </w:r>
                  <w:r>
                    <w:rPr>
                      <w:rFonts w:hint="default" w:ascii="Times New Roman" w:hAnsi="Times New Roman" w:eastAsia="宋体" w:cs="Times New Roman"/>
                      <w:i w:val="0"/>
                      <w:iCs w:val="0"/>
                      <w:color w:val="auto"/>
                      <w:kern w:val="0"/>
                      <w:sz w:val="21"/>
                      <w:szCs w:val="21"/>
                      <w:u w:val="none"/>
                      <w:lang w:val="en-US" w:eastAsia="zh-CN" w:bidi="ar"/>
                    </w:rPr>
                    <w:t>mg/L</w:t>
                  </w:r>
                </w:p>
              </w:tc>
              <w:tc>
                <w:tcPr>
                  <w:tcW w:w="657" w:type="pct"/>
                  <w:gridSpan w:val="2"/>
                  <w:tcBorders>
                    <w:top w:val="single" w:color="auto" w:sz="4" w:space="0"/>
                    <w:left w:val="nil"/>
                    <w:bottom w:val="single" w:color="auto" w:sz="4" w:space="0"/>
                    <w:right w:val="single" w:color="auto" w:sz="4" w:space="0"/>
                  </w:tcBorders>
                  <w:shd w:val="clear" w:color="auto" w:fill="auto"/>
                  <w:vAlign w:val="center"/>
                </w:tcPr>
                <w:p w14:paraId="51D235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污染治理设施</w:t>
                  </w:r>
                </w:p>
              </w:tc>
              <w:tc>
                <w:tcPr>
                  <w:tcW w:w="842" w:type="pct"/>
                  <w:gridSpan w:val="2"/>
                  <w:tcBorders>
                    <w:top w:val="single" w:color="auto" w:sz="4" w:space="0"/>
                    <w:left w:val="nil"/>
                    <w:bottom w:val="single" w:color="auto" w:sz="4" w:space="0"/>
                    <w:right w:val="single" w:color="auto" w:sz="4" w:space="0"/>
                  </w:tcBorders>
                  <w:shd w:val="clear" w:color="auto" w:fill="auto"/>
                  <w:vAlign w:val="center"/>
                </w:tcPr>
                <w:p w14:paraId="17BD0F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纳管排放情况</w:t>
                  </w:r>
                </w:p>
              </w:tc>
              <w:tc>
                <w:tcPr>
                  <w:tcW w:w="763" w:type="pct"/>
                  <w:gridSpan w:val="2"/>
                  <w:tcBorders>
                    <w:top w:val="single" w:color="auto" w:sz="4" w:space="0"/>
                    <w:left w:val="nil"/>
                    <w:bottom w:val="single" w:color="auto" w:sz="4" w:space="0"/>
                    <w:right w:val="single" w:color="auto" w:sz="4" w:space="0"/>
                  </w:tcBorders>
                  <w:shd w:val="clear" w:color="auto" w:fill="auto"/>
                  <w:vAlign w:val="center"/>
                </w:tcPr>
                <w:p w14:paraId="6D9AF5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外排环境情况</w:t>
                  </w:r>
                </w:p>
              </w:tc>
              <w:tc>
                <w:tcPr>
                  <w:tcW w:w="904" w:type="pct"/>
                  <w:gridSpan w:val="2"/>
                  <w:tcBorders>
                    <w:top w:val="single" w:color="auto" w:sz="4" w:space="0"/>
                    <w:left w:val="nil"/>
                    <w:bottom w:val="single" w:color="auto" w:sz="4" w:space="0"/>
                    <w:right w:val="single" w:color="auto" w:sz="4" w:space="0"/>
                  </w:tcBorders>
                  <w:shd w:val="clear" w:color="auto" w:fill="auto"/>
                  <w:vAlign w:val="center"/>
                </w:tcPr>
                <w:p w14:paraId="5C9FDD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纳管排放标准</w:t>
                  </w:r>
                </w:p>
              </w:tc>
            </w:tr>
            <w:tr w14:paraId="65DB5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8800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24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986A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48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2A74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44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A8DA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39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4960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346" w:type="pct"/>
                  <w:tcBorders>
                    <w:top w:val="nil"/>
                    <w:left w:val="nil"/>
                    <w:bottom w:val="single" w:color="auto" w:sz="4" w:space="0"/>
                    <w:right w:val="single" w:color="auto" w:sz="4" w:space="0"/>
                  </w:tcBorders>
                  <w:shd w:val="clear" w:color="auto" w:fill="auto"/>
                  <w:vAlign w:val="center"/>
                </w:tcPr>
                <w:p w14:paraId="73CB02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设施名称</w:t>
                  </w:r>
                </w:p>
              </w:tc>
              <w:tc>
                <w:tcPr>
                  <w:tcW w:w="311" w:type="pct"/>
                  <w:tcBorders>
                    <w:top w:val="nil"/>
                    <w:left w:val="nil"/>
                    <w:bottom w:val="single" w:color="auto" w:sz="4" w:space="0"/>
                    <w:right w:val="single" w:color="auto" w:sz="4" w:space="0"/>
                  </w:tcBorders>
                  <w:shd w:val="clear" w:color="auto" w:fill="auto"/>
                  <w:vAlign w:val="center"/>
                </w:tcPr>
                <w:p w14:paraId="041395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处理效率</w:t>
                  </w:r>
                  <w:r>
                    <w:rPr>
                      <w:rFonts w:hint="default" w:ascii="Times New Roman" w:hAnsi="Times New Roman" w:eastAsia="宋体"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5AE675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排放量</w:t>
                  </w:r>
                  <w:r>
                    <w:rPr>
                      <w:rFonts w:hint="default" w:ascii="Times New Roman" w:hAnsi="Times New Roman" w:eastAsia="宋体" w:cs="Times New Roman"/>
                      <w:i w:val="0"/>
                      <w:iCs w:val="0"/>
                      <w:color w:val="auto"/>
                      <w:kern w:val="0"/>
                      <w:sz w:val="21"/>
                      <w:szCs w:val="21"/>
                      <w:u w:val="none"/>
                      <w:lang w:val="en-US" w:eastAsia="zh-CN" w:bidi="ar"/>
                    </w:rPr>
                    <w:t>t/a</w:t>
                  </w:r>
                </w:p>
              </w:tc>
              <w:tc>
                <w:tcPr>
                  <w:tcW w:w="442" w:type="pct"/>
                  <w:tcBorders>
                    <w:top w:val="nil"/>
                    <w:left w:val="nil"/>
                    <w:bottom w:val="single" w:color="auto" w:sz="4" w:space="0"/>
                    <w:right w:val="single" w:color="auto" w:sz="4" w:space="0"/>
                  </w:tcBorders>
                  <w:shd w:val="clear" w:color="auto" w:fill="auto"/>
                  <w:vAlign w:val="center"/>
                </w:tcPr>
                <w:p w14:paraId="1C5AF4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排放浓度</w:t>
                  </w:r>
                  <w:r>
                    <w:rPr>
                      <w:rFonts w:hint="default" w:ascii="Times New Roman" w:hAnsi="Times New Roman" w:eastAsia="宋体" w:cs="Times New Roman"/>
                      <w:i w:val="0"/>
                      <w:iCs w:val="0"/>
                      <w:color w:val="auto"/>
                      <w:kern w:val="0"/>
                      <w:sz w:val="21"/>
                      <w:szCs w:val="21"/>
                      <w:u w:val="none"/>
                      <w:lang w:val="en-US" w:eastAsia="zh-CN" w:bidi="ar"/>
                    </w:rPr>
                    <w:t>mg/L</w:t>
                  </w:r>
                </w:p>
              </w:tc>
              <w:tc>
                <w:tcPr>
                  <w:tcW w:w="400" w:type="pct"/>
                  <w:tcBorders>
                    <w:top w:val="nil"/>
                    <w:left w:val="nil"/>
                    <w:bottom w:val="single" w:color="auto" w:sz="4" w:space="0"/>
                    <w:right w:val="single" w:color="auto" w:sz="4" w:space="0"/>
                  </w:tcBorders>
                  <w:shd w:val="clear" w:color="auto" w:fill="auto"/>
                  <w:vAlign w:val="center"/>
                </w:tcPr>
                <w:p w14:paraId="5594F0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排放量</w:t>
                  </w:r>
                  <w:r>
                    <w:rPr>
                      <w:rFonts w:hint="default" w:ascii="Times New Roman" w:hAnsi="Times New Roman" w:eastAsia="宋体" w:cs="Times New Roman"/>
                      <w:i w:val="0"/>
                      <w:iCs w:val="0"/>
                      <w:color w:val="auto"/>
                      <w:kern w:val="0"/>
                      <w:sz w:val="21"/>
                      <w:szCs w:val="21"/>
                      <w:u w:val="none"/>
                      <w:lang w:val="en-US" w:eastAsia="zh-CN" w:bidi="ar"/>
                    </w:rPr>
                    <w:t>t/a</w:t>
                  </w:r>
                </w:p>
              </w:tc>
              <w:tc>
                <w:tcPr>
                  <w:tcW w:w="363" w:type="pct"/>
                  <w:tcBorders>
                    <w:top w:val="nil"/>
                    <w:left w:val="nil"/>
                    <w:bottom w:val="single" w:color="auto" w:sz="4" w:space="0"/>
                    <w:right w:val="single" w:color="auto" w:sz="4" w:space="0"/>
                  </w:tcBorders>
                  <w:shd w:val="clear" w:color="auto" w:fill="auto"/>
                  <w:vAlign w:val="center"/>
                </w:tcPr>
                <w:p w14:paraId="23EB67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排放浓度</w:t>
                  </w:r>
                  <w:r>
                    <w:rPr>
                      <w:rFonts w:hint="default" w:ascii="Times New Roman" w:hAnsi="Times New Roman" w:eastAsia="宋体" w:cs="Times New Roman"/>
                      <w:i w:val="0"/>
                      <w:iCs w:val="0"/>
                      <w:color w:val="auto"/>
                      <w:kern w:val="0"/>
                      <w:sz w:val="21"/>
                      <w:szCs w:val="21"/>
                      <w:u w:val="none"/>
                      <w:lang w:val="en-US" w:eastAsia="zh-CN" w:bidi="ar"/>
                    </w:rPr>
                    <w:t>mg/L</w:t>
                  </w:r>
                </w:p>
              </w:tc>
              <w:tc>
                <w:tcPr>
                  <w:tcW w:w="651" w:type="pct"/>
                  <w:tcBorders>
                    <w:top w:val="nil"/>
                    <w:left w:val="nil"/>
                    <w:bottom w:val="single" w:color="auto" w:sz="4" w:space="0"/>
                    <w:right w:val="single" w:color="auto" w:sz="4" w:space="0"/>
                  </w:tcBorders>
                  <w:shd w:val="clear" w:color="auto" w:fill="auto"/>
                  <w:vAlign w:val="center"/>
                </w:tcPr>
                <w:p w14:paraId="4FD4E5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w:t>
                  </w:r>
                </w:p>
              </w:tc>
              <w:tc>
                <w:tcPr>
                  <w:tcW w:w="253" w:type="pct"/>
                  <w:tcBorders>
                    <w:top w:val="nil"/>
                    <w:left w:val="nil"/>
                    <w:bottom w:val="single" w:color="auto" w:sz="4" w:space="0"/>
                    <w:right w:val="single" w:color="auto" w:sz="4" w:space="0"/>
                  </w:tcBorders>
                  <w:shd w:val="clear" w:color="auto" w:fill="auto"/>
                  <w:vAlign w:val="center"/>
                </w:tcPr>
                <w:p w14:paraId="3125ED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限值</w:t>
                  </w:r>
                  <w:r>
                    <w:rPr>
                      <w:rFonts w:hint="default" w:ascii="Times New Roman" w:hAnsi="Times New Roman" w:eastAsia="宋体" w:cs="Times New Roman"/>
                      <w:i w:val="0"/>
                      <w:iCs w:val="0"/>
                      <w:color w:val="auto"/>
                      <w:kern w:val="0"/>
                      <w:sz w:val="21"/>
                      <w:szCs w:val="21"/>
                      <w:u w:val="none"/>
                      <w:lang w:val="en-US" w:eastAsia="zh-CN" w:bidi="ar"/>
                    </w:rPr>
                    <w:t>mg/L</w:t>
                  </w:r>
                </w:p>
              </w:tc>
            </w:tr>
            <w:tr w14:paraId="08DDD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 w:type="pct"/>
                  <w:vMerge w:val="restart"/>
                  <w:tcBorders>
                    <w:top w:val="nil"/>
                    <w:left w:val="single" w:color="auto" w:sz="4" w:space="0"/>
                    <w:bottom w:val="single" w:color="auto" w:sz="4" w:space="0"/>
                    <w:right w:val="single" w:color="auto" w:sz="4" w:space="0"/>
                  </w:tcBorders>
                  <w:shd w:val="clear" w:color="auto" w:fill="auto"/>
                  <w:vAlign w:val="center"/>
                </w:tcPr>
                <w:p w14:paraId="5F32A4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清洗废水</w:t>
                  </w:r>
                </w:p>
              </w:tc>
              <w:tc>
                <w:tcPr>
                  <w:tcW w:w="240" w:type="pct"/>
                  <w:vMerge w:val="restart"/>
                  <w:tcBorders>
                    <w:top w:val="nil"/>
                    <w:left w:val="single" w:color="auto" w:sz="4" w:space="0"/>
                    <w:bottom w:val="single" w:color="auto" w:sz="4" w:space="0"/>
                    <w:right w:val="single" w:color="auto" w:sz="4" w:space="0"/>
                  </w:tcBorders>
                  <w:shd w:val="clear" w:color="auto" w:fill="auto"/>
                  <w:vAlign w:val="center"/>
                </w:tcPr>
                <w:p w14:paraId="78B336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实验</w:t>
                  </w:r>
                  <w:r>
                    <w:rPr>
                      <w:rFonts w:hint="eastAsia" w:ascii="宋体" w:hAnsi="宋体" w:eastAsia="宋体" w:cs="宋体"/>
                      <w:i w:val="0"/>
                      <w:iCs w:val="0"/>
                      <w:color w:val="auto"/>
                      <w:kern w:val="0"/>
                      <w:sz w:val="21"/>
                      <w:szCs w:val="21"/>
                      <w:u w:val="none"/>
                      <w:lang w:val="en-US" w:eastAsia="zh-CN" w:bidi="ar"/>
                    </w:rPr>
                    <w:t>废水</w:t>
                  </w:r>
                </w:p>
              </w:tc>
              <w:tc>
                <w:tcPr>
                  <w:tcW w:w="483" w:type="pct"/>
                  <w:tcBorders>
                    <w:top w:val="nil"/>
                    <w:left w:val="nil"/>
                    <w:bottom w:val="single" w:color="auto" w:sz="4" w:space="0"/>
                    <w:right w:val="single" w:color="auto" w:sz="4" w:space="0"/>
                  </w:tcBorders>
                  <w:shd w:val="clear" w:color="auto" w:fill="auto"/>
                  <w:vAlign w:val="center"/>
                </w:tcPr>
                <w:p w14:paraId="385A1D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废水量</w:t>
                  </w:r>
                </w:p>
              </w:tc>
              <w:tc>
                <w:tcPr>
                  <w:tcW w:w="446" w:type="pct"/>
                  <w:tcBorders>
                    <w:top w:val="nil"/>
                    <w:left w:val="nil"/>
                    <w:bottom w:val="single" w:color="auto" w:sz="4" w:space="0"/>
                    <w:right w:val="single" w:color="auto" w:sz="4" w:space="0"/>
                  </w:tcBorders>
                  <w:shd w:val="clear" w:color="auto" w:fill="auto"/>
                  <w:vAlign w:val="center"/>
                </w:tcPr>
                <w:p w14:paraId="128E4F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47.62</w:t>
                  </w:r>
                </w:p>
              </w:tc>
              <w:tc>
                <w:tcPr>
                  <w:tcW w:w="398" w:type="pct"/>
                  <w:tcBorders>
                    <w:top w:val="nil"/>
                    <w:left w:val="nil"/>
                    <w:bottom w:val="single" w:color="auto" w:sz="4" w:space="0"/>
                    <w:right w:val="single" w:color="auto" w:sz="4" w:space="0"/>
                  </w:tcBorders>
                  <w:shd w:val="clear" w:color="auto" w:fill="auto"/>
                  <w:vAlign w:val="center"/>
                </w:tcPr>
                <w:p w14:paraId="4F1B60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346" w:type="pct"/>
                  <w:vMerge w:val="restart"/>
                  <w:tcBorders>
                    <w:top w:val="nil"/>
                    <w:left w:val="single" w:color="auto" w:sz="4" w:space="0"/>
                    <w:bottom w:val="single" w:color="auto" w:sz="4" w:space="0"/>
                    <w:right w:val="single" w:color="auto" w:sz="4" w:space="0"/>
                  </w:tcBorders>
                  <w:shd w:val="clear" w:color="auto" w:fill="auto"/>
                  <w:vAlign w:val="center"/>
                </w:tcPr>
                <w:p w14:paraId="406836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重金属吸附</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混凝过滤</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多介质过滤</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消毒</w:t>
                  </w:r>
                </w:p>
              </w:tc>
              <w:tc>
                <w:tcPr>
                  <w:tcW w:w="311" w:type="pct"/>
                  <w:tcBorders>
                    <w:top w:val="nil"/>
                    <w:left w:val="nil"/>
                    <w:bottom w:val="single" w:color="auto" w:sz="4" w:space="0"/>
                    <w:right w:val="single" w:color="auto" w:sz="4" w:space="0"/>
                  </w:tcBorders>
                  <w:shd w:val="clear" w:color="auto" w:fill="auto"/>
                  <w:vAlign w:val="center"/>
                </w:tcPr>
                <w:p w14:paraId="607476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52FCB5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47.817</w:t>
                  </w:r>
                </w:p>
              </w:tc>
              <w:tc>
                <w:tcPr>
                  <w:tcW w:w="442" w:type="pct"/>
                  <w:tcBorders>
                    <w:top w:val="nil"/>
                    <w:left w:val="nil"/>
                    <w:bottom w:val="single" w:color="auto" w:sz="4" w:space="0"/>
                    <w:right w:val="single" w:color="auto" w:sz="4" w:space="0"/>
                  </w:tcBorders>
                  <w:shd w:val="clear" w:color="auto" w:fill="auto"/>
                  <w:vAlign w:val="center"/>
                </w:tcPr>
                <w:p w14:paraId="1B4F9D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680779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47.817</w:t>
                  </w:r>
                </w:p>
              </w:tc>
              <w:tc>
                <w:tcPr>
                  <w:tcW w:w="363" w:type="pct"/>
                  <w:tcBorders>
                    <w:top w:val="nil"/>
                    <w:left w:val="nil"/>
                    <w:bottom w:val="single" w:color="auto" w:sz="4" w:space="0"/>
                    <w:right w:val="single" w:color="auto" w:sz="4" w:space="0"/>
                  </w:tcBorders>
                  <w:shd w:val="clear" w:color="auto" w:fill="auto"/>
                  <w:vAlign w:val="center"/>
                </w:tcPr>
                <w:p w14:paraId="3B0188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651" w:type="pct"/>
                  <w:tcBorders>
                    <w:top w:val="nil"/>
                    <w:left w:val="nil"/>
                    <w:bottom w:val="single" w:color="auto" w:sz="4" w:space="0"/>
                    <w:right w:val="single" w:color="auto" w:sz="4" w:space="0"/>
                  </w:tcBorders>
                  <w:shd w:val="clear" w:color="auto" w:fill="auto"/>
                  <w:vAlign w:val="center"/>
                </w:tcPr>
                <w:p w14:paraId="11C426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253" w:type="pct"/>
                  <w:tcBorders>
                    <w:top w:val="nil"/>
                    <w:left w:val="nil"/>
                    <w:bottom w:val="single" w:color="auto" w:sz="4" w:space="0"/>
                    <w:right w:val="single" w:color="auto" w:sz="4" w:space="0"/>
                  </w:tcBorders>
                  <w:shd w:val="clear" w:color="auto" w:fill="auto"/>
                  <w:vAlign w:val="center"/>
                </w:tcPr>
                <w:p w14:paraId="685A92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r>
            <w:tr w14:paraId="53C9C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 w:type="pct"/>
                  <w:vMerge w:val="continue"/>
                  <w:tcBorders>
                    <w:top w:val="nil"/>
                    <w:left w:val="single" w:color="auto" w:sz="4" w:space="0"/>
                    <w:bottom w:val="single" w:color="auto" w:sz="4" w:space="0"/>
                    <w:right w:val="single" w:color="auto" w:sz="4" w:space="0"/>
                  </w:tcBorders>
                  <w:shd w:val="clear" w:color="auto" w:fill="auto"/>
                  <w:vAlign w:val="center"/>
                </w:tcPr>
                <w:p w14:paraId="618125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240" w:type="pct"/>
                  <w:vMerge w:val="continue"/>
                  <w:tcBorders>
                    <w:top w:val="nil"/>
                    <w:left w:val="single" w:color="auto" w:sz="4" w:space="0"/>
                    <w:bottom w:val="single" w:color="auto" w:sz="4" w:space="0"/>
                    <w:right w:val="single" w:color="auto" w:sz="4" w:space="0"/>
                  </w:tcBorders>
                  <w:shd w:val="clear" w:color="auto" w:fill="auto"/>
                  <w:vAlign w:val="center"/>
                </w:tcPr>
                <w:p w14:paraId="07AC1B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483" w:type="pct"/>
                  <w:tcBorders>
                    <w:top w:val="nil"/>
                    <w:left w:val="nil"/>
                    <w:bottom w:val="single" w:color="auto" w:sz="4" w:space="0"/>
                    <w:right w:val="single" w:color="auto" w:sz="4" w:space="0"/>
                  </w:tcBorders>
                  <w:shd w:val="clear" w:color="auto" w:fill="auto"/>
                  <w:vAlign w:val="center"/>
                </w:tcPr>
                <w:p w14:paraId="7EB98F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COD</w:t>
                  </w:r>
                  <w:r>
                    <w:rPr>
                      <w:rFonts w:hint="default" w:ascii="Times New Roman" w:hAnsi="Times New Roman" w:eastAsia="等线" w:cs="Times New Roman"/>
                      <w:i w:val="0"/>
                      <w:iCs w:val="0"/>
                      <w:color w:val="auto"/>
                      <w:kern w:val="0"/>
                      <w:sz w:val="21"/>
                      <w:szCs w:val="21"/>
                      <w:u w:val="none"/>
                      <w:vertAlign w:val="subscript"/>
                      <w:lang w:val="en-US" w:eastAsia="zh-CN" w:bidi="ar"/>
                    </w:rPr>
                    <w:t>Cr</w:t>
                  </w:r>
                </w:p>
              </w:tc>
              <w:tc>
                <w:tcPr>
                  <w:tcW w:w="446" w:type="pct"/>
                  <w:tcBorders>
                    <w:top w:val="nil"/>
                    <w:left w:val="nil"/>
                    <w:bottom w:val="single" w:color="auto" w:sz="4" w:space="0"/>
                    <w:right w:val="single" w:color="auto" w:sz="4" w:space="0"/>
                  </w:tcBorders>
                  <w:shd w:val="clear" w:color="auto" w:fill="auto"/>
                  <w:vAlign w:val="center"/>
                </w:tcPr>
                <w:p w14:paraId="00F98A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0.014</w:t>
                  </w:r>
                </w:p>
              </w:tc>
              <w:tc>
                <w:tcPr>
                  <w:tcW w:w="398" w:type="pct"/>
                  <w:tcBorders>
                    <w:top w:val="nil"/>
                    <w:left w:val="nil"/>
                    <w:bottom w:val="single" w:color="auto" w:sz="4" w:space="0"/>
                    <w:right w:val="single" w:color="auto" w:sz="4" w:space="0"/>
                  </w:tcBorders>
                  <w:shd w:val="clear" w:color="auto" w:fill="auto"/>
                  <w:vAlign w:val="center"/>
                </w:tcPr>
                <w:p w14:paraId="4A1C79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300</w:t>
                  </w:r>
                </w:p>
              </w:tc>
              <w:tc>
                <w:tcPr>
                  <w:tcW w:w="346" w:type="pct"/>
                  <w:vMerge w:val="continue"/>
                  <w:tcBorders>
                    <w:top w:val="nil"/>
                    <w:left w:val="single" w:color="auto" w:sz="4" w:space="0"/>
                    <w:bottom w:val="single" w:color="auto" w:sz="4" w:space="0"/>
                    <w:right w:val="single" w:color="auto" w:sz="4" w:space="0"/>
                  </w:tcBorders>
                  <w:shd w:val="clear" w:color="auto" w:fill="auto"/>
                  <w:vAlign w:val="center"/>
                </w:tcPr>
                <w:p w14:paraId="3ED7ED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311" w:type="pct"/>
                  <w:tcBorders>
                    <w:top w:val="nil"/>
                    <w:left w:val="nil"/>
                    <w:bottom w:val="single" w:color="auto" w:sz="4" w:space="0"/>
                    <w:right w:val="single" w:color="auto" w:sz="4" w:space="0"/>
                  </w:tcBorders>
                  <w:shd w:val="clear" w:color="auto" w:fill="auto"/>
                  <w:vAlign w:val="center"/>
                </w:tcPr>
                <w:p w14:paraId="171EA4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70</w:t>
                  </w:r>
                </w:p>
              </w:tc>
              <w:tc>
                <w:tcPr>
                  <w:tcW w:w="400" w:type="pct"/>
                  <w:tcBorders>
                    <w:top w:val="nil"/>
                    <w:left w:val="nil"/>
                    <w:bottom w:val="single" w:color="auto" w:sz="4" w:space="0"/>
                    <w:right w:val="single" w:color="auto" w:sz="4" w:space="0"/>
                  </w:tcBorders>
                  <w:shd w:val="clear" w:color="auto" w:fill="auto"/>
                  <w:vAlign w:val="center"/>
                </w:tcPr>
                <w:p w14:paraId="00D35D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0.004</w:t>
                  </w:r>
                </w:p>
              </w:tc>
              <w:tc>
                <w:tcPr>
                  <w:tcW w:w="442" w:type="pct"/>
                  <w:tcBorders>
                    <w:top w:val="nil"/>
                    <w:left w:val="nil"/>
                    <w:bottom w:val="single" w:color="auto" w:sz="4" w:space="0"/>
                    <w:right w:val="single" w:color="auto" w:sz="4" w:space="0"/>
                  </w:tcBorders>
                  <w:shd w:val="clear" w:color="auto" w:fill="auto"/>
                  <w:vAlign w:val="center"/>
                </w:tcPr>
                <w:p w14:paraId="1D0D22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90</w:t>
                  </w:r>
                </w:p>
              </w:tc>
              <w:tc>
                <w:tcPr>
                  <w:tcW w:w="400" w:type="pct"/>
                  <w:tcBorders>
                    <w:top w:val="nil"/>
                    <w:left w:val="nil"/>
                    <w:bottom w:val="single" w:color="auto" w:sz="4" w:space="0"/>
                    <w:right w:val="single" w:color="auto" w:sz="4" w:space="0"/>
                  </w:tcBorders>
                  <w:shd w:val="clear" w:color="auto" w:fill="auto"/>
                  <w:vAlign w:val="center"/>
                </w:tcPr>
                <w:p w14:paraId="18B887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0.002</w:t>
                  </w:r>
                </w:p>
              </w:tc>
              <w:tc>
                <w:tcPr>
                  <w:tcW w:w="363" w:type="pct"/>
                  <w:tcBorders>
                    <w:top w:val="nil"/>
                    <w:left w:val="nil"/>
                    <w:bottom w:val="single" w:color="auto" w:sz="4" w:space="0"/>
                    <w:right w:val="single" w:color="auto" w:sz="4" w:space="0"/>
                  </w:tcBorders>
                  <w:shd w:val="clear" w:color="auto" w:fill="auto"/>
                  <w:vAlign w:val="center"/>
                </w:tcPr>
                <w:p w14:paraId="087AC5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40</w:t>
                  </w:r>
                </w:p>
              </w:tc>
              <w:tc>
                <w:tcPr>
                  <w:tcW w:w="651" w:type="pct"/>
                  <w:tcBorders>
                    <w:top w:val="nil"/>
                    <w:left w:val="nil"/>
                    <w:bottom w:val="single" w:color="auto" w:sz="4" w:space="0"/>
                    <w:right w:val="single" w:color="auto" w:sz="4" w:space="0"/>
                  </w:tcBorders>
                  <w:shd w:val="clear" w:color="auto" w:fill="auto"/>
                  <w:vAlign w:val="center"/>
                </w:tcPr>
                <w:p w14:paraId="10C077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GB8978-1996</w:t>
                  </w:r>
                </w:p>
              </w:tc>
              <w:tc>
                <w:tcPr>
                  <w:tcW w:w="253" w:type="pct"/>
                  <w:tcBorders>
                    <w:top w:val="nil"/>
                    <w:left w:val="nil"/>
                    <w:bottom w:val="single" w:color="auto" w:sz="4" w:space="0"/>
                    <w:right w:val="single" w:color="auto" w:sz="4" w:space="0"/>
                  </w:tcBorders>
                  <w:shd w:val="clear" w:color="auto" w:fill="auto"/>
                  <w:vAlign w:val="center"/>
                </w:tcPr>
                <w:p w14:paraId="4BF958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500</w:t>
                  </w:r>
                </w:p>
              </w:tc>
            </w:tr>
            <w:tr w14:paraId="4B0D5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 w:type="pct"/>
                  <w:vMerge w:val="continue"/>
                  <w:tcBorders>
                    <w:top w:val="nil"/>
                    <w:left w:val="single" w:color="auto" w:sz="4" w:space="0"/>
                    <w:bottom w:val="single" w:color="auto" w:sz="4" w:space="0"/>
                    <w:right w:val="single" w:color="auto" w:sz="4" w:space="0"/>
                  </w:tcBorders>
                  <w:shd w:val="clear" w:color="auto" w:fill="auto"/>
                  <w:vAlign w:val="center"/>
                </w:tcPr>
                <w:p w14:paraId="1BFFEE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240" w:type="pct"/>
                  <w:vMerge w:val="continue"/>
                  <w:tcBorders>
                    <w:top w:val="nil"/>
                    <w:left w:val="single" w:color="auto" w:sz="4" w:space="0"/>
                    <w:bottom w:val="single" w:color="auto" w:sz="4" w:space="0"/>
                    <w:right w:val="single" w:color="auto" w:sz="4" w:space="0"/>
                  </w:tcBorders>
                  <w:shd w:val="clear" w:color="auto" w:fill="auto"/>
                  <w:vAlign w:val="center"/>
                </w:tcPr>
                <w:p w14:paraId="31B6D7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483" w:type="pct"/>
                  <w:tcBorders>
                    <w:top w:val="nil"/>
                    <w:left w:val="nil"/>
                    <w:bottom w:val="single" w:color="auto" w:sz="4" w:space="0"/>
                    <w:right w:val="single" w:color="auto" w:sz="4" w:space="0"/>
                  </w:tcBorders>
                  <w:shd w:val="clear" w:color="auto" w:fill="auto"/>
                  <w:vAlign w:val="center"/>
                </w:tcPr>
                <w:p w14:paraId="5D6D78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NH</w:t>
                  </w:r>
                  <w:r>
                    <w:rPr>
                      <w:rFonts w:hint="default" w:ascii="Times New Roman" w:hAnsi="Times New Roman" w:eastAsia="等线" w:cs="Times New Roman"/>
                      <w:i w:val="0"/>
                      <w:iCs w:val="0"/>
                      <w:color w:val="auto"/>
                      <w:kern w:val="0"/>
                      <w:sz w:val="21"/>
                      <w:szCs w:val="21"/>
                      <w:u w:val="none"/>
                      <w:vertAlign w:val="subscript"/>
                      <w:lang w:val="en-US" w:eastAsia="zh-CN" w:bidi="ar"/>
                    </w:rPr>
                    <w:t>3</w:t>
                  </w:r>
                  <w:r>
                    <w:rPr>
                      <w:rFonts w:hint="default" w:ascii="Times New Roman" w:hAnsi="Times New Roman" w:eastAsia="等线" w:cs="Times New Roman"/>
                      <w:i w:val="0"/>
                      <w:iCs w:val="0"/>
                      <w:color w:val="auto"/>
                      <w:kern w:val="0"/>
                      <w:sz w:val="21"/>
                      <w:szCs w:val="21"/>
                      <w:u w:val="none"/>
                      <w:lang w:val="en-US" w:eastAsia="zh-CN" w:bidi="ar"/>
                    </w:rPr>
                    <w:t>-N</w:t>
                  </w:r>
                </w:p>
              </w:tc>
              <w:tc>
                <w:tcPr>
                  <w:tcW w:w="446" w:type="pct"/>
                  <w:tcBorders>
                    <w:top w:val="nil"/>
                    <w:left w:val="nil"/>
                    <w:bottom w:val="single" w:color="auto" w:sz="4" w:space="0"/>
                    <w:right w:val="single" w:color="auto" w:sz="4" w:space="0"/>
                  </w:tcBorders>
                  <w:shd w:val="clear" w:color="auto" w:fill="auto"/>
                  <w:vAlign w:val="center"/>
                </w:tcPr>
                <w:p w14:paraId="06F648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0.001</w:t>
                  </w:r>
                </w:p>
              </w:tc>
              <w:tc>
                <w:tcPr>
                  <w:tcW w:w="398" w:type="pct"/>
                  <w:tcBorders>
                    <w:top w:val="nil"/>
                    <w:left w:val="nil"/>
                    <w:bottom w:val="single" w:color="auto" w:sz="4" w:space="0"/>
                    <w:right w:val="single" w:color="auto" w:sz="4" w:space="0"/>
                  </w:tcBorders>
                  <w:shd w:val="clear" w:color="auto" w:fill="auto"/>
                  <w:vAlign w:val="center"/>
                </w:tcPr>
                <w:p w14:paraId="39F056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30</w:t>
                  </w:r>
                </w:p>
              </w:tc>
              <w:tc>
                <w:tcPr>
                  <w:tcW w:w="346" w:type="pct"/>
                  <w:vMerge w:val="continue"/>
                  <w:tcBorders>
                    <w:top w:val="nil"/>
                    <w:left w:val="single" w:color="auto" w:sz="4" w:space="0"/>
                    <w:bottom w:val="single" w:color="auto" w:sz="4" w:space="0"/>
                    <w:right w:val="single" w:color="auto" w:sz="4" w:space="0"/>
                  </w:tcBorders>
                  <w:shd w:val="clear" w:color="auto" w:fill="auto"/>
                  <w:vAlign w:val="center"/>
                </w:tcPr>
                <w:p w14:paraId="008D77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311" w:type="pct"/>
                  <w:tcBorders>
                    <w:top w:val="nil"/>
                    <w:left w:val="nil"/>
                    <w:bottom w:val="single" w:color="auto" w:sz="4" w:space="0"/>
                    <w:right w:val="single" w:color="auto" w:sz="4" w:space="0"/>
                  </w:tcBorders>
                  <w:shd w:val="clear" w:color="auto" w:fill="auto"/>
                  <w:vAlign w:val="center"/>
                </w:tcPr>
                <w:p w14:paraId="40755B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20</w:t>
                  </w:r>
                </w:p>
              </w:tc>
              <w:tc>
                <w:tcPr>
                  <w:tcW w:w="400" w:type="pct"/>
                  <w:tcBorders>
                    <w:top w:val="nil"/>
                    <w:left w:val="nil"/>
                    <w:bottom w:val="single" w:color="auto" w:sz="4" w:space="0"/>
                    <w:right w:val="single" w:color="auto" w:sz="4" w:space="0"/>
                  </w:tcBorders>
                  <w:shd w:val="clear" w:color="auto" w:fill="auto"/>
                  <w:vAlign w:val="center"/>
                </w:tcPr>
                <w:p w14:paraId="4D6AEF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0.001</w:t>
                  </w:r>
                </w:p>
              </w:tc>
              <w:tc>
                <w:tcPr>
                  <w:tcW w:w="442" w:type="pct"/>
                  <w:tcBorders>
                    <w:top w:val="nil"/>
                    <w:left w:val="nil"/>
                    <w:bottom w:val="single" w:color="auto" w:sz="4" w:space="0"/>
                    <w:right w:val="single" w:color="auto" w:sz="4" w:space="0"/>
                  </w:tcBorders>
                  <w:shd w:val="clear" w:color="auto" w:fill="auto"/>
                  <w:vAlign w:val="center"/>
                </w:tcPr>
                <w:p w14:paraId="776D17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24</w:t>
                  </w:r>
                </w:p>
              </w:tc>
              <w:tc>
                <w:tcPr>
                  <w:tcW w:w="400" w:type="pct"/>
                  <w:tcBorders>
                    <w:top w:val="nil"/>
                    <w:left w:val="nil"/>
                    <w:bottom w:val="single" w:color="auto" w:sz="4" w:space="0"/>
                    <w:right w:val="single" w:color="auto" w:sz="4" w:space="0"/>
                  </w:tcBorders>
                  <w:shd w:val="clear" w:color="auto" w:fill="auto"/>
                  <w:vAlign w:val="center"/>
                </w:tcPr>
                <w:p w14:paraId="449773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0.0001</w:t>
                  </w:r>
                </w:p>
              </w:tc>
              <w:tc>
                <w:tcPr>
                  <w:tcW w:w="363" w:type="pct"/>
                  <w:tcBorders>
                    <w:top w:val="nil"/>
                    <w:left w:val="nil"/>
                    <w:bottom w:val="single" w:color="auto" w:sz="4" w:space="0"/>
                    <w:right w:val="single" w:color="auto" w:sz="4" w:space="0"/>
                  </w:tcBorders>
                  <w:shd w:val="clear" w:color="auto" w:fill="auto"/>
                  <w:vAlign w:val="center"/>
                </w:tcPr>
                <w:p w14:paraId="71C84A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2</w:t>
                  </w:r>
                </w:p>
              </w:tc>
              <w:tc>
                <w:tcPr>
                  <w:tcW w:w="651" w:type="pct"/>
                  <w:tcBorders>
                    <w:top w:val="nil"/>
                    <w:left w:val="nil"/>
                    <w:bottom w:val="single" w:color="auto" w:sz="4" w:space="0"/>
                    <w:right w:val="single" w:color="auto" w:sz="4" w:space="0"/>
                  </w:tcBorders>
                  <w:shd w:val="clear" w:color="auto" w:fill="auto"/>
                  <w:vAlign w:val="center"/>
                </w:tcPr>
                <w:p w14:paraId="7BC460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DB33/887—2013</w:t>
                  </w:r>
                </w:p>
              </w:tc>
              <w:tc>
                <w:tcPr>
                  <w:tcW w:w="253" w:type="pct"/>
                  <w:tcBorders>
                    <w:top w:val="nil"/>
                    <w:left w:val="nil"/>
                    <w:bottom w:val="single" w:color="auto" w:sz="4" w:space="0"/>
                    <w:right w:val="single" w:color="auto" w:sz="4" w:space="0"/>
                  </w:tcBorders>
                  <w:shd w:val="clear" w:color="auto" w:fill="auto"/>
                  <w:vAlign w:val="center"/>
                </w:tcPr>
                <w:p w14:paraId="487965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lang w:val="en-US"/>
                    </w:rPr>
                  </w:pPr>
                  <w:r>
                    <w:rPr>
                      <w:rFonts w:hint="eastAsia" w:eastAsia="等线" w:cs="Times New Roman"/>
                      <w:i w:val="0"/>
                      <w:iCs w:val="0"/>
                      <w:color w:val="auto"/>
                      <w:kern w:val="0"/>
                      <w:sz w:val="21"/>
                      <w:szCs w:val="21"/>
                      <w:u w:val="none"/>
                      <w:lang w:val="en-US" w:eastAsia="zh-CN" w:bidi="ar"/>
                    </w:rPr>
                    <w:t>35</w:t>
                  </w:r>
                </w:p>
              </w:tc>
            </w:tr>
            <w:tr w14:paraId="714A0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 w:type="pct"/>
                  <w:vMerge w:val="continue"/>
                  <w:tcBorders>
                    <w:top w:val="nil"/>
                    <w:left w:val="single" w:color="auto" w:sz="4" w:space="0"/>
                    <w:bottom w:val="single" w:color="auto" w:sz="4" w:space="0"/>
                    <w:right w:val="single" w:color="auto" w:sz="4" w:space="0"/>
                  </w:tcBorders>
                  <w:shd w:val="clear" w:color="auto" w:fill="auto"/>
                  <w:vAlign w:val="center"/>
                </w:tcPr>
                <w:p w14:paraId="35244B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240" w:type="pct"/>
                  <w:vMerge w:val="continue"/>
                  <w:tcBorders>
                    <w:top w:val="nil"/>
                    <w:left w:val="single" w:color="auto" w:sz="4" w:space="0"/>
                    <w:bottom w:val="single" w:color="auto" w:sz="4" w:space="0"/>
                    <w:right w:val="single" w:color="auto" w:sz="4" w:space="0"/>
                  </w:tcBorders>
                  <w:shd w:val="clear" w:color="auto" w:fill="auto"/>
                  <w:vAlign w:val="center"/>
                </w:tcPr>
                <w:p w14:paraId="2C0689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483" w:type="pct"/>
                  <w:tcBorders>
                    <w:top w:val="nil"/>
                    <w:left w:val="nil"/>
                    <w:bottom w:val="single" w:color="auto" w:sz="4" w:space="0"/>
                    <w:right w:val="single" w:color="auto" w:sz="4" w:space="0"/>
                  </w:tcBorders>
                  <w:shd w:val="clear" w:color="auto" w:fill="auto"/>
                  <w:vAlign w:val="center"/>
                </w:tcPr>
                <w:p w14:paraId="412733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kern w:val="0"/>
                      <w:sz w:val="21"/>
                      <w:szCs w:val="21"/>
                      <w:u w:val="none"/>
                      <w:lang w:val="en-US" w:eastAsia="zh-CN" w:bidi="ar"/>
                    </w:rPr>
                  </w:pPr>
                  <w:r>
                    <w:rPr>
                      <w:rFonts w:hint="eastAsia" w:eastAsia="等线" w:cs="Times New Roman"/>
                      <w:i w:val="0"/>
                      <w:iCs w:val="0"/>
                      <w:color w:val="auto"/>
                      <w:kern w:val="0"/>
                      <w:sz w:val="21"/>
                      <w:szCs w:val="21"/>
                      <w:u w:val="none"/>
                      <w:lang w:val="en-US" w:eastAsia="zh-CN" w:bidi="ar"/>
                    </w:rPr>
                    <w:t>TP</w:t>
                  </w:r>
                </w:p>
              </w:tc>
              <w:tc>
                <w:tcPr>
                  <w:tcW w:w="446" w:type="pct"/>
                  <w:tcBorders>
                    <w:top w:val="nil"/>
                    <w:left w:val="nil"/>
                    <w:bottom w:val="single" w:color="auto" w:sz="4" w:space="0"/>
                    <w:right w:val="single" w:color="auto" w:sz="4" w:space="0"/>
                  </w:tcBorders>
                  <w:shd w:val="clear" w:color="auto" w:fill="auto"/>
                  <w:vAlign w:val="center"/>
                </w:tcPr>
                <w:p w14:paraId="701E52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kern w:val="0"/>
                      <w:sz w:val="21"/>
                      <w:szCs w:val="21"/>
                      <w:u w:val="none"/>
                      <w:lang w:val="en-US" w:eastAsia="zh-CN" w:bidi="ar"/>
                    </w:rPr>
                  </w:pPr>
                  <w:r>
                    <w:rPr>
                      <w:rFonts w:hint="eastAsia" w:eastAsia="等线" w:cs="Times New Roman"/>
                      <w:i w:val="0"/>
                      <w:iCs w:val="0"/>
                      <w:color w:val="auto"/>
                      <w:kern w:val="0"/>
                      <w:sz w:val="21"/>
                      <w:szCs w:val="21"/>
                      <w:u w:val="none"/>
                      <w:lang w:val="en-US" w:eastAsia="zh-CN" w:bidi="ar"/>
                    </w:rPr>
                    <w:t>0.0001</w:t>
                  </w:r>
                </w:p>
              </w:tc>
              <w:tc>
                <w:tcPr>
                  <w:tcW w:w="398" w:type="pct"/>
                  <w:tcBorders>
                    <w:top w:val="nil"/>
                    <w:left w:val="nil"/>
                    <w:bottom w:val="single" w:color="auto" w:sz="4" w:space="0"/>
                    <w:right w:val="single" w:color="auto" w:sz="4" w:space="0"/>
                  </w:tcBorders>
                  <w:shd w:val="clear" w:color="auto" w:fill="auto"/>
                  <w:vAlign w:val="center"/>
                </w:tcPr>
                <w:p w14:paraId="19AE95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kern w:val="0"/>
                      <w:sz w:val="21"/>
                      <w:szCs w:val="21"/>
                      <w:u w:val="none"/>
                      <w:lang w:val="en-US" w:eastAsia="zh-CN" w:bidi="ar"/>
                    </w:rPr>
                  </w:pPr>
                  <w:r>
                    <w:rPr>
                      <w:rFonts w:hint="eastAsia" w:eastAsia="等线" w:cs="Times New Roman"/>
                      <w:i w:val="0"/>
                      <w:iCs w:val="0"/>
                      <w:color w:val="auto"/>
                      <w:kern w:val="0"/>
                      <w:sz w:val="21"/>
                      <w:szCs w:val="21"/>
                      <w:u w:val="none"/>
                      <w:lang w:val="en-US" w:eastAsia="zh-CN" w:bidi="ar"/>
                    </w:rPr>
                    <w:t>2</w:t>
                  </w:r>
                </w:p>
              </w:tc>
              <w:tc>
                <w:tcPr>
                  <w:tcW w:w="346" w:type="pct"/>
                  <w:vMerge w:val="continue"/>
                  <w:tcBorders>
                    <w:top w:val="nil"/>
                    <w:left w:val="single" w:color="auto" w:sz="4" w:space="0"/>
                    <w:bottom w:val="single" w:color="auto" w:sz="4" w:space="0"/>
                    <w:right w:val="single" w:color="auto" w:sz="4" w:space="0"/>
                  </w:tcBorders>
                  <w:shd w:val="clear" w:color="auto" w:fill="auto"/>
                  <w:vAlign w:val="center"/>
                </w:tcPr>
                <w:p w14:paraId="7D4156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311" w:type="pct"/>
                  <w:tcBorders>
                    <w:top w:val="nil"/>
                    <w:left w:val="nil"/>
                    <w:bottom w:val="single" w:color="auto" w:sz="4" w:space="0"/>
                    <w:right w:val="single" w:color="auto" w:sz="4" w:space="0"/>
                  </w:tcBorders>
                  <w:shd w:val="clear" w:color="auto" w:fill="auto"/>
                  <w:vAlign w:val="center"/>
                </w:tcPr>
                <w:p w14:paraId="161815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kern w:val="0"/>
                      <w:sz w:val="21"/>
                      <w:szCs w:val="21"/>
                      <w:u w:val="none"/>
                      <w:lang w:val="en-US" w:eastAsia="zh-CN" w:bidi="ar"/>
                    </w:rPr>
                  </w:pPr>
                  <w:r>
                    <w:rPr>
                      <w:rFonts w:hint="eastAsia" w:eastAsia="等线" w:cs="Times New Roman"/>
                      <w:i w:val="0"/>
                      <w:iCs w:val="0"/>
                      <w:color w:val="auto"/>
                      <w:kern w:val="0"/>
                      <w:sz w:val="21"/>
                      <w:szCs w:val="21"/>
                      <w:u w:val="none"/>
                      <w:lang w:val="en-US" w:eastAsia="zh-CN" w:bidi="ar"/>
                    </w:rPr>
                    <w:t>20</w:t>
                  </w:r>
                </w:p>
              </w:tc>
              <w:tc>
                <w:tcPr>
                  <w:tcW w:w="400" w:type="pct"/>
                  <w:tcBorders>
                    <w:top w:val="nil"/>
                    <w:left w:val="nil"/>
                    <w:bottom w:val="single" w:color="auto" w:sz="4" w:space="0"/>
                    <w:right w:val="single" w:color="auto" w:sz="4" w:space="0"/>
                  </w:tcBorders>
                  <w:shd w:val="clear" w:color="auto" w:fill="auto"/>
                  <w:vAlign w:val="center"/>
                </w:tcPr>
                <w:p w14:paraId="431E67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kern w:val="0"/>
                      <w:sz w:val="21"/>
                      <w:szCs w:val="21"/>
                      <w:u w:val="none"/>
                      <w:lang w:val="en-US" w:eastAsia="zh-CN" w:bidi="ar"/>
                    </w:rPr>
                  </w:pPr>
                  <w:r>
                    <w:rPr>
                      <w:rFonts w:hint="eastAsia" w:eastAsia="等线" w:cs="Times New Roman"/>
                      <w:i w:val="0"/>
                      <w:iCs w:val="0"/>
                      <w:color w:val="auto"/>
                      <w:kern w:val="0"/>
                      <w:sz w:val="21"/>
                      <w:szCs w:val="21"/>
                      <w:u w:val="none"/>
                      <w:lang w:val="en-US" w:eastAsia="zh-CN" w:bidi="ar"/>
                    </w:rPr>
                    <w:t>0.00008</w:t>
                  </w:r>
                </w:p>
              </w:tc>
              <w:tc>
                <w:tcPr>
                  <w:tcW w:w="442" w:type="pct"/>
                  <w:tcBorders>
                    <w:top w:val="nil"/>
                    <w:left w:val="nil"/>
                    <w:bottom w:val="single" w:color="auto" w:sz="4" w:space="0"/>
                    <w:right w:val="single" w:color="auto" w:sz="4" w:space="0"/>
                  </w:tcBorders>
                  <w:shd w:val="clear" w:color="auto" w:fill="auto"/>
                  <w:vAlign w:val="center"/>
                </w:tcPr>
                <w:p w14:paraId="261962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kern w:val="0"/>
                      <w:sz w:val="21"/>
                      <w:szCs w:val="21"/>
                      <w:u w:val="none"/>
                      <w:lang w:val="en-US" w:eastAsia="zh-CN" w:bidi="ar"/>
                    </w:rPr>
                  </w:pPr>
                  <w:r>
                    <w:rPr>
                      <w:rFonts w:hint="eastAsia" w:eastAsia="等线" w:cs="Times New Roman"/>
                      <w:i w:val="0"/>
                      <w:iCs w:val="0"/>
                      <w:color w:val="auto"/>
                      <w:kern w:val="0"/>
                      <w:sz w:val="21"/>
                      <w:szCs w:val="21"/>
                      <w:u w:val="none"/>
                      <w:lang w:val="en-US" w:eastAsia="zh-CN" w:bidi="ar"/>
                    </w:rPr>
                    <w:t>1.68</w:t>
                  </w:r>
                </w:p>
              </w:tc>
              <w:tc>
                <w:tcPr>
                  <w:tcW w:w="400" w:type="pct"/>
                  <w:tcBorders>
                    <w:top w:val="nil"/>
                    <w:left w:val="nil"/>
                    <w:bottom w:val="single" w:color="auto" w:sz="4" w:space="0"/>
                    <w:right w:val="single" w:color="auto" w:sz="4" w:space="0"/>
                  </w:tcBorders>
                  <w:shd w:val="clear" w:color="auto" w:fill="auto"/>
                  <w:vAlign w:val="center"/>
                </w:tcPr>
                <w:p w14:paraId="487AD7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kern w:val="0"/>
                      <w:sz w:val="21"/>
                      <w:szCs w:val="21"/>
                      <w:u w:val="none"/>
                      <w:lang w:val="en-US" w:eastAsia="zh-CN" w:bidi="ar"/>
                    </w:rPr>
                  </w:pPr>
                  <w:r>
                    <w:rPr>
                      <w:rFonts w:hint="eastAsia" w:eastAsia="等线" w:cs="Times New Roman"/>
                      <w:i w:val="0"/>
                      <w:iCs w:val="0"/>
                      <w:color w:val="auto"/>
                      <w:kern w:val="0"/>
                      <w:sz w:val="21"/>
                      <w:szCs w:val="21"/>
                      <w:u w:val="none"/>
                      <w:lang w:val="en-US" w:eastAsia="zh-CN" w:bidi="ar"/>
                    </w:rPr>
                    <w:t>0.00008</w:t>
                  </w:r>
                </w:p>
              </w:tc>
              <w:tc>
                <w:tcPr>
                  <w:tcW w:w="363" w:type="pct"/>
                  <w:tcBorders>
                    <w:top w:val="nil"/>
                    <w:left w:val="nil"/>
                    <w:bottom w:val="single" w:color="auto" w:sz="4" w:space="0"/>
                    <w:right w:val="single" w:color="auto" w:sz="4" w:space="0"/>
                  </w:tcBorders>
                  <w:shd w:val="clear" w:color="auto" w:fill="auto"/>
                  <w:vAlign w:val="center"/>
                </w:tcPr>
                <w:p w14:paraId="4C3CA1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kern w:val="0"/>
                      <w:sz w:val="21"/>
                      <w:szCs w:val="21"/>
                      <w:u w:val="none"/>
                      <w:lang w:val="en-US" w:eastAsia="zh-CN" w:bidi="ar"/>
                    </w:rPr>
                  </w:pPr>
                  <w:r>
                    <w:rPr>
                      <w:rFonts w:hint="eastAsia" w:eastAsia="等线" w:cs="Times New Roman"/>
                      <w:i w:val="0"/>
                      <w:iCs w:val="0"/>
                      <w:color w:val="auto"/>
                      <w:kern w:val="0"/>
                      <w:sz w:val="21"/>
                      <w:szCs w:val="21"/>
                      <w:u w:val="none"/>
                      <w:lang w:val="en-US" w:eastAsia="zh-CN" w:bidi="ar"/>
                    </w:rPr>
                    <w:t>1.68</w:t>
                  </w:r>
                </w:p>
              </w:tc>
              <w:tc>
                <w:tcPr>
                  <w:tcW w:w="651" w:type="pct"/>
                  <w:tcBorders>
                    <w:top w:val="nil"/>
                    <w:left w:val="nil"/>
                    <w:bottom w:val="single" w:color="auto" w:sz="4" w:space="0"/>
                    <w:right w:val="single" w:color="auto" w:sz="4" w:space="0"/>
                  </w:tcBorders>
                  <w:shd w:val="clear" w:color="auto" w:fill="auto"/>
                  <w:vAlign w:val="center"/>
                </w:tcPr>
                <w:p w14:paraId="3E4D2C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等线" w:cs="Times New Roman"/>
                      <w:i w:val="0"/>
                      <w:iCs w:val="0"/>
                      <w:color w:val="auto"/>
                      <w:kern w:val="0"/>
                      <w:sz w:val="21"/>
                      <w:szCs w:val="21"/>
                      <w:u w:val="none"/>
                      <w:lang w:val="en-US" w:eastAsia="zh-CN" w:bidi="ar"/>
                    </w:rPr>
                    <w:t>DB33/887—2013</w:t>
                  </w:r>
                </w:p>
              </w:tc>
              <w:tc>
                <w:tcPr>
                  <w:tcW w:w="253" w:type="pct"/>
                  <w:tcBorders>
                    <w:top w:val="nil"/>
                    <w:left w:val="nil"/>
                    <w:bottom w:val="single" w:color="auto" w:sz="4" w:space="0"/>
                    <w:right w:val="single" w:color="auto" w:sz="4" w:space="0"/>
                  </w:tcBorders>
                  <w:shd w:val="clear" w:color="auto" w:fill="auto"/>
                  <w:vAlign w:val="center"/>
                </w:tcPr>
                <w:p w14:paraId="30651B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kern w:val="0"/>
                      <w:sz w:val="21"/>
                      <w:szCs w:val="21"/>
                      <w:u w:val="none"/>
                      <w:lang w:val="en-US" w:eastAsia="zh-CN" w:bidi="ar"/>
                    </w:rPr>
                  </w:pPr>
                  <w:r>
                    <w:rPr>
                      <w:rFonts w:hint="eastAsia" w:eastAsia="等线" w:cs="Times New Roman"/>
                      <w:i w:val="0"/>
                      <w:iCs w:val="0"/>
                      <w:color w:val="auto"/>
                      <w:kern w:val="0"/>
                      <w:sz w:val="21"/>
                      <w:szCs w:val="21"/>
                      <w:u w:val="none"/>
                      <w:lang w:val="en-US" w:eastAsia="zh-CN" w:bidi="ar"/>
                    </w:rPr>
                    <w:t>8</w:t>
                  </w:r>
                </w:p>
              </w:tc>
            </w:tr>
            <w:tr w14:paraId="22510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 w:type="pct"/>
                  <w:vMerge w:val="continue"/>
                  <w:tcBorders>
                    <w:top w:val="nil"/>
                    <w:left w:val="single" w:color="auto" w:sz="4" w:space="0"/>
                    <w:bottom w:val="single" w:color="auto" w:sz="4" w:space="0"/>
                    <w:right w:val="single" w:color="auto" w:sz="4" w:space="0"/>
                  </w:tcBorders>
                  <w:shd w:val="clear" w:color="auto" w:fill="auto"/>
                  <w:vAlign w:val="center"/>
                </w:tcPr>
                <w:p w14:paraId="3C2C09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240" w:type="pct"/>
                  <w:vMerge w:val="continue"/>
                  <w:tcBorders>
                    <w:top w:val="nil"/>
                    <w:left w:val="single" w:color="auto" w:sz="4" w:space="0"/>
                    <w:bottom w:val="single" w:color="auto" w:sz="4" w:space="0"/>
                    <w:right w:val="single" w:color="auto" w:sz="4" w:space="0"/>
                  </w:tcBorders>
                  <w:shd w:val="clear" w:color="auto" w:fill="auto"/>
                  <w:vAlign w:val="center"/>
                </w:tcPr>
                <w:p w14:paraId="2FE2D2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483" w:type="pct"/>
                  <w:tcBorders>
                    <w:top w:val="nil"/>
                    <w:left w:val="nil"/>
                    <w:bottom w:val="single" w:color="auto" w:sz="4" w:space="0"/>
                    <w:right w:val="single" w:color="auto" w:sz="4" w:space="0"/>
                  </w:tcBorders>
                  <w:shd w:val="clear" w:color="auto" w:fill="auto"/>
                  <w:vAlign w:val="center"/>
                </w:tcPr>
                <w:p w14:paraId="28A756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粪大肠杆菌</w:t>
                  </w:r>
                </w:p>
              </w:tc>
              <w:tc>
                <w:tcPr>
                  <w:tcW w:w="446" w:type="pct"/>
                  <w:tcBorders>
                    <w:top w:val="nil"/>
                    <w:left w:val="nil"/>
                    <w:bottom w:val="single" w:color="auto" w:sz="4" w:space="0"/>
                    <w:right w:val="single" w:color="auto" w:sz="4" w:space="0"/>
                  </w:tcBorders>
                  <w:shd w:val="clear" w:color="auto" w:fill="auto"/>
                  <w:vAlign w:val="center"/>
                </w:tcPr>
                <w:p w14:paraId="69F751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2.24</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等线" w:cs="Times New Roman"/>
                      <w:i w:val="0"/>
                      <w:iCs w:val="0"/>
                      <w:color w:val="auto"/>
                      <w:kern w:val="0"/>
                      <w:sz w:val="21"/>
                      <w:szCs w:val="21"/>
                      <w:u w:val="none"/>
                      <w:lang w:val="en-US" w:eastAsia="zh-CN" w:bidi="ar"/>
                    </w:rPr>
                    <w:t>10</w:t>
                  </w:r>
                  <w:r>
                    <w:rPr>
                      <w:rFonts w:hint="default" w:ascii="Times New Roman" w:hAnsi="Times New Roman" w:eastAsia="等线" w:cs="Times New Roman"/>
                      <w:i w:val="0"/>
                      <w:iCs w:val="0"/>
                      <w:color w:val="auto"/>
                      <w:kern w:val="0"/>
                      <w:sz w:val="21"/>
                      <w:szCs w:val="21"/>
                      <w:u w:val="none"/>
                      <w:vertAlign w:val="superscript"/>
                      <w:lang w:val="en-US" w:eastAsia="zh-CN" w:bidi="ar"/>
                    </w:rPr>
                    <w:t>8</w:t>
                  </w:r>
                </w:p>
              </w:tc>
              <w:tc>
                <w:tcPr>
                  <w:tcW w:w="398" w:type="pct"/>
                  <w:tcBorders>
                    <w:top w:val="nil"/>
                    <w:left w:val="nil"/>
                    <w:bottom w:val="single" w:color="auto" w:sz="4" w:space="0"/>
                    <w:right w:val="single" w:color="auto" w:sz="4" w:space="0"/>
                  </w:tcBorders>
                  <w:shd w:val="clear" w:color="auto" w:fill="auto"/>
                  <w:vAlign w:val="center"/>
                </w:tcPr>
                <w:p w14:paraId="14BDFC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4700</w:t>
                  </w:r>
                  <w:r>
                    <w:rPr>
                      <w:rFonts w:hint="eastAsia" w:ascii="宋体" w:hAnsi="宋体" w:eastAsia="宋体" w:cs="宋体"/>
                      <w:i w:val="0"/>
                      <w:iCs w:val="0"/>
                      <w:color w:val="auto"/>
                      <w:kern w:val="0"/>
                      <w:sz w:val="21"/>
                      <w:szCs w:val="21"/>
                      <w:u w:val="none"/>
                      <w:lang w:val="en-US" w:eastAsia="zh-CN" w:bidi="ar"/>
                    </w:rPr>
                    <w:t>个</w:t>
                  </w:r>
                  <w:r>
                    <w:rPr>
                      <w:rFonts w:hint="default" w:ascii="Times New Roman" w:hAnsi="Times New Roman" w:eastAsia="等线" w:cs="Times New Roman"/>
                      <w:i w:val="0"/>
                      <w:iCs w:val="0"/>
                      <w:color w:val="auto"/>
                      <w:kern w:val="0"/>
                      <w:sz w:val="21"/>
                      <w:szCs w:val="21"/>
                      <w:u w:val="none"/>
                      <w:lang w:val="en-US" w:eastAsia="zh-CN" w:bidi="ar"/>
                    </w:rPr>
                    <w:t>/L</w:t>
                  </w:r>
                </w:p>
              </w:tc>
              <w:tc>
                <w:tcPr>
                  <w:tcW w:w="346" w:type="pct"/>
                  <w:vMerge w:val="continue"/>
                  <w:tcBorders>
                    <w:top w:val="nil"/>
                    <w:left w:val="single" w:color="auto" w:sz="4" w:space="0"/>
                    <w:bottom w:val="single" w:color="auto" w:sz="4" w:space="0"/>
                    <w:right w:val="single" w:color="auto" w:sz="4" w:space="0"/>
                  </w:tcBorders>
                  <w:shd w:val="clear" w:color="auto" w:fill="auto"/>
                  <w:vAlign w:val="center"/>
                </w:tcPr>
                <w:p w14:paraId="466434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311" w:type="pct"/>
                  <w:tcBorders>
                    <w:top w:val="nil"/>
                    <w:left w:val="nil"/>
                    <w:bottom w:val="single" w:color="auto" w:sz="4" w:space="0"/>
                    <w:right w:val="single" w:color="auto" w:sz="4" w:space="0"/>
                  </w:tcBorders>
                  <w:shd w:val="clear" w:color="auto" w:fill="auto"/>
                  <w:vAlign w:val="center"/>
                </w:tcPr>
                <w:p w14:paraId="0DA0B9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90</w:t>
                  </w:r>
                </w:p>
              </w:tc>
              <w:tc>
                <w:tcPr>
                  <w:tcW w:w="400" w:type="pct"/>
                  <w:tcBorders>
                    <w:top w:val="nil"/>
                    <w:left w:val="nil"/>
                    <w:bottom w:val="single" w:color="auto" w:sz="4" w:space="0"/>
                    <w:right w:val="single" w:color="auto" w:sz="4" w:space="0"/>
                  </w:tcBorders>
                  <w:shd w:val="clear" w:color="auto" w:fill="auto"/>
                  <w:vAlign w:val="center"/>
                </w:tcPr>
                <w:p w14:paraId="3A554D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2.24</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等线" w:cs="Times New Roman"/>
                      <w:i w:val="0"/>
                      <w:iCs w:val="0"/>
                      <w:color w:val="auto"/>
                      <w:kern w:val="0"/>
                      <w:sz w:val="21"/>
                      <w:szCs w:val="21"/>
                      <w:u w:val="none"/>
                      <w:lang w:val="en-US" w:eastAsia="zh-CN" w:bidi="ar"/>
                    </w:rPr>
                    <w:t>10</w:t>
                  </w:r>
                  <w:r>
                    <w:rPr>
                      <w:rFonts w:hint="default" w:ascii="Times New Roman" w:hAnsi="Times New Roman" w:eastAsia="等线" w:cs="Times New Roman"/>
                      <w:i w:val="0"/>
                      <w:iCs w:val="0"/>
                      <w:color w:val="auto"/>
                      <w:kern w:val="0"/>
                      <w:sz w:val="21"/>
                      <w:szCs w:val="21"/>
                      <w:u w:val="none"/>
                      <w:vertAlign w:val="superscript"/>
                      <w:lang w:val="en-US" w:eastAsia="zh-CN" w:bidi="ar"/>
                    </w:rPr>
                    <w:t>7</w:t>
                  </w:r>
                </w:p>
              </w:tc>
              <w:tc>
                <w:tcPr>
                  <w:tcW w:w="442" w:type="pct"/>
                  <w:tcBorders>
                    <w:top w:val="nil"/>
                    <w:left w:val="nil"/>
                    <w:bottom w:val="single" w:color="auto" w:sz="4" w:space="0"/>
                    <w:right w:val="single" w:color="auto" w:sz="4" w:space="0"/>
                  </w:tcBorders>
                  <w:shd w:val="clear" w:color="auto" w:fill="auto"/>
                  <w:vAlign w:val="center"/>
                </w:tcPr>
                <w:p w14:paraId="67DD0C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470</w:t>
                  </w:r>
                  <w:r>
                    <w:rPr>
                      <w:rFonts w:hint="eastAsia" w:ascii="宋体" w:hAnsi="宋体" w:eastAsia="宋体" w:cs="宋体"/>
                      <w:i w:val="0"/>
                      <w:iCs w:val="0"/>
                      <w:color w:val="auto"/>
                      <w:kern w:val="0"/>
                      <w:sz w:val="21"/>
                      <w:szCs w:val="21"/>
                      <w:u w:val="none"/>
                      <w:lang w:val="en-US" w:eastAsia="zh-CN" w:bidi="ar"/>
                    </w:rPr>
                    <w:t>个</w:t>
                  </w:r>
                  <w:r>
                    <w:rPr>
                      <w:rFonts w:hint="default" w:ascii="Times New Roman" w:hAnsi="Times New Roman" w:eastAsia="等线" w:cs="Times New Roman"/>
                      <w:i w:val="0"/>
                      <w:iCs w:val="0"/>
                      <w:color w:val="auto"/>
                      <w:kern w:val="0"/>
                      <w:sz w:val="21"/>
                      <w:szCs w:val="21"/>
                      <w:u w:val="none"/>
                      <w:lang w:val="en-US" w:eastAsia="zh-CN" w:bidi="ar"/>
                    </w:rPr>
                    <w:t>/L</w:t>
                  </w:r>
                </w:p>
              </w:tc>
              <w:tc>
                <w:tcPr>
                  <w:tcW w:w="400" w:type="pct"/>
                  <w:tcBorders>
                    <w:top w:val="nil"/>
                    <w:left w:val="nil"/>
                    <w:bottom w:val="single" w:color="auto" w:sz="4" w:space="0"/>
                    <w:right w:val="single" w:color="auto" w:sz="4" w:space="0"/>
                  </w:tcBorders>
                  <w:shd w:val="clear" w:color="auto" w:fill="auto"/>
                  <w:vAlign w:val="center"/>
                </w:tcPr>
                <w:p w14:paraId="0248A5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2.24</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等线" w:cs="Times New Roman"/>
                      <w:i w:val="0"/>
                      <w:iCs w:val="0"/>
                      <w:color w:val="auto"/>
                      <w:kern w:val="0"/>
                      <w:sz w:val="21"/>
                      <w:szCs w:val="21"/>
                      <w:u w:val="none"/>
                      <w:lang w:val="en-US" w:eastAsia="zh-CN" w:bidi="ar"/>
                    </w:rPr>
                    <w:t>10</w:t>
                  </w:r>
                  <w:r>
                    <w:rPr>
                      <w:rFonts w:hint="default" w:ascii="Times New Roman" w:hAnsi="Times New Roman" w:eastAsia="等线" w:cs="Times New Roman"/>
                      <w:i w:val="0"/>
                      <w:iCs w:val="0"/>
                      <w:color w:val="auto"/>
                      <w:kern w:val="0"/>
                      <w:sz w:val="21"/>
                      <w:szCs w:val="21"/>
                      <w:u w:val="none"/>
                      <w:vertAlign w:val="superscript"/>
                      <w:lang w:val="en-US" w:eastAsia="zh-CN" w:bidi="ar"/>
                    </w:rPr>
                    <w:t>7</w:t>
                  </w:r>
                </w:p>
              </w:tc>
              <w:tc>
                <w:tcPr>
                  <w:tcW w:w="363" w:type="pct"/>
                  <w:tcBorders>
                    <w:top w:val="nil"/>
                    <w:left w:val="nil"/>
                    <w:bottom w:val="single" w:color="auto" w:sz="4" w:space="0"/>
                    <w:right w:val="single" w:color="auto" w:sz="4" w:space="0"/>
                  </w:tcBorders>
                  <w:shd w:val="clear" w:color="auto" w:fill="auto"/>
                  <w:vAlign w:val="center"/>
                </w:tcPr>
                <w:p w14:paraId="0053EE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470</w:t>
                  </w:r>
                  <w:r>
                    <w:rPr>
                      <w:rFonts w:hint="eastAsia" w:ascii="宋体" w:hAnsi="宋体" w:eastAsia="宋体" w:cs="宋体"/>
                      <w:i w:val="0"/>
                      <w:iCs w:val="0"/>
                      <w:color w:val="auto"/>
                      <w:kern w:val="0"/>
                      <w:sz w:val="21"/>
                      <w:szCs w:val="21"/>
                      <w:u w:val="none"/>
                      <w:lang w:val="en-US" w:eastAsia="zh-CN" w:bidi="ar"/>
                    </w:rPr>
                    <w:t>个</w:t>
                  </w:r>
                  <w:r>
                    <w:rPr>
                      <w:rFonts w:hint="default" w:ascii="Times New Roman" w:hAnsi="Times New Roman" w:eastAsia="等线" w:cs="Times New Roman"/>
                      <w:i w:val="0"/>
                      <w:iCs w:val="0"/>
                      <w:color w:val="auto"/>
                      <w:kern w:val="0"/>
                      <w:sz w:val="21"/>
                      <w:szCs w:val="21"/>
                      <w:u w:val="none"/>
                      <w:lang w:val="en-US" w:eastAsia="zh-CN" w:bidi="ar"/>
                    </w:rPr>
                    <w:t>/L</w:t>
                  </w:r>
                </w:p>
              </w:tc>
              <w:tc>
                <w:tcPr>
                  <w:tcW w:w="651" w:type="pct"/>
                  <w:tcBorders>
                    <w:top w:val="nil"/>
                    <w:left w:val="nil"/>
                    <w:bottom w:val="single" w:color="auto" w:sz="4" w:space="0"/>
                    <w:right w:val="single" w:color="auto" w:sz="4" w:space="0"/>
                  </w:tcBorders>
                  <w:shd w:val="clear" w:color="auto" w:fill="auto"/>
                  <w:vAlign w:val="center"/>
                </w:tcPr>
                <w:p w14:paraId="237C27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253" w:type="pct"/>
                  <w:tcBorders>
                    <w:top w:val="nil"/>
                    <w:left w:val="nil"/>
                    <w:bottom w:val="single" w:color="auto" w:sz="4" w:space="0"/>
                    <w:right w:val="single" w:color="auto" w:sz="4" w:space="0"/>
                  </w:tcBorders>
                  <w:shd w:val="clear" w:color="auto" w:fill="auto"/>
                  <w:vAlign w:val="center"/>
                </w:tcPr>
                <w:p w14:paraId="73DAEA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r>
            <w:tr w14:paraId="57538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 w:type="pct"/>
                  <w:vMerge w:val="restart"/>
                  <w:tcBorders>
                    <w:top w:val="nil"/>
                    <w:left w:val="single" w:color="auto" w:sz="4" w:space="0"/>
                    <w:bottom w:val="single" w:color="auto" w:sz="4" w:space="0"/>
                    <w:right w:val="single" w:color="auto" w:sz="4" w:space="0"/>
                  </w:tcBorders>
                  <w:shd w:val="clear" w:color="auto" w:fill="auto"/>
                  <w:vAlign w:val="center"/>
                </w:tcPr>
                <w:p w14:paraId="70616C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灭菌</w:t>
                  </w:r>
                </w:p>
              </w:tc>
              <w:tc>
                <w:tcPr>
                  <w:tcW w:w="240" w:type="pct"/>
                  <w:vMerge w:val="continue"/>
                  <w:tcBorders>
                    <w:top w:val="nil"/>
                    <w:left w:val="single" w:color="auto" w:sz="4" w:space="0"/>
                    <w:bottom w:val="single" w:color="auto" w:sz="4" w:space="0"/>
                    <w:right w:val="single" w:color="auto" w:sz="4" w:space="0"/>
                  </w:tcBorders>
                  <w:shd w:val="clear" w:color="auto" w:fill="auto"/>
                  <w:vAlign w:val="center"/>
                </w:tcPr>
                <w:p w14:paraId="71B526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483" w:type="pct"/>
                  <w:tcBorders>
                    <w:top w:val="nil"/>
                    <w:left w:val="nil"/>
                    <w:bottom w:val="single" w:color="auto" w:sz="4" w:space="0"/>
                    <w:right w:val="single" w:color="auto" w:sz="4" w:space="0"/>
                  </w:tcBorders>
                  <w:shd w:val="clear" w:color="auto" w:fill="auto"/>
                  <w:vAlign w:val="center"/>
                </w:tcPr>
                <w:p w14:paraId="5264AA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废水量</w:t>
                  </w:r>
                </w:p>
              </w:tc>
              <w:tc>
                <w:tcPr>
                  <w:tcW w:w="446" w:type="pct"/>
                  <w:tcBorders>
                    <w:top w:val="nil"/>
                    <w:left w:val="nil"/>
                    <w:bottom w:val="single" w:color="auto" w:sz="4" w:space="0"/>
                    <w:right w:val="single" w:color="auto" w:sz="4" w:space="0"/>
                  </w:tcBorders>
                  <w:shd w:val="clear" w:color="auto" w:fill="auto"/>
                  <w:vAlign w:val="center"/>
                </w:tcPr>
                <w:p w14:paraId="7C4FF6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0.185</w:t>
                  </w:r>
                </w:p>
              </w:tc>
              <w:tc>
                <w:tcPr>
                  <w:tcW w:w="398" w:type="pct"/>
                  <w:tcBorders>
                    <w:top w:val="nil"/>
                    <w:left w:val="nil"/>
                    <w:bottom w:val="single" w:color="auto" w:sz="4" w:space="0"/>
                    <w:right w:val="single" w:color="auto" w:sz="4" w:space="0"/>
                  </w:tcBorders>
                  <w:shd w:val="clear" w:color="auto" w:fill="auto"/>
                  <w:vAlign w:val="center"/>
                </w:tcPr>
                <w:p w14:paraId="202DED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346" w:type="pct"/>
                  <w:vMerge w:val="continue"/>
                  <w:tcBorders>
                    <w:top w:val="nil"/>
                    <w:left w:val="single" w:color="auto" w:sz="4" w:space="0"/>
                    <w:bottom w:val="single" w:color="auto" w:sz="4" w:space="0"/>
                    <w:right w:val="single" w:color="auto" w:sz="4" w:space="0"/>
                  </w:tcBorders>
                  <w:shd w:val="clear" w:color="auto" w:fill="auto"/>
                  <w:vAlign w:val="center"/>
                </w:tcPr>
                <w:p w14:paraId="727086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311" w:type="pct"/>
                  <w:tcBorders>
                    <w:top w:val="nil"/>
                    <w:left w:val="nil"/>
                    <w:bottom w:val="single" w:color="auto" w:sz="4" w:space="0"/>
                    <w:right w:val="single" w:color="auto" w:sz="4" w:space="0"/>
                  </w:tcBorders>
                  <w:shd w:val="clear" w:color="auto" w:fill="auto"/>
                  <w:vAlign w:val="center"/>
                </w:tcPr>
                <w:p w14:paraId="1CBDD4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068334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42" w:type="pct"/>
                  <w:tcBorders>
                    <w:top w:val="nil"/>
                    <w:left w:val="nil"/>
                    <w:bottom w:val="single" w:color="auto" w:sz="4" w:space="0"/>
                    <w:right w:val="single" w:color="auto" w:sz="4" w:space="0"/>
                  </w:tcBorders>
                  <w:shd w:val="clear" w:color="auto" w:fill="auto"/>
                  <w:vAlign w:val="center"/>
                </w:tcPr>
                <w:p w14:paraId="33D0A4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21C0B9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363" w:type="pct"/>
                  <w:tcBorders>
                    <w:top w:val="nil"/>
                    <w:left w:val="nil"/>
                    <w:bottom w:val="single" w:color="auto" w:sz="4" w:space="0"/>
                    <w:right w:val="single" w:color="auto" w:sz="4" w:space="0"/>
                  </w:tcBorders>
                  <w:shd w:val="clear" w:color="auto" w:fill="auto"/>
                  <w:vAlign w:val="center"/>
                </w:tcPr>
                <w:p w14:paraId="42CFDB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651" w:type="pct"/>
                  <w:tcBorders>
                    <w:top w:val="nil"/>
                    <w:left w:val="nil"/>
                    <w:bottom w:val="single" w:color="auto" w:sz="4" w:space="0"/>
                    <w:right w:val="single" w:color="auto" w:sz="4" w:space="0"/>
                  </w:tcBorders>
                  <w:shd w:val="clear" w:color="auto" w:fill="auto"/>
                  <w:vAlign w:val="center"/>
                </w:tcPr>
                <w:p w14:paraId="695BEF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253" w:type="pct"/>
                  <w:tcBorders>
                    <w:top w:val="nil"/>
                    <w:left w:val="nil"/>
                    <w:bottom w:val="single" w:color="auto" w:sz="4" w:space="0"/>
                    <w:right w:val="single" w:color="auto" w:sz="4" w:space="0"/>
                  </w:tcBorders>
                  <w:shd w:val="clear" w:color="auto" w:fill="auto"/>
                  <w:vAlign w:val="center"/>
                </w:tcPr>
                <w:p w14:paraId="449729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r>
            <w:tr w14:paraId="44B3C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 w:type="pct"/>
                  <w:vMerge w:val="continue"/>
                  <w:tcBorders>
                    <w:top w:val="nil"/>
                    <w:left w:val="single" w:color="auto" w:sz="4" w:space="0"/>
                    <w:bottom w:val="single" w:color="auto" w:sz="4" w:space="0"/>
                    <w:right w:val="single" w:color="auto" w:sz="4" w:space="0"/>
                  </w:tcBorders>
                  <w:shd w:val="clear" w:color="auto" w:fill="auto"/>
                  <w:vAlign w:val="center"/>
                </w:tcPr>
                <w:p w14:paraId="5872B8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240" w:type="pct"/>
                  <w:vMerge w:val="continue"/>
                  <w:tcBorders>
                    <w:top w:val="nil"/>
                    <w:left w:val="single" w:color="auto" w:sz="4" w:space="0"/>
                    <w:bottom w:val="single" w:color="auto" w:sz="4" w:space="0"/>
                    <w:right w:val="single" w:color="auto" w:sz="4" w:space="0"/>
                  </w:tcBorders>
                  <w:shd w:val="clear" w:color="auto" w:fill="auto"/>
                  <w:vAlign w:val="center"/>
                </w:tcPr>
                <w:p w14:paraId="393330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483" w:type="pct"/>
                  <w:tcBorders>
                    <w:top w:val="nil"/>
                    <w:left w:val="nil"/>
                    <w:bottom w:val="single" w:color="auto" w:sz="4" w:space="0"/>
                    <w:right w:val="single" w:color="auto" w:sz="4" w:space="0"/>
                  </w:tcBorders>
                  <w:shd w:val="clear" w:color="auto" w:fill="auto"/>
                  <w:vAlign w:val="center"/>
                </w:tcPr>
                <w:p w14:paraId="5FFE66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COD</w:t>
                  </w:r>
                  <w:r>
                    <w:rPr>
                      <w:rFonts w:hint="default" w:ascii="Times New Roman" w:hAnsi="Times New Roman" w:eastAsia="等线" w:cs="Times New Roman"/>
                      <w:i w:val="0"/>
                      <w:iCs w:val="0"/>
                      <w:color w:val="auto"/>
                      <w:kern w:val="0"/>
                      <w:sz w:val="21"/>
                      <w:szCs w:val="21"/>
                      <w:u w:val="none"/>
                      <w:vertAlign w:val="subscript"/>
                      <w:lang w:val="en-US" w:eastAsia="zh-CN" w:bidi="ar"/>
                    </w:rPr>
                    <w:t>Cr</w:t>
                  </w:r>
                </w:p>
              </w:tc>
              <w:tc>
                <w:tcPr>
                  <w:tcW w:w="446" w:type="pct"/>
                  <w:tcBorders>
                    <w:top w:val="nil"/>
                    <w:left w:val="nil"/>
                    <w:bottom w:val="single" w:color="auto" w:sz="4" w:space="0"/>
                    <w:right w:val="single" w:color="auto" w:sz="4" w:space="0"/>
                  </w:tcBorders>
                  <w:shd w:val="clear" w:color="auto" w:fill="auto"/>
                  <w:vAlign w:val="center"/>
                </w:tcPr>
                <w:p w14:paraId="7576A0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0.00001</w:t>
                  </w:r>
                </w:p>
              </w:tc>
              <w:tc>
                <w:tcPr>
                  <w:tcW w:w="398" w:type="pct"/>
                  <w:tcBorders>
                    <w:top w:val="nil"/>
                    <w:left w:val="nil"/>
                    <w:bottom w:val="single" w:color="auto" w:sz="4" w:space="0"/>
                    <w:right w:val="single" w:color="auto" w:sz="4" w:space="0"/>
                  </w:tcBorders>
                  <w:shd w:val="clear" w:color="auto" w:fill="auto"/>
                  <w:vAlign w:val="center"/>
                </w:tcPr>
                <w:p w14:paraId="3F2015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50</w:t>
                  </w:r>
                </w:p>
              </w:tc>
              <w:tc>
                <w:tcPr>
                  <w:tcW w:w="346" w:type="pct"/>
                  <w:vMerge w:val="continue"/>
                  <w:tcBorders>
                    <w:top w:val="nil"/>
                    <w:left w:val="single" w:color="auto" w:sz="4" w:space="0"/>
                    <w:bottom w:val="single" w:color="auto" w:sz="4" w:space="0"/>
                    <w:right w:val="single" w:color="auto" w:sz="4" w:space="0"/>
                  </w:tcBorders>
                  <w:shd w:val="clear" w:color="auto" w:fill="auto"/>
                  <w:vAlign w:val="center"/>
                </w:tcPr>
                <w:p w14:paraId="116467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311" w:type="pct"/>
                  <w:tcBorders>
                    <w:top w:val="nil"/>
                    <w:left w:val="nil"/>
                    <w:bottom w:val="single" w:color="auto" w:sz="4" w:space="0"/>
                    <w:right w:val="single" w:color="auto" w:sz="4" w:space="0"/>
                  </w:tcBorders>
                  <w:shd w:val="clear" w:color="auto" w:fill="auto"/>
                  <w:vAlign w:val="center"/>
                </w:tcPr>
                <w:p w14:paraId="60D9B3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5319C5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42" w:type="pct"/>
                  <w:tcBorders>
                    <w:top w:val="nil"/>
                    <w:left w:val="nil"/>
                    <w:bottom w:val="single" w:color="auto" w:sz="4" w:space="0"/>
                    <w:right w:val="single" w:color="auto" w:sz="4" w:space="0"/>
                  </w:tcBorders>
                  <w:shd w:val="clear" w:color="auto" w:fill="auto"/>
                  <w:vAlign w:val="center"/>
                </w:tcPr>
                <w:p w14:paraId="12FBB8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648335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363" w:type="pct"/>
                  <w:tcBorders>
                    <w:top w:val="nil"/>
                    <w:left w:val="nil"/>
                    <w:bottom w:val="single" w:color="auto" w:sz="4" w:space="0"/>
                    <w:right w:val="single" w:color="auto" w:sz="4" w:space="0"/>
                  </w:tcBorders>
                  <w:shd w:val="clear" w:color="auto" w:fill="auto"/>
                  <w:vAlign w:val="center"/>
                </w:tcPr>
                <w:p w14:paraId="069483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651" w:type="pct"/>
                  <w:tcBorders>
                    <w:top w:val="nil"/>
                    <w:left w:val="nil"/>
                    <w:bottom w:val="single" w:color="auto" w:sz="4" w:space="0"/>
                    <w:right w:val="single" w:color="auto" w:sz="4" w:space="0"/>
                  </w:tcBorders>
                  <w:shd w:val="clear" w:color="auto" w:fill="auto"/>
                  <w:vAlign w:val="center"/>
                </w:tcPr>
                <w:p w14:paraId="20A9E3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253" w:type="pct"/>
                  <w:tcBorders>
                    <w:top w:val="nil"/>
                    <w:left w:val="nil"/>
                    <w:bottom w:val="single" w:color="auto" w:sz="4" w:space="0"/>
                    <w:right w:val="single" w:color="auto" w:sz="4" w:space="0"/>
                  </w:tcBorders>
                  <w:shd w:val="clear" w:color="auto" w:fill="auto"/>
                  <w:vAlign w:val="center"/>
                </w:tcPr>
                <w:p w14:paraId="20762A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r>
            <w:tr w14:paraId="26ECE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 w:type="pct"/>
                  <w:vMerge w:val="restart"/>
                  <w:tcBorders>
                    <w:top w:val="nil"/>
                    <w:left w:val="single" w:color="auto" w:sz="4" w:space="0"/>
                    <w:bottom w:val="single" w:color="auto" w:sz="4" w:space="0"/>
                    <w:right w:val="single" w:color="auto" w:sz="4" w:space="0"/>
                  </w:tcBorders>
                  <w:shd w:val="clear" w:color="auto" w:fill="auto"/>
                  <w:vAlign w:val="center"/>
                </w:tcPr>
                <w:p w14:paraId="588930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恒温水槽</w:t>
                  </w:r>
                </w:p>
              </w:tc>
              <w:tc>
                <w:tcPr>
                  <w:tcW w:w="240" w:type="pct"/>
                  <w:vMerge w:val="continue"/>
                  <w:tcBorders>
                    <w:top w:val="nil"/>
                    <w:left w:val="single" w:color="auto" w:sz="4" w:space="0"/>
                    <w:bottom w:val="single" w:color="auto" w:sz="4" w:space="0"/>
                    <w:right w:val="single" w:color="auto" w:sz="4" w:space="0"/>
                  </w:tcBorders>
                  <w:shd w:val="clear" w:color="auto" w:fill="auto"/>
                  <w:vAlign w:val="center"/>
                </w:tcPr>
                <w:p w14:paraId="3EEFA0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483" w:type="pct"/>
                  <w:tcBorders>
                    <w:top w:val="nil"/>
                    <w:left w:val="nil"/>
                    <w:bottom w:val="single" w:color="auto" w:sz="4" w:space="0"/>
                    <w:right w:val="single" w:color="auto" w:sz="4" w:space="0"/>
                  </w:tcBorders>
                  <w:shd w:val="clear" w:color="auto" w:fill="auto"/>
                  <w:vAlign w:val="center"/>
                </w:tcPr>
                <w:p w14:paraId="6780DF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废水量</w:t>
                  </w:r>
                </w:p>
              </w:tc>
              <w:tc>
                <w:tcPr>
                  <w:tcW w:w="446" w:type="pct"/>
                  <w:tcBorders>
                    <w:top w:val="nil"/>
                    <w:left w:val="nil"/>
                    <w:bottom w:val="single" w:color="auto" w:sz="4" w:space="0"/>
                    <w:right w:val="single" w:color="auto" w:sz="4" w:space="0"/>
                  </w:tcBorders>
                  <w:shd w:val="clear" w:color="auto" w:fill="auto"/>
                  <w:vAlign w:val="center"/>
                </w:tcPr>
                <w:p w14:paraId="27087F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0.012</w:t>
                  </w:r>
                </w:p>
              </w:tc>
              <w:tc>
                <w:tcPr>
                  <w:tcW w:w="398" w:type="pct"/>
                  <w:tcBorders>
                    <w:top w:val="nil"/>
                    <w:left w:val="nil"/>
                    <w:bottom w:val="single" w:color="auto" w:sz="4" w:space="0"/>
                    <w:right w:val="single" w:color="auto" w:sz="4" w:space="0"/>
                  </w:tcBorders>
                  <w:shd w:val="clear" w:color="auto" w:fill="auto"/>
                  <w:vAlign w:val="center"/>
                </w:tcPr>
                <w:p w14:paraId="5B04A0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346" w:type="pct"/>
                  <w:vMerge w:val="continue"/>
                  <w:tcBorders>
                    <w:top w:val="nil"/>
                    <w:left w:val="single" w:color="auto" w:sz="4" w:space="0"/>
                    <w:bottom w:val="single" w:color="auto" w:sz="4" w:space="0"/>
                    <w:right w:val="single" w:color="auto" w:sz="4" w:space="0"/>
                  </w:tcBorders>
                  <w:shd w:val="clear" w:color="auto" w:fill="auto"/>
                  <w:vAlign w:val="center"/>
                </w:tcPr>
                <w:p w14:paraId="7964F6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311" w:type="pct"/>
                  <w:tcBorders>
                    <w:top w:val="nil"/>
                    <w:left w:val="nil"/>
                    <w:bottom w:val="single" w:color="auto" w:sz="4" w:space="0"/>
                    <w:right w:val="single" w:color="auto" w:sz="4" w:space="0"/>
                  </w:tcBorders>
                  <w:shd w:val="clear" w:color="auto" w:fill="auto"/>
                  <w:vAlign w:val="center"/>
                </w:tcPr>
                <w:p w14:paraId="0F4A07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23627F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42" w:type="pct"/>
                  <w:tcBorders>
                    <w:top w:val="nil"/>
                    <w:left w:val="nil"/>
                    <w:bottom w:val="single" w:color="auto" w:sz="4" w:space="0"/>
                    <w:right w:val="single" w:color="auto" w:sz="4" w:space="0"/>
                  </w:tcBorders>
                  <w:shd w:val="clear" w:color="auto" w:fill="auto"/>
                  <w:vAlign w:val="center"/>
                </w:tcPr>
                <w:p w14:paraId="2A406A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7146CC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363" w:type="pct"/>
                  <w:tcBorders>
                    <w:top w:val="nil"/>
                    <w:left w:val="nil"/>
                    <w:bottom w:val="single" w:color="auto" w:sz="4" w:space="0"/>
                    <w:right w:val="single" w:color="auto" w:sz="4" w:space="0"/>
                  </w:tcBorders>
                  <w:shd w:val="clear" w:color="auto" w:fill="auto"/>
                  <w:vAlign w:val="center"/>
                </w:tcPr>
                <w:p w14:paraId="5CBED6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651" w:type="pct"/>
                  <w:tcBorders>
                    <w:top w:val="nil"/>
                    <w:left w:val="nil"/>
                    <w:bottom w:val="single" w:color="auto" w:sz="4" w:space="0"/>
                    <w:right w:val="single" w:color="auto" w:sz="4" w:space="0"/>
                  </w:tcBorders>
                  <w:shd w:val="clear" w:color="auto" w:fill="auto"/>
                  <w:vAlign w:val="center"/>
                </w:tcPr>
                <w:p w14:paraId="6624CF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253" w:type="pct"/>
                  <w:tcBorders>
                    <w:top w:val="nil"/>
                    <w:left w:val="nil"/>
                    <w:bottom w:val="single" w:color="auto" w:sz="4" w:space="0"/>
                    <w:right w:val="single" w:color="auto" w:sz="4" w:space="0"/>
                  </w:tcBorders>
                  <w:shd w:val="clear" w:color="auto" w:fill="auto"/>
                  <w:vAlign w:val="center"/>
                </w:tcPr>
                <w:p w14:paraId="47DB03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r>
            <w:tr w14:paraId="3E081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 w:type="pct"/>
                  <w:vMerge w:val="continue"/>
                  <w:tcBorders>
                    <w:top w:val="nil"/>
                    <w:left w:val="single" w:color="auto" w:sz="4" w:space="0"/>
                    <w:bottom w:val="single" w:color="auto" w:sz="4" w:space="0"/>
                    <w:right w:val="single" w:color="auto" w:sz="4" w:space="0"/>
                  </w:tcBorders>
                  <w:shd w:val="clear" w:color="auto" w:fill="auto"/>
                  <w:vAlign w:val="center"/>
                </w:tcPr>
                <w:p w14:paraId="524AB1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240" w:type="pct"/>
                  <w:vMerge w:val="continue"/>
                  <w:tcBorders>
                    <w:top w:val="nil"/>
                    <w:left w:val="single" w:color="auto" w:sz="4" w:space="0"/>
                    <w:bottom w:val="single" w:color="auto" w:sz="4" w:space="0"/>
                    <w:right w:val="single" w:color="auto" w:sz="4" w:space="0"/>
                  </w:tcBorders>
                  <w:shd w:val="clear" w:color="auto" w:fill="auto"/>
                  <w:vAlign w:val="center"/>
                </w:tcPr>
                <w:p w14:paraId="2A1AAD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483" w:type="pct"/>
                  <w:tcBorders>
                    <w:top w:val="nil"/>
                    <w:left w:val="nil"/>
                    <w:bottom w:val="single" w:color="auto" w:sz="4" w:space="0"/>
                    <w:right w:val="single" w:color="auto" w:sz="4" w:space="0"/>
                  </w:tcBorders>
                  <w:shd w:val="clear" w:color="auto" w:fill="auto"/>
                  <w:vAlign w:val="center"/>
                </w:tcPr>
                <w:p w14:paraId="053CC2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COD</w:t>
                  </w:r>
                  <w:r>
                    <w:rPr>
                      <w:rFonts w:hint="default" w:ascii="Times New Roman" w:hAnsi="Times New Roman" w:eastAsia="等线" w:cs="Times New Roman"/>
                      <w:i w:val="0"/>
                      <w:iCs w:val="0"/>
                      <w:color w:val="auto"/>
                      <w:kern w:val="0"/>
                      <w:sz w:val="21"/>
                      <w:szCs w:val="21"/>
                      <w:u w:val="none"/>
                      <w:vertAlign w:val="subscript"/>
                      <w:lang w:val="en-US" w:eastAsia="zh-CN" w:bidi="ar"/>
                    </w:rPr>
                    <w:t>Cr</w:t>
                  </w:r>
                </w:p>
              </w:tc>
              <w:tc>
                <w:tcPr>
                  <w:tcW w:w="446" w:type="pct"/>
                  <w:tcBorders>
                    <w:top w:val="nil"/>
                    <w:left w:val="nil"/>
                    <w:bottom w:val="single" w:color="auto" w:sz="4" w:space="0"/>
                    <w:right w:val="single" w:color="auto" w:sz="4" w:space="0"/>
                  </w:tcBorders>
                  <w:shd w:val="clear" w:color="auto" w:fill="auto"/>
                  <w:vAlign w:val="center"/>
                </w:tcPr>
                <w:p w14:paraId="662FB8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0.000001</w:t>
                  </w:r>
                </w:p>
              </w:tc>
              <w:tc>
                <w:tcPr>
                  <w:tcW w:w="398" w:type="pct"/>
                  <w:tcBorders>
                    <w:top w:val="nil"/>
                    <w:left w:val="nil"/>
                    <w:bottom w:val="single" w:color="auto" w:sz="4" w:space="0"/>
                    <w:right w:val="single" w:color="auto" w:sz="4" w:space="0"/>
                  </w:tcBorders>
                  <w:shd w:val="clear" w:color="auto" w:fill="auto"/>
                  <w:vAlign w:val="center"/>
                </w:tcPr>
                <w:p w14:paraId="6223F1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50</w:t>
                  </w:r>
                </w:p>
              </w:tc>
              <w:tc>
                <w:tcPr>
                  <w:tcW w:w="346" w:type="pct"/>
                  <w:vMerge w:val="continue"/>
                  <w:tcBorders>
                    <w:top w:val="nil"/>
                    <w:left w:val="single" w:color="auto" w:sz="4" w:space="0"/>
                    <w:bottom w:val="single" w:color="auto" w:sz="4" w:space="0"/>
                    <w:right w:val="single" w:color="auto" w:sz="4" w:space="0"/>
                  </w:tcBorders>
                  <w:shd w:val="clear" w:color="auto" w:fill="auto"/>
                  <w:vAlign w:val="center"/>
                </w:tcPr>
                <w:p w14:paraId="671C8D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311" w:type="pct"/>
                  <w:tcBorders>
                    <w:top w:val="nil"/>
                    <w:left w:val="nil"/>
                    <w:bottom w:val="single" w:color="auto" w:sz="4" w:space="0"/>
                    <w:right w:val="single" w:color="auto" w:sz="4" w:space="0"/>
                  </w:tcBorders>
                  <w:shd w:val="clear" w:color="auto" w:fill="auto"/>
                  <w:vAlign w:val="center"/>
                </w:tcPr>
                <w:p w14:paraId="52FDB4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1AA700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42" w:type="pct"/>
                  <w:tcBorders>
                    <w:top w:val="nil"/>
                    <w:left w:val="nil"/>
                    <w:bottom w:val="single" w:color="auto" w:sz="4" w:space="0"/>
                    <w:right w:val="single" w:color="auto" w:sz="4" w:space="0"/>
                  </w:tcBorders>
                  <w:shd w:val="clear" w:color="auto" w:fill="auto"/>
                  <w:vAlign w:val="center"/>
                </w:tcPr>
                <w:p w14:paraId="4AAAA3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021728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363" w:type="pct"/>
                  <w:tcBorders>
                    <w:top w:val="nil"/>
                    <w:left w:val="nil"/>
                    <w:bottom w:val="single" w:color="auto" w:sz="4" w:space="0"/>
                    <w:right w:val="single" w:color="auto" w:sz="4" w:space="0"/>
                  </w:tcBorders>
                  <w:shd w:val="clear" w:color="auto" w:fill="auto"/>
                  <w:vAlign w:val="center"/>
                </w:tcPr>
                <w:p w14:paraId="5F979F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651" w:type="pct"/>
                  <w:tcBorders>
                    <w:top w:val="nil"/>
                    <w:left w:val="nil"/>
                    <w:bottom w:val="single" w:color="auto" w:sz="4" w:space="0"/>
                    <w:right w:val="single" w:color="auto" w:sz="4" w:space="0"/>
                  </w:tcBorders>
                  <w:shd w:val="clear" w:color="auto" w:fill="auto"/>
                  <w:vAlign w:val="center"/>
                </w:tcPr>
                <w:p w14:paraId="2AA48B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253" w:type="pct"/>
                  <w:tcBorders>
                    <w:top w:val="nil"/>
                    <w:left w:val="nil"/>
                    <w:bottom w:val="single" w:color="auto" w:sz="4" w:space="0"/>
                    <w:right w:val="single" w:color="auto" w:sz="4" w:space="0"/>
                  </w:tcBorders>
                  <w:shd w:val="clear" w:color="auto" w:fill="auto"/>
                  <w:vAlign w:val="center"/>
                </w:tcPr>
                <w:p w14:paraId="0DFA90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r>
            <w:tr w14:paraId="01483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 w:type="pct"/>
                  <w:vMerge w:val="restart"/>
                  <w:tcBorders>
                    <w:top w:val="nil"/>
                    <w:left w:val="single" w:color="auto" w:sz="4" w:space="0"/>
                    <w:bottom w:val="single" w:color="auto" w:sz="4" w:space="0"/>
                    <w:right w:val="single" w:color="auto" w:sz="4" w:space="0"/>
                  </w:tcBorders>
                  <w:shd w:val="clear" w:color="auto" w:fill="auto"/>
                  <w:vAlign w:val="center"/>
                </w:tcPr>
                <w:p w14:paraId="0CFB10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员工生活</w:t>
                  </w:r>
                </w:p>
              </w:tc>
              <w:tc>
                <w:tcPr>
                  <w:tcW w:w="240" w:type="pct"/>
                  <w:vMerge w:val="restart"/>
                  <w:tcBorders>
                    <w:top w:val="nil"/>
                    <w:left w:val="single" w:color="auto" w:sz="4" w:space="0"/>
                    <w:bottom w:val="single" w:color="auto" w:sz="4" w:space="0"/>
                    <w:right w:val="single" w:color="auto" w:sz="4" w:space="0"/>
                  </w:tcBorders>
                  <w:shd w:val="clear" w:color="auto" w:fill="auto"/>
                  <w:vAlign w:val="center"/>
                </w:tcPr>
                <w:p w14:paraId="3DD885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生活污水</w:t>
                  </w:r>
                </w:p>
              </w:tc>
              <w:tc>
                <w:tcPr>
                  <w:tcW w:w="483" w:type="pct"/>
                  <w:tcBorders>
                    <w:top w:val="nil"/>
                    <w:left w:val="nil"/>
                    <w:bottom w:val="single" w:color="auto" w:sz="4" w:space="0"/>
                    <w:right w:val="single" w:color="auto" w:sz="4" w:space="0"/>
                  </w:tcBorders>
                  <w:shd w:val="clear" w:color="auto" w:fill="auto"/>
                  <w:vAlign w:val="center"/>
                </w:tcPr>
                <w:p w14:paraId="254198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废水量</w:t>
                  </w:r>
                </w:p>
              </w:tc>
              <w:tc>
                <w:tcPr>
                  <w:tcW w:w="446" w:type="pct"/>
                  <w:tcBorders>
                    <w:top w:val="nil"/>
                    <w:left w:val="nil"/>
                    <w:bottom w:val="single" w:color="auto" w:sz="4" w:space="0"/>
                    <w:right w:val="single" w:color="auto" w:sz="4" w:space="0"/>
                  </w:tcBorders>
                  <w:shd w:val="clear" w:color="auto" w:fill="auto"/>
                  <w:vAlign w:val="center"/>
                </w:tcPr>
                <w:p w14:paraId="1BE3A7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396.8</w:t>
                  </w:r>
                </w:p>
              </w:tc>
              <w:tc>
                <w:tcPr>
                  <w:tcW w:w="398" w:type="pct"/>
                  <w:tcBorders>
                    <w:top w:val="nil"/>
                    <w:left w:val="nil"/>
                    <w:bottom w:val="single" w:color="auto" w:sz="4" w:space="0"/>
                    <w:right w:val="single" w:color="auto" w:sz="4" w:space="0"/>
                  </w:tcBorders>
                  <w:shd w:val="clear" w:color="auto" w:fill="auto"/>
                  <w:vAlign w:val="center"/>
                </w:tcPr>
                <w:p w14:paraId="574362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346" w:type="pct"/>
                  <w:vMerge w:val="restart"/>
                  <w:tcBorders>
                    <w:top w:val="nil"/>
                    <w:left w:val="single" w:color="auto" w:sz="4" w:space="0"/>
                    <w:bottom w:val="single" w:color="auto" w:sz="4" w:space="0"/>
                    <w:right w:val="single" w:color="auto" w:sz="4" w:space="0"/>
                  </w:tcBorders>
                  <w:shd w:val="clear" w:color="auto" w:fill="auto"/>
                  <w:vAlign w:val="center"/>
                </w:tcPr>
                <w:p w14:paraId="68C389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化粪池</w:t>
                  </w:r>
                </w:p>
              </w:tc>
              <w:tc>
                <w:tcPr>
                  <w:tcW w:w="311" w:type="pct"/>
                  <w:tcBorders>
                    <w:top w:val="nil"/>
                    <w:left w:val="nil"/>
                    <w:bottom w:val="single" w:color="auto" w:sz="4" w:space="0"/>
                    <w:right w:val="single" w:color="auto" w:sz="4" w:space="0"/>
                  </w:tcBorders>
                  <w:shd w:val="clear" w:color="auto" w:fill="auto"/>
                  <w:vAlign w:val="center"/>
                </w:tcPr>
                <w:p w14:paraId="1011AF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00808C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396.8</w:t>
                  </w:r>
                </w:p>
              </w:tc>
              <w:tc>
                <w:tcPr>
                  <w:tcW w:w="442" w:type="pct"/>
                  <w:tcBorders>
                    <w:top w:val="nil"/>
                    <w:left w:val="nil"/>
                    <w:bottom w:val="single" w:color="auto" w:sz="4" w:space="0"/>
                    <w:right w:val="single" w:color="auto" w:sz="4" w:space="0"/>
                  </w:tcBorders>
                  <w:shd w:val="clear" w:color="auto" w:fill="auto"/>
                  <w:vAlign w:val="center"/>
                </w:tcPr>
                <w:p w14:paraId="0022CE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2B12A1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396.8</w:t>
                  </w:r>
                </w:p>
              </w:tc>
              <w:tc>
                <w:tcPr>
                  <w:tcW w:w="363" w:type="pct"/>
                  <w:tcBorders>
                    <w:top w:val="nil"/>
                    <w:left w:val="nil"/>
                    <w:bottom w:val="single" w:color="auto" w:sz="4" w:space="0"/>
                    <w:right w:val="single" w:color="auto" w:sz="4" w:space="0"/>
                  </w:tcBorders>
                  <w:shd w:val="clear" w:color="auto" w:fill="auto"/>
                  <w:vAlign w:val="center"/>
                </w:tcPr>
                <w:p w14:paraId="00B29F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651" w:type="pct"/>
                  <w:tcBorders>
                    <w:top w:val="nil"/>
                    <w:left w:val="nil"/>
                    <w:bottom w:val="single" w:color="auto" w:sz="4" w:space="0"/>
                    <w:right w:val="single" w:color="auto" w:sz="4" w:space="0"/>
                  </w:tcBorders>
                  <w:shd w:val="clear" w:color="auto" w:fill="auto"/>
                  <w:vAlign w:val="center"/>
                </w:tcPr>
                <w:p w14:paraId="1C9FFD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253" w:type="pct"/>
                  <w:tcBorders>
                    <w:top w:val="nil"/>
                    <w:left w:val="nil"/>
                    <w:bottom w:val="single" w:color="auto" w:sz="4" w:space="0"/>
                    <w:right w:val="single" w:color="auto" w:sz="4" w:space="0"/>
                  </w:tcBorders>
                  <w:shd w:val="clear" w:color="auto" w:fill="auto"/>
                  <w:vAlign w:val="center"/>
                </w:tcPr>
                <w:p w14:paraId="7BA9D8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r>
            <w:tr w14:paraId="6C783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 w:type="pct"/>
                  <w:vMerge w:val="continue"/>
                  <w:tcBorders>
                    <w:top w:val="nil"/>
                    <w:left w:val="single" w:color="auto" w:sz="4" w:space="0"/>
                    <w:bottom w:val="single" w:color="auto" w:sz="4" w:space="0"/>
                    <w:right w:val="single" w:color="auto" w:sz="4" w:space="0"/>
                  </w:tcBorders>
                  <w:shd w:val="clear" w:color="auto" w:fill="auto"/>
                  <w:vAlign w:val="center"/>
                </w:tcPr>
                <w:p w14:paraId="0F1C1A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240" w:type="pct"/>
                  <w:vMerge w:val="continue"/>
                  <w:tcBorders>
                    <w:top w:val="nil"/>
                    <w:left w:val="single" w:color="auto" w:sz="4" w:space="0"/>
                    <w:bottom w:val="single" w:color="auto" w:sz="4" w:space="0"/>
                    <w:right w:val="single" w:color="auto" w:sz="4" w:space="0"/>
                  </w:tcBorders>
                  <w:shd w:val="clear" w:color="auto" w:fill="auto"/>
                  <w:vAlign w:val="center"/>
                </w:tcPr>
                <w:p w14:paraId="2BD3B0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483" w:type="pct"/>
                  <w:tcBorders>
                    <w:top w:val="nil"/>
                    <w:left w:val="nil"/>
                    <w:bottom w:val="single" w:color="auto" w:sz="4" w:space="0"/>
                    <w:right w:val="single" w:color="auto" w:sz="4" w:space="0"/>
                  </w:tcBorders>
                  <w:shd w:val="clear" w:color="auto" w:fill="auto"/>
                  <w:vAlign w:val="center"/>
                </w:tcPr>
                <w:p w14:paraId="4F5B1C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COD</w:t>
                  </w:r>
                  <w:r>
                    <w:rPr>
                      <w:rFonts w:hint="default" w:ascii="Times New Roman" w:hAnsi="Times New Roman" w:eastAsia="等线" w:cs="Times New Roman"/>
                      <w:i w:val="0"/>
                      <w:iCs w:val="0"/>
                      <w:color w:val="auto"/>
                      <w:kern w:val="0"/>
                      <w:sz w:val="21"/>
                      <w:szCs w:val="21"/>
                      <w:u w:val="none"/>
                      <w:vertAlign w:val="subscript"/>
                      <w:lang w:val="en-US" w:eastAsia="zh-CN" w:bidi="ar"/>
                    </w:rPr>
                    <w:t>Cr</w:t>
                  </w:r>
                </w:p>
              </w:tc>
              <w:tc>
                <w:tcPr>
                  <w:tcW w:w="446" w:type="pct"/>
                  <w:tcBorders>
                    <w:top w:val="nil"/>
                    <w:left w:val="nil"/>
                    <w:bottom w:val="single" w:color="auto" w:sz="4" w:space="0"/>
                    <w:right w:val="single" w:color="auto" w:sz="4" w:space="0"/>
                  </w:tcBorders>
                  <w:shd w:val="clear" w:color="auto" w:fill="auto"/>
                  <w:vAlign w:val="center"/>
                </w:tcPr>
                <w:p w14:paraId="50EE77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0.139</w:t>
                  </w:r>
                </w:p>
              </w:tc>
              <w:tc>
                <w:tcPr>
                  <w:tcW w:w="398" w:type="pct"/>
                  <w:tcBorders>
                    <w:top w:val="nil"/>
                    <w:left w:val="nil"/>
                    <w:bottom w:val="single" w:color="auto" w:sz="4" w:space="0"/>
                    <w:right w:val="single" w:color="auto" w:sz="4" w:space="0"/>
                  </w:tcBorders>
                  <w:shd w:val="clear" w:color="auto" w:fill="auto"/>
                  <w:vAlign w:val="center"/>
                </w:tcPr>
                <w:p w14:paraId="0AD533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350</w:t>
                  </w:r>
                </w:p>
              </w:tc>
              <w:tc>
                <w:tcPr>
                  <w:tcW w:w="346" w:type="pct"/>
                  <w:vMerge w:val="continue"/>
                  <w:tcBorders>
                    <w:top w:val="nil"/>
                    <w:left w:val="single" w:color="auto" w:sz="4" w:space="0"/>
                    <w:bottom w:val="single" w:color="auto" w:sz="4" w:space="0"/>
                    <w:right w:val="single" w:color="auto" w:sz="4" w:space="0"/>
                  </w:tcBorders>
                  <w:shd w:val="clear" w:color="auto" w:fill="auto"/>
                  <w:vAlign w:val="center"/>
                </w:tcPr>
                <w:p w14:paraId="2AC0F5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311" w:type="pct"/>
                  <w:tcBorders>
                    <w:top w:val="nil"/>
                    <w:left w:val="nil"/>
                    <w:bottom w:val="single" w:color="auto" w:sz="4" w:space="0"/>
                    <w:right w:val="single" w:color="auto" w:sz="4" w:space="0"/>
                  </w:tcBorders>
                  <w:shd w:val="clear" w:color="auto" w:fill="auto"/>
                  <w:vAlign w:val="center"/>
                </w:tcPr>
                <w:p w14:paraId="2E02F3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20</w:t>
                  </w:r>
                </w:p>
              </w:tc>
              <w:tc>
                <w:tcPr>
                  <w:tcW w:w="400" w:type="pct"/>
                  <w:tcBorders>
                    <w:top w:val="nil"/>
                    <w:left w:val="nil"/>
                    <w:bottom w:val="single" w:color="auto" w:sz="4" w:space="0"/>
                    <w:right w:val="single" w:color="auto" w:sz="4" w:space="0"/>
                  </w:tcBorders>
                  <w:shd w:val="clear" w:color="auto" w:fill="auto"/>
                  <w:vAlign w:val="center"/>
                </w:tcPr>
                <w:p w14:paraId="0AB9E1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0.111</w:t>
                  </w:r>
                </w:p>
              </w:tc>
              <w:tc>
                <w:tcPr>
                  <w:tcW w:w="442" w:type="pct"/>
                  <w:tcBorders>
                    <w:top w:val="nil"/>
                    <w:left w:val="nil"/>
                    <w:bottom w:val="single" w:color="auto" w:sz="4" w:space="0"/>
                    <w:right w:val="single" w:color="auto" w:sz="4" w:space="0"/>
                  </w:tcBorders>
                  <w:shd w:val="clear" w:color="auto" w:fill="auto"/>
                  <w:vAlign w:val="center"/>
                </w:tcPr>
                <w:p w14:paraId="2A7B0C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280</w:t>
                  </w:r>
                </w:p>
              </w:tc>
              <w:tc>
                <w:tcPr>
                  <w:tcW w:w="400" w:type="pct"/>
                  <w:tcBorders>
                    <w:top w:val="nil"/>
                    <w:left w:val="nil"/>
                    <w:bottom w:val="single" w:color="auto" w:sz="4" w:space="0"/>
                    <w:right w:val="single" w:color="auto" w:sz="4" w:space="0"/>
                  </w:tcBorders>
                  <w:shd w:val="clear" w:color="auto" w:fill="auto"/>
                  <w:vAlign w:val="center"/>
                </w:tcPr>
                <w:p w14:paraId="7860F6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0.016</w:t>
                  </w:r>
                </w:p>
              </w:tc>
              <w:tc>
                <w:tcPr>
                  <w:tcW w:w="363" w:type="pct"/>
                  <w:tcBorders>
                    <w:top w:val="nil"/>
                    <w:left w:val="nil"/>
                    <w:bottom w:val="single" w:color="auto" w:sz="4" w:space="0"/>
                    <w:right w:val="single" w:color="auto" w:sz="4" w:space="0"/>
                  </w:tcBorders>
                  <w:shd w:val="clear" w:color="auto" w:fill="auto"/>
                  <w:vAlign w:val="center"/>
                </w:tcPr>
                <w:p w14:paraId="05DD65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40</w:t>
                  </w:r>
                </w:p>
              </w:tc>
              <w:tc>
                <w:tcPr>
                  <w:tcW w:w="651" w:type="pct"/>
                  <w:tcBorders>
                    <w:top w:val="nil"/>
                    <w:left w:val="nil"/>
                    <w:bottom w:val="single" w:color="auto" w:sz="4" w:space="0"/>
                    <w:right w:val="single" w:color="auto" w:sz="4" w:space="0"/>
                  </w:tcBorders>
                  <w:shd w:val="clear" w:color="auto" w:fill="auto"/>
                  <w:vAlign w:val="center"/>
                </w:tcPr>
                <w:p w14:paraId="63CF88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GB8978-1996</w:t>
                  </w:r>
                </w:p>
              </w:tc>
              <w:tc>
                <w:tcPr>
                  <w:tcW w:w="253" w:type="pct"/>
                  <w:tcBorders>
                    <w:top w:val="nil"/>
                    <w:left w:val="nil"/>
                    <w:bottom w:val="single" w:color="auto" w:sz="4" w:space="0"/>
                    <w:right w:val="single" w:color="auto" w:sz="4" w:space="0"/>
                  </w:tcBorders>
                  <w:shd w:val="clear" w:color="auto" w:fill="auto"/>
                  <w:vAlign w:val="center"/>
                </w:tcPr>
                <w:p w14:paraId="2C6823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500</w:t>
                  </w:r>
                </w:p>
              </w:tc>
            </w:tr>
            <w:tr w14:paraId="72D6D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 w:type="pct"/>
                  <w:vMerge w:val="continue"/>
                  <w:tcBorders>
                    <w:top w:val="nil"/>
                    <w:left w:val="single" w:color="auto" w:sz="4" w:space="0"/>
                    <w:bottom w:val="single" w:color="auto" w:sz="4" w:space="0"/>
                    <w:right w:val="single" w:color="auto" w:sz="4" w:space="0"/>
                  </w:tcBorders>
                  <w:shd w:val="clear" w:color="auto" w:fill="auto"/>
                  <w:vAlign w:val="center"/>
                </w:tcPr>
                <w:p w14:paraId="3D8513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240" w:type="pct"/>
                  <w:vMerge w:val="continue"/>
                  <w:tcBorders>
                    <w:top w:val="nil"/>
                    <w:left w:val="single" w:color="auto" w:sz="4" w:space="0"/>
                    <w:bottom w:val="single" w:color="auto" w:sz="4" w:space="0"/>
                    <w:right w:val="single" w:color="auto" w:sz="4" w:space="0"/>
                  </w:tcBorders>
                  <w:shd w:val="clear" w:color="auto" w:fill="auto"/>
                  <w:vAlign w:val="center"/>
                </w:tcPr>
                <w:p w14:paraId="6A59F8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483" w:type="pct"/>
                  <w:tcBorders>
                    <w:top w:val="nil"/>
                    <w:left w:val="nil"/>
                    <w:bottom w:val="single" w:color="auto" w:sz="4" w:space="0"/>
                    <w:right w:val="single" w:color="auto" w:sz="4" w:space="0"/>
                  </w:tcBorders>
                  <w:shd w:val="clear" w:color="auto" w:fill="auto"/>
                  <w:vAlign w:val="center"/>
                </w:tcPr>
                <w:p w14:paraId="74B7CC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NH</w:t>
                  </w:r>
                  <w:r>
                    <w:rPr>
                      <w:rFonts w:hint="default" w:ascii="Times New Roman" w:hAnsi="Times New Roman" w:eastAsia="等线" w:cs="Times New Roman"/>
                      <w:i w:val="0"/>
                      <w:iCs w:val="0"/>
                      <w:color w:val="auto"/>
                      <w:kern w:val="0"/>
                      <w:sz w:val="21"/>
                      <w:szCs w:val="21"/>
                      <w:u w:val="none"/>
                      <w:vertAlign w:val="subscript"/>
                      <w:lang w:val="en-US" w:eastAsia="zh-CN" w:bidi="ar"/>
                    </w:rPr>
                    <w:t>3</w:t>
                  </w:r>
                  <w:r>
                    <w:rPr>
                      <w:rFonts w:hint="default" w:ascii="Times New Roman" w:hAnsi="Times New Roman" w:eastAsia="等线" w:cs="Times New Roman"/>
                      <w:i w:val="0"/>
                      <w:iCs w:val="0"/>
                      <w:color w:val="auto"/>
                      <w:kern w:val="0"/>
                      <w:sz w:val="21"/>
                      <w:szCs w:val="21"/>
                      <w:u w:val="none"/>
                      <w:lang w:val="en-US" w:eastAsia="zh-CN" w:bidi="ar"/>
                    </w:rPr>
                    <w:t>-N</w:t>
                  </w:r>
                </w:p>
              </w:tc>
              <w:tc>
                <w:tcPr>
                  <w:tcW w:w="446" w:type="pct"/>
                  <w:tcBorders>
                    <w:top w:val="nil"/>
                    <w:left w:val="nil"/>
                    <w:bottom w:val="single" w:color="auto" w:sz="4" w:space="0"/>
                    <w:right w:val="single" w:color="auto" w:sz="4" w:space="0"/>
                  </w:tcBorders>
                  <w:shd w:val="clear" w:color="auto" w:fill="auto"/>
                  <w:vAlign w:val="center"/>
                </w:tcPr>
                <w:p w14:paraId="08E14A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0.014</w:t>
                  </w:r>
                </w:p>
              </w:tc>
              <w:tc>
                <w:tcPr>
                  <w:tcW w:w="398" w:type="pct"/>
                  <w:tcBorders>
                    <w:top w:val="nil"/>
                    <w:left w:val="nil"/>
                    <w:bottom w:val="single" w:color="auto" w:sz="4" w:space="0"/>
                    <w:right w:val="single" w:color="auto" w:sz="4" w:space="0"/>
                  </w:tcBorders>
                  <w:shd w:val="clear" w:color="auto" w:fill="auto"/>
                  <w:vAlign w:val="center"/>
                </w:tcPr>
                <w:p w14:paraId="32B247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35</w:t>
                  </w:r>
                </w:p>
              </w:tc>
              <w:tc>
                <w:tcPr>
                  <w:tcW w:w="346" w:type="pct"/>
                  <w:vMerge w:val="continue"/>
                  <w:tcBorders>
                    <w:top w:val="nil"/>
                    <w:left w:val="single" w:color="auto" w:sz="4" w:space="0"/>
                    <w:bottom w:val="single" w:color="auto" w:sz="4" w:space="0"/>
                    <w:right w:val="single" w:color="auto" w:sz="4" w:space="0"/>
                  </w:tcBorders>
                  <w:shd w:val="clear" w:color="auto" w:fill="auto"/>
                  <w:vAlign w:val="center"/>
                </w:tcPr>
                <w:p w14:paraId="29968D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311" w:type="pct"/>
                  <w:tcBorders>
                    <w:top w:val="nil"/>
                    <w:left w:val="nil"/>
                    <w:bottom w:val="single" w:color="auto" w:sz="4" w:space="0"/>
                    <w:right w:val="single" w:color="auto" w:sz="4" w:space="0"/>
                  </w:tcBorders>
                  <w:shd w:val="clear" w:color="auto" w:fill="auto"/>
                  <w:vAlign w:val="center"/>
                </w:tcPr>
                <w:p w14:paraId="0C0A8F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19FC16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0.014</w:t>
                  </w:r>
                </w:p>
              </w:tc>
              <w:tc>
                <w:tcPr>
                  <w:tcW w:w="442" w:type="pct"/>
                  <w:tcBorders>
                    <w:top w:val="nil"/>
                    <w:left w:val="nil"/>
                    <w:bottom w:val="single" w:color="auto" w:sz="4" w:space="0"/>
                    <w:right w:val="single" w:color="auto" w:sz="4" w:space="0"/>
                  </w:tcBorders>
                  <w:shd w:val="clear" w:color="auto" w:fill="auto"/>
                  <w:vAlign w:val="center"/>
                </w:tcPr>
                <w:p w14:paraId="451084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35</w:t>
                  </w:r>
                </w:p>
              </w:tc>
              <w:tc>
                <w:tcPr>
                  <w:tcW w:w="400" w:type="pct"/>
                  <w:tcBorders>
                    <w:top w:val="nil"/>
                    <w:left w:val="nil"/>
                    <w:bottom w:val="single" w:color="auto" w:sz="4" w:space="0"/>
                    <w:right w:val="single" w:color="auto" w:sz="4" w:space="0"/>
                  </w:tcBorders>
                  <w:shd w:val="clear" w:color="auto" w:fill="auto"/>
                  <w:vAlign w:val="center"/>
                </w:tcPr>
                <w:p w14:paraId="6C3E9B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0.001</w:t>
                  </w:r>
                </w:p>
              </w:tc>
              <w:tc>
                <w:tcPr>
                  <w:tcW w:w="363" w:type="pct"/>
                  <w:tcBorders>
                    <w:top w:val="nil"/>
                    <w:left w:val="nil"/>
                    <w:bottom w:val="single" w:color="auto" w:sz="4" w:space="0"/>
                    <w:right w:val="single" w:color="auto" w:sz="4" w:space="0"/>
                  </w:tcBorders>
                  <w:shd w:val="clear" w:color="auto" w:fill="auto"/>
                  <w:vAlign w:val="center"/>
                </w:tcPr>
                <w:p w14:paraId="06C7B6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2</w:t>
                  </w:r>
                </w:p>
              </w:tc>
              <w:tc>
                <w:tcPr>
                  <w:tcW w:w="651" w:type="pct"/>
                  <w:tcBorders>
                    <w:top w:val="nil"/>
                    <w:left w:val="nil"/>
                    <w:bottom w:val="single" w:color="auto" w:sz="4" w:space="0"/>
                    <w:right w:val="single" w:color="auto" w:sz="4" w:space="0"/>
                  </w:tcBorders>
                  <w:shd w:val="clear" w:color="auto" w:fill="auto"/>
                  <w:vAlign w:val="center"/>
                </w:tcPr>
                <w:p w14:paraId="070CC4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DB33/887-2013</w:t>
                  </w:r>
                </w:p>
              </w:tc>
              <w:tc>
                <w:tcPr>
                  <w:tcW w:w="253" w:type="pct"/>
                  <w:tcBorders>
                    <w:top w:val="nil"/>
                    <w:left w:val="nil"/>
                    <w:bottom w:val="single" w:color="auto" w:sz="4" w:space="0"/>
                    <w:right w:val="single" w:color="auto" w:sz="4" w:space="0"/>
                  </w:tcBorders>
                  <w:shd w:val="clear" w:color="auto" w:fill="auto"/>
                  <w:vAlign w:val="center"/>
                </w:tcPr>
                <w:p w14:paraId="0B012C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35</w:t>
                  </w:r>
                </w:p>
              </w:tc>
            </w:tr>
            <w:tr w14:paraId="6A6D3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 w:type="pct"/>
                  <w:vMerge w:val="restart"/>
                  <w:tcBorders>
                    <w:top w:val="nil"/>
                    <w:left w:val="single" w:color="auto" w:sz="4" w:space="0"/>
                    <w:bottom w:val="single" w:color="auto" w:sz="4" w:space="0"/>
                    <w:right w:val="single" w:color="auto" w:sz="4" w:space="0"/>
                  </w:tcBorders>
                  <w:shd w:val="clear" w:color="auto" w:fill="auto"/>
                  <w:vAlign w:val="center"/>
                </w:tcPr>
                <w:p w14:paraId="150A6D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240" w:type="pct"/>
                  <w:vMerge w:val="restart"/>
                  <w:tcBorders>
                    <w:top w:val="nil"/>
                    <w:left w:val="single" w:color="auto" w:sz="4" w:space="0"/>
                    <w:bottom w:val="single" w:color="auto" w:sz="4" w:space="0"/>
                    <w:right w:val="single" w:color="auto" w:sz="4" w:space="0"/>
                  </w:tcBorders>
                  <w:shd w:val="clear" w:color="auto" w:fill="auto"/>
                  <w:vAlign w:val="center"/>
                </w:tcPr>
                <w:p w14:paraId="5333DB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综合废水</w:t>
                  </w:r>
                </w:p>
              </w:tc>
              <w:tc>
                <w:tcPr>
                  <w:tcW w:w="483" w:type="pct"/>
                  <w:tcBorders>
                    <w:top w:val="nil"/>
                    <w:left w:val="nil"/>
                    <w:bottom w:val="single" w:color="auto" w:sz="4" w:space="0"/>
                    <w:right w:val="single" w:color="auto" w:sz="4" w:space="0"/>
                  </w:tcBorders>
                  <w:shd w:val="clear" w:color="auto" w:fill="auto"/>
                  <w:vAlign w:val="center"/>
                </w:tcPr>
                <w:p w14:paraId="75A4DB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废水量</w:t>
                  </w:r>
                </w:p>
              </w:tc>
              <w:tc>
                <w:tcPr>
                  <w:tcW w:w="446" w:type="pct"/>
                  <w:tcBorders>
                    <w:top w:val="nil"/>
                    <w:left w:val="nil"/>
                    <w:bottom w:val="single" w:color="auto" w:sz="4" w:space="0"/>
                    <w:right w:val="single" w:color="auto" w:sz="4" w:space="0"/>
                  </w:tcBorders>
                  <w:shd w:val="clear" w:color="auto" w:fill="auto"/>
                  <w:vAlign w:val="center"/>
                </w:tcPr>
                <w:p w14:paraId="351482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444.617</w:t>
                  </w:r>
                </w:p>
              </w:tc>
              <w:tc>
                <w:tcPr>
                  <w:tcW w:w="398" w:type="pct"/>
                  <w:tcBorders>
                    <w:top w:val="nil"/>
                    <w:left w:val="nil"/>
                    <w:bottom w:val="single" w:color="auto" w:sz="4" w:space="0"/>
                    <w:right w:val="single" w:color="auto" w:sz="4" w:space="0"/>
                  </w:tcBorders>
                  <w:shd w:val="clear" w:color="auto" w:fill="auto"/>
                  <w:vAlign w:val="center"/>
                </w:tcPr>
                <w:p w14:paraId="4FB71D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346" w:type="pct"/>
                  <w:tcBorders>
                    <w:top w:val="nil"/>
                    <w:left w:val="nil"/>
                    <w:bottom w:val="single" w:color="auto" w:sz="4" w:space="0"/>
                    <w:right w:val="single" w:color="auto" w:sz="4" w:space="0"/>
                  </w:tcBorders>
                  <w:shd w:val="clear" w:color="auto" w:fill="auto"/>
                  <w:vAlign w:val="center"/>
                </w:tcPr>
                <w:p w14:paraId="60453B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311" w:type="pct"/>
                  <w:tcBorders>
                    <w:top w:val="nil"/>
                    <w:left w:val="nil"/>
                    <w:bottom w:val="single" w:color="auto" w:sz="4" w:space="0"/>
                    <w:right w:val="single" w:color="auto" w:sz="4" w:space="0"/>
                  </w:tcBorders>
                  <w:shd w:val="clear" w:color="auto" w:fill="auto"/>
                  <w:vAlign w:val="center"/>
                </w:tcPr>
                <w:p w14:paraId="49ED14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156CCE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42" w:type="pct"/>
                  <w:tcBorders>
                    <w:top w:val="nil"/>
                    <w:left w:val="nil"/>
                    <w:bottom w:val="single" w:color="auto" w:sz="4" w:space="0"/>
                    <w:right w:val="single" w:color="auto" w:sz="4" w:space="0"/>
                  </w:tcBorders>
                  <w:shd w:val="clear" w:color="auto" w:fill="auto"/>
                  <w:vAlign w:val="center"/>
                </w:tcPr>
                <w:p w14:paraId="363080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0C30B8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444.617</w:t>
                  </w:r>
                </w:p>
              </w:tc>
              <w:tc>
                <w:tcPr>
                  <w:tcW w:w="363" w:type="pct"/>
                  <w:tcBorders>
                    <w:top w:val="nil"/>
                    <w:left w:val="nil"/>
                    <w:bottom w:val="single" w:color="auto" w:sz="4" w:space="0"/>
                    <w:right w:val="single" w:color="auto" w:sz="4" w:space="0"/>
                  </w:tcBorders>
                  <w:shd w:val="clear" w:color="auto" w:fill="auto"/>
                  <w:vAlign w:val="center"/>
                </w:tcPr>
                <w:p w14:paraId="20972C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651" w:type="pct"/>
                  <w:tcBorders>
                    <w:top w:val="nil"/>
                    <w:left w:val="nil"/>
                    <w:bottom w:val="single" w:color="auto" w:sz="4" w:space="0"/>
                    <w:right w:val="single" w:color="auto" w:sz="4" w:space="0"/>
                  </w:tcBorders>
                  <w:shd w:val="clear" w:color="auto" w:fill="auto"/>
                  <w:vAlign w:val="center"/>
                </w:tcPr>
                <w:p w14:paraId="19E222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253" w:type="pct"/>
                  <w:tcBorders>
                    <w:top w:val="nil"/>
                    <w:left w:val="nil"/>
                    <w:bottom w:val="single" w:color="auto" w:sz="4" w:space="0"/>
                    <w:right w:val="single" w:color="auto" w:sz="4" w:space="0"/>
                  </w:tcBorders>
                  <w:shd w:val="clear" w:color="auto" w:fill="auto"/>
                  <w:vAlign w:val="center"/>
                </w:tcPr>
                <w:p w14:paraId="1CB59A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r>
            <w:tr w14:paraId="2D261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 w:type="pct"/>
                  <w:vMerge w:val="continue"/>
                  <w:tcBorders>
                    <w:top w:val="nil"/>
                    <w:left w:val="single" w:color="auto" w:sz="4" w:space="0"/>
                    <w:bottom w:val="single" w:color="auto" w:sz="4" w:space="0"/>
                    <w:right w:val="single" w:color="auto" w:sz="4" w:space="0"/>
                  </w:tcBorders>
                  <w:shd w:val="clear" w:color="auto" w:fill="auto"/>
                  <w:vAlign w:val="center"/>
                </w:tcPr>
                <w:p w14:paraId="18F6FB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240" w:type="pct"/>
                  <w:vMerge w:val="continue"/>
                  <w:tcBorders>
                    <w:top w:val="nil"/>
                    <w:left w:val="single" w:color="auto" w:sz="4" w:space="0"/>
                    <w:bottom w:val="single" w:color="auto" w:sz="4" w:space="0"/>
                    <w:right w:val="single" w:color="auto" w:sz="4" w:space="0"/>
                  </w:tcBorders>
                  <w:shd w:val="clear" w:color="auto" w:fill="auto"/>
                  <w:vAlign w:val="center"/>
                </w:tcPr>
                <w:p w14:paraId="2B1A62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483" w:type="pct"/>
                  <w:tcBorders>
                    <w:top w:val="nil"/>
                    <w:left w:val="nil"/>
                    <w:bottom w:val="single" w:color="auto" w:sz="4" w:space="0"/>
                    <w:right w:val="single" w:color="auto" w:sz="4" w:space="0"/>
                  </w:tcBorders>
                  <w:shd w:val="clear" w:color="auto" w:fill="auto"/>
                  <w:vAlign w:val="center"/>
                </w:tcPr>
                <w:p w14:paraId="1DB685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COD</w:t>
                  </w:r>
                  <w:r>
                    <w:rPr>
                      <w:rFonts w:hint="default" w:ascii="Times New Roman" w:hAnsi="Times New Roman" w:eastAsia="等线" w:cs="Times New Roman"/>
                      <w:i w:val="0"/>
                      <w:iCs w:val="0"/>
                      <w:color w:val="auto"/>
                      <w:kern w:val="0"/>
                      <w:sz w:val="21"/>
                      <w:szCs w:val="21"/>
                      <w:u w:val="none"/>
                      <w:vertAlign w:val="subscript"/>
                      <w:lang w:val="en-US" w:eastAsia="zh-CN" w:bidi="ar"/>
                    </w:rPr>
                    <w:t>Cr</w:t>
                  </w:r>
                </w:p>
              </w:tc>
              <w:tc>
                <w:tcPr>
                  <w:tcW w:w="446" w:type="pct"/>
                  <w:tcBorders>
                    <w:top w:val="nil"/>
                    <w:left w:val="nil"/>
                    <w:bottom w:val="single" w:color="auto" w:sz="4" w:space="0"/>
                    <w:right w:val="single" w:color="auto" w:sz="4" w:space="0"/>
                  </w:tcBorders>
                  <w:shd w:val="clear" w:color="auto" w:fill="auto"/>
                  <w:vAlign w:val="center"/>
                </w:tcPr>
                <w:p w14:paraId="7AF0E0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 xml:space="preserve">0.014 </w:t>
                  </w:r>
                </w:p>
              </w:tc>
              <w:tc>
                <w:tcPr>
                  <w:tcW w:w="398" w:type="pct"/>
                  <w:tcBorders>
                    <w:top w:val="nil"/>
                    <w:left w:val="nil"/>
                    <w:bottom w:val="single" w:color="auto" w:sz="4" w:space="0"/>
                    <w:right w:val="single" w:color="auto" w:sz="4" w:space="0"/>
                  </w:tcBorders>
                  <w:shd w:val="clear" w:color="auto" w:fill="auto"/>
                  <w:vAlign w:val="center"/>
                </w:tcPr>
                <w:p w14:paraId="509D4E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346" w:type="pct"/>
                  <w:tcBorders>
                    <w:top w:val="nil"/>
                    <w:left w:val="nil"/>
                    <w:bottom w:val="single" w:color="auto" w:sz="4" w:space="0"/>
                    <w:right w:val="single" w:color="auto" w:sz="4" w:space="0"/>
                  </w:tcBorders>
                  <w:shd w:val="clear" w:color="auto" w:fill="auto"/>
                  <w:vAlign w:val="center"/>
                </w:tcPr>
                <w:p w14:paraId="47AE55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311" w:type="pct"/>
                  <w:tcBorders>
                    <w:top w:val="nil"/>
                    <w:left w:val="nil"/>
                    <w:bottom w:val="single" w:color="auto" w:sz="4" w:space="0"/>
                    <w:right w:val="single" w:color="auto" w:sz="4" w:space="0"/>
                  </w:tcBorders>
                  <w:shd w:val="clear" w:color="auto" w:fill="auto"/>
                  <w:vAlign w:val="center"/>
                </w:tcPr>
                <w:p w14:paraId="73D55C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6DD771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42" w:type="pct"/>
                  <w:tcBorders>
                    <w:top w:val="nil"/>
                    <w:left w:val="nil"/>
                    <w:bottom w:val="single" w:color="auto" w:sz="4" w:space="0"/>
                    <w:right w:val="single" w:color="auto" w:sz="4" w:space="0"/>
                  </w:tcBorders>
                  <w:shd w:val="clear" w:color="auto" w:fill="auto"/>
                  <w:vAlign w:val="center"/>
                </w:tcPr>
                <w:p w14:paraId="2FE26C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370920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 xml:space="preserve">0.018 </w:t>
                  </w:r>
                </w:p>
              </w:tc>
              <w:tc>
                <w:tcPr>
                  <w:tcW w:w="363" w:type="pct"/>
                  <w:tcBorders>
                    <w:top w:val="nil"/>
                    <w:left w:val="nil"/>
                    <w:bottom w:val="single" w:color="auto" w:sz="4" w:space="0"/>
                    <w:right w:val="single" w:color="auto" w:sz="4" w:space="0"/>
                  </w:tcBorders>
                  <w:shd w:val="clear" w:color="auto" w:fill="auto"/>
                  <w:vAlign w:val="center"/>
                </w:tcPr>
                <w:p w14:paraId="4AB64B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40</w:t>
                  </w:r>
                </w:p>
              </w:tc>
              <w:tc>
                <w:tcPr>
                  <w:tcW w:w="651" w:type="pct"/>
                  <w:tcBorders>
                    <w:top w:val="nil"/>
                    <w:left w:val="nil"/>
                    <w:bottom w:val="single" w:color="auto" w:sz="4" w:space="0"/>
                    <w:right w:val="single" w:color="auto" w:sz="4" w:space="0"/>
                  </w:tcBorders>
                  <w:shd w:val="clear" w:color="auto" w:fill="auto"/>
                  <w:vAlign w:val="center"/>
                </w:tcPr>
                <w:p w14:paraId="12F5C1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253" w:type="pct"/>
                  <w:tcBorders>
                    <w:top w:val="nil"/>
                    <w:left w:val="nil"/>
                    <w:bottom w:val="single" w:color="auto" w:sz="4" w:space="0"/>
                    <w:right w:val="single" w:color="auto" w:sz="4" w:space="0"/>
                  </w:tcBorders>
                  <w:shd w:val="clear" w:color="auto" w:fill="auto"/>
                  <w:vAlign w:val="center"/>
                </w:tcPr>
                <w:p w14:paraId="4DA1EB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r>
            <w:tr w14:paraId="2B4FF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 w:type="pct"/>
                  <w:vMerge w:val="continue"/>
                  <w:tcBorders>
                    <w:top w:val="nil"/>
                    <w:left w:val="single" w:color="auto" w:sz="4" w:space="0"/>
                    <w:bottom w:val="single" w:color="auto" w:sz="4" w:space="0"/>
                    <w:right w:val="single" w:color="auto" w:sz="4" w:space="0"/>
                  </w:tcBorders>
                  <w:shd w:val="clear" w:color="auto" w:fill="auto"/>
                  <w:vAlign w:val="center"/>
                </w:tcPr>
                <w:p w14:paraId="35A2D3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240" w:type="pct"/>
                  <w:vMerge w:val="continue"/>
                  <w:tcBorders>
                    <w:top w:val="nil"/>
                    <w:left w:val="single" w:color="auto" w:sz="4" w:space="0"/>
                    <w:bottom w:val="single" w:color="auto" w:sz="4" w:space="0"/>
                    <w:right w:val="single" w:color="auto" w:sz="4" w:space="0"/>
                  </w:tcBorders>
                  <w:shd w:val="clear" w:color="auto" w:fill="auto"/>
                  <w:vAlign w:val="center"/>
                </w:tcPr>
                <w:p w14:paraId="4F55A9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483" w:type="pct"/>
                  <w:tcBorders>
                    <w:top w:val="nil"/>
                    <w:left w:val="nil"/>
                    <w:bottom w:val="single" w:color="auto" w:sz="4" w:space="0"/>
                    <w:right w:val="single" w:color="auto" w:sz="4" w:space="0"/>
                  </w:tcBorders>
                  <w:shd w:val="clear" w:color="auto" w:fill="auto"/>
                  <w:vAlign w:val="center"/>
                </w:tcPr>
                <w:p w14:paraId="3B4B31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NH</w:t>
                  </w:r>
                  <w:r>
                    <w:rPr>
                      <w:rFonts w:hint="default" w:ascii="Times New Roman" w:hAnsi="Times New Roman" w:eastAsia="等线" w:cs="Times New Roman"/>
                      <w:i w:val="0"/>
                      <w:iCs w:val="0"/>
                      <w:color w:val="auto"/>
                      <w:kern w:val="0"/>
                      <w:sz w:val="21"/>
                      <w:szCs w:val="21"/>
                      <w:u w:val="none"/>
                      <w:vertAlign w:val="subscript"/>
                      <w:lang w:val="en-US" w:eastAsia="zh-CN" w:bidi="ar"/>
                    </w:rPr>
                    <w:t>3</w:t>
                  </w:r>
                  <w:r>
                    <w:rPr>
                      <w:rFonts w:hint="default" w:ascii="Times New Roman" w:hAnsi="Times New Roman" w:eastAsia="等线" w:cs="Times New Roman"/>
                      <w:i w:val="0"/>
                      <w:iCs w:val="0"/>
                      <w:color w:val="auto"/>
                      <w:kern w:val="0"/>
                      <w:sz w:val="21"/>
                      <w:szCs w:val="21"/>
                      <w:u w:val="none"/>
                      <w:lang w:val="en-US" w:eastAsia="zh-CN" w:bidi="ar"/>
                    </w:rPr>
                    <w:t>-N</w:t>
                  </w:r>
                </w:p>
              </w:tc>
              <w:tc>
                <w:tcPr>
                  <w:tcW w:w="446" w:type="pct"/>
                  <w:tcBorders>
                    <w:top w:val="nil"/>
                    <w:left w:val="nil"/>
                    <w:bottom w:val="single" w:color="auto" w:sz="4" w:space="0"/>
                    <w:right w:val="single" w:color="auto" w:sz="4" w:space="0"/>
                  </w:tcBorders>
                  <w:shd w:val="clear" w:color="auto" w:fill="auto"/>
                  <w:vAlign w:val="center"/>
                </w:tcPr>
                <w:p w14:paraId="523C10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 xml:space="preserve">0.015 </w:t>
                  </w:r>
                </w:p>
              </w:tc>
              <w:tc>
                <w:tcPr>
                  <w:tcW w:w="398" w:type="pct"/>
                  <w:tcBorders>
                    <w:top w:val="nil"/>
                    <w:left w:val="nil"/>
                    <w:bottom w:val="single" w:color="auto" w:sz="4" w:space="0"/>
                    <w:right w:val="single" w:color="auto" w:sz="4" w:space="0"/>
                  </w:tcBorders>
                  <w:shd w:val="clear" w:color="auto" w:fill="auto"/>
                  <w:vAlign w:val="center"/>
                </w:tcPr>
                <w:p w14:paraId="751624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346" w:type="pct"/>
                  <w:tcBorders>
                    <w:top w:val="nil"/>
                    <w:left w:val="nil"/>
                    <w:bottom w:val="single" w:color="auto" w:sz="4" w:space="0"/>
                    <w:right w:val="single" w:color="auto" w:sz="4" w:space="0"/>
                  </w:tcBorders>
                  <w:shd w:val="clear" w:color="auto" w:fill="auto"/>
                  <w:vAlign w:val="top"/>
                </w:tcPr>
                <w:p w14:paraId="33C81E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311" w:type="pct"/>
                  <w:tcBorders>
                    <w:top w:val="nil"/>
                    <w:left w:val="nil"/>
                    <w:bottom w:val="single" w:color="auto" w:sz="4" w:space="0"/>
                    <w:right w:val="single" w:color="auto" w:sz="4" w:space="0"/>
                  </w:tcBorders>
                  <w:shd w:val="clear" w:color="auto" w:fill="auto"/>
                  <w:vAlign w:val="center"/>
                </w:tcPr>
                <w:p w14:paraId="793991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193E89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42" w:type="pct"/>
                  <w:tcBorders>
                    <w:top w:val="nil"/>
                    <w:left w:val="nil"/>
                    <w:bottom w:val="single" w:color="auto" w:sz="4" w:space="0"/>
                    <w:right w:val="single" w:color="auto" w:sz="4" w:space="0"/>
                  </w:tcBorders>
                  <w:shd w:val="clear" w:color="auto" w:fill="auto"/>
                  <w:vAlign w:val="center"/>
                </w:tcPr>
                <w:p w14:paraId="38A9B2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058507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 xml:space="preserve">0.001 </w:t>
                  </w:r>
                </w:p>
              </w:tc>
              <w:tc>
                <w:tcPr>
                  <w:tcW w:w="363" w:type="pct"/>
                  <w:tcBorders>
                    <w:top w:val="nil"/>
                    <w:left w:val="nil"/>
                    <w:bottom w:val="single" w:color="auto" w:sz="4" w:space="0"/>
                    <w:right w:val="single" w:color="auto" w:sz="4" w:space="0"/>
                  </w:tcBorders>
                  <w:shd w:val="clear" w:color="auto" w:fill="auto"/>
                  <w:vAlign w:val="center"/>
                </w:tcPr>
                <w:p w14:paraId="003D5F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2</w:t>
                  </w:r>
                </w:p>
              </w:tc>
              <w:tc>
                <w:tcPr>
                  <w:tcW w:w="651" w:type="pct"/>
                  <w:tcBorders>
                    <w:top w:val="nil"/>
                    <w:left w:val="nil"/>
                    <w:bottom w:val="single" w:color="auto" w:sz="4" w:space="0"/>
                    <w:right w:val="single" w:color="auto" w:sz="4" w:space="0"/>
                  </w:tcBorders>
                  <w:shd w:val="clear" w:color="auto" w:fill="auto"/>
                  <w:vAlign w:val="center"/>
                </w:tcPr>
                <w:p w14:paraId="43794F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253" w:type="pct"/>
                  <w:tcBorders>
                    <w:top w:val="nil"/>
                    <w:left w:val="nil"/>
                    <w:bottom w:val="single" w:color="auto" w:sz="4" w:space="0"/>
                    <w:right w:val="single" w:color="auto" w:sz="4" w:space="0"/>
                  </w:tcBorders>
                  <w:shd w:val="clear" w:color="auto" w:fill="auto"/>
                  <w:vAlign w:val="center"/>
                </w:tcPr>
                <w:p w14:paraId="5D3996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r>
            <w:tr w14:paraId="03822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 w:type="pct"/>
                  <w:vMerge w:val="continue"/>
                  <w:tcBorders>
                    <w:top w:val="nil"/>
                    <w:left w:val="single" w:color="auto" w:sz="4" w:space="0"/>
                    <w:bottom w:val="single" w:color="auto" w:sz="4" w:space="0"/>
                    <w:right w:val="single" w:color="auto" w:sz="4" w:space="0"/>
                  </w:tcBorders>
                  <w:shd w:val="clear" w:color="auto" w:fill="auto"/>
                  <w:vAlign w:val="center"/>
                </w:tcPr>
                <w:p w14:paraId="65610C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240" w:type="pct"/>
                  <w:vMerge w:val="continue"/>
                  <w:tcBorders>
                    <w:top w:val="nil"/>
                    <w:left w:val="single" w:color="auto" w:sz="4" w:space="0"/>
                    <w:bottom w:val="single" w:color="auto" w:sz="4" w:space="0"/>
                    <w:right w:val="single" w:color="auto" w:sz="4" w:space="0"/>
                  </w:tcBorders>
                  <w:shd w:val="clear" w:color="auto" w:fill="auto"/>
                  <w:vAlign w:val="center"/>
                </w:tcPr>
                <w:p w14:paraId="11FC8E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u w:val="none"/>
                    </w:rPr>
                  </w:pPr>
                </w:p>
              </w:tc>
              <w:tc>
                <w:tcPr>
                  <w:tcW w:w="483" w:type="pct"/>
                  <w:tcBorders>
                    <w:top w:val="nil"/>
                    <w:left w:val="nil"/>
                    <w:bottom w:val="single" w:color="auto" w:sz="4" w:space="0"/>
                    <w:right w:val="single" w:color="auto" w:sz="4" w:space="0"/>
                  </w:tcBorders>
                  <w:shd w:val="clear" w:color="auto" w:fill="auto"/>
                  <w:vAlign w:val="center"/>
                </w:tcPr>
                <w:p w14:paraId="18CBCB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粪大肠杆菌</w:t>
                  </w:r>
                </w:p>
              </w:tc>
              <w:tc>
                <w:tcPr>
                  <w:tcW w:w="446" w:type="pct"/>
                  <w:tcBorders>
                    <w:top w:val="nil"/>
                    <w:left w:val="nil"/>
                    <w:bottom w:val="single" w:color="auto" w:sz="4" w:space="0"/>
                    <w:right w:val="single" w:color="auto" w:sz="4" w:space="0"/>
                  </w:tcBorders>
                  <w:shd w:val="clear" w:color="auto" w:fill="auto"/>
                  <w:vAlign w:val="center"/>
                </w:tcPr>
                <w:p w14:paraId="58F482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2.24</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等线" w:cs="Times New Roman"/>
                      <w:i w:val="0"/>
                      <w:iCs w:val="0"/>
                      <w:color w:val="auto"/>
                      <w:kern w:val="0"/>
                      <w:sz w:val="21"/>
                      <w:szCs w:val="21"/>
                      <w:u w:val="none"/>
                      <w:lang w:val="en-US" w:eastAsia="zh-CN" w:bidi="ar"/>
                    </w:rPr>
                    <w:t>10</w:t>
                  </w:r>
                  <w:r>
                    <w:rPr>
                      <w:rFonts w:hint="default" w:ascii="Times New Roman" w:hAnsi="Times New Roman" w:eastAsia="等线" w:cs="Times New Roman"/>
                      <w:i w:val="0"/>
                      <w:iCs w:val="0"/>
                      <w:color w:val="auto"/>
                      <w:kern w:val="0"/>
                      <w:sz w:val="21"/>
                      <w:szCs w:val="21"/>
                      <w:u w:val="none"/>
                      <w:vertAlign w:val="superscript"/>
                      <w:lang w:val="en-US" w:eastAsia="zh-CN" w:bidi="ar"/>
                    </w:rPr>
                    <w:t>8</w:t>
                  </w:r>
                </w:p>
              </w:tc>
              <w:tc>
                <w:tcPr>
                  <w:tcW w:w="398" w:type="pct"/>
                  <w:tcBorders>
                    <w:top w:val="nil"/>
                    <w:left w:val="nil"/>
                    <w:bottom w:val="single" w:color="auto" w:sz="4" w:space="0"/>
                    <w:right w:val="single" w:color="auto" w:sz="4" w:space="0"/>
                  </w:tcBorders>
                  <w:shd w:val="clear" w:color="auto" w:fill="auto"/>
                  <w:vAlign w:val="center"/>
                </w:tcPr>
                <w:p w14:paraId="32BB31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346" w:type="pct"/>
                  <w:tcBorders>
                    <w:top w:val="nil"/>
                    <w:left w:val="nil"/>
                    <w:bottom w:val="single" w:color="auto" w:sz="4" w:space="0"/>
                    <w:right w:val="single" w:color="auto" w:sz="4" w:space="0"/>
                  </w:tcBorders>
                  <w:shd w:val="clear" w:color="auto" w:fill="auto"/>
                  <w:vAlign w:val="center"/>
                </w:tcPr>
                <w:p w14:paraId="6C732C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311" w:type="pct"/>
                  <w:tcBorders>
                    <w:top w:val="nil"/>
                    <w:left w:val="nil"/>
                    <w:bottom w:val="single" w:color="auto" w:sz="4" w:space="0"/>
                    <w:right w:val="single" w:color="auto" w:sz="4" w:space="0"/>
                  </w:tcBorders>
                  <w:shd w:val="clear" w:color="auto" w:fill="auto"/>
                  <w:vAlign w:val="top"/>
                </w:tcPr>
                <w:p w14:paraId="0AA291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top"/>
                </w:tcPr>
                <w:p w14:paraId="223C49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42" w:type="pct"/>
                  <w:tcBorders>
                    <w:top w:val="nil"/>
                    <w:left w:val="nil"/>
                    <w:bottom w:val="single" w:color="auto" w:sz="4" w:space="0"/>
                    <w:right w:val="single" w:color="auto" w:sz="4" w:space="0"/>
                  </w:tcBorders>
                  <w:shd w:val="clear" w:color="auto" w:fill="auto"/>
                  <w:vAlign w:val="top"/>
                </w:tcPr>
                <w:p w14:paraId="5E9EB7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400" w:type="pct"/>
                  <w:tcBorders>
                    <w:top w:val="nil"/>
                    <w:left w:val="nil"/>
                    <w:bottom w:val="single" w:color="auto" w:sz="4" w:space="0"/>
                    <w:right w:val="single" w:color="auto" w:sz="4" w:space="0"/>
                  </w:tcBorders>
                  <w:shd w:val="clear" w:color="auto" w:fill="auto"/>
                  <w:vAlign w:val="center"/>
                </w:tcPr>
                <w:p w14:paraId="36D2A4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2.24</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等线" w:cs="Times New Roman"/>
                      <w:i w:val="0"/>
                      <w:iCs w:val="0"/>
                      <w:color w:val="auto"/>
                      <w:kern w:val="0"/>
                      <w:sz w:val="21"/>
                      <w:szCs w:val="21"/>
                      <w:u w:val="none"/>
                      <w:lang w:val="en-US" w:eastAsia="zh-CN" w:bidi="ar"/>
                    </w:rPr>
                    <w:t>10</w:t>
                  </w:r>
                  <w:r>
                    <w:rPr>
                      <w:rFonts w:hint="default" w:ascii="Times New Roman" w:hAnsi="Times New Roman" w:eastAsia="等线" w:cs="Times New Roman"/>
                      <w:i w:val="0"/>
                      <w:iCs w:val="0"/>
                      <w:color w:val="auto"/>
                      <w:kern w:val="0"/>
                      <w:sz w:val="21"/>
                      <w:szCs w:val="21"/>
                      <w:u w:val="none"/>
                      <w:vertAlign w:val="superscript"/>
                      <w:lang w:val="en-US" w:eastAsia="zh-CN" w:bidi="ar"/>
                    </w:rPr>
                    <w:t>7</w:t>
                  </w:r>
                </w:p>
              </w:tc>
              <w:tc>
                <w:tcPr>
                  <w:tcW w:w="363" w:type="pct"/>
                  <w:tcBorders>
                    <w:top w:val="nil"/>
                    <w:left w:val="nil"/>
                    <w:bottom w:val="single" w:color="auto" w:sz="4" w:space="0"/>
                    <w:right w:val="single" w:color="auto" w:sz="4" w:space="0"/>
                  </w:tcBorders>
                  <w:shd w:val="clear" w:color="auto" w:fill="auto"/>
                  <w:vAlign w:val="center"/>
                </w:tcPr>
                <w:p w14:paraId="74E54C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470</w:t>
                  </w:r>
                  <w:r>
                    <w:rPr>
                      <w:rFonts w:hint="eastAsia" w:ascii="宋体" w:hAnsi="宋体" w:eastAsia="宋体" w:cs="宋体"/>
                      <w:i w:val="0"/>
                      <w:iCs w:val="0"/>
                      <w:color w:val="auto"/>
                      <w:kern w:val="0"/>
                      <w:sz w:val="21"/>
                      <w:szCs w:val="21"/>
                      <w:u w:val="none"/>
                      <w:lang w:val="en-US" w:eastAsia="zh-CN" w:bidi="ar"/>
                    </w:rPr>
                    <w:t>个</w:t>
                  </w:r>
                  <w:r>
                    <w:rPr>
                      <w:rFonts w:hint="default" w:ascii="Times New Roman" w:hAnsi="Times New Roman" w:eastAsia="等线" w:cs="Times New Roman"/>
                      <w:i w:val="0"/>
                      <w:iCs w:val="0"/>
                      <w:color w:val="auto"/>
                      <w:kern w:val="0"/>
                      <w:sz w:val="21"/>
                      <w:szCs w:val="21"/>
                      <w:u w:val="none"/>
                      <w:lang w:val="en-US" w:eastAsia="zh-CN" w:bidi="ar"/>
                    </w:rPr>
                    <w:t>/L</w:t>
                  </w:r>
                </w:p>
              </w:tc>
              <w:tc>
                <w:tcPr>
                  <w:tcW w:w="651" w:type="pct"/>
                  <w:tcBorders>
                    <w:top w:val="nil"/>
                    <w:left w:val="nil"/>
                    <w:bottom w:val="single" w:color="auto" w:sz="4" w:space="0"/>
                    <w:right w:val="single" w:color="auto" w:sz="4" w:space="0"/>
                  </w:tcBorders>
                  <w:shd w:val="clear" w:color="auto" w:fill="auto"/>
                  <w:vAlign w:val="center"/>
                </w:tcPr>
                <w:p w14:paraId="264B11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c>
                <w:tcPr>
                  <w:tcW w:w="253" w:type="pct"/>
                  <w:tcBorders>
                    <w:top w:val="nil"/>
                    <w:left w:val="nil"/>
                    <w:bottom w:val="single" w:color="auto" w:sz="4" w:space="0"/>
                    <w:right w:val="single" w:color="auto" w:sz="4" w:space="0"/>
                  </w:tcBorders>
                  <w:shd w:val="clear" w:color="auto" w:fill="auto"/>
                  <w:vAlign w:val="center"/>
                </w:tcPr>
                <w:p w14:paraId="27445D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等线" w:cs="Times New Roman"/>
                      <w:i w:val="0"/>
                      <w:iCs w:val="0"/>
                      <w:color w:val="auto"/>
                      <w:sz w:val="21"/>
                      <w:szCs w:val="21"/>
                      <w:u w:val="none"/>
                    </w:rPr>
                  </w:pPr>
                  <w:r>
                    <w:rPr>
                      <w:rFonts w:hint="default" w:ascii="Times New Roman" w:hAnsi="Times New Roman" w:eastAsia="等线" w:cs="Times New Roman"/>
                      <w:i w:val="0"/>
                      <w:iCs w:val="0"/>
                      <w:color w:val="auto"/>
                      <w:kern w:val="0"/>
                      <w:sz w:val="21"/>
                      <w:szCs w:val="21"/>
                      <w:u w:val="none"/>
                      <w:lang w:val="en-US" w:eastAsia="zh-CN" w:bidi="ar"/>
                    </w:rPr>
                    <w:t>/</w:t>
                  </w:r>
                </w:p>
              </w:tc>
            </w:tr>
          </w:tbl>
          <w:p w14:paraId="67D9AB6E">
            <w:pPr>
              <w:pStyle w:val="2"/>
              <w:keepNext w:val="0"/>
              <w:keepLines w:val="0"/>
              <w:suppressLineNumbers w:val="0"/>
              <w:spacing w:before="0" w:beforeAutospacing="0" w:after="0" w:afterAutospacing="0" w:line="240" w:lineRule="auto"/>
              <w:ind w:left="0" w:right="0" w:firstLine="0" w:firstLineChars="0"/>
              <w:rPr>
                <w:rFonts w:hint="default"/>
                <w:color w:val="auto"/>
                <w:sz w:val="18"/>
                <w:szCs w:val="18"/>
              </w:rPr>
            </w:pPr>
          </w:p>
          <w:p w14:paraId="7F3BFF09">
            <w:pPr>
              <w:pStyle w:val="2"/>
              <w:keepNext w:val="0"/>
              <w:keepLines w:val="0"/>
              <w:suppressLineNumbers w:val="0"/>
              <w:spacing w:before="0" w:beforeAutospacing="0" w:after="0" w:afterAutospacing="0"/>
              <w:ind w:left="0" w:right="0" w:firstLine="0" w:firstLineChars="0"/>
              <w:jc w:val="center"/>
              <w:rPr>
                <w:rFonts w:hint="default"/>
                <w:color w:val="auto"/>
              </w:rPr>
            </w:pPr>
            <w:r>
              <w:rPr>
                <w:rFonts w:hint="default" w:eastAsia="黑体" w:cs="Times New Roman"/>
                <w:color w:val="auto"/>
                <w:szCs w:val="24"/>
              </w:rPr>
              <w:t>表4-</w:t>
            </w:r>
            <w:r>
              <w:rPr>
                <w:rFonts w:hint="eastAsia" w:eastAsia="黑体" w:cs="Times New Roman"/>
                <w:color w:val="auto"/>
                <w:szCs w:val="24"/>
                <w:lang w:val="en-US" w:eastAsia="zh-CN"/>
              </w:rPr>
              <w:t>3</w:t>
            </w:r>
            <w:r>
              <w:rPr>
                <w:rFonts w:hint="default" w:eastAsia="黑体" w:cs="Times New Roman"/>
                <w:color w:val="auto"/>
                <w:szCs w:val="24"/>
              </w:rPr>
              <w:t xml:space="preserve">  </w:t>
            </w:r>
            <w:r>
              <w:rPr>
                <w:rFonts w:hint="eastAsia" w:eastAsia="黑体" w:cs="Times New Roman"/>
                <w:color w:val="auto"/>
                <w:szCs w:val="24"/>
              </w:rPr>
              <w:t>本项目废水污染治理设施信息表</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465"/>
              <w:gridCol w:w="1219"/>
              <w:gridCol w:w="1083"/>
              <w:gridCol w:w="1192"/>
              <w:gridCol w:w="1200"/>
              <w:gridCol w:w="1109"/>
              <w:gridCol w:w="952"/>
              <w:gridCol w:w="936"/>
              <w:gridCol w:w="687"/>
              <w:gridCol w:w="1024"/>
              <w:gridCol w:w="909"/>
              <w:gridCol w:w="907"/>
            </w:tblGrid>
            <w:tr w14:paraId="19A3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3" w:type="pct"/>
                  <w:vMerge w:val="restart"/>
                  <w:shd w:val="clear" w:color="auto" w:fill="auto"/>
                  <w:vAlign w:val="center"/>
                </w:tcPr>
                <w:p w14:paraId="2112A916">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产污环节</w:t>
                  </w:r>
                </w:p>
              </w:tc>
              <w:tc>
                <w:tcPr>
                  <w:tcW w:w="548" w:type="pct"/>
                  <w:vMerge w:val="restart"/>
                  <w:shd w:val="clear" w:color="auto" w:fill="auto"/>
                  <w:vAlign w:val="center"/>
                </w:tcPr>
                <w:p w14:paraId="23495868">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废水种类</w:t>
                  </w:r>
                </w:p>
              </w:tc>
              <w:tc>
                <w:tcPr>
                  <w:tcW w:w="456" w:type="pct"/>
                  <w:vMerge w:val="restart"/>
                  <w:shd w:val="clear" w:color="auto" w:fill="auto"/>
                  <w:vAlign w:val="center"/>
                </w:tcPr>
                <w:p w14:paraId="67B92C91">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污染物种类</w:t>
                  </w:r>
                </w:p>
              </w:tc>
              <w:tc>
                <w:tcPr>
                  <w:tcW w:w="2071" w:type="pct"/>
                  <w:gridSpan w:val="5"/>
                  <w:shd w:val="clear" w:color="auto" w:fill="auto"/>
                  <w:vAlign w:val="center"/>
                </w:tcPr>
                <w:p w14:paraId="4C86E8B6">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治理设施</w:t>
                  </w:r>
                </w:p>
              </w:tc>
              <w:tc>
                <w:tcPr>
                  <w:tcW w:w="350" w:type="pct"/>
                  <w:vMerge w:val="restart"/>
                  <w:shd w:val="clear" w:color="auto" w:fill="auto"/>
                  <w:vAlign w:val="center"/>
                </w:tcPr>
                <w:p w14:paraId="094C3657">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排放方式</w:t>
                  </w:r>
                </w:p>
              </w:tc>
              <w:tc>
                <w:tcPr>
                  <w:tcW w:w="257" w:type="pct"/>
                  <w:vMerge w:val="restart"/>
                  <w:shd w:val="clear" w:color="auto" w:fill="auto"/>
                  <w:vAlign w:val="center"/>
                </w:tcPr>
                <w:p w14:paraId="6CA89E4F">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排放去向</w:t>
                  </w:r>
                </w:p>
              </w:tc>
              <w:tc>
                <w:tcPr>
                  <w:tcW w:w="383" w:type="pct"/>
                  <w:vMerge w:val="restart"/>
                  <w:shd w:val="clear" w:color="auto" w:fill="auto"/>
                  <w:vAlign w:val="center"/>
                </w:tcPr>
                <w:p w14:paraId="2518DC14">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21"/>
                      <w:szCs w:val="21"/>
                    </w:rPr>
                  </w:pPr>
                  <w:r>
                    <w:rPr>
                      <w:rFonts w:hint="eastAsia" w:ascii="宋体" w:hAnsi="宋体" w:cs="宋体"/>
                      <w:color w:val="auto"/>
                      <w:kern w:val="0"/>
                      <w:sz w:val="21"/>
                      <w:szCs w:val="21"/>
                      <w:lang w:bidi="ar"/>
                    </w:rPr>
                    <w:t>排放规律</w:t>
                  </w:r>
                </w:p>
              </w:tc>
              <w:tc>
                <w:tcPr>
                  <w:tcW w:w="340" w:type="pct"/>
                  <w:vMerge w:val="restart"/>
                  <w:shd w:val="clear" w:color="auto" w:fill="auto"/>
                  <w:vAlign w:val="center"/>
                </w:tcPr>
                <w:p w14:paraId="5438FA1E">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21"/>
                      <w:szCs w:val="21"/>
                    </w:rPr>
                  </w:pPr>
                  <w:r>
                    <w:rPr>
                      <w:rFonts w:hint="eastAsia" w:ascii="宋体" w:hAnsi="宋体" w:cs="宋体"/>
                      <w:color w:val="auto"/>
                      <w:kern w:val="0"/>
                      <w:sz w:val="21"/>
                      <w:szCs w:val="21"/>
                      <w:lang w:bidi="ar"/>
                    </w:rPr>
                    <w:t>排放口名称</w:t>
                  </w:r>
                </w:p>
              </w:tc>
              <w:tc>
                <w:tcPr>
                  <w:tcW w:w="339" w:type="pct"/>
                  <w:vMerge w:val="restart"/>
                  <w:shd w:val="clear" w:color="auto" w:fill="auto"/>
                  <w:vAlign w:val="center"/>
                </w:tcPr>
                <w:p w14:paraId="289EDEA0">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21"/>
                      <w:szCs w:val="21"/>
                    </w:rPr>
                  </w:pPr>
                  <w:r>
                    <w:rPr>
                      <w:rFonts w:hint="eastAsia" w:ascii="宋体" w:hAnsi="宋体" w:cs="宋体"/>
                      <w:color w:val="auto"/>
                      <w:kern w:val="0"/>
                      <w:sz w:val="21"/>
                      <w:szCs w:val="21"/>
                      <w:lang w:bidi="ar"/>
                    </w:rPr>
                    <w:t>排放口类型</w:t>
                  </w:r>
                </w:p>
              </w:tc>
            </w:tr>
            <w:tr w14:paraId="3B27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3" w:type="pct"/>
                  <w:vMerge w:val="continue"/>
                  <w:shd w:val="clear" w:color="auto" w:fill="auto"/>
                  <w:vAlign w:val="center"/>
                </w:tcPr>
                <w:p w14:paraId="1FB62A1E">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p>
              </w:tc>
              <w:tc>
                <w:tcPr>
                  <w:tcW w:w="548" w:type="pct"/>
                  <w:vMerge w:val="continue"/>
                  <w:shd w:val="clear" w:color="auto" w:fill="auto"/>
                  <w:vAlign w:val="center"/>
                </w:tcPr>
                <w:p w14:paraId="4CECC35A">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p>
              </w:tc>
              <w:tc>
                <w:tcPr>
                  <w:tcW w:w="456" w:type="pct"/>
                  <w:vMerge w:val="continue"/>
                  <w:shd w:val="clear" w:color="auto" w:fill="auto"/>
                  <w:vAlign w:val="center"/>
                </w:tcPr>
                <w:p w14:paraId="29BBED0F">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p>
              </w:tc>
              <w:tc>
                <w:tcPr>
                  <w:tcW w:w="405" w:type="pct"/>
                  <w:shd w:val="clear" w:color="auto" w:fill="auto"/>
                  <w:vAlign w:val="center"/>
                </w:tcPr>
                <w:p w14:paraId="117D59B6">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设施编号</w:t>
                  </w:r>
                </w:p>
              </w:tc>
              <w:tc>
                <w:tcPr>
                  <w:tcW w:w="446" w:type="pct"/>
                  <w:shd w:val="clear" w:color="auto" w:fill="auto"/>
                  <w:vAlign w:val="center"/>
                </w:tcPr>
                <w:p w14:paraId="28A5A4D1">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治理工艺</w:t>
                  </w:r>
                </w:p>
              </w:tc>
              <w:tc>
                <w:tcPr>
                  <w:tcW w:w="449" w:type="pct"/>
                  <w:shd w:val="clear" w:color="auto" w:fill="auto"/>
                  <w:vAlign w:val="center"/>
                </w:tcPr>
                <w:p w14:paraId="12656522">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处理能力</w:t>
                  </w:r>
                  <w:r>
                    <w:rPr>
                      <w:rFonts w:hint="default" w:cs="Times New Roman"/>
                      <w:color w:val="auto"/>
                      <w:sz w:val="21"/>
                      <w:szCs w:val="21"/>
                    </w:rPr>
                    <w:t>t/d</w:t>
                  </w:r>
                </w:p>
              </w:tc>
              <w:tc>
                <w:tcPr>
                  <w:tcW w:w="415" w:type="pct"/>
                  <w:shd w:val="clear" w:color="auto" w:fill="auto"/>
                  <w:vAlign w:val="center"/>
                </w:tcPr>
                <w:p w14:paraId="4321A7D0">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治理效率</w:t>
                  </w:r>
                  <w:r>
                    <w:rPr>
                      <w:rFonts w:hint="default" w:cs="Times New Roman"/>
                      <w:color w:val="auto"/>
                      <w:sz w:val="21"/>
                      <w:szCs w:val="21"/>
                    </w:rPr>
                    <w:t>%</w:t>
                  </w:r>
                </w:p>
              </w:tc>
              <w:tc>
                <w:tcPr>
                  <w:tcW w:w="355" w:type="pct"/>
                  <w:shd w:val="clear" w:color="auto" w:fill="auto"/>
                  <w:vAlign w:val="center"/>
                </w:tcPr>
                <w:p w14:paraId="2172796D">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是否为可行技术</w:t>
                  </w:r>
                </w:p>
              </w:tc>
              <w:tc>
                <w:tcPr>
                  <w:tcW w:w="350" w:type="pct"/>
                  <w:vMerge w:val="continue"/>
                  <w:shd w:val="clear" w:color="auto" w:fill="auto"/>
                  <w:vAlign w:val="center"/>
                </w:tcPr>
                <w:p w14:paraId="00470027">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p>
              </w:tc>
              <w:tc>
                <w:tcPr>
                  <w:tcW w:w="257" w:type="pct"/>
                  <w:vMerge w:val="continue"/>
                  <w:shd w:val="clear" w:color="auto" w:fill="auto"/>
                  <w:vAlign w:val="center"/>
                </w:tcPr>
                <w:p w14:paraId="4AB6669D">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p>
              </w:tc>
              <w:tc>
                <w:tcPr>
                  <w:tcW w:w="383" w:type="pct"/>
                  <w:vMerge w:val="continue"/>
                  <w:shd w:val="clear" w:color="auto" w:fill="auto"/>
                  <w:vAlign w:val="center"/>
                </w:tcPr>
                <w:p w14:paraId="78B4EF78">
                  <w:pPr>
                    <w:keepNext w:val="0"/>
                    <w:keepLines w:val="0"/>
                    <w:widowControl/>
                    <w:suppressLineNumbers w:val="0"/>
                    <w:spacing w:before="0" w:beforeAutospacing="0" w:after="0" w:afterAutospacing="0" w:line="240" w:lineRule="auto"/>
                    <w:ind w:left="0" w:right="0" w:firstLine="0" w:firstLineChars="0"/>
                    <w:jc w:val="center"/>
                    <w:rPr>
                      <w:rFonts w:hint="eastAsia" w:ascii="宋体" w:hAnsi="宋体" w:cs="宋体"/>
                      <w:color w:val="auto"/>
                      <w:sz w:val="21"/>
                      <w:szCs w:val="21"/>
                    </w:rPr>
                  </w:pPr>
                </w:p>
              </w:tc>
              <w:tc>
                <w:tcPr>
                  <w:tcW w:w="340" w:type="pct"/>
                  <w:vMerge w:val="continue"/>
                  <w:shd w:val="clear" w:color="auto" w:fill="auto"/>
                  <w:vAlign w:val="center"/>
                </w:tcPr>
                <w:p w14:paraId="29DF990B">
                  <w:pPr>
                    <w:keepNext w:val="0"/>
                    <w:keepLines w:val="0"/>
                    <w:widowControl/>
                    <w:suppressLineNumbers w:val="0"/>
                    <w:spacing w:before="0" w:beforeAutospacing="0" w:after="0" w:afterAutospacing="0" w:line="240" w:lineRule="auto"/>
                    <w:ind w:left="0" w:right="0" w:firstLine="0" w:firstLineChars="0"/>
                    <w:jc w:val="center"/>
                    <w:rPr>
                      <w:rFonts w:hint="eastAsia" w:ascii="宋体" w:hAnsi="宋体" w:cs="宋体"/>
                      <w:color w:val="auto"/>
                      <w:sz w:val="21"/>
                      <w:szCs w:val="21"/>
                    </w:rPr>
                  </w:pPr>
                </w:p>
              </w:tc>
              <w:tc>
                <w:tcPr>
                  <w:tcW w:w="339" w:type="pct"/>
                  <w:vMerge w:val="continue"/>
                  <w:shd w:val="clear" w:color="auto" w:fill="auto"/>
                  <w:vAlign w:val="center"/>
                </w:tcPr>
                <w:p w14:paraId="41AD5C36">
                  <w:pPr>
                    <w:keepNext w:val="0"/>
                    <w:keepLines w:val="0"/>
                    <w:widowControl/>
                    <w:suppressLineNumbers w:val="0"/>
                    <w:spacing w:before="0" w:beforeAutospacing="0" w:after="0" w:afterAutospacing="0" w:line="240" w:lineRule="auto"/>
                    <w:ind w:left="0" w:right="0" w:firstLine="0" w:firstLineChars="0"/>
                    <w:jc w:val="center"/>
                    <w:rPr>
                      <w:rFonts w:hint="eastAsia" w:ascii="宋体" w:hAnsi="宋体" w:cs="宋体"/>
                      <w:color w:val="auto"/>
                      <w:sz w:val="21"/>
                      <w:szCs w:val="21"/>
                    </w:rPr>
                  </w:pPr>
                </w:p>
              </w:tc>
            </w:tr>
            <w:tr w14:paraId="56E22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3" w:type="pct"/>
                  <w:shd w:val="clear" w:color="auto" w:fill="auto"/>
                  <w:vAlign w:val="center"/>
                </w:tcPr>
                <w:p w14:paraId="2703FEFF">
                  <w:pPr>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olor w:val="auto"/>
                      <w:sz w:val="21"/>
                      <w:szCs w:val="21"/>
                      <w:lang w:val="en-US" w:eastAsia="zh-CN"/>
                    </w:rPr>
                  </w:pPr>
                  <w:r>
                    <w:rPr>
                      <w:rFonts w:hint="eastAsia" w:cs="Times New Roman"/>
                      <w:color w:val="auto"/>
                      <w:sz w:val="21"/>
                      <w:szCs w:val="21"/>
                      <w:lang w:val="en-US" w:eastAsia="zh-CN"/>
                    </w:rPr>
                    <w:t>清洗废水、</w:t>
                  </w:r>
                  <w:r>
                    <w:rPr>
                      <w:rFonts w:hint="eastAsia" w:cs="Times New Roman"/>
                      <w:i w:val="0"/>
                      <w:iCs w:val="0"/>
                      <w:color w:val="auto"/>
                      <w:sz w:val="21"/>
                      <w:szCs w:val="21"/>
                      <w:u w:val="none"/>
                      <w:lang w:val="en-US" w:eastAsia="zh-CN"/>
                    </w:rPr>
                    <w:t>灭菌、恒温水槽</w:t>
                  </w:r>
                </w:p>
              </w:tc>
              <w:tc>
                <w:tcPr>
                  <w:tcW w:w="548" w:type="pct"/>
                  <w:shd w:val="clear" w:color="auto" w:fill="auto"/>
                  <w:vAlign w:val="center"/>
                </w:tcPr>
                <w:p w14:paraId="40E9BAC3">
                  <w:pPr>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szCs w:val="21"/>
                      <w:lang w:val="en-US" w:eastAsia="zh-CN"/>
                    </w:rPr>
                  </w:pPr>
                  <w:r>
                    <w:rPr>
                      <w:rFonts w:hint="eastAsia" w:cs="Times New Roman"/>
                      <w:i w:val="0"/>
                      <w:iCs w:val="0"/>
                      <w:color w:val="auto"/>
                      <w:sz w:val="21"/>
                      <w:szCs w:val="21"/>
                      <w:u w:val="none"/>
                      <w:lang w:val="en-US" w:eastAsia="zh-CN"/>
                    </w:rPr>
                    <w:t>实验室废水</w:t>
                  </w:r>
                </w:p>
              </w:tc>
              <w:tc>
                <w:tcPr>
                  <w:tcW w:w="456" w:type="pct"/>
                  <w:shd w:val="clear" w:color="auto" w:fill="auto"/>
                  <w:vAlign w:val="center"/>
                </w:tcPr>
                <w:p w14:paraId="3B09050B">
                  <w:pPr>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szCs w:val="21"/>
                      <w:vertAlign w:val="baseline"/>
                      <w:lang w:val="en-US" w:eastAsia="zh-CN"/>
                    </w:rPr>
                  </w:pPr>
                  <w:r>
                    <w:rPr>
                      <w:rFonts w:hint="default" w:cs="Times New Roman"/>
                      <w:color w:val="auto"/>
                      <w:sz w:val="21"/>
                      <w:szCs w:val="21"/>
                    </w:rPr>
                    <w:t>COD</w:t>
                  </w:r>
                  <w:r>
                    <w:rPr>
                      <w:rFonts w:hint="default" w:cs="Times New Roman"/>
                      <w:color w:val="auto"/>
                      <w:sz w:val="21"/>
                      <w:szCs w:val="21"/>
                      <w:vertAlign w:val="subscript"/>
                    </w:rPr>
                    <w:t>Cr</w:t>
                  </w:r>
                  <w:r>
                    <w:rPr>
                      <w:rFonts w:hint="eastAsia" w:cs="Times New Roman"/>
                      <w:color w:val="auto"/>
                      <w:sz w:val="21"/>
                      <w:szCs w:val="21"/>
                    </w:rPr>
                    <w:t>、氨氮</w:t>
                  </w:r>
                  <w:r>
                    <w:rPr>
                      <w:rFonts w:hint="eastAsia" w:cs="Times New Roman"/>
                      <w:color w:val="auto"/>
                      <w:sz w:val="21"/>
                      <w:szCs w:val="21"/>
                      <w:lang w:eastAsia="zh-CN"/>
                    </w:rPr>
                    <w:t>、</w:t>
                  </w:r>
                  <w:r>
                    <w:rPr>
                      <w:rFonts w:hint="eastAsia" w:cs="Times New Roman"/>
                      <w:color w:val="auto"/>
                      <w:sz w:val="21"/>
                      <w:szCs w:val="21"/>
                      <w:lang w:val="en-US" w:eastAsia="zh-CN"/>
                    </w:rPr>
                    <w:t>TP、粪大肠杆菌等</w:t>
                  </w:r>
                </w:p>
              </w:tc>
              <w:tc>
                <w:tcPr>
                  <w:tcW w:w="405" w:type="pct"/>
                  <w:shd w:val="clear" w:color="auto" w:fill="auto"/>
                  <w:vAlign w:val="center"/>
                </w:tcPr>
                <w:p w14:paraId="55684991">
                  <w:pPr>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olor w:val="auto"/>
                      <w:sz w:val="21"/>
                      <w:szCs w:val="21"/>
                      <w:lang w:val="en-US" w:eastAsia="zh-CN"/>
                    </w:rPr>
                  </w:pPr>
                  <w:r>
                    <w:rPr>
                      <w:rFonts w:hint="eastAsia" w:cs="Times New Roman"/>
                      <w:color w:val="auto"/>
                      <w:sz w:val="21"/>
                      <w:szCs w:val="21"/>
                      <w:lang w:val="en-US" w:eastAsia="zh-CN"/>
                    </w:rPr>
                    <w:t>/</w:t>
                  </w:r>
                </w:p>
              </w:tc>
              <w:tc>
                <w:tcPr>
                  <w:tcW w:w="446" w:type="pct"/>
                  <w:shd w:val="clear" w:color="auto" w:fill="auto"/>
                  <w:vAlign w:val="center"/>
                </w:tcPr>
                <w:p w14:paraId="1F4DC659">
                  <w:pPr>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olor w:val="auto"/>
                      <w:sz w:val="21"/>
                      <w:szCs w:val="21"/>
                      <w:lang w:val="en-US" w:eastAsia="zh-CN"/>
                    </w:rPr>
                  </w:pPr>
                  <w:r>
                    <w:rPr>
                      <w:rFonts w:hint="eastAsia" w:cs="Times New Roman"/>
                      <w:color w:val="auto"/>
                      <w:sz w:val="21"/>
                      <w:szCs w:val="21"/>
                      <w:lang w:val="en-US" w:eastAsia="zh-CN"/>
                    </w:rPr>
                    <w:t>/</w:t>
                  </w:r>
                </w:p>
              </w:tc>
              <w:tc>
                <w:tcPr>
                  <w:tcW w:w="449" w:type="pct"/>
                  <w:shd w:val="clear" w:color="auto" w:fill="auto"/>
                  <w:vAlign w:val="center"/>
                </w:tcPr>
                <w:p w14:paraId="684CC7E2">
                  <w:pPr>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olor w:val="auto"/>
                      <w:sz w:val="21"/>
                      <w:szCs w:val="21"/>
                      <w:lang w:val="en-US" w:eastAsia="zh-CN"/>
                    </w:rPr>
                  </w:pPr>
                  <w:r>
                    <w:rPr>
                      <w:rFonts w:hint="eastAsia" w:cs="Times New Roman"/>
                      <w:color w:val="auto"/>
                      <w:sz w:val="21"/>
                      <w:szCs w:val="21"/>
                      <w:lang w:val="en-US" w:eastAsia="zh-CN"/>
                    </w:rPr>
                    <w:t>2</w:t>
                  </w:r>
                </w:p>
              </w:tc>
              <w:tc>
                <w:tcPr>
                  <w:tcW w:w="415" w:type="pct"/>
                  <w:shd w:val="clear" w:color="auto" w:fill="auto"/>
                  <w:vAlign w:val="center"/>
                </w:tcPr>
                <w:p w14:paraId="2AEF9789">
                  <w:pPr>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olor w:val="auto"/>
                      <w:sz w:val="21"/>
                      <w:szCs w:val="21"/>
                      <w:lang w:val="en-US" w:eastAsia="zh-CN"/>
                    </w:rPr>
                  </w:pPr>
                  <w:r>
                    <w:rPr>
                      <w:rFonts w:hint="eastAsia" w:cs="Times New Roman"/>
                      <w:color w:val="auto"/>
                      <w:sz w:val="21"/>
                      <w:szCs w:val="21"/>
                      <w:lang w:val="en-US" w:eastAsia="zh-CN"/>
                    </w:rPr>
                    <w:t>/</w:t>
                  </w:r>
                </w:p>
              </w:tc>
              <w:tc>
                <w:tcPr>
                  <w:tcW w:w="355" w:type="pct"/>
                  <w:shd w:val="clear" w:color="auto" w:fill="auto"/>
                  <w:vAlign w:val="center"/>
                </w:tcPr>
                <w:p w14:paraId="0C3EE3CD">
                  <w:pPr>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szCs w:val="21"/>
                      <w:lang w:val="en-US" w:eastAsia="zh-CN"/>
                    </w:rPr>
                  </w:pPr>
                  <w:r>
                    <w:rPr>
                      <w:rFonts w:hint="eastAsia" w:cs="Times New Roman"/>
                      <w:color w:val="auto"/>
                      <w:sz w:val="21"/>
                      <w:szCs w:val="21"/>
                      <w:lang w:val="en-US" w:eastAsia="zh-CN"/>
                    </w:rPr>
                    <w:t>/</w:t>
                  </w:r>
                </w:p>
              </w:tc>
              <w:tc>
                <w:tcPr>
                  <w:tcW w:w="350" w:type="pct"/>
                  <w:shd w:val="clear" w:color="auto" w:fill="auto"/>
                  <w:vAlign w:val="center"/>
                </w:tcPr>
                <w:p w14:paraId="2F543280">
                  <w:pPr>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szCs w:val="21"/>
                      <w:lang w:val="en-US" w:eastAsia="zh-CN"/>
                    </w:rPr>
                  </w:pPr>
                  <w:r>
                    <w:rPr>
                      <w:rFonts w:hint="eastAsia" w:cs="Times New Roman"/>
                      <w:color w:val="auto"/>
                      <w:sz w:val="21"/>
                      <w:szCs w:val="21"/>
                      <w:lang w:val="en-US" w:eastAsia="zh-CN"/>
                    </w:rPr>
                    <w:t>间歇排放</w:t>
                  </w:r>
                </w:p>
              </w:tc>
              <w:tc>
                <w:tcPr>
                  <w:tcW w:w="257" w:type="pct"/>
                  <w:vMerge w:val="restart"/>
                  <w:shd w:val="clear" w:color="auto" w:fill="auto"/>
                  <w:vAlign w:val="center"/>
                </w:tcPr>
                <w:p w14:paraId="40F3E7A1">
                  <w:pPr>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szCs w:val="21"/>
                      <w:lang w:val="en-US" w:eastAsia="zh-CN"/>
                    </w:rPr>
                  </w:pPr>
                  <w:r>
                    <w:rPr>
                      <w:rFonts w:hint="eastAsia" w:cs="Times New Roman"/>
                      <w:color w:val="auto"/>
                      <w:sz w:val="21"/>
                      <w:szCs w:val="21"/>
                      <w:lang w:val="en-US" w:eastAsia="zh-CN"/>
                    </w:rPr>
                    <w:t>余杭污水处理厂</w:t>
                  </w:r>
                </w:p>
              </w:tc>
              <w:tc>
                <w:tcPr>
                  <w:tcW w:w="383" w:type="pct"/>
                  <w:vMerge w:val="restart"/>
                  <w:shd w:val="clear" w:color="auto" w:fill="auto"/>
                  <w:vAlign w:val="center"/>
                </w:tcPr>
                <w:p w14:paraId="16F061FC">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21"/>
                      <w:szCs w:val="21"/>
                    </w:rPr>
                  </w:pPr>
                  <w:r>
                    <w:rPr>
                      <w:rFonts w:hint="eastAsia" w:ascii="宋体" w:hAnsi="宋体" w:cs="宋体"/>
                      <w:color w:val="auto"/>
                      <w:kern w:val="0"/>
                      <w:sz w:val="21"/>
                      <w:szCs w:val="21"/>
                      <w:lang w:bidi="ar"/>
                    </w:rPr>
                    <w:t>间断排放，排放期间流量不稳定，但不属于冲击型排放</w:t>
                  </w:r>
                </w:p>
              </w:tc>
              <w:tc>
                <w:tcPr>
                  <w:tcW w:w="340" w:type="pct"/>
                  <w:vMerge w:val="restart"/>
                  <w:shd w:val="clear" w:color="auto" w:fill="auto"/>
                  <w:vAlign w:val="center"/>
                </w:tcPr>
                <w:p w14:paraId="3F7D8104">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21"/>
                      <w:szCs w:val="21"/>
                    </w:rPr>
                  </w:pPr>
                  <w:r>
                    <w:rPr>
                      <w:rFonts w:hint="eastAsia" w:ascii="宋体" w:hAnsi="宋体" w:cs="宋体"/>
                      <w:color w:val="auto"/>
                      <w:kern w:val="0"/>
                      <w:sz w:val="21"/>
                      <w:szCs w:val="21"/>
                      <w:lang w:bidi="ar"/>
                    </w:rPr>
                    <w:t>废水排放口</w:t>
                  </w:r>
                </w:p>
              </w:tc>
              <w:tc>
                <w:tcPr>
                  <w:tcW w:w="339" w:type="pct"/>
                  <w:vMerge w:val="restart"/>
                  <w:shd w:val="clear" w:color="auto" w:fill="auto"/>
                  <w:vAlign w:val="center"/>
                </w:tcPr>
                <w:p w14:paraId="7BAFFCEA">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21"/>
                      <w:szCs w:val="21"/>
                    </w:rPr>
                  </w:pPr>
                  <w:r>
                    <w:rPr>
                      <w:rFonts w:hint="eastAsia" w:ascii="宋体" w:hAnsi="宋体" w:cs="宋体"/>
                      <w:color w:val="auto"/>
                      <w:kern w:val="0"/>
                      <w:sz w:val="21"/>
                      <w:szCs w:val="21"/>
                      <w:lang w:bidi="ar"/>
                    </w:rPr>
                    <w:t>一般排放口</w:t>
                  </w:r>
                  <w:r>
                    <w:rPr>
                      <w:rFonts w:hint="default" w:cs="Times New Roman"/>
                      <w:color w:val="auto"/>
                      <w:kern w:val="0"/>
                      <w:sz w:val="21"/>
                      <w:szCs w:val="21"/>
                      <w:lang w:bidi="ar"/>
                    </w:rPr>
                    <w:t>-</w:t>
                  </w:r>
                  <w:r>
                    <w:rPr>
                      <w:rFonts w:hint="eastAsia" w:ascii="宋体" w:hAnsi="宋体" w:cs="宋体"/>
                      <w:color w:val="auto"/>
                      <w:kern w:val="0"/>
                      <w:sz w:val="21"/>
                      <w:szCs w:val="21"/>
                      <w:lang w:bidi="ar"/>
                    </w:rPr>
                    <w:t>总排口</w:t>
                  </w:r>
                </w:p>
              </w:tc>
            </w:tr>
            <w:tr w14:paraId="7F61C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3" w:type="pct"/>
                  <w:shd w:val="clear" w:color="auto" w:fill="auto"/>
                  <w:vAlign w:val="center"/>
                </w:tcPr>
                <w:p w14:paraId="0C080176">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员工生活</w:t>
                  </w:r>
                </w:p>
              </w:tc>
              <w:tc>
                <w:tcPr>
                  <w:tcW w:w="548" w:type="pct"/>
                  <w:shd w:val="clear" w:color="auto" w:fill="auto"/>
                  <w:vAlign w:val="center"/>
                </w:tcPr>
                <w:p w14:paraId="73DFF2CD">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生活污水</w:t>
                  </w:r>
                </w:p>
              </w:tc>
              <w:tc>
                <w:tcPr>
                  <w:tcW w:w="456" w:type="pct"/>
                  <w:shd w:val="clear" w:color="auto" w:fill="auto"/>
                  <w:vAlign w:val="center"/>
                </w:tcPr>
                <w:p w14:paraId="65410644">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default" w:cs="Times New Roman"/>
                      <w:color w:val="auto"/>
                      <w:sz w:val="21"/>
                      <w:szCs w:val="21"/>
                    </w:rPr>
                    <w:t>COD</w:t>
                  </w:r>
                  <w:r>
                    <w:rPr>
                      <w:rFonts w:hint="default" w:cs="Times New Roman"/>
                      <w:color w:val="auto"/>
                      <w:sz w:val="21"/>
                      <w:szCs w:val="21"/>
                      <w:vertAlign w:val="subscript"/>
                    </w:rPr>
                    <w:t>Cr</w:t>
                  </w:r>
                  <w:r>
                    <w:rPr>
                      <w:rFonts w:hint="eastAsia" w:cs="Times New Roman"/>
                      <w:color w:val="auto"/>
                      <w:sz w:val="21"/>
                      <w:szCs w:val="21"/>
                    </w:rPr>
                    <w:t>、氨氮</w:t>
                  </w:r>
                </w:p>
              </w:tc>
              <w:tc>
                <w:tcPr>
                  <w:tcW w:w="405" w:type="pct"/>
                  <w:shd w:val="clear" w:color="auto" w:fill="auto"/>
                  <w:vAlign w:val="center"/>
                </w:tcPr>
                <w:p w14:paraId="2FBB98E8">
                  <w:pPr>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szCs w:val="21"/>
                      <w:lang w:val="en-US" w:eastAsia="zh-CN"/>
                    </w:rPr>
                  </w:pPr>
                  <w:r>
                    <w:rPr>
                      <w:rFonts w:hint="eastAsia" w:cs="Times New Roman"/>
                      <w:color w:val="auto"/>
                      <w:sz w:val="21"/>
                      <w:szCs w:val="21"/>
                      <w:lang w:val="en-US" w:eastAsia="zh-CN"/>
                    </w:rPr>
                    <w:t>TW001</w:t>
                  </w:r>
                </w:p>
              </w:tc>
              <w:tc>
                <w:tcPr>
                  <w:tcW w:w="446" w:type="pct"/>
                  <w:shd w:val="clear" w:color="auto" w:fill="auto"/>
                  <w:vAlign w:val="center"/>
                </w:tcPr>
                <w:p w14:paraId="6652BE79">
                  <w:pPr>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szCs w:val="21"/>
                      <w:lang w:val="en-US" w:eastAsia="zh-CN"/>
                    </w:rPr>
                  </w:pPr>
                  <w:r>
                    <w:rPr>
                      <w:rFonts w:hint="eastAsia" w:cs="Times New Roman"/>
                      <w:color w:val="auto"/>
                      <w:sz w:val="21"/>
                      <w:szCs w:val="21"/>
                      <w:lang w:val="en-US" w:eastAsia="zh-CN"/>
                    </w:rPr>
                    <w:t>化粪池</w:t>
                  </w:r>
                </w:p>
              </w:tc>
              <w:tc>
                <w:tcPr>
                  <w:tcW w:w="449" w:type="pct"/>
                  <w:shd w:val="clear" w:color="auto" w:fill="auto"/>
                  <w:vAlign w:val="center"/>
                </w:tcPr>
                <w:p w14:paraId="797581D8">
                  <w:pPr>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szCs w:val="21"/>
                      <w:lang w:val="en-US" w:eastAsia="zh-CN"/>
                    </w:rPr>
                  </w:pPr>
                  <w:r>
                    <w:rPr>
                      <w:rFonts w:hint="eastAsia" w:cs="Times New Roman"/>
                      <w:color w:val="auto"/>
                      <w:sz w:val="21"/>
                      <w:szCs w:val="21"/>
                      <w:lang w:val="en-US" w:eastAsia="zh-CN"/>
                    </w:rPr>
                    <w:t>20</w:t>
                  </w:r>
                </w:p>
              </w:tc>
              <w:tc>
                <w:tcPr>
                  <w:tcW w:w="415" w:type="pct"/>
                  <w:shd w:val="clear" w:color="auto" w:fill="auto"/>
                  <w:vAlign w:val="center"/>
                </w:tcPr>
                <w:p w14:paraId="31872383">
                  <w:pPr>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szCs w:val="21"/>
                      <w:lang w:val="en-US" w:eastAsia="zh-CN"/>
                    </w:rPr>
                  </w:pPr>
                  <w:r>
                    <w:rPr>
                      <w:rFonts w:hint="default" w:cs="Times New Roman"/>
                      <w:color w:val="auto"/>
                      <w:sz w:val="21"/>
                      <w:szCs w:val="21"/>
                    </w:rPr>
                    <w:t>COD</w:t>
                  </w:r>
                  <w:r>
                    <w:rPr>
                      <w:rFonts w:hint="default" w:cs="Times New Roman"/>
                      <w:color w:val="auto"/>
                      <w:sz w:val="21"/>
                      <w:szCs w:val="21"/>
                      <w:vertAlign w:val="subscript"/>
                    </w:rPr>
                    <w:t>Cr</w:t>
                  </w:r>
                  <w:r>
                    <w:rPr>
                      <w:rFonts w:hint="eastAsia" w:cs="Times New Roman"/>
                      <w:color w:val="auto"/>
                      <w:sz w:val="21"/>
                      <w:szCs w:val="21"/>
                      <w:vertAlign w:val="baseline"/>
                      <w:lang w:val="en-US" w:eastAsia="zh-CN"/>
                    </w:rPr>
                    <w:t>:20%</w:t>
                  </w:r>
                </w:p>
              </w:tc>
              <w:tc>
                <w:tcPr>
                  <w:tcW w:w="355" w:type="pct"/>
                  <w:shd w:val="clear" w:color="auto" w:fill="auto"/>
                  <w:vAlign w:val="center"/>
                </w:tcPr>
                <w:p w14:paraId="677B159E">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是</w:t>
                  </w:r>
                </w:p>
              </w:tc>
              <w:tc>
                <w:tcPr>
                  <w:tcW w:w="350" w:type="pct"/>
                  <w:shd w:val="clear" w:color="auto" w:fill="auto"/>
                  <w:vAlign w:val="center"/>
                </w:tcPr>
                <w:p w14:paraId="076F4881">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r>
                    <w:rPr>
                      <w:rFonts w:hint="eastAsia" w:cs="Times New Roman"/>
                      <w:color w:val="auto"/>
                      <w:sz w:val="21"/>
                      <w:szCs w:val="21"/>
                    </w:rPr>
                    <w:t>间歇排放</w:t>
                  </w:r>
                </w:p>
              </w:tc>
              <w:tc>
                <w:tcPr>
                  <w:tcW w:w="257" w:type="pct"/>
                  <w:vMerge w:val="continue"/>
                  <w:shd w:val="clear" w:color="auto" w:fill="auto"/>
                  <w:vAlign w:val="center"/>
                </w:tcPr>
                <w:p w14:paraId="6FB18BB9">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21"/>
                      <w:szCs w:val="21"/>
                    </w:rPr>
                  </w:pPr>
                </w:p>
              </w:tc>
              <w:tc>
                <w:tcPr>
                  <w:tcW w:w="383" w:type="pct"/>
                  <w:vMerge w:val="continue"/>
                  <w:shd w:val="clear" w:color="auto" w:fill="auto"/>
                  <w:vAlign w:val="center"/>
                </w:tcPr>
                <w:p w14:paraId="6D1DBA4E">
                  <w:pPr>
                    <w:keepNext w:val="0"/>
                    <w:keepLines w:val="0"/>
                    <w:widowControl/>
                    <w:suppressLineNumbers w:val="0"/>
                    <w:spacing w:before="0" w:beforeAutospacing="0" w:after="0" w:afterAutospacing="0" w:line="240" w:lineRule="auto"/>
                    <w:ind w:left="0" w:right="0" w:firstLine="0" w:firstLineChars="0"/>
                    <w:jc w:val="center"/>
                    <w:rPr>
                      <w:rFonts w:hint="eastAsia" w:ascii="宋体" w:hAnsi="宋体" w:cs="宋体"/>
                      <w:color w:val="auto"/>
                      <w:sz w:val="21"/>
                      <w:szCs w:val="21"/>
                    </w:rPr>
                  </w:pPr>
                </w:p>
              </w:tc>
              <w:tc>
                <w:tcPr>
                  <w:tcW w:w="340" w:type="pct"/>
                  <w:vMerge w:val="continue"/>
                  <w:shd w:val="clear" w:color="auto" w:fill="auto"/>
                  <w:vAlign w:val="center"/>
                </w:tcPr>
                <w:p w14:paraId="5D70842C">
                  <w:pPr>
                    <w:keepNext w:val="0"/>
                    <w:keepLines w:val="0"/>
                    <w:widowControl/>
                    <w:suppressLineNumbers w:val="0"/>
                    <w:spacing w:before="0" w:beforeAutospacing="0" w:after="0" w:afterAutospacing="0" w:line="240" w:lineRule="auto"/>
                    <w:ind w:left="0" w:right="0" w:firstLine="0" w:firstLineChars="0"/>
                    <w:jc w:val="center"/>
                    <w:rPr>
                      <w:rFonts w:hint="eastAsia" w:ascii="宋体" w:hAnsi="宋体" w:cs="宋体"/>
                      <w:color w:val="auto"/>
                      <w:sz w:val="21"/>
                      <w:szCs w:val="21"/>
                    </w:rPr>
                  </w:pPr>
                </w:p>
              </w:tc>
              <w:tc>
                <w:tcPr>
                  <w:tcW w:w="339" w:type="pct"/>
                  <w:vMerge w:val="continue"/>
                  <w:shd w:val="clear" w:color="auto" w:fill="auto"/>
                  <w:vAlign w:val="center"/>
                </w:tcPr>
                <w:p w14:paraId="18B6242A">
                  <w:pPr>
                    <w:keepNext w:val="0"/>
                    <w:keepLines w:val="0"/>
                    <w:widowControl/>
                    <w:suppressLineNumbers w:val="0"/>
                    <w:spacing w:before="0" w:beforeAutospacing="0" w:after="0" w:afterAutospacing="0" w:line="240" w:lineRule="auto"/>
                    <w:ind w:left="0" w:right="0" w:firstLine="0" w:firstLineChars="0"/>
                    <w:jc w:val="center"/>
                    <w:rPr>
                      <w:rFonts w:hint="eastAsia" w:ascii="宋体" w:hAnsi="宋体" w:cs="宋体"/>
                      <w:color w:val="auto"/>
                      <w:sz w:val="21"/>
                      <w:szCs w:val="21"/>
                    </w:rPr>
                  </w:pPr>
                </w:p>
              </w:tc>
            </w:tr>
          </w:tbl>
          <w:p w14:paraId="4F89167E">
            <w:pPr>
              <w:pStyle w:val="2"/>
              <w:keepNext w:val="0"/>
              <w:keepLines w:val="0"/>
              <w:suppressLineNumbers w:val="0"/>
              <w:spacing w:before="0" w:beforeAutospacing="0" w:after="0" w:afterAutospacing="0"/>
              <w:ind w:left="0" w:right="0" w:firstLine="0" w:firstLineChars="0"/>
              <w:rPr>
                <w:rFonts w:hint="default"/>
                <w:color w:val="auto"/>
              </w:rPr>
            </w:pPr>
          </w:p>
          <w:p w14:paraId="6B1B0A49">
            <w:pPr>
              <w:pStyle w:val="2"/>
              <w:keepNext w:val="0"/>
              <w:keepLines w:val="0"/>
              <w:suppressLineNumbers w:val="0"/>
              <w:spacing w:before="0" w:beforeAutospacing="0" w:after="0" w:afterAutospacing="0"/>
              <w:ind w:left="0" w:right="0" w:firstLine="0" w:firstLineChars="0"/>
              <w:rPr>
                <w:rFonts w:hint="default"/>
                <w:color w:val="auto"/>
              </w:rPr>
            </w:pPr>
          </w:p>
          <w:p w14:paraId="49977AEE">
            <w:pPr>
              <w:pStyle w:val="2"/>
              <w:keepNext w:val="0"/>
              <w:keepLines w:val="0"/>
              <w:suppressLineNumbers w:val="0"/>
              <w:spacing w:before="0" w:beforeAutospacing="0" w:after="0" w:afterAutospacing="0"/>
              <w:ind w:left="0" w:right="0" w:firstLine="0" w:firstLineChars="0"/>
              <w:rPr>
                <w:rFonts w:hint="default"/>
                <w:color w:val="auto"/>
              </w:rPr>
            </w:pPr>
          </w:p>
          <w:p w14:paraId="7A8BDBE0">
            <w:pPr>
              <w:pStyle w:val="2"/>
              <w:keepNext w:val="0"/>
              <w:keepLines w:val="0"/>
              <w:suppressLineNumbers w:val="0"/>
              <w:spacing w:before="0" w:beforeAutospacing="0" w:after="0" w:afterAutospacing="0"/>
              <w:ind w:left="0" w:right="0" w:firstLine="0" w:firstLineChars="0"/>
              <w:rPr>
                <w:rFonts w:hint="default"/>
                <w:color w:val="auto"/>
              </w:rPr>
            </w:pPr>
          </w:p>
          <w:p w14:paraId="64FA1CE6">
            <w:pPr>
              <w:pStyle w:val="2"/>
              <w:keepNext w:val="0"/>
              <w:keepLines w:val="0"/>
              <w:suppressLineNumbers w:val="0"/>
              <w:spacing w:before="0" w:beforeAutospacing="0" w:after="0" w:afterAutospacing="0"/>
              <w:ind w:left="0" w:right="0" w:firstLine="0" w:firstLineChars="0"/>
              <w:rPr>
                <w:rFonts w:hint="default"/>
                <w:color w:val="auto"/>
              </w:rPr>
            </w:pPr>
          </w:p>
          <w:p w14:paraId="5AFCCBAE">
            <w:pPr>
              <w:pStyle w:val="2"/>
              <w:keepNext w:val="0"/>
              <w:keepLines w:val="0"/>
              <w:suppressLineNumbers w:val="0"/>
              <w:spacing w:before="0" w:beforeAutospacing="0" w:after="0" w:afterAutospacing="0"/>
              <w:ind w:left="0" w:right="0" w:firstLine="0" w:firstLineChars="0"/>
              <w:rPr>
                <w:rFonts w:hint="default"/>
                <w:color w:val="auto"/>
              </w:rPr>
            </w:pPr>
          </w:p>
          <w:p w14:paraId="4549439A">
            <w:pPr>
              <w:pStyle w:val="2"/>
              <w:keepNext w:val="0"/>
              <w:keepLines w:val="0"/>
              <w:suppressLineNumbers w:val="0"/>
              <w:spacing w:before="0" w:beforeAutospacing="0" w:after="0" w:afterAutospacing="0"/>
              <w:ind w:left="0" w:right="0" w:firstLine="0" w:firstLineChars="0"/>
              <w:rPr>
                <w:rFonts w:hint="default"/>
                <w:color w:val="auto"/>
              </w:rPr>
            </w:pPr>
          </w:p>
          <w:p w14:paraId="4036CCC9">
            <w:pPr>
              <w:pStyle w:val="2"/>
              <w:keepNext w:val="0"/>
              <w:keepLines w:val="0"/>
              <w:suppressLineNumbers w:val="0"/>
              <w:spacing w:before="0" w:beforeAutospacing="0" w:after="0" w:afterAutospacing="0"/>
              <w:ind w:left="0" w:right="0" w:firstLine="0" w:firstLineChars="0"/>
              <w:rPr>
                <w:rFonts w:hint="default"/>
                <w:color w:val="auto"/>
              </w:rPr>
            </w:pPr>
          </w:p>
        </w:tc>
      </w:tr>
    </w:tbl>
    <w:p w14:paraId="1AF70E16">
      <w:pPr>
        <w:pStyle w:val="2"/>
        <w:ind w:firstLine="0" w:firstLineChars="0"/>
        <w:sectPr>
          <w:pgSz w:w="16838" w:h="11906" w:orient="landscape"/>
          <w:pgMar w:top="1800" w:right="1440" w:bottom="1800" w:left="1440" w:header="851" w:footer="992" w:gutter="0"/>
          <w:cols w:space="425" w:num="1"/>
          <w:docGrid w:type="lines"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7976"/>
      </w:tblGrid>
      <w:tr w14:paraId="79E21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tcPr>
          <w:p w14:paraId="4AC15CBB">
            <w:pPr>
              <w:pStyle w:val="2"/>
              <w:keepNext w:val="0"/>
              <w:keepLines w:val="0"/>
              <w:suppressLineNumbers w:val="0"/>
              <w:spacing w:before="0" w:beforeAutospacing="0" w:after="0" w:afterAutospacing="0"/>
              <w:ind w:left="0" w:right="0" w:firstLine="480"/>
              <w:rPr>
                <w:rFonts w:hint="default"/>
                <w:color w:val="auto"/>
              </w:rPr>
            </w:pPr>
          </w:p>
        </w:tc>
        <w:tc>
          <w:tcPr>
            <w:tcW w:w="7976" w:type="dxa"/>
          </w:tcPr>
          <w:p w14:paraId="67897925">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3、废水排放口基本情况</w:t>
            </w:r>
          </w:p>
          <w:p w14:paraId="078F2D00">
            <w:pPr>
              <w:pStyle w:val="2"/>
              <w:keepNext w:val="0"/>
              <w:keepLines w:val="0"/>
              <w:suppressLineNumbers w:val="0"/>
              <w:spacing w:before="0" w:beforeAutospacing="0" w:after="0" w:afterAutospacing="0"/>
              <w:ind w:left="0" w:right="0" w:firstLine="0" w:firstLineChars="0"/>
              <w:jc w:val="center"/>
              <w:rPr>
                <w:rFonts w:hint="default"/>
                <w:color w:val="auto"/>
              </w:rPr>
            </w:pPr>
            <w:r>
              <w:rPr>
                <w:rFonts w:hint="default" w:eastAsia="黑体" w:cs="Times New Roman"/>
                <w:color w:val="auto"/>
                <w:szCs w:val="24"/>
              </w:rPr>
              <w:t>表4-</w:t>
            </w:r>
            <w:r>
              <w:rPr>
                <w:rFonts w:hint="eastAsia" w:eastAsia="黑体" w:cs="Times New Roman"/>
                <w:color w:val="auto"/>
                <w:szCs w:val="24"/>
                <w:lang w:val="en-US" w:eastAsia="zh-CN"/>
              </w:rPr>
              <w:t>4</w:t>
            </w:r>
            <w:r>
              <w:rPr>
                <w:rFonts w:hint="default" w:eastAsia="黑体" w:cs="Times New Roman"/>
                <w:color w:val="auto"/>
                <w:szCs w:val="24"/>
              </w:rPr>
              <w:t xml:space="preserve">  </w:t>
            </w:r>
            <w:r>
              <w:rPr>
                <w:rFonts w:hint="eastAsia" w:eastAsia="黑体" w:cs="Times New Roman"/>
                <w:color w:val="auto"/>
                <w:szCs w:val="24"/>
              </w:rPr>
              <w:t>本项目废水排放口基本情况</w:t>
            </w:r>
          </w:p>
          <w:tbl>
            <w:tblPr>
              <w:tblStyle w:val="22"/>
              <w:tblW w:w="499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6"/>
              <w:gridCol w:w="1532"/>
              <w:gridCol w:w="1633"/>
              <w:gridCol w:w="1585"/>
              <w:gridCol w:w="1884"/>
            </w:tblGrid>
            <w:tr w14:paraId="55BC3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720" w:type="pct"/>
                  <w:vMerge w:val="restart"/>
                  <w:tcBorders>
                    <w:bottom w:val="nil"/>
                  </w:tcBorders>
                  <w:vAlign w:val="center"/>
                </w:tcPr>
                <w:p w14:paraId="71250717">
                  <w:pPr>
                    <w:spacing w:line="240" w:lineRule="auto"/>
                    <w:ind w:firstLine="0" w:firstLineChars="0"/>
                    <w:jc w:val="center"/>
                    <w:rPr>
                      <w:color w:val="auto"/>
                      <w:sz w:val="21"/>
                      <w:szCs w:val="21"/>
                    </w:rPr>
                  </w:pPr>
                  <w:r>
                    <w:rPr>
                      <w:color w:val="auto"/>
                      <w:spacing w:val="3"/>
                      <w:sz w:val="21"/>
                      <w:szCs w:val="21"/>
                    </w:rPr>
                    <w:t>编号</w:t>
                  </w:r>
                </w:p>
              </w:tc>
              <w:tc>
                <w:tcPr>
                  <w:tcW w:w="988" w:type="pct"/>
                  <w:vMerge w:val="restart"/>
                  <w:tcBorders>
                    <w:bottom w:val="nil"/>
                  </w:tcBorders>
                  <w:vAlign w:val="center"/>
                </w:tcPr>
                <w:p w14:paraId="19B28719">
                  <w:pPr>
                    <w:spacing w:line="240" w:lineRule="auto"/>
                    <w:ind w:firstLine="0" w:firstLineChars="0"/>
                    <w:jc w:val="center"/>
                    <w:rPr>
                      <w:color w:val="auto"/>
                      <w:sz w:val="21"/>
                      <w:szCs w:val="21"/>
                    </w:rPr>
                  </w:pPr>
                  <w:r>
                    <w:rPr>
                      <w:color w:val="auto"/>
                      <w:spacing w:val="3"/>
                      <w:sz w:val="21"/>
                      <w:szCs w:val="21"/>
                    </w:rPr>
                    <w:t>名称</w:t>
                  </w:r>
                </w:p>
              </w:tc>
              <w:tc>
                <w:tcPr>
                  <w:tcW w:w="2075" w:type="pct"/>
                  <w:gridSpan w:val="2"/>
                  <w:vAlign w:val="center"/>
                </w:tcPr>
                <w:p w14:paraId="3AF8DC58">
                  <w:pPr>
                    <w:spacing w:line="240" w:lineRule="auto"/>
                    <w:ind w:firstLine="0" w:firstLineChars="0"/>
                    <w:jc w:val="center"/>
                    <w:rPr>
                      <w:color w:val="auto"/>
                      <w:sz w:val="21"/>
                      <w:szCs w:val="21"/>
                    </w:rPr>
                  </w:pPr>
                  <w:r>
                    <w:rPr>
                      <w:color w:val="auto"/>
                      <w:spacing w:val="4"/>
                      <w:sz w:val="21"/>
                      <w:szCs w:val="21"/>
                    </w:rPr>
                    <w:t>坐标</w:t>
                  </w:r>
                </w:p>
              </w:tc>
              <w:tc>
                <w:tcPr>
                  <w:tcW w:w="1215" w:type="pct"/>
                  <w:vMerge w:val="restart"/>
                  <w:tcBorders>
                    <w:bottom w:val="nil"/>
                  </w:tcBorders>
                  <w:vAlign w:val="center"/>
                </w:tcPr>
                <w:p w14:paraId="1D4826CA">
                  <w:pPr>
                    <w:spacing w:line="240" w:lineRule="auto"/>
                    <w:ind w:firstLine="0" w:firstLineChars="0"/>
                    <w:jc w:val="center"/>
                    <w:rPr>
                      <w:color w:val="auto"/>
                      <w:sz w:val="21"/>
                      <w:szCs w:val="21"/>
                    </w:rPr>
                  </w:pPr>
                  <w:r>
                    <w:rPr>
                      <w:color w:val="auto"/>
                      <w:spacing w:val="4"/>
                      <w:sz w:val="21"/>
                      <w:szCs w:val="21"/>
                    </w:rPr>
                    <w:t>类型</w:t>
                  </w:r>
                </w:p>
              </w:tc>
            </w:tr>
            <w:tr w14:paraId="0681CE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720" w:type="pct"/>
                  <w:vMerge w:val="continue"/>
                  <w:tcBorders>
                    <w:top w:val="nil"/>
                  </w:tcBorders>
                  <w:vAlign w:val="center"/>
                </w:tcPr>
                <w:p w14:paraId="3BD0A5D1">
                  <w:pPr>
                    <w:spacing w:line="240" w:lineRule="auto"/>
                    <w:ind w:firstLine="0" w:firstLineChars="0"/>
                    <w:jc w:val="center"/>
                    <w:rPr>
                      <w:rFonts w:ascii="Arial"/>
                      <w:color w:val="auto"/>
                      <w:sz w:val="21"/>
                      <w:szCs w:val="21"/>
                    </w:rPr>
                  </w:pPr>
                </w:p>
              </w:tc>
              <w:tc>
                <w:tcPr>
                  <w:tcW w:w="988" w:type="pct"/>
                  <w:vMerge w:val="continue"/>
                  <w:tcBorders>
                    <w:top w:val="nil"/>
                  </w:tcBorders>
                  <w:vAlign w:val="center"/>
                </w:tcPr>
                <w:p w14:paraId="5762F31B">
                  <w:pPr>
                    <w:spacing w:line="240" w:lineRule="auto"/>
                    <w:ind w:firstLine="0" w:firstLineChars="0"/>
                    <w:jc w:val="center"/>
                    <w:rPr>
                      <w:rFonts w:ascii="Arial"/>
                      <w:color w:val="auto"/>
                      <w:sz w:val="21"/>
                      <w:szCs w:val="21"/>
                    </w:rPr>
                  </w:pPr>
                </w:p>
              </w:tc>
              <w:tc>
                <w:tcPr>
                  <w:tcW w:w="1053" w:type="pct"/>
                  <w:vAlign w:val="center"/>
                </w:tcPr>
                <w:p w14:paraId="1AD8E3A7">
                  <w:pPr>
                    <w:spacing w:line="240" w:lineRule="auto"/>
                    <w:ind w:firstLine="0" w:firstLineChars="0"/>
                    <w:jc w:val="center"/>
                    <w:rPr>
                      <w:color w:val="auto"/>
                      <w:sz w:val="21"/>
                      <w:szCs w:val="21"/>
                    </w:rPr>
                  </w:pPr>
                  <w:r>
                    <w:rPr>
                      <w:color w:val="auto"/>
                      <w:spacing w:val="3"/>
                      <w:sz w:val="21"/>
                      <w:szCs w:val="21"/>
                    </w:rPr>
                    <w:t>经度</w:t>
                  </w:r>
                </w:p>
              </w:tc>
              <w:tc>
                <w:tcPr>
                  <w:tcW w:w="1022" w:type="pct"/>
                  <w:vAlign w:val="center"/>
                </w:tcPr>
                <w:p w14:paraId="26BEF19D">
                  <w:pPr>
                    <w:spacing w:line="240" w:lineRule="auto"/>
                    <w:ind w:firstLine="0" w:firstLineChars="0"/>
                    <w:jc w:val="center"/>
                    <w:rPr>
                      <w:color w:val="auto"/>
                      <w:sz w:val="21"/>
                      <w:szCs w:val="21"/>
                    </w:rPr>
                  </w:pPr>
                  <w:r>
                    <w:rPr>
                      <w:color w:val="auto"/>
                      <w:spacing w:val="4"/>
                      <w:sz w:val="21"/>
                      <w:szCs w:val="21"/>
                    </w:rPr>
                    <w:t>纬度</w:t>
                  </w:r>
                </w:p>
              </w:tc>
              <w:tc>
                <w:tcPr>
                  <w:tcW w:w="1215" w:type="pct"/>
                  <w:vMerge w:val="continue"/>
                  <w:tcBorders>
                    <w:top w:val="nil"/>
                  </w:tcBorders>
                  <w:vAlign w:val="center"/>
                </w:tcPr>
                <w:p w14:paraId="63BA2CC2">
                  <w:pPr>
                    <w:spacing w:line="240" w:lineRule="auto"/>
                    <w:ind w:firstLine="0" w:firstLineChars="0"/>
                    <w:jc w:val="center"/>
                    <w:rPr>
                      <w:rFonts w:ascii="Arial"/>
                      <w:color w:val="auto"/>
                      <w:sz w:val="21"/>
                      <w:szCs w:val="21"/>
                    </w:rPr>
                  </w:pPr>
                </w:p>
              </w:tc>
            </w:tr>
            <w:tr w14:paraId="0A6D5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720" w:type="pct"/>
                  <w:vAlign w:val="center"/>
                </w:tcPr>
                <w:p w14:paraId="40907DBB">
                  <w:pPr>
                    <w:spacing w:line="240" w:lineRule="auto"/>
                    <w:ind w:firstLine="0" w:firstLineChars="0"/>
                    <w:jc w:val="center"/>
                    <w:rPr>
                      <w:rFonts w:hint="default" w:eastAsia="宋体" w:cs="Times New Roman"/>
                      <w:color w:val="auto"/>
                      <w:sz w:val="21"/>
                      <w:szCs w:val="21"/>
                      <w:lang w:val="en-US" w:eastAsia="zh-CN"/>
                    </w:rPr>
                  </w:pPr>
                  <w:r>
                    <w:rPr>
                      <w:rFonts w:hint="eastAsia" w:cs="Times New Roman"/>
                      <w:color w:val="auto"/>
                      <w:sz w:val="21"/>
                      <w:szCs w:val="21"/>
                      <w:lang w:val="en-US" w:eastAsia="zh-CN"/>
                    </w:rPr>
                    <w:t>DW001</w:t>
                  </w:r>
                </w:p>
              </w:tc>
              <w:tc>
                <w:tcPr>
                  <w:tcW w:w="988" w:type="pct"/>
                  <w:vAlign w:val="center"/>
                </w:tcPr>
                <w:p w14:paraId="4A161247">
                  <w:pPr>
                    <w:spacing w:line="240" w:lineRule="auto"/>
                    <w:ind w:firstLine="0" w:firstLineChars="0"/>
                    <w:jc w:val="center"/>
                    <w:rPr>
                      <w:rFonts w:hint="default" w:eastAsia="宋体"/>
                      <w:color w:val="auto"/>
                      <w:spacing w:val="8"/>
                      <w:sz w:val="21"/>
                      <w:szCs w:val="21"/>
                      <w:lang w:val="en-US" w:eastAsia="zh-CN"/>
                    </w:rPr>
                  </w:pPr>
                  <w:r>
                    <w:rPr>
                      <w:rFonts w:hint="eastAsia"/>
                      <w:color w:val="auto"/>
                      <w:spacing w:val="8"/>
                      <w:sz w:val="21"/>
                      <w:szCs w:val="21"/>
                      <w:lang w:val="en-US" w:eastAsia="zh-CN"/>
                    </w:rPr>
                    <w:t>综合废水排放口</w:t>
                  </w:r>
                </w:p>
              </w:tc>
              <w:tc>
                <w:tcPr>
                  <w:tcW w:w="1053" w:type="pct"/>
                  <w:vAlign w:val="center"/>
                </w:tcPr>
                <w:p w14:paraId="56F14498">
                  <w:pPr>
                    <w:widowControl/>
                    <w:spacing w:line="240" w:lineRule="auto"/>
                    <w:ind w:firstLine="0" w:firstLineChars="0"/>
                    <w:jc w:val="center"/>
                    <w:textAlignment w:val="center"/>
                    <w:rPr>
                      <w:rFonts w:hint="default" w:eastAsia="宋体" w:cs="Times New Roman"/>
                      <w:color w:val="auto"/>
                      <w:sz w:val="21"/>
                      <w:szCs w:val="21"/>
                      <w:lang w:val="en-US" w:eastAsia="zh-CN"/>
                    </w:rPr>
                  </w:pPr>
                  <w:r>
                    <w:rPr>
                      <w:rFonts w:cs="Times New Roman"/>
                      <w:color w:val="auto"/>
                      <w:sz w:val="21"/>
                      <w:szCs w:val="21"/>
                    </w:rPr>
                    <w:t>120.101</w:t>
                  </w:r>
                  <w:r>
                    <w:rPr>
                      <w:rFonts w:hint="eastAsia" w:cs="Times New Roman"/>
                      <w:color w:val="auto"/>
                      <w:sz w:val="21"/>
                      <w:szCs w:val="21"/>
                      <w:lang w:val="en-US" w:eastAsia="zh-CN"/>
                    </w:rPr>
                    <w:t>440</w:t>
                  </w:r>
                </w:p>
              </w:tc>
              <w:tc>
                <w:tcPr>
                  <w:tcW w:w="1022" w:type="pct"/>
                  <w:vAlign w:val="center"/>
                </w:tcPr>
                <w:p w14:paraId="38891E14">
                  <w:pPr>
                    <w:widowControl/>
                    <w:spacing w:line="240" w:lineRule="auto"/>
                    <w:ind w:firstLine="0" w:firstLineChars="0"/>
                    <w:jc w:val="center"/>
                    <w:textAlignment w:val="center"/>
                    <w:rPr>
                      <w:rFonts w:hint="default" w:eastAsia="宋体" w:cs="Times New Roman"/>
                      <w:color w:val="auto"/>
                      <w:sz w:val="21"/>
                      <w:szCs w:val="21"/>
                      <w:lang w:val="en-US" w:eastAsia="zh-CN"/>
                    </w:rPr>
                  </w:pPr>
                  <w:r>
                    <w:rPr>
                      <w:rFonts w:cs="Times New Roman"/>
                      <w:color w:val="auto"/>
                      <w:sz w:val="21"/>
                      <w:szCs w:val="21"/>
                    </w:rPr>
                    <w:t>30.426</w:t>
                  </w:r>
                  <w:r>
                    <w:rPr>
                      <w:rFonts w:hint="eastAsia" w:cs="Times New Roman"/>
                      <w:color w:val="auto"/>
                      <w:sz w:val="21"/>
                      <w:szCs w:val="21"/>
                      <w:lang w:val="en-US" w:eastAsia="zh-CN"/>
                    </w:rPr>
                    <w:t>832</w:t>
                  </w:r>
                </w:p>
              </w:tc>
              <w:tc>
                <w:tcPr>
                  <w:tcW w:w="1215" w:type="pct"/>
                  <w:vAlign w:val="center"/>
                </w:tcPr>
                <w:p w14:paraId="4332A108">
                  <w:pPr>
                    <w:spacing w:line="240" w:lineRule="auto"/>
                    <w:ind w:firstLine="0" w:firstLineChars="0"/>
                    <w:jc w:val="center"/>
                    <w:rPr>
                      <w:color w:val="auto"/>
                      <w:spacing w:val="7"/>
                      <w:sz w:val="21"/>
                      <w:szCs w:val="21"/>
                    </w:rPr>
                  </w:pPr>
                  <w:r>
                    <w:rPr>
                      <w:color w:val="auto"/>
                      <w:spacing w:val="7"/>
                      <w:sz w:val="21"/>
                      <w:szCs w:val="21"/>
                    </w:rPr>
                    <w:t>一般排放口</w:t>
                  </w:r>
                </w:p>
              </w:tc>
            </w:tr>
          </w:tbl>
          <w:p w14:paraId="745871A7">
            <w:pPr>
              <w:pStyle w:val="2"/>
              <w:keepNext w:val="0"/>
              <w:keepLines w:val="0"/>
              <w:suppressLineNumbers w:val="0"/>
              <w:spacing w:before="0" w:beforeAutospacing="0" w:after="0" w:afterAutospacing="0" w:line="240" w:lineRule="auto"/>
              <w:ind w:left="0" w:right="0" w:firstLine="0" w:firstLineChars="0"/>
              <w:rPr>
                <w:rFonts w:hint="default"/>
                <w:color w:val="auto"/>
                <w:sz w:val="18"/>
                <w:szCs w:val="18"/>
              </w:rPr>
            </w:pPr>
          </w:p>
          <w:p w14:paraId="24958F68">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4、废水监测要求</w:t>
            </w:r>
          </w:p>
          <w:p w14:paraId="0D055E30">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eastAsia"/>
                <w:color w:val="auto"/>
                <w:lang w:val="en-US" w:eastAsia="zh-CN"/>
              </w:rPr>
              <w:t>本项目参照《排污单位自行监测技术指南总则》(HJ819-2017)</w:t>
            </w:r>
            <w:r>
              <w:rPr>
                <w:rFonts w:hint="default"/>
                <w:color w:val="auto"/>
              </w:rPr>
              <w:t>中的监测要求，</w:t>
            </w:r>
            <w:r>
              <w:rPr>
                <w:rFonts w:hint="eastAsia"/>
                <w:color w:val="auto"/>
                <w:lang w:val="en-US" w:eastAsia="zh-CN"/>
              </w:rPr>
              <w:t>建议</w:t>
            </w:r>
            <w:r>
              <w:rPr>
                <w:rFonts w:hint="default"/>
                <w:color w:val="auto"/>
              </w:rPr>
              <w:t>废水监测计划如下表4-</w:t>
            </w:r>
            <w:r>
              <w:rPr>
                <w:rFonts w:hint="eastAsia"/>
                <w:color w:val="auto"/>
                <w:lang w:val="en-US" w:eastAsia="zh-CN"/>
              </w:rPr>
              <w:t>5</w:t>
            </w:r>
            <w:r>
              <w:rPr>
                <w:rFonts w:hint="default"/>
                <w:color w:val="auto"/>
              </w:rPr>
              <w:t>。</w:t>
            </w:r>
          </w:p>
          <w:p w14:paraId="11CB8D78">
            <w:pPr>
              <w:pStyle w:val="2"/>
              <w:keepNext w:val="0"/>
              <w:keepLines w:val="0"/>
              <w:suppressLineNumbers w:val="0"/>
              <w:spacing w:before="0" w:beforeAutospacing="0" w:after="0" w:afterAutospacing="0"/>
              <w:ind w:left="0" w:right="0" w:firstLine="0" w:firstLineChars="0"/>
              <w:jc w:val="center"/>
              <w:rPr>
                <w:rFonts w:hint="default"/>
                <w:color w:val="auto"/>
              </w:rPr>
            </w:pPr>
            <w:r>
              <w:rPr>
                <w:rFonts w:hint="default" w:eastAsia="黑体" w:cs="Times New Roman"/>
                <w:color w:val="auto"/>
                <w:szCs w:val="24"/>
              </w:rPr>
              <w:t>表4-</w:t>
            </w:r>
            <w:r>
              <w:rPr>
                <w:rFonts w:hint="eastAsia" w:eastAsia="黑体" w:cs="Times New Roman"/>
                <w:color w:val="auto"/>
                <w:szCs w:val="24"/>
                <w:lang w:val="en-US" w:eastAsia="zh-CN"/>
              </w:rPr>
              <w:t>5</w:t>
            </w:r>
            <w:r>
              <w:rPr>
                <w:rFonts w:hint="default" w:eastAsia="黑体" w:cs="Times New Roman"/>
                <w:color w:val="auto"/>
                <w:szCs w:val="24"/>
              </w:rPr>
              <w:t xml:space="preserve">  </w:t>
            </w:r>
            <w:r>
              <w:rPr>
                <w:rFonts w:hint="eastAsia" w:eastAsia="黑体" w:cs="Times New Roman"/>
                <w:color w:val="auto"/>
                <w:szCs w:val="24"/>
              </w:rPr>
              <w:t>本项目废水监测要求</w:t>
            </w:r>
          </w:p>
          <w:tbl>
            <w:tblPr>
              <w:tblStyle w:val="22"/>
              <w:tblW w:w="499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08"/>
              <w:gridCol w:w="4953"/>
              <w:gridCol w:w="1288"/>
            </w:tblGrid>
            <w:tr w14:paraId="29554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973" w:type="pct"/>
                  <w:vAlign w:val="center"/>
                </w:tcPr>
                <w:p w14:paraId="55203883">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监测点位</w:t>
                  </w:r>
                </w:p>
              </w:tc>
              <w:tc>
                <w:tcPr>
                  <w:tcW w:w="3195" w:type="pct"/>
                  <w:vAlign w:val="center"/>
                </w:tcPr>
                <w:p w14:paraId="15C69037">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监测因子</w:t>
                  </w:r>
                </w:p>
              </w:tc>
              <w:tc>
                <w:tcPr>
                  <w:tcW w:w="831" w:type="pct"/>
                  <w:vAlign w:val="center"/>
                </w:tcPr>
                <w:p w14:paraId="66595F42">
                  <w:pPr>
                    <w:spacing w:line="240" w:lineRule="auto"/>
                    <w:ind w:firstLine="0" w:firstLineChars="0"/>
                    <w:jc w:val="center"/>
                    <w:rPr>
                      <w:rFonts w:eastAsia="Times New Roman" w:cs="Times New Roman"/>
                      <w:color w:val="auto"/>
                      <w:sz w:val="21"/>
                      <w:szCs w:val="21"/>
                    </w:rPr>
                  </w:pPr>
                  <w:r>
                    <w:rPr>
                      <w:rFonts w:hint="eastAsia" w:cs="Times New Roman"/>
                      <w:color w:val="auto"/>
                      <w:sz w:val="21"/>
                      <w:szCs w:val="21"/>
                      <w:lang w:val="en-US" w:eastAsia="zh-CN"/>
                    </w:rPr>
                    <w:t>监测</w:t>
                  </w:r>
                  <w:r>
                    <w:rPr>
                      <w:rFonts w:eastAsia="Times New Roman" w:cs="Times New Roman"/>
                      <w:color w:val="auto"/>
                      <w:sz w:val="21"/>
                      <w:szCs w:val="21"/>
                    </w:rPr>
                    <w:t>频次</w:t>
                  </w:r>
                </w:p>
              </w:tc>
            </w:tr>
            <w:tr w14:paraId="76B97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973" w:type="pct"/>
                  <w:vAlign w:val="center"/>
                </w:tcPr>
                <w:p w14:paraId="4BD37317">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废水排放口</w:t>
                  </w:r>
                </w:p>
              </w:tc>
              <w:tc>
                <w:tcPr>
                  <w:tcW w:w="3195" w:type="pct"/>
                  <w:vAlign w:val="center"/>
                </w:tcPr>
                <w:p w14:paraId="050498B8">
                  <w:pPr>
                    <w:spacing w:line="240" w:lineRule="auto"/>
                    <w:ind w:firstLine="0" w:firstLineChars="0"/>
                    <w:jc w:val="center"/>
                    <w:rPr>
                      <w:rFonts w:hint="default" w:eastAsia="宋体" w:cs="Times New Roman"/>
                      <w:color w:val="auto"/>
                      <w:sz w:val="21"/>
                      <w:szCs w:val="21"/>
                      <w:lang w:val="en-US" w:eastAsia="zh-CN"/>
                    </w:rPr>
                  </w:pPr>
                  <w:r>
                    <w:rPr>
                      <w:rFonts w:eastAsia="Times New Roman" w:cs="Times New Roman"/>
                      <w:color w:val="auto"/>
                      <w:sz w:val="21"/>
                      <w:szCs w:val="21"/>
                    </w:rPr>
                    <w:t>流量、pH值、</w:t>
                  </w:r>
                  <w:r>
                    <w:rPr>
                      <w:rFonts w:hint="eastAsia" w:eastAsia="宋体" w:cs="Times New Roman"/>
                      <w:color w:val="auto"/>
                      <w:sz w:val="21"/>
                      <w:szCs w:val="21"/>
                      <w:lang w:val="en-US" w:eastAsia="zh-CN"/>
                    </w:rPr>
                    <w:t>CODcr</w:t>
                  </w:r>
                  <w:r>
                    <w:rPr>
                      <w:rFonts w:eastAsia="Times New Roman" w:cs="Times New Roman"/>
                      <w:color w:val="auto"/>
                      <w:sz w:val="21"/>
                      <w:szCs w:val="21"/>
                    </w:rPr>
                    <w:t>、氨氮、</w:t>
                  </w:r>
                  <w:r>
                    <w:rPr>
                      <w:rFonts w:hint="eastAsia" w:eastAsia="宋体" w:cs="Times New Roman"/>
                      <w:color w:val="auto"/>
                      <w:sz w:val="21"/>
                      <w:szCs w:val="21"/>
                      <w:lang w:val="en-US" w:eastAsia="zh-CN"/>
                    </w:rPr>
                    <w:t>SS</w:t>
                  </w:r>
                  <w:r>
                    <w:rPr>
                      <w:rFonts w:eastAsia="Times New Roman" w:cs="Times New Roman"/>
                      <w:color w:val="auto"/>
                      <w:sz w:val="21"/>
                      <w:szCs w:val="21"/>
                    </w:rPr>
                    <w:t>、</w:t>
                  </w:r>
                  <w:r>
                    <w:rPr>
                      <w:rFonts w:hint="eastAsia" w:eastAsia="宋体" w:cs="Times New Roman"/>
                      <w:color w:val="auto"/>
                      <w:sz w:val="21"/>
                      <w:szCs w:val="21"/>
                      <w:lang w:val="en-US" w:eastAsia="zh-CN"/>
                    </w:rPr>
                    <w:t>BOD5、粪大肠杆菌</w:t>
                  </w:r>
                </w:p>
              </w:tc>
              <w:tc>
                <w:tcPr>
                  <w:tcW w:w="831" w:type="pct"/>
                  <w:vAlign w:val="center"/>
                </w:tcPr>
                <w:p w14:paraId="40D295EF">
                  <w:pPr>
                    <w:spacing w:line="240" w:lineRule="auto"/>
                    <w:ind w:firstLine="0" w:firstLineChars="0"/>
                    <w:jc w:val="center"/>
                    <w:rPr>
                      <w:rFonts w:eastAsia="Times New Roman" w:cs="Times New Roman"/>
                      <w:color w:val="auto"/>
                      <w:sz w:val="21"/>
                      <w:szCs w:val="21"/>
                    </w:rPr>
                  </w:pPr>
                  <w:r>
                    <w:rPr>
                      <w:rFonts w:eastAsia="Times New Roman" w:cs="Times New Roman"/>
                      <w:color w:val="auto"/>
                      <w:sz w:val="21"/>
                      <w:szCs w:val="21"/>
                    </w:rPr>
                    <w:t>1次/年</w:t>
                  </w:r>
                </w:p>
              </w:tc>
            </w:tr>
          </w:tbl>
          <w:p w14:paraId="1C237FC6">
            <w:pPr>
              <w:pStyle w:val="2"/>
              <w:keepNext w:val="0"/>
              <w:keepLines w:val="0"/>
              <w:suppressLineNumbers w:val="0"/>
              <w:spacing w:before="0" w:beforeAutospacing="0" w:after="0" w:afterAutospacing="0" w:line="240" w:lineRule="auto"/>
              <w:ind w:left="0" w:right="0" w:firstLine="0" w:firstLineChars="0"/>
              <w:rPr>
                <w:rFonts w:hint="default"/>
                <w:color w:val="auto"/>
                <w:sz w:val="18"/>
                <w:szCs w:val="18"/>
              </w:rPr>
            </w:pPr>
          </w:p>
          <w:p w14:paraId="7699C245">
            <w:pPr>
              <w:keepNext w:val="0"/>
              <w:keepLines w:val="0"/>
              <w:suppressLineNumbers w:val="0"/>
              <w:bidi w:val="0"/>
              <w:spacing w:before="0" w:beforeAutospacing="0" w:after="0" w:afterAutospacing="0"/>
              <w:ind w:left="0" w:right="0"/>
              <w:rPr>
                <w:rFonts w:hint="default"/>
                <w:color w:val="auto"/>
              </w:rPr>
            </w:pPr>
            <w:r>
              <w:rPr>
                <w:rFonts w:hint="eastAsia"/>
                <w:color w:val="auto"/>
                <w:lang w:val="en-US" w:eastAsia="zh-CN"/>
              </w:rPr>
              <w:t>5、</w:t>
            </w:r>
            <w:r>
              <w:rPr>
                <w:rFonts w:hint="eastAsia"/>
                <w:color w:val="auto"/>
              </w:rPr>
              <w:t>废水处理可行性分析</w:t>
            </w:r>
          </w:p>
          <w:p w14:paraId="10BA196C">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(1) 实验室废水</w:t>
            </w:r>
          </w:p>
          <w:p w14:paraId="6DB24366">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本项目实验室废水主要为清洗废水、灭菌及恒温水槽废水，经实验室污水处理设施处理后纳管排放，根据设计方案，本项目新增一套规模为2t/d的实验室废水处理系统，主要工艺如下图：</w:t>
            </w:r>
          </w:p>
          <w:p w14:paraId="32AFB0A5">
            <w:pPr>
              <w:keepNext w:val="0"/>
              <w:keepLines w:val="0"/>
              <w:suppressLineNumbers w:val="0"/>
              <w:bidi w:val="0"/>
              <w:spacing w:before="0" w:beforeAutospacing="0" w:after="0" w:afterAutospacing="0"/>
              <w:ind w:left="0" w:leftChars="0" w:right="0" w:firstLine="0" w:firstLineChars="0"/>
              <w:jc w:val="center"/>
              <w:rPr>
                <w:rFonts w:hint="default"/>
                <w:color w:val="auto"/>
                <w:lang w:val="en-US" w:eastAsia="zh-CN"/>
              </w:rPr>
            </w:pPr>
            <w:r>
              <w:rPr>
                <w:rFonts w:hint="default"/>
                <w:color w:val="auto"/>
                <w:lang w:val="en-US" w:eastAsia="zh-CN"/>
              </w:rPr>
              <w:drawing>
                <wp:inline distT="0" distB="0" distL="114300" distR="114300">
                  <wp:extent cx="4481195" cy="2305050"/>
                  <wp:effectExtent l="0" t="0" r="14605" b="11430"/>
                  <wp:docPr id="4" name="图片 4" descr="51f34ab951fac4a356477b75ae75c5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1f34ab951fac4a356477b75ae75c5fe"/>
                          <pic:cNvPicPr>
                            <a:picLocks noChangeAspect="1"/>
                          </pic:cNvPicPr>
                        </pic:nvPicPr>
                        <pic:blipFill>
                          <a:blip r:embed="rId12"/>
                          <a:stretch>
                            <a:fillRect/>
                          </a:stretch>
                        </pic:blipFill>
                        <pic:spPr>
                          <a:xfrm>
                            <a:off x="0" y="0"/>
                            <a:ext cx="4481195" cy="2305050"/>
                          </a:xfrm>
                          <a:prstGeom prst="rect">
                            <a:avLst/>
                          </a:prstGeom>
                        </pic:spPr>
                      </pic:pic>
                    </a:graphicData>
                  </a:graphic>
                </wp:inline>
              </w:drawing>
            </w:r>
          </w:p>
          <w:p w14:paraId="3B3E97FC">
            <w:pPr>
              <w:keepNext w:val="0"/>
              <w:keepLines w:val="0"/>
              <w:suppressLineNumbers w:val="0"/>
              <w:bidi w:val="0"/>
              <w:spacing w:before="0" w:beforeAutospacing="0" w:after="0" w:afterAutospacing="0"/>
              <w:ind w:left="0" w:leftChars="0" w:right="0" w:firstLine="0" w:firstLineChars="0"/>
              <w:jc w:val="center"/>
              <w:rPr>
                <w:rFonts w:hint="eastAsia" w:eastAsia="黑体" w:cs="Times New Roman"/>
                <w:color w:val="auto"/>
                <w:szCs w:val="24"/>
              </w:rPr>
            </w:pPr>
            <w:r>
              <w:rPr>
                <w:rFonts w:hint="eastAsia" w:eastAsia="黑体" w:cs="Times New Roman"/>
                <w:color w:val="auto"/>
                <w:szCs w:val="24"/>
              </w:rPr>
              <w:t>图</w:t>
            </w:r>
            <w:r>
              <w:rPr>
                <w:rFonts w:hint="default" w:eastAsia="黑体" w:cs="Times New Roman"/>
                <w:color w:val="auto"/>
                <w:szCs w:val="24"/>
              </w:rPr>
              <w:t>4</w:t>
            </w:r>
            <w:r>
              <w:rPr>
                <w:rFonts w:hint="eastAsia" w:eastAsia="黑体" w:cs="Times New Roman"/>
                <w:color w:val="auto"/>
                <w:szCs w:val="24"/>
              </w:rPr>
              <w:t>-</w:t>
            </w:r>
            <w:r>
              <w:rPr>
                <w:rFonts w:hint="eastAsia" w:eastAsia="黑体" w:cs="Times New Roman"/>
                <w:color w:val="auto"/>
                <w:szCs w:val="24"/>
                <w:lang w:val="en-US" w:eastAsia="zh-CN"/>
              </w:rPr>
              <w:t>1</w:t>
            </w:r>
            <w:r>
              <w:rPr>
                <w:rFonts w:hint="default" w:eastAsia="黑体" w:cs="Times New Roman"/>
                <w:color w:val="auto"/>
                <w:szCs w:val="24"/>
              </w:rPr>
              <w:t xml:space="preserve">  </w:t>
            </w:r>
            <w:r>
              <w:rPr>
                <w:rFonts w:hint="eastAsia" w:eastAsia="黑体" w:cs="Times New Roman"/>
                <w:color w:val="auto"/>
                <w:szCs w:val="24"/>
                <w:lang w:val="en-US" w:eastAsia="zh-CN"/>
              </w:rPr>
              <w:t>本项目实验室废水</w:t>
            </w:r>
            <w:r>
              <w:rPr>
                <w:rFonts w:hint="eastAsia" w:eastAsia="黑体" w:cs="Times New Roman"/>
                <w:color w:val="auto"/>
                <w:szCs w:val="24"/>
              </w:rPr>
              <w:t>处理工艺流程图</w:t>
            </w:r>
          </w:p>
          <w:p w14:paraId="11881FA8">
            <w:pPr>
              <w:keepNext w:val="0"/>
              <w:keepLines w:val="0"/>
              <w:suppressLineNumbers w:val="0"/>
              <w:bidi w:val="0"/>
              <w:spacing w:before="0" w:beforeAutospacing="0" w:after="0" w:afterAutospacing="0"/>
              <w:ind w:left="0" w:right="0"/>
              <w:rPr>
                <w:rFonts w:hint="default" w:eastAsia="宋体"/>
                <w:lang w:val="en-US" w:eastAsia="zh-CN"/>
              </w:rPr>
            </w:pPr>
            <w:r>
              <w:rPr>
                <w:rFonts w:hint="eastAsia"/>
                <w:lang w:val="en-US" w:eastAsia="zh-CN"/>
              </w:rPr>
              <w:t>工艺原理简述：</w:t>
            </w:r>
          </w:p>
          <w:p w14:paraId="6F07D28C">
            <w:pPr>
              <w:keepNext w:val="0"/>
              <w:keepLines w:val="0"/>
              <w:suppressLineNumbers w:val="0"/>
              <w:bidi w:val="0"/>
              <w:spacing w:before="0" w:beforeAutospacing="0" w:after="0" w:afterAutospacing="0"/>
              <w:ind w:left="0" w:right="0"/>
              <w:rPr>
                <w:rFonts w:hint="default" w:eastAsia="宋体"/>
                <w:lang w:val="en-US" w:eastAsia="zh-CN"/>
              </w:rPr>
            </w:pPr>
            <w:r>
              <w:rPr>
                <w:rFonts w:hint="eastAsia"/>
                <w:lang w:val="en-US" w:eastAsia="zh-CN"/>
              </w:rPr>
              <w:t>废水中重金属吸附主要原理是利用吸附剂表面通常具有多孔结构，如活性炭、沸石，这些孔隙提供了巨大的比表面积，吸附废水中污染物，向废水中加入化学药剂（如聚合氯化铝、硫酸亚铁），胶体颗粒会相互碰撞、吸附，逐渐聚集形成体积更大、密度更高的絮状沉淀物后，过滤是利用多孔介质（如石英砂、无烟煤、滤布）的物理拦截作用，将混凝阶段形成的絮体从水中分离出来。项目采用次氯酸钠进行废水处理消毒，次氯酸钠本身不直接发挥强消毒作用，需先在水中发生水解反应，生成具有活性的次氯酸，次氯酸能穿透微生物的细胞壁，氧化细胞膜上的蛋白质和脂质，使细胞膜失去完整性，导致细胞内容物泄漏，微生物无法维持正常生理功能，次氯酸还能渗透到微生物细胞内，与DNA、RNA等遗传物质发生反应，破坏其结构，导致微生物无法繁殖，最终实现彻底杀灭。</w:t>
            </w:r>
          </w:p>
          <w:p w14:paraId="2730E0A3">
            <w:pPr>
              <w:keepNext w:val="0"/>
              <w:keepLines w:val="0"/>
              <w:suppressLineNumbers w:val="0"/>
              <w:bidi w:val="0"/>
              <w:spacing w:before="0" w:beforeAutospacing="0" w:after="0" w:afterAutospacing="0"/>
              <w:ind w:left="0" w:leftChars="0" w:right="0" w:firstLine="0" w:firstLineChars="0"/>
              <w:jc w:val="center"/>
              <w:rPr>
                <w:rFonts w:hint="eastAsia" w:eastAsia="黑体" w:cs="Times New Roman"/>
                <w:color w:val="auto"/>
                <w:szCs w:val="24"/>
              </w:rPr>
            </w:pPr>
            <w:r>
              <w:rPr>
                <w:rFonts w:hint="default" w:eastAsia="黑体" w:cs="Times New Roman"/>
                <w:color w:val="auto"/>
                <w:szCs w:val="24"/>
              </w:rPr>
              <w:t>表4-</w:t>
            </w:r>
            <w:r>
              <w:rPr>
                <w:rFonts w:hint="eastAsia" w:eastAsia="黑体" w:cs="Times New Roman"/>
                <w:color w:val="auto"/>
                <w:szCs w:val="24"/>
                <w:lang w:val="en-US" w:eastAsia="zh-CN"/>
              </w:rPr>
              <w:t>6</w:t>
            </w:r>
            <w:r>
              <w:rPr>
                <w:rFonts w:hint="default" w:eastAsia="黑体" w:cs="Times New Roman"/>
                <w:color w:val="auto"/>
                <w:szCs w:val="24"/>
              </w:rPr>
              <w:t xml:space="preserve">  </w:t>
            </w:r>
            <w:r>
              <w:rPr>
                <w:rFonts w:hint="eastAsia" w:eastAsia="黑体" w:cs="Times New Roman"/>
                <w:color w:val="auto"/>
                <w:szCs w:val="24"/>
              </w:rPr>
              <w:t>本项目废水</w:t>
            </w:r>
            <w:r>
              <w:rPr>
                <w:rFonts w:hint="eastAsia" w:eastAsia="黑体" w:cs="Times New Roman"/>
                <w:color w:val="auto"/>
                <w:szCs w:val="24"/>
                <w:lang w:val="en-US" w:eastAsia="zh-CN"/>
              </w:rPr>
              <w:t>处理单元处理效率一览表</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83"/>
              <w:gridCol w:w="1173"/>
              <w:gridCol w:w="1404"/>
              <w:gridCol w:w="1223"/>
              <w:gridCol w:w="1249"/>
              <w:gridCol w:w="1515"/>
            </w:tblGrid>
            <w:tr w14:paraId="42ED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763" w:type="pct"/>
                  <w:shd w:val="clear" w:color="auto" w:fill="auto"/>
                  <w:vAlign w:val="center"/>
                </w:tcPr>
                <w:p w14:paraId="275FC2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处理单元</w:t>
                  </w:r>
                </w:p>
              </w:tc>
              <w:tc>
                <w:tcPr>
                  <w:tcW w:w="757" w:type="pct"/>
                  <w:shd w:val="clear" w:color="auto" w:fill="auto"/>
                  <w:vAlign w:val="center"/>
                </w:tcPr>
                <w:p w14:paraId="43C780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项目</w:t>
                  </w:r>
                </w:p>
              </w:tc>
              <w:tc>
                <w:tcPr>
                  <w:tcW w:w="906" w:type="pct"/>
                  <w:shd w:val="clear" w:color="auto" w:fill="auto"/>
                  <w:vAlign w:val="center"/>
                </w:tcPr>
                <w:p w14:paraId="540601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COD（mg/L）</w:t>
                  </w:r>
                </w:p>
              </w:tc>
              <w:tc>
                <w:tcPr>
                  <w:tcW w:w="789" w:type="pct"/>
                  <w:shd w:val="clear" w:color="auto" w:fill="auto"/>
                  <w:vAlign w:val="center"/>
                </w:tcPr>
                <w:p w14:paraId="0DAA71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氨氮（mg/L）</w:t>
                  </w:r>
                </w:p>
              </w:tc>
              <w:tc>
                <w:tcPr>
                  <w:tcW w:w="806" w:type="pct"/>
                  <w:shd w:val="clear" w:color="auto" w:fill="auto"/>
                  <w:vAlign w:val="center"/>
                </w:tcPr>
                <w:p w14:paraId="72A5B3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TP（mg/L）</w:t>
                  </w:r>
                </w:p>
              </w:tc>
              <w:tc>
                <w:tcPr>
                  <w:tcW w:w="977" w:type="pct"/>
                  <w:shd w:val="clear" w:color="auto" w:fill="auto"/>
                  <w:vAlign w:val="center"/>
                </w:tcPr>
                <w:p w14:paraId="557D50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粪大肠杆菌（个）</w:t>
                  </w:r>
                </w:p>
              </w:tc>
            </w:tr>
            <w:tr w14:paraId="01BC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763" w:type="pct"/>
                  <w:vMerge w:val="restart"/>
                  <w:shd w:val="clear" w:color="auto" w:fill="auto"/>
                  <w:vAlign w:val="center"/>
                </w:tcPr>
                <w:p w14:paraId="61E48F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重金属吸附</w:t>
                  </w:r>
                </w:p>
              </w:tc>
              <w:tc>
                <w:tcPr>
                  <w:tcW w:w="757" w:type="pct"/>
                  <w:shd w:val="clear" w:color="auto" w:fill="auto"/>
                  <w:vAlign w:val="center"/>
                </w:tcPr>
                <w:p w14:paraId="6EEFA6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进水</w:t>
                  </w:r>
                </w:p>
              </w:tc>
              <w:tc>
                <w:tcPr>
                  <w:tcW w:w="906" w:type="pct"/>
                  <w:shd w:val="clear" w:color="auto" w:fill="auto"/>
                  <w:vAlign w:val="center"/>
                </w:tcPr>
                <w:p w14:paraId="5B0B2A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w:t>
                  </w:r>
                </w:p>
              </w:tc>
              <w:tc>
                <w:tcPr>
                  <w:tcW w:w="789" w:type="pct"/>
                  <w:shd w:val="clear" w:color="auto" w:fill="auto"/>
                  <w:vAlign w:val="center"/>
                </w:tcPr>
                <w:p w14:paraId="326849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w:t>
                  </w:r>
                </w:p>
              </w:tc>
              <w:tc>
                <w:tcPr>
                  <w:tcW w:w="806" w:type="pct"/>
                  <w:shd w:val="clear" w:color="auto" w:fill="auto"/>
                  <w:vAlign w:val="center"/>
                </w:tcPr>
                <w:p w14:paraId="749A63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977" w:type="pct"/>
                  <w:shd w:val="clear" w:color="auto" w:fill="auto"/>
                  <w:vAlign w:val="center"/>
                </w:tcPr>
                <w:p w14:paraId="2E0A99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4700</w:t>
                  </w:r>
                </w:p>
              </w:tc>
            </w:tr>
            <w:tr w14:paraId="68C2C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763" w:type="pct"/>
                  <w:vMerge w:val="continue"/>
                  <w:shd w:val="clear" w:color="auto" w:fill="auto"/>
                  <w:vAlign w:val="center"/>
                </w:tcPr>
                <w:p w14:paraId="660F99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757" w:type="pct"/>
                  <w:shd w:val="clear" w:color="auto" w:fill="auto"/>
                  <w:vAlign w:val="center"/>
                </w:tcPr>
                <w:p w14:paraId="40AD60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出水</w:t>
                  </w:r>
                </w:p>
              </w:tc>
              <w:tc>
                <w:tcPr>
                  <w:tcW w:w="906" w:type="pct"/>
                  <w:shd w:val="clear" w:color="auto" w:fill="auto"/>
                  <w:vAlign w:val="center"/>
                </w:tcPr>
                <w:p w14:paraId="0F984C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180</w:t>
                  </w:r>
                </w:p>
              </w:tc>
              <w:tc>
                <w:tcPr>
                  <w:tcW w:w="789" w:type="pct"/>
                  <w:shd w:val="clear" w:color="auto" w:fill="auto"/>
                  <w:vAlign w:val="center"/>
                </w:tcPr>
                <w:p w14:paraId="6B5192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806" w:type="pct"/>
                  <w:shd w:val="clear" w:color="auto" w:fill="auto"/>
                  <w:vAlign w:val="center"/>
                </w:tcPr>
                <w:p w14:paraId="4AA85F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977" w:type="pct"/>
                  <w:shd w:val="clear" w:color="auto" w:fill="auto"/>
                  <w:vAlign w:val="center"/>
                </w:tcPr>
                <w:p w14:paraId="1E083E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3525</w:t>
                  </w:r>
                </w:p>
              </w:tc>
            </w:tr>
            <w:tr w14:paraId="151A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763" w:type="pct"/>
                  <w:vMerge w:val="continue"/>
                  <w:shd w:val="clear" w:color="auto" w:fill="auto"/>
                  <w:vAlign w:val="center"/>
                </w:tcPr>
                <w:p w14:paraId="5B748A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757" w:type="pct"/>
                  <w:shd w:val="clear" w:color="auto" w:fill="auto"/>
                  <w:vAlign w:val="center"/>
                </w:tcPr>
                <w:p w14:paraId="69F704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去除率</w:t>
                  </w:r>
                </w:p>
              </w:tc>
              <w:tc>
                <w:tcPr>
                  <w:tcW w:w="906" w:type="pct"/>
                  <w:shd w:val="clear" w:color="auto" w:fill="auto"/>
                  <w:vAlign w:val="center"/>
                </w:tcPr>
                <w:p w14:paraId="40C421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789" w:type="pct"/>
                  <w:shd w:val="clear" w:color="auto" w:fill="auto"/>
                  <w:vAlign w:val="center"/>
                </w:tcPr>
                <w:p w14:paraId="02A531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806" w:type="pct"/>
                  <w:shd w:val="clear" w:color="auto" w:fill="auto"/>
                  <w:vAlign w:val="center"/>
                </w:tcPr>
                <w:p w14:paraId="0DE6A6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977" w:type="pct"/>
                  <w:shd w:val="clear" w:color="auto" w:fill="auto"/>
                  <w:vAlign w:val="center"/>
                </w:tcPr>
                <w:p w14:paraId="7B440B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r>
            <w:tr w14:paraId="3E310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763" w:type="pct"/>
                  <w:vMerge w:val="restart"/>
                  <w:shd w:val="clear" w:color="auto" w:fill="auto"/>
                  <w:vAlign w:val="center"/>
                </w:tcPr>
                <w:p w14:paraId="187B70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混凝过滤+多介质</w:t>
                  </w:r>
                </w:p>
              </w:tc>
              <w:tc>
                <w:tcPr>
                  <w:tcW w:w="757" w:type="pct"/>
                  <w:shd w:val="clear" w:color="auto" w:fill="auto"/>
                  <w:vAlign w:val="center"/>
                </w:tcPr>
                <w:p w14:paraId="3DD96B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进水</w:t>
                  </w:r>
                </w:p>
              </w:tc>
              <w:tc>
                <w:tcPr>
                  <w:tcW w:w="906" w:type="pct"/>
                  <w:shd w:val="clear" w:color="auto" w:fill="auto"/>
                  <w:vAlign w:val="center"/>
                </w:tcPr>
                <w:p w14:paraId="26EB76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180</w:t>
                  </w:r>
                </w:p>
              </w:tc>
              <w:tc>
                <w:tcPr>
                  <w:tcW w:w="789" w:type="pct"/>
                  <w:shd w:val="clear" w:color="auto" w:fill="auto"/>
                  <w:vAlign w:val="center"/>
                </w:tcPr>
                <w:p w14:paraId="5A4600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806" w:type="pct"/>
                  <w:shd w:val="clear" w:color="auto" w:fill="auto"/>
                  <w:vAlign w:val="center"/>
                </w:tcPr>
                <w:p w14:paraId="3E0064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977" w:type="pct"/>
                  <w:shd w:val="clear" w:color="auto" w:fill="auto"/>
                  <w:vAlign w:val="center"/>
                </w:tcPr>
                <w:p w14:paraId="5376B7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3525</w:t>
                  </w:r>
                </w:p>
              </w:tc>
            </w:tr>
            <w:tr w14:paraId="6D009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3" w:type="pct"/>
                  <w:vMerge w:val="continue"/>
                  <w:shd w:val="clear" w:color="auto" w:fill="auto"/>
                  <w:vAlign w:val="center"/>
                </w:tcPr>
                <w:p w14:paraId="055F2F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757" w:type="pct"/>
                  <w:shd w:val="clear" w:color="auto" w:fill="auto"/>
                  <w:vAlign w:val="center"/>
                </w:tcPr>
                <w:p w14:paraId="25C1D5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出水</w:t>
                  </w:r>
                </w:p>
              </w:tc>
              <w:tc>
                <w:tcPr>
                  <w:tcW w:w="906" w:type="pct"/>
                  <w:shd w:val="clear" w:color="auto" w:fill="auto"/>
                  <w:vAlign w:val="center"/>
                </w:tcPr>
                <w:p w14:paraId="475335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789" w:type="pct"/>
                  <w:shd w:val="clear" w:color="auto" w:fill="auto"/>
                  <w:vAlign w:val="center"/>
                </w:tcPr>
                <w:p w14:paraId="6868AD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806" w:type="pct"/>
                  <w:shd w:val="clear" w:color="auto" w:fill="auto"/>
                  <w:vAlign w:val="center"/>
                </w:tcPr>
                <w:p w14:paraId="181597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977" w:type="pct"/>
                  <w:shd w:val="clear" w:color="auto" w:fill="auto"/>
                  <w:vAlign w:val="center"/>
                </w:tcPr>
                <w:p w14:paraId="4B1770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3173</w:t>
                  </w:r>
                </w:p>
              </w:tc>
            </w:tr>
            <w:tr w14:paraId="11A6B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3" w:type="pct"/>
                  <w:vMerge w:val="continue"/>
                  <w:shd w:val="clear" w:color="auto" w:fill="auto"/>
                  <w:vAlign w:val="center"/>
                </w:tcPr>
                <w:p w14:paraId="0AD7F2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757" w:type="pct"/>
                  <w:shd w:val="clear" w:color="auto" w:fill="auto"/>
                  <w:vAlign w:val="center"/>
                </w:tcPr>
                <w:p w14:paraId="7A9818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去除率</w:t>
                  </w:r>
                </w:p>
              </w:tc>
              <w:tc>
                <w:tcPr>
                  <w:tcW w:w="906" w:type="pct"/>
                  <w:shd w:val="clear" w:color="auto" w:fill="auto"/>
                  <w:vAlign w:val="center"/>
                </w:tcPr>
                <w:p w14:paraId="799016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789" w:type="pct"/>
                  <w:shd w:val="clear" w:color="auto" w:fill="auto"/>
                  <w:vAlign w:val="center"/>
                </w:tcPr>
                <w:p w14:paraId="347269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806" w:type="pct"/>
                  <w:shd w:val="clear" w:color="auto" w:fill="auto"/>
                  <w:vAlign w:val="center"/>
                </w:tcPr>
                <w:p w14:paraId="63F8AF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977" w:type="pct"/>
                  <w:shd w:val="clear" w:color="auto" w:fill="auto"/>
                  <w:vAlign w:val="center"/>
                </w:tcPr>
                <w:p w14:paraId="2443C8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r>
            <w:tr w14:paraId="6714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763" w:type="pct"/>
                  <w:vMerge w:val="restart"/>
                  <w:shd w:val="clear" w:color="auto" w:fill="auto"/>
                  <w:vAlign w:val="center"/>
                </w:tcPr>
                <w:p w14:paraId="485E24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消毒</w:t>
                  </w:r>
                </w:p>
              </w:tc>
              <w:tc>
                <w:tcPr>
                  <w:tcW w:w="757" w:type="pct"/>
                  <w:shd w:val="clear" w:color="auto" w:fill="auto"/>
                  <w:vAlign w:val="center"/>
                </w:tcPr>
                <w:p w14:paraId="7988A8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进水</w:t>
                  </w:r>
                </w:p>
              </w:tc>
              <w:tc>
                <w:tcPr>
                  <w:tcW w:w="906" w:type="pct"/>
                  <w:shd w:val="clear" w:color="auto" w:fill="auto"/>
                  <w:vAlign w:val="center"/>
                </w:tcPr>
                <w:p w14:paraId="019EC0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789" w:type="pct"/>
                  <w:shd w:val="clear" w:color="auto" w:fill="auto"/>
                  <w:vAlign w:val="center"/>
                </w:tcPr>
                <w:p w14:paraId="378F29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806" w:type="pct"/>
                  <w:shd w:val="clear" w:color="auto" w:fill="auto"/>
                  <w:vAlign w:val="center"/>
                </w:tcPr>
                <w:p w14:paraId="69E4C2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977" w:type="pct"/>
                  <w:shd w:val="clear" w:color="auto" w:fill="auto"/>
                  <w:vAlign w:val="center"/>
                </w:tcPr>
                <w:p w14:paraId="133DED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3173</w:t>
                  </w:r>
                </w:p>
              </w:tc>
            </w:tr>
            <w:tr w14:paraId="1FB54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763" w:type="pct"/>
                  <w:vMerge w:val="continue"/>
                  <w:shd w:val="clear" w:color="auto" w:fill="auto"/>
                  <w:vAlign w:val="center"/>
                </w:tcPr>
                <w:p w14:paraId="560BBA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757" w:type="pct"/>
                  <w:shd w:val="clear" w:color="auto" w:fill="auto"/>
                  <w:vAlign w:val="center"/>
                </w:tcPr>
                <w:p w14:paraId="532EC0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出水</w:t>
                  </w:r>
                </w:p>
              </w:tc>
              <w:tc>
                <w:tcPr>
                  <w:tcW w:w="906" w:type="pct"/>
                  <w:shd w:val="clear" w:color="auto" w:fill="auto"/>
                  <w:vAlign w:val="center"/>
                </w:tcPr>
                <w:p w14:paraId="69725B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789" w:type="pct"/>
                  <w:shd w:val="clear" w:color="auto" w:fill="auto"/>
                  <w:vAlign w:val="center"/>
                </w:tcPr>
                <w:p w14:paraId="1A6C9F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806" w:type="pct"/>
                  <w:shd w:val="clear" w:color="auto" w:fill="auto"/>
                  <w:vAlign w:val="center"/>
                </w:tcPr>
                <w:p w14:paraId="78B7A3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977" w:type="pct"/>
                  <w:shd w:val="clear" w:color="auto" w:fill="auto"/>
                  <w:vAlign w:val="center"/>
                </w:tcPr>
                <w:p w14:paraId="4B31FD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476</w:t>
                  </w:r>
                </w:p>
              </w:tc>
            </w:tr>
            <w:tr w14:paraId="3368C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763" w:type="pct"/>
                  <w:vMerge w:val="continue"/>
                  <w:shd w:val="clear" w:color="auto" w:fill="auto"/>
                  <w:vAlign w:val="center"/>
                </w:tcPr>
                <w:p w14:paraId="6A6826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i w:val="0"/>
                      <w:iCs w:val="0"/>
                      <w:color w:val="000000"/>
                      <w:sz w:val="21"/>
                      <w:szCs w:val="21"/>
                      <w:u w:val="none"/>
                    </w:rPr>
                  </w:pPr>
                </w:p>
              </w:tc>
              <w:tc>
                <w:tcPr>
                  <w:tcW w:w="757" w:type="pct"/>
                  <w:shd w:val="clear" w:color="auto" w:fill="auto"/>
                  <w:vAlign w:val="center"/>
                </w:tcPr>
                <w:p w14:paraId="00BA1F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去除率</w:t>
                  </w:r>
                </w:p>
              </w:tc>
              <w:tc>
                <w:tcPr>
                  <w:tcW w:w="906" w:type="pct"/>
                  <w:shd w:val="clear" w:color="auto" w:fill="auto"/>
                  <w:vAlign w:val="center"/>
                </w:tcPr>
                <w:p w14:paraId="59B51C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789" w:type="pct"/>
                  <w:shd w:val="clear" w:color="auto" w:fill="auto"/>
                  <w:vAlign w:val="center"/>
                </w:tcPr>
                <w:p w14:paraId="2B2F46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806" w:type="pct"/>
                  <w:shd w:val="clear" w:color="auto" w:fill="auto"/>
                  <w:vAlign w:val="center"/>
                </w:tcPr>
                <w:p w14:paraId="0115AE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w:t>
                  </w:r>
                </w:p>
              </w:tc>
              <w:tc>
                <w:tcPr>
                  <w:tcW w:w="977" w:type="pct"/>
                  <w:shd w:val="clear" w:color="auto" w:fill="auto"/>
                  <w:vAlign w:val="center"/>
                </w:tcPr>
                <w:p w14:paraId="1CD2DE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w:t>
                  </w:r>
                </w:p>
              </w:tc>
            </w:tr>
            <w:tr w14:paraId="14DA7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jc w:val="center"/>
              </w:trPr>
              <w:tc>
                <w:tcPr>
                  <w:tcW w:w="1520" w:type="pct"/>
                  <w:gridSpan w:val="2"/>
                  <w:shd w:val="clear" w:color="auto" w:fill="auto"/>
                  <w:vAlign w:val="center"/>
                </w:tcPr>
                <w:p w14:paraId="0A5BDA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排放标准mg/L</w:t>
                  </w:r>
                </w:p>
              </w:tc>
              <w:tc>
                <w:tcPr>
                  <w:tcW w:w="906" w:type="pct"/>
                  <w:shd w:val="clear" w:color="auto" w:fill="auto"/>
                  <w:vAlign w:val="center"/>
                </w:tcPr>
                <w:p w14:paraId="462411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w:t>
                  </w:r>
                </w:p>
              </w:tc>
              <w:tc>
                <w:tcPr>
                  <w:tcW w:w="789" w:type="pct"/>
                  <w:shd w:val="clear" w:color="auto" w:fill="auto"/>
                  <w:vAlign w:val="center"/>
                </w:tcPr>
                <w:p w14:paraId="7170FD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806" w:type="pct"/>
                  <w:shd w:val="clear" w:color="auto" w:fill="auto"/>
                  <w:vAlign w:val="center"/>
                </w:tcPr>
                <w:p w14:paraId="518643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977" w:type="pct"/>
                  <w:shd w:val="clear" w:color="auto" w:fill="auto"/>
                  <w:vAlign w:val="center"/>
                </w:tcPr>
                <w:p w14:paraId="6BA2D8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r>
          </w:tbl>
          <w:p w14:paraId="4090D891">
            <w:pPr>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根据上表可知，本项目</w:t>
            </w:r>
            <w:r>
              <w:rPr>
                <w:rFonts w:hint="eastAsia"/>
                <w:color w:val="auto"/>
                <w:lang w:val="en-US" w:eastAsia="zh-CN"/>
              </w:rPr>
              <w:t>实验</w:t>
            </w:r>
            <w:r>
              <w:rPr>
                <w:rFonts w:hint="default"/>
                <w:color w:val="auto"/>
                <w:lang w:val="en-US" w:eastAsia="zh-CN"/>
              </w:rPr>
              <w:t>废水经该污水处理工艺处理后，可达标排放</w:t>
            </w:r>
            <w:r>
              <w:rPr>
                <w:rFonts w:hint="eastAsia"/>
                <w:color w:val="auto"/>
                <w:lang w:val="en-US" w:eastAsia="zh-CN"/>
              </w:rPr>
              <w:t>。</w:t>
            </w:r>
          </w:p>
          <w:p w14:paraId="5386C810">
            <w:pPr>
              <w:keepNext w:val="0"/>
              <w:keepLines w:val="0"/>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(2) 生活废水</w:t>
            </w:r>
          </w:p>
          <w:p w14:paraId="7F698CDA">
            <w:pPr>
              <w:keepNext w:val="0"/>
              <w:keepLines w:val="0"/>
              <w:suppressLineNumbers w:val="0"/>
              <w:bidi w:val="0"/>
              <w:spacing w:before="0" w:beforeAutospacing="0" w:after="0" w:afterAutospacing="0"/>
              <w:ind w:left="0" w:right="0"/>
              <w:rPr>
                <w:rFonts w:hint="default"/>
                <w:color w:val="auto"/>
              </w:rPr>
            </w:pPr>
            <w:r>
              <w:rPr>
                <w:rFonts w:hint="eastAsia"/>
                <w:color w:val="auto"/>
              </w:rPr>
              <w:t>化粪池是一种利用沉淀和厌氧发酵的原理，去除污水中悬浮性有机物的处理设施，属于初级的过渡性生活处理构筑物。生活污水中含有大量粪便、纸屑、病原虫。悬浮物固体浓度为100~350mg/L，有机物浓度COD</w:t>
            </w:r>
            <w:r>
              <w:rPr>
                <w:rFonts w:hint="eastAsia"/>
                <w:color w:val="auto"/>
                <w:vertAlign w:val="subscript"/>
              </w:rPr>
              <w:t>Cr</w:t>
            </w:r>
            <w:r>
              <w:rPr>
                <w:rFonts w:hint="eastAsia"/>
                <w:color w:val="auto"/>
              </w:rPr>
              <w:t>在100~400mg/L之间，其中悬浮性的有机物浓度BOD</w:t>
            </w:r>
            <w:r>
              <w:rPr>
                <w:rFonts w:hint="eastAsia"/>
                <w:color w:val="auto"/>
                <w:vertAlign w:val="subscript"/>
              </w:rPr>
              <w:t>5</w:t>
            </w:r>
            <w:r>
              <w:rPr>
                <w:rFonts w:hint="eastAsia"/>
                <w:color w:val="auto"/>
              </w:rPr>
              <w:t>为50~200mg/L。污水进入化粪池经过12~24h的沉淀，可去除</w:t>
            </w:r>
            <w:r>
              <w:rPr>
                <w:rFonts w:hint="eastAsia"/>
                <w:color w:val="auto"/>
                <w:lang w:val="en-US" w:eastAsia="zh-CN"/>
              </w:rPr>
              <w:t>2</w:t>
            </w:r>
            <w:r>
              <w:rPr>
                <w:rFonts w:hint="eastAsia"/>
                <w:color w:val="auto"/>
              </w:rPr>
              <w:t>0%~</w:t>
            </w:r>
            <w:r>
              <w:rPr>
                <w:rFonts w:hint="eastAsia"/>
                <w:color w:val="auto"/>
                <w:lang w:val="en-US" w:eastAsia="zh-CN"/>
              </w:rPr>
              <w:t>5</w:t>
            </w:r>
            <w:r>
              <w:rPr>
                <w:rFonts w:hint="eastAsia"/>
                <w:color w:val="auto"/>
              </w:rPr>
              <w:t>0%的悬浮物。</w:t>
            </w:r>
          </w:p>
          <w:p w14:paraId="301DE0C9">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rPr>
              <w:t>厂区内设置1个化粪池，单个日处理废水量为</w:t>
            </w:r>
            <w:r>
              <w:rPr>
                <w:rFonts w:hint="eastAsia"/>
                <w:color w:val="auto"/>
                <w:lang w:val="en-US" w:eastAsia="zh-CN"/>
              </w:rPr>
              <w:t>2</w:t>
            </w:r>
            <w:r>
              <w:rPr>
                <w:rFonts w:hint="eastAsia"/>
                <w:color w:val="auto"/>
              </w:rPr>
              <w:t>m</w:t>
            </w:r>
            <w:r>
              <w:rPr>
                <w:rFonts w:hint="eastAsia"/>
                <w:color w:val="auto"/>
                <w:vertAlign w:val="superscript"/>
              </w:rPr>
              <w:t>3</w:t>
            </w:r>
            <w:r>
              <w:rPr>
                <w:rFonts w:hint="eastAsia"/>
                <w:color w:val="auto"/>
              </w:rPr>
              <w:t>，本项目生活污水排放量约为</w:t>
            </w:r>
            <w:r>
              <w:rPr>
                <w:rFonts w:hint="eastAsia"/>
                <w:color w:val="auto"/>
                <w:lang w:val="en-US" w:eastAsia="zh-CN"/>
              </w:rPr>
              <w:t>396.8</w:t>
            </w:r>
            <w:r>
              <w:rPr>
                <w:rFonts w:hint="eastAsia"/>
                <w:color w:val="auto"/>
              </w:rPr>
              <w:t>m</w:t>
            </w:r>
            <w:r>
              <w:rPr>
                <w:rFonts w:hint="eastAsia"/>
                <w:color w:val="auto"/>
                <w:vertAlign w:val="superscript"/>
              </w:rPr>
              <w:t>3</w:t>
            </w:r>
            <w:r>
              <w:rPr>
                <w:rFonts w:hint="eastAsia"/>
                <w:color w:val="auto"/>
              </w:rPr>
              <w:t>/</w:t>
            </w:r>
            <w:r>
              <w:rPr>
                <w:rFonts w:hint="eastAsia"/>
                <w:color w:val="auto"/>
                <w:lang w:val="en-US" w:eastAsia="zh-CN"/>
              </w:rPr>
              <w:t>a</w:t>
            </w:r>
            <w:r>
              <w:rPr>
                <w:rFonts w:hint="eastAsia"/>
                <w:color w:val="auto"/>
              </w:rPr>
              <w:t>，能够容纳本项目产生的全部生活污水。因此，本项目生活污水经化粪池处理后纳管可行。</w:t>
            </w:r>
          </w:p>
          <w:p w14:paraId="78BD1D72">
            <w:pPr>
              <w:keepNext w:val="0"/>
              <w:keepLines w:val="0"/>
              <w:suppressLineNumbers w:val="0"/>
              <w:bidi w:val="0"/>
              <w:spacing w:before="0" w:beforeAutospacing="0" w:after="0" w:afterAutospacing="0"/>
              <w:ind w:left="0" w:right="0"/>
              <w:rPr>
                <w:rFonts w:hint="default"/>
                <w:color w:val="auto"/>
                <w:lang w:val="en-US" w:eastAsia="zh-CN"/>
              </w:rPr>
            </w:pPr>
            <w:r>
              <w:rPr>
                <w:rFonts w:hint="eastAsia"/>
                <w:color w:val="auto"/>
              </w:rPr>
              <w:t>综上，项目产生的生活污水经化粪池处理后纳入市政污水管网，经</w:t>
            </w:r>
            <w:r>
              <w:rPr>
                <w:rFonts w:hint="eastAsia"/>
                <w:color w:val="auto"/>
                <w:lang w:val="en-US" w:eastAsia="zh-CN"/>
              </w:rPr>
              <w:t>余杭</w:t>
            </w:r>
            <w:r>
              <w:rPr>
                <w:rFonts w:hint="eastAsia"/>
                <w:color w:val="auto"/>
              </w:rPr>
              <w:t>污水处理厂处理后排放</w:t>
            </w:r>
            <w:r>
              <w:rPr>
                <w:rFonts w:hint="eastAsia"/>
                <w:color w:val="auto"/>
                <w:lang w:eastAsia="zh-CN"/>
              </w:rPr>
              <w:t>，</w:t>
            </w:r>
            <w:r>
              <w:rPr>
                <w:rFonts w:hint="eastAsia"/>
                <w:color w:val="auto"/>
                <w:lang w:val="en-US" w:eastAsia="zh-CN"/>
              </w:rPr>
              <w:t>可满足《污水综合排放标准》（GB8978-1996）中的三级标准，其中氨氮可满足《工业企业废水氮、磷污染物间接排放限值》（DB33/887-2013）表1中其他企业的排放限值。</w:t>
            </w:r>
          </w:p>
          <w:p w14:paraId="08479269">
            <w:pPr>
              <w:keepNext w:val="0"/>
              <w:keepLines w:val="0"/>
              <w:suppressLineNumbers w:val="0"/>
              <w:bidi w:val="0"/>
              <w:spacing w:before="0" w:beforeAutospacing="0" w:after="0" w:afterAutospacing="0"/>
              <w:ind w:left="0" w:right="0"/>
              <w:rPr>
                <w:rFonts w:hint="default"/>
                <w:color w:val="auto"/>
              </w:rPr>
            </w:pPr>
            <w:r>
              <w:rPr>
                <w:rFonts w:hint="default"/>
                <w:color w:val="auto"/>
              </w:rPr>
              <w:t>①废水纳管可行性分析</w:t>
            </w:r>
          </w:p>
          <w:p w14:paraId="7A6F3C9E">
            <w:pPr>
              <w:keepNext w:val="0"/>
              <w:keepLines w:val="0"/>
              <w:suppressLineNumbers w:val="0"/>
              <w:bidi w:val="0"/>
              <w:spacing w:before="0" w:beforeAutospacing="0" w:after="0" w:afterAutospacing="0"/>
              <w:ind w:left="0" w:right="0"/>
              <w:rPr>
                <w:rFonts w:hint="default"/>
                <w:color w:val="auto"/>
              </w:rPr>
            </w:pPr>
            <w:r>
              <w:rPr>
                <w:rFonts w:hint="default"/>
                <w:color w:val="auto"/>
              </w:rPr>
              <w:t>企业所在区域具备纳管条件，企业建成后与现有市政管道衔接，即可实现污水纳管。根据前述分析，预计项目外排废水中各类污染物能够达到</w:t>
            </w:r>
            <w:r>
              <w:rPr>
                <w:rFonts w:hint="eastAsia"/>
                <w:color w:val="auto"/>
                <w:lang w:val="en-US" w:eastAsia="zh-CN"/>
              </w:rPr>
              <w:t>余杭</w:t>
            </w:r>
            <w:r>
              <w:rPr>
                <w:rFonts w:hint="default"/>
                <w:color w:val="auto"/>
              </w:rPr>
              <w:t>污水处理厂接管标准要求，可以接管。</w:t>
            </w:r>
          </w:p>
          <w:p w14:paraId="615701A6">
            <w:pPr>
              <w:keepNext w:val="0"/>
              <w:keepLines w:val="0"/>
              <w:suppressLineNumbers w:val="0"/>
              <w:bidi w:val="0"/>
              <w:spacing w:before="0" w:beforeAutospacing="0" w:after="0" w:afterAutospacing="0"/>
              <w:ind w:left="0" w:right="0"/>
              <w:rPr>
                <w:rFonts w:hint="default" w:eastAsia="宋体"/>
                <w:color w:val="auto"/>
                <w:lang w:val="en-US" w:eastAsia="zh-CN"/>
              </w:rPr>
            </w:pPr>
            <w:r>
              <w:rPr>
                <w:rFonts w:hint="default"/>
                <w:color w:val="auto"/>
              </w:rPr>
              <w:t>②项目废水对污水处理厂冲击影响分析</w:t>
            </w:r>
          </w:p>
          <w:p w14:paraId="1D8019C6">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rPr>
              <w:t>余杭污水处理</w:t>
            </w:r>
            <w:r>
              <w:rPr>
                <w:rFonts w:hint="eastAsia"/>
                <w:color w:val="auto"/>
                <w:lang w:val="en-US" w:eastAsia="zh-CN"/>
              </w:rPr>
              <w:t>厂</w:t>
            </w:r>
            <w:r>
              <w:rPr>
                <w:rFonts w:hint="eastAsia"/>
                <w:color w:val="auto"/>
              </w:rPr>
              <w:t>位于杭州市余杭街道金星工业园区内，主要收集和处理余杭组团范围及西部四镇的工业、生活污水。该污水处理厂现有工程总设计规模为13.5万t/d。其中一期工程设计处理能力3.0万t/d，采用氧化沟处理工艺</w:t>
            </w:r>
            <w:r>
              <w:rPr>
                <w:rFonts w:hint="eastAsia"/>
                <w:color w:val="auto"/>
                <w:lang w:eastAsia="zh-CN"/>
              </w:rPr>
              <w:t>；</w:t>
            </w:r>
            <w:r>
              <w:rPr>
                <w:rFonts w:hint="eastAsia"/>
                <w:color w:val="auto"/>
              </w:rPr>
              <w:t>二期工程设计处理能力1.5万t</w:t>
            </w:r>
            <w:r>
              <w:rPr>
                <w:rFonts w:hint="eastAsia"/>
                <w:color w:val="auto"/>
                <w:lang w:val="en-US" w:eastAsia="zh-CN"/>
              </w:rPr>
              <w:t>/</w:t>
            </w:r>
            <w:r>
              <w:rPr>
                <w:rFonts w:hint="eastAsia"/>
                <w:color w:val="auto"/>
              </w:rPr>
              <w:t>d，采用氧化沟+生物滤池+活性砂过滤处理工艺</w:t>
            </w:r>
            <w:r>
              <w:rPr>
                <w:rFonts w:hint="eastAsia"/>
                <w:color w:val="auto"/>
                <w:lang w:eastAsia="zh-CN"/>
              </w:rPr>
              <w:t>；</w:t>
            </w:r>
            <w:r>
              <w:rPr>
                <w:rFonts w:hint="eastAsia"/>
                <w:color w:val="auto"/>
              </w:rPr>
              <w:t>三期工程设计处理能力1.5万t</w:t>
            </w:r>
            <w:r>
              <w:rPr>
                <w:rFonts w:hint="eastAsia"/>
                <w:color w:val="auto"/>
                <w:lang w:val="en-US" w:eastAsia="zh-CN"/>
              </w:rPr>
              <w:t>/</w:t>
            </w:r>
            <w:r>
              <w:rPr>
                <w:rFonts w:hint="eastAsia"/>
                <w:color w:val="auto"/>
              </w:rPr>
              <w:t>d，采用格栅+沉砂+双沟式氧化沟脱氮除磷+生物滤池+活性砂滤池+二氧化氯消毒处理工艺</w:t>
            </w:r>
            <w:r>
              <w:rPr>
                <w:rFonts w:hint="eastAsia"/>
                <w:color w:val="auto"/>
                <w:lang w:eastAsia="zh-CN"/>
              </w:rPr>
              <w:t>；</w:t>
            </w:r>
            <w:r>
              <w:rPr>
                <w:rFonts w:hint="eastAsia"/>
                <w:color w:val="auto"/>
              </w:rPr>
              <w:t>四期工程设计处理能力7.5万t</w:t>
            </w:r>
            <w:r>
              <w:rPr>
                <w:rFonts w:hint="eastAsia"/>
                <w:color w:val="auto"/>
                <w:lang w:val="en-US" w:eastAsia="zh-CN"/>
              </w:rPr>
              <w:t>/</w:t>
            </w:r>
            <w:r>
              <w:rPr>
                <w:rFonts w:hint="eastAsia"/>
                <w:color w:val="auto"/>
              </w:rPr>
              <w:t>d,采用二级生化处理+深度处理工艺，目前正式投入运行。</w:t>
            </w:r>
            <w:r>
              <w:rPr>
                <w:rFonts w:hint="eastAsia"/>
                <w:color w:val="auto"/>
                <w:lang w:val="en-US" w:eastAsia="zh-CN"/>
              </w:rPr>
              <w:t xml:space="preserve">  </w:t>
            </w:r>
          </w:p>
          <w:p w14:paraId="4844DF5D">
            <w:pPr>
              <w:keepNext w:val="0"/>
              <w:keepLines w:val="0"/>
              <w:suppressLineNumbers w:val="0"/>
              <w:bidi w:val="0"/>
              <w:spacing w:before="0" w:beforeAutospacing="0" w:after="0" w:afterAutospacing="0"/>
              <w:ind w:left="0" w:right="0"/>
              <w:rPr>
                <w:rFonts w:hint="eastAsia"/>
                <w:color w:val="auto"/>
              </w:rPr>
            </w:pPr>
            <w:r>
              <w:rPr>
                <w:rFonts w:hint="eastAsia"/>
                <w:color w:val="auto"/>
              </w:rPr>
              <w:t>目前余杭污水处理</w:t>
            </w:r>
            <w:r>
              <w:rPr>
                <w:rFonts w:hint="eastAsia"/>
                <w:color w:val="auto"/>
                <w:lang w:val="en-US" w:eastAsia="zh-CN"/>
              </w:rPr>
              <w:t>厂</w:t>
            </w:r>
            <w:r>
              <w:rPr>
                <w:rFonts w:hint="eastAsia"/>
                <w:color w:val="auto"/>
              </w:rPr>
              <w:t>进水水质指标执行《污水综合排放标准》(GB8978-1996)中的三级标准</w:t>
            </w:r>
            <w:r>
              <w:rPr>
                <w:rFonts w:hint="eastAsia"/>
                <w:color w:val="auto"/>
                <w:lang w:eastAsia="zh-CN"/>
              </w:rPr>
              <w:t>；</w:t>
            </w:r>
            <w:r>
              <w:rPr>
                <w:rFonts w:hint="eastAsia"/>
                <w:color w:val="auto"/>
              </w:rPr>
              <w:t>余杭污水处理厂出水中COD、氨氮、总磷、总氮执行《城镇污水处理厂主要水污染物排放标准》(DB33/2169-2018)，其余指标执行《城镇污水处理厂污染物排放标准》(GB18918-2002)一级A标准，尾水排入余杭塘河。</w:t>
            </w:r>
          </w:p>
          <w:p w14:paraId="6F5633C6">
            <w:pPr>
              <w:pStyle w:val="2"/>
              <w:keepNext w:val="0"/>
              <w:keepLines w:val="0"/>
              <w:suppressLineNumbers w:val="0"/>
              <w:spacing w:before="0" w:beforeAutospacing="0" w:after="0" w:afterAutospacing="0"/>
              <w:ind w:left="0" w:right="0"/>
              <w:rPr>
                <w:rFonts w:hint="eastAsia"/>
                <w:color w:val="auto"/>
              </w:rPr>
            </w:pPr>
          </w:p>
          <w:p w14:paraId="0A846F8B">
            <w:pPr>
              <w:pStyle w:val="2"/>
              <w:keepNext w:val="0"/>
              <w:keepLines w:val="0"/>
              <w:suppressLineNumbers w:val="0"/>
              <w:spacing w:before="0" w:beforeAutospacing="0" w:after="0" w:afterAutospacing="0"/>
              <w:ind w:left="0" w:right="0"/>
              <w:rPr>
                <w:rFonts w:hint="eastAsia"/>
                <w:color w:val="auto"/>
              </w:rPr>
            </w:pPr>
          </w:p>
          <w:p w14:paraId="326DA77B">
            <w:pPr>
              <w:pStyle w:val="2"/>
              <w:keepNext w:val="0"/>
              <w:keepLines w:val="0"/>
              <w:suppressLineNumbers w:val="0"/>
              <w:spacing w:before="0" w:beforeAutospacing="0" w:after="0" w:afterAutospacing="0"/>
              <w:ind w:left="0" w:right="0"/>
              <w:rPr>
                <w:rFonts w:hint="eastAsia"/>
                <w:color w:val="auto"/>
              </w:rPr>
            </w:pPr>
          </w:p>
          <w:p w14:paraId="29AB2905">
            <w:pPr>
              <w:pStyle w:val="2"/>
              <w:keepNext w:val="0"/>
              <w:keepLines w:val="0"/>
              <w:suppressLineNumbers w:val="0"/>
              <w:spacing w:before="0" w:beforeAutospacing="0" w:after="0" w:afterAutospacing="0"/>
              <w:ind w:left="0" w:right="0"/>
              <w:rPr>
                <w:rFonts w:hint="eastAsia"/>
                <w:color w:val="auto"/>
              </w:rPr>
            </w:pPr>
          </w:p>
          <w:p w14:paraId="0456130D">
            <w:pPr>
              <w:pStyle w:val="2"/>
              <w:keepNext w:val="0"/>
              <w:keepLines w:val="0"/>
              <w:suppressLineNumbers w:val="0"/>
              <w:spacing w:before="0" w:beforeAutospacing="0" w:after="0" w:afterAutospacing="0"/>
              <w:ind w:left="0" w:right="0"/>
              <w:rPr>
                <w:rFonts w:hint="eastAsia"/>
                <w:color w:val="auto"/>
              </w:rPr>
            </w:pPr>
          </w:p>
          <w:p w14:paraId="4218545E">
            <w:pPr>
              <w:pStyle w:val="2"/>
              <w:keepNext w:val="0"/>
              <w:keepLines w:val="0"/>
              <w:suppressLineNumbers w:val="0"/>
              <w:spacing w:before="0" w:beforeAutospacing="0" w:after="0" w:afterAutospacing="0"/>
              <w:ind w:left="0" w:right="0"/>
              <w:rPr>
                <w:rFonts w:hint="eastAsia"/>
                <w:color w:val="auto"/>
              </w:rPr>
            </w:pPr>
          </w:p>
          <w:p w14:paraId="62312275">
            <w:pPr>
              <w:pStyle w:val="2"/>
              <w:keepNext w:val="0"/>
              <w:keepLines w:val="0"/>
              <w:suppressLineNumbers w:val="0"/>
              <w:spacing w:before="0" w:beforeAutospacing="0" w:after="0" w:afterAutospacing="0"/>
              <w:ind w:left="0" w:right="0"/>
              <w:rPr>
                <w:rFonts w:hint="default"/>
                <w:color w:val="auto"/>
              </w:rPr>
            </w:pPr>
          </w:p>
          <w:p w14:paraId="6C598B2A">
            <w:pPr>
              <w:pStyle w:val="2"/>
              <w:keepNext w:val="0"/>
              <w:keepLines w:val="0"/>
              <w:suppressLineNumbers w:val="0"/>
              <w:spacing w:before="0" w:beforeAutospacing="0" w:after="0" w:afterAutospacing="0"/>
              <w:ind w:left="0" w:right="0" w:firstLine="0" w:firstLineChars="0"/>
              <w:jc w:val="center"/>
              <w:rPr>
                <w:rFonts w:hint="eastAsia" w:eastAsia="宋体"/>
                <w:color w:val="auto"/>
                <w:lang w:eastAsia="zh-CN"/>
              </w:rPr>
            </w:pPr>
            <w:r>
              <w:rPr>
                <w:rFonts w:hint="default"/>
              </w:rPr>
              <w:drawing>
                <wp:inline distT="0" distB="0" distL="114300" distR="114300">
                  <wp:extent cx="4924425" cy="1921510"/>
                  <wp:effectExtent l="0" t="0" r="13335"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4924425" cy="1921510"/>
                          </a:xfrm>
                          <a:prstGeom prst="rect">
                            <a:avLst/>
                          </a:prstGeom>
                          <a:noFill/>
                          <a:ln>
                            <a:noFill/>
                          </a:ln>
                        </pic:spPr>
                      </pic:pic>
                    </a:graphicData>
                  </a:graphic>
                </wp:inline>
              </w:drawing>
            </w:r>
          </w:p>
          <w:p w14:paraId="18318C81">
            <w:pPr>
              <w:pStyle w:val="2"/>
              <w:keepNext w:val="0"/>
              <w:keepLines w:val="0"/>
              <w:suppressLineNumbers w:val="0"/>
              <w:spacing w:before="0" w:beforeAutospacing="0" w:after="0" w:afterAutospacing="0"/>
              <w:ind w:left="0" w:right="0" w:firstLine="0" w:firstLineChars="0"/>
              <w:jc w:val="center"/>
              <w:rPr>
                <w:rFonts w:hint="default" w:eastAsia="黑体" w:cs="Times New Roman"/>
                <w:color w:val="auto"/>
                <w:szCs w:val="24"/>
              </w:rPr>
            </w:pPr>
            <w:r>
              <w:rPr>
                <w:rFonts w:hint="eastAsia" w:eastAsia="黑体" w:cs="Times New Roman"/>
                <w:color w:val="auto"/>
                <w:szCs w:val="24"/>
              </w:rPr>
              <w:t>图</w:t>
            </w:r>
            <w:r>
              <w:rPr>
                <w:rFonts w:hint="default" w:eastAsia="黑体" w:cs="Times New Roman"/>
                <w:color w:val="auto"/>
                <w:szCs w:val="24"/>
              </w:rPr>
              <w:t>4</w:t>
            </w:r>
            <w:r>
              <w:rPr>
                <w:rFonts w:hint="eastAsia" w:eastAsia="黑体" w:cs="Times New Roman"/>
                <w:color w:val="auto"/>
                <w:szCs w:val="24"/>
              </w:rPr>
              <w:t>-</w:t>
            </w:r>
            <w:r>
              <w:rPr>
                <w:rFonts w:hint="eastAsia" w:eastAsia="黑体" w:cs="Times New Roman"/>
                <w:color w:val="auto"/>
                <w:szCs w:val="24"/>
                <w:lang w:val="en-US" w:eastAsia="zh-CN"/>
              </w:rPr>
              <w:t>2</w:t>
            </w:r>
            <w:r>
              <w:rPr>
                <w:rFonts w:hint="default" w:eastAsia="黑体" w:cs="Times New Roman"/>
                <w:color w:val="auto"/>
                <w:szCs w:val="24"/>
              </w:rPr>
              <w:t xml:space="preserve">  </w:t>
            </w:r>
            <w:r>
              <w:rPr>
                <w:rFonts w:hint="eastAsia" w:eastAsia="黑体" w:cs="Times New Roman"/>
                <w:color w:val="auto"/>
                <w:szCs w:val="24"/>
                <w:lang w:val="en-US" w:eastAsia="zh-CN"/>
              </w:rPr>
              <w:t>余杭</w:t>
            </w:r>
            <w:r>
              <w:rPr>
                <w:rFonts w:hint="eastAsia" w:eastAsia="黑体" w:cs="Times New Roman"/>
                <w:color w:val="auto"/>
                <w:szCs w:val="24"/>
              </w:rPr>
              <w:t>污水处理厂一、二</w:t>
            </w:r>
            <w:r>
              <w:rPr>
                <w:rFonts w:hint="eastAsia" w:eastAsia="黑体" w:cs="Times New Roman"/>
                <w:color w:val="auto"/>
                <w:szCs w:val="24"/>
                <w:lang w:eastAsia="zh-CN"/>
              </w:rPr>
              <w:t>、</w:t>
            </w:r>
            <w:r>
              <w:rPr>
                <w:rFonts w:hint="eastAsia" w:eastAsia="黑体" w:cs="Times New Roman"/>
                <w:color w:val="auto"/>
                <w:szCs w:val="24"/>
                <w:lang w:val="en-US" w:eastAsia="zh-CN"/>
              </w:rPr>
              <w:t>三</w:t>
            </w:r>
            <w:r>
              <w:rPr>
                <w:rFonts w:hint="eastAsia" w:eastAsia="黑体" w:cs="Times New Roman"/>
                <w:color w:val="auto"/>
                <w:szCs w:val="24"/>
              </w:rPr>
              <w:t>期工程污水处理工艺流程图</w:t>
            </w:r>
          </w:p>
          <w:p w14:paraId="6338576C">
            <w:pPr>
              <w:pStyle w:val="2"/>
              <w:keepNext w:val="0"/>
              <w:keepLines w:val="0"/>
              <w:suppressLineNumbers w:val="0"/>
              <w:spacing w:before="0" w:beforeAutospacing="0" w:after="0" w:afterAutospacing="0"/>
              <w:ind w:left="0" w:right="0" w:firstLine="0" w:firstLineChars="0"/>
              <w:jc w:val="center"/>
              <w:rPr>
                <w:rFonts w:hint="eastAsia" w:eastAsia="宋体"/>
                <w:color w:val="auto"/>
                <w:lang w:eastAsia="zh-CN"/>
              </w:rPr>
            </w:pPr>
            <w:r>
              <w:rPr>
                <w:rFonts w:hint="eastAsia" w:eastAsia="宋体"/>
                <w:color w:val="auto"/>
                <w:lang w:eastAsia="zh-CN"/>
              </w:rPr>
              <w:drawing>
                <wp:inline distT="0" distB="0" distL="114300" distR="114300">
                  <wp:extent cx="4969510" cy="1546860"/>
                  <wp:effectExtent l="0" t="0" r="13970" b="7620"/>
                  <wp:docPr id="25" name="图片 25" descr="1747810779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747810779297"/>
                          <pic:cNvPicPr>
                            <a:picLocks noChangeAspect="1"/>
                          </pic:cNvPicPr>
                        </pic:nvPicPr>
                        <pic:blipFill>
                          <a:blip r:embed="rId14"/>
                          <a:stretch>
                            <a:fillRect/>
                          </a:stretch>
                        </pic:blipFill>
                        <pic:spPr>
                          <a:xfrm>
                            <a:off x="0" y="0"/>
                            <a:ext cx="4969510" cy="1546860"/>
                          </a:xfrm>
                          <a:prstGeom prst="rect">
                            <a:avLst/>
                          </a:prstGeom>
                        </pic:spPr>
                      </pic:pic>
                    </a:graphicData>
                  </a:graphic>
                </wp:inline>
              </w:drawing>
            </w:r>
          </w:p>
          <w:p w14:paraId="65C98FD5">
            <w:pPr>
              <w:pStyle w:val="2"/>
              <w:keepNext w:val="0"/>
              <w:keepLines w:val="0"/>
              <w:suppressLineNumbers w:val="0"/>
              <w:spacing w:before="0" w:beforeAutospacing="0" w:after="0" w:afterAutospacing="0"/>
              <w:ind w:left="0" w:right="0" w:firstLine="0" w:firstLineChars="0"/>
              <w:jc w:val="center"/>
              <w:rPr>
                <w:rFonts w:hint="default" w:eastAsia="黑体" w:cs="Times New Roman"/>
                <w:color w:val="auto"/>
                <w:szCs w:val="24"/>
              </w:rPr>
            </w:pPr>
            <w:r>
              <w:rPr>
                <w:rFonts w:hint="eastAsia" w:eastAsia="黑体" w:cs="Times New Roman"/>
                <w:color w:val="auto"/>
                <w:szCs w:val="24"/>
              </w:rPr>
              <w:t>图</w:t>
            </w:r>
            <w:r>
              <w:rPr>
                <w:rFonts w:hint="default" w:eastAsia="黑体" w:cs="Times New Roman"/>
                <w:color w:val="auto"/>
                <w:szCs w:val="24"/>
              </w:rPr>
              <w:t>4</w:t>
            </w:r>
            <w:r>
              <w:rPr>
                <w:rFonts w:hint="eastAsia" w:eastAsia="黑体" w:cs="Times New Roman"/>
                <w:color w:val="auto"/>
                <w:szCs w:val="24"/>
              </w:rPr>
              <w:t>-</w:t>
            </w:r>
            <w:r>
              <w:rPr>
                <w:rFonts w:hint="eastAsia" w:eastAsia="黑体" w:cs="Times New Roman"/>
                <w:color w:val="auto"/>
                <w:szCs w:val="24"/>
                <w:lang w:val="en-US" w:eastAsia="zh-CN"/>
              </w:rPr>
              <w:t>3</w:t>
            </w:r>
            <w:r>
              <w:rPr>
                <w:rFonts w:hint="default" w:eastAsia="黑体" w:cs="Times New Roman"/>
                <w:color w:val="auto"/>
                <w:szCs w:val="24"/>
              </w:rPr>
              <w:t xml:space="preserve">  </w:t>
            </w:r>
            <w:r>
              <w:rPr>
                <w:rFonts w:hint="eastAsia" w:eastAsia="黑体" w:cs="Times New Roman"/>
                <w:color w:val="auto"/>
                <w:szCs w:val="24"/>
                <w:lang w:val="en-US" w:eastAsia="zh-CN"/>
              </w:rPr>
              <w:t>余杭</w:t>
            </w:r>
            <w:r>
              <w:rPr>
                <w:rFonts w:hint="eastAsia" w:eastAsia="黑体" w:cs="Times New Roman"/>
                <w:color w:val="auto"/>
                <w:szCs w:val="24"/>
              </w:rPr>
              <w:t>污水处理厂</w:t>
            </w:r>
            <w:r>
              <w:rPr>
                <w:rFonts w:hint="eastAsia" w:eastAsia="黑体" w:cs="Times New Roman"/>
                <w:color w:val="auto"/>
                <w:szCs w:val="24"/>
                <w:lang w:val="en-US" w:eastAsia="zh-CN"/>
              </w:rPr>
              <w:t>四</w:t>
            </w:r>
            <w:r>
              <w:rPr>
                <w:rFonts w:hint="eastAsia" w:eastAsia="黑体" w:cs="Times New Roman"/>
                <w:color w:val="auto"/>
                <w:szCs w:val="24"/>
              </w:rPr>
              <w:t>期工程污水处理工艺流程图</w:t>
            </w:r>
          </w:p>
          <w:p w14:paraId="2B12EE1A">
            <w:pPr>
              <w:pStyle w:val="2"/>
              <w:keepNext w:val="0"/>
              <w:keepLines w:val="0"/>
              <w:suppressLineNumbers w:val="0"/>
              <w:spacing w:before="0" w:beforeAutospacing="0" w:after="0" w:afterAutospacing="0"/>
              <w:ind w:left="0" w:right="0" w:firstLine="480"/>
              <w:rPr>
                <w:rFonts w:hint="default"/>
                <w:color w:val="auto"/>
              </w:rPr>
            </w:pPr>
            <w:r>
              <w:rPr>
                <w:rFonts w:hint="default"/>
                <w:color w:val="auto"/>
              </w:rPr>
              <w:t>③</w:t>
            </w:r>
            <w:r>
              <w:rPr>
                <w:rFonts w:hint="eastAsia"/>
                <w:color w:val="auto"/>
              </w:rPr>
              <w:t>达标可行性分析</w:t>
            </w:r>
          </w:p>
          <w:p w14:paraId="033C38E9">
            <w:pPr>
              <w:pStyle w:val="2"/>
              <w:keepNext w:val="0"/>
              <w:keepLines w:val="0"/>
              <w:suppressLineNumbers w:val="0"/>
              <w:spacing w:before="0" w:beforeAutospacing="0" w:after="0" w:afterAutospacing="0"/>
              <w:ind w:left="0" w:right="0" w:firstLine="480"/>
              <w:rPr>
                <w:rFonts w:hint="default"/>
                <w:color w:val="auto"/>
              </w:rPr>
            </w:pPr>
            <w:r>
              <w:rPr>
                <w:rFonts w:hint="default"/>
                <w:color w:val="auto"/>
              </w:rPr>
              <w:t>根据浙江省生态环境厅——浙江省污染源自动监控信息管理平台提供的数据，</w:t>
            </w:r>
            <w:r>
              <w:rPr>
                <w:rFonts w:hint="eastAsia"/>
                <w:color w:val="auto"/>
                <w:lang w:val="en-US" w:eastAsia="zh-CN"/>
              </w:rPr>
              <w:t>余杭</w:t>
            </w:r>
            <w:r>
              <w:rPr>
                <w:rFonts w:hint="default"/>
                <w:color w:val="auto"/>
              </w:rPr>
              <w:t>污水处理厂202</w:t>
            </w:r>
            <w:r>
              <w:rPr>
                <w:rFonts w:hint="eastAsia"/>
                <w:color w:val="auto"/>
                <w:lang w:val="en-US" w:eastAsia="zh-CN"/>
              </w:rPr>
              <w:t>5</w:t>
            </w:r>
            <w:r>
              <w:rPr>
                <w:rFonts w:hint="default"/>
                <w:color w:val="auto"/>
              </w:rPr>
              <w:t>年</w:t>
            </w:r>
            <w:r>
              <w:rPr>
                <w:rFonts w:hint="eastAsia"/>
                <w:color w:val="auto"/>
                <w:lang w:val="en-US" w:eastAsia="zh-CN"/>
              </w:rPr>
              <w:t>5</w:t>
            </w:r>
            <w:r>
              <w:rPr>
                <w:rFonts w:hint="default"/>
                <w:color w:val="auto"/>
              </w:rPr>
              <w:t>月</w:t>
            </w:r>
            <w:r>
              <w:rPr>
                <w:rFonts w:hint="eastAsia"/>
                <w:color w:val="auto"/>
                <w:lang w:val="en-US" w:eastAsia="zh-CN"/>
              </w:rPr>
              <w:t>14</w:t>
            </w:r>
            <w:r>
              <w:rPr>
                <w:rFonts w:hint="default"/>
                <w:color w:val="auto"/>
              </w:rPr>
              <w:t>日~</w:t>
            </w:r>
            <w:r>
              <w:rPr>
                <w:rFonts w:hint="eastAsia"/>
                <w:color w:val="auto"/>
                <w:lang w:val="en-US" w:eastAsia="zh-CN"/>
              </w:rPr>
              <w:t>20</w:t>
            </w:r>
            <w:r>
              <w:rPr>
                <w:rFonts w:hint="default"/>
                <w:color w:val="auto"/>
              </w:rPr>
              <w:t>日污水监测数据如下表。</w:t>
            </w:r>
          </w:p>
          <w:p w14:paraId="2A79D9B2">
            <w:pPr>
              <w:pStyle w:val="2"/>
              <w:keepNext w:val="0"/>
              <w:keepLines w:val="0"/>
              <w:suppressLineNumbers w:val="0"/>
              <w:spacing w:before="0" w:beforeAutospacing="0" w:after="0" w:afterAutospacing="0"/>
              <w:ind w:left="0" w:right="0" w:firstLine="0" w:firstLineChars="0"/>
              <w:jc w:val="center"/>
              <w:rPr>
                <w:rFonts w:hint="eastAsia" w:eastAsia="黑体" w:cs="Times New Roman"/>
                <w:color w:val="auto"/>
                <w:szCs w:val="24"/>
              </w:rPr>
            </w:pPr>
            <w:r>
              <w:rPr>
                <w:rFonts w:hint="default" w:eastAsia="黑体" w:cs="Times New Roman"/>
                <w:color w:val="auto"/>
                <w:szCs w:val="24"/>
              </w:rPr>
              <w:t>表4-</w:t>
            </w:r>
            <w:r>
              <w:rPr>
                <w:rFonts w:hint="eastAsia" w:eastAsia="黑体" w:cs="Times New Roman"/>
                <w:color w:val="auto"/>
                <w:szCs w:val="24"/>
                <w:lang w:val="en-US" w:eastAsia="zh-CN"/>
              </w:rPr>
              <w:t>7</w:t>
            </w:r>
            <w:r>
              <w:rPr>
                <w:rFonts w:hint="default" w:eastAsia="黑体" w:cs="Times New Roman"/>
                <w:color w:val="auto"/>
                <w:szCs w:val="24"/>
              </w:rPr>
              <w:t xml:space="preserve">  </w:t>
            </w:r>
            <w:r>
              <w:rPr>
                <w:rFonts w:hint="eastAsia" w:eastAsia="黑体" w:cs="Times New Roman"/>
                <w:color w:val="auto"/>
                <w:szCs w:val="24"/>
                <w:lang w:val="en-US" w:eastAsia="zh-CN"/>
              </w:rPr>
              <w:t>余杭</w:t>
            </w:r>
            <w:r>
              <w:rPr>
                <w:rFonts w:hint="eastAsia" w:eastAsia="黑体" w:cs="Times New Roman"/>
                <w:color w:val="auto"/>
                <w:szCs w:val="24"/>
              </w:rPr>
              <w:t>污水处理厂污水监测数据</w:t>
            </w:r>
          </w:p>
          <w:tbl>
            <w:tblPr>
              <w:tblStyle w:val="16"/>
              <w:tblW w:w="4996"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0" w:type="dxa"/>
                <w:left w:w="108" w:type="dxa"/>
                <w:bottom w:w="0" w:type="dxa"/>
                <w:right w:w="108" w:type="dxa"/>
              </w:tblCellMar>
            </w:tblPr>
            <w:tblGrid>
              <w:gridCol w:w="438"/>
              <w:gridCol w:w="1042"/>
              <w:gridCol w:w="811"/>
              <w:gridCol w:w="1149"/>
              <w:gridCol w:w="811"/>
              <w:gridCol w:w="747"/>
              <w:gridCol w:w="822"/>
              <w:gridCol w:w="1349"/>
              <w:gridCol w:w="575"/>
            </w:tblGrid>
            <w:tr w14:paraId="7D7316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0" w:hRule="atLeast"/>
              </w:trPr>
              <w:tc>
                <w:tcPr>
                  <w:tcW w:w="283" w:type="pct"/>
                  <w:vMerge w:val="restart"/>
                  <w:tcBorders>
                    <w:tl2br w:val="nil"/>
                    <w:tr2bl w:val="nil"/>
                  </w:tcBorders>
                  <w:shd w:val="clear" w:color="auto" w:fill="auto"/>
                  <w:vAlign w:val="center"/>
                </w:tcPr>
                <w:p w14:paraId="046BF6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序号</w:t>
                  </w:r>
                </w:p>
              </w:tc>
              <w:tc>
                <w:tcPr>
                  <w:tcW w:w="672" w:type="pct"/>
                  <w:vMerge w:val="restart"/>
                  <w:tcBorders>
                    <w:tl2br w:val="nil"/>
                    <w:tr2bl w:val="nil"/>
                  </w:tcBorders>
                  <w:shd w:val="clear" w:color="auto" w:fill="auto"/>
                  <w:vAlign w:val="center"/>
                </w:tcPr>
                <w:p w14:paraId="52FB80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监测时间</w:t>
                  </w:r>
                </w:p>
              </w:tc>
              <w:tc>
                <w:tcPr>
                  <w:tcW w:w="523" w:type="pct"/>
                  <w:tcBorders>
                    <w:tl2br w:val="nil"/>
                    <w:tr2bl w:val="nil"/>
                  </w:tcBorders>
                  <w:shd w:val="clear" w:color="auto" w:fill="auto"/>
                  <w:vAlign w:val="center"/>
                </w:tcPr>
                <w:p w14:paraId="019DFD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pH值</w:t>
                  </w:r>
                </w:p>
              </w:tc>
              <w:tc>
                <w:tcPr>
                  <w:tcW w:w="741" w:type="pct"/>
                  <w:tcBorders>
                    <w:tl2br w:val="nil"/>
                    <w:tr2bl w:val="nil"/>
                  </w:tcBorders>
                  <w:shd w:val="clear" w:color="auto" w:fill="auto"/>
                  <w:vAlign w:val="center"/>
                </w:tcPr>
                <w:p w14:paraId="5E71E2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化学需氧量</w:t>
                  </w:r>
                </w:p>
              </w:tc>
              <w:tc>
                <w:tcPr>
                  <w:tcW w:w="523" w:type="pct"/>
                  <w:tcBorders>
                    <w:tl2br w:val="nil"/>
                    <w:tr2bl w:val="nil"/>
                  </w:tcBorders>
                  <w:shd w:val="clear" w:color="auto" w:fill="auto"/>
                  <w:vAlign w:val="center"/>
                </w:tcPr>
                <w:p w14:paraId="38544A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氨氮</w:t>
                  </w:r>
                </w:p>
              </w:tc>
              <w:tc>
                <w:tcPr>
                  <w:tcW w:w="482" w:type="pct"/>
                  <w:tcBorders>
                    <w:tl2br w:val="nil"/>
                    <w:tr2bl w:val="nil"/>
                  </w:tcBorders>
                  <w:shd w:val="clear" w:color="auto" w:fill="auto"/>
                  <w:vAlign w:val="center"/>
                </w:tcPr>
                <w:p w14:paraId="603543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总磷</w:t>
                  </w:r>
                </w:p>
              </w:tc>
              <w:tc>
                <w:tcPr>
                  <w:tcW w:w="530" w:type="pct"/>
                  <w:tcBorders>
                    <w:tl2br w:val="nil"/>
                    <w:tr2bl w:val="nil"/>
                  </w:tcBorders>
                  <w:shd w:val="clear" w:color="auto" w:fill="auto"/>
                  <w:vAlign w:val="center"/>
                </w:tcPr>
                <w:p w14:paraId="55A69B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总氮</w:t>
                  </w:r>
                </w:p>
              </w:tc>
              <w:tc>
                <w:tcPr>
                  <w:tcW w:w="870" w:type="pct"/>
                  <w:tcBorders>
                    <w:tl2br w:val="nil"/>
                    <w:tr2bl w:val="nil"/>
                  </w:tcBorders>
                  <w:shd w:val="clear" w:color="auto" w:fill="auto"/>
                  <w:vAlign w:val="center"/>
                </w:tcPr>
                <w:p w14:paraId="3477CC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废水瞬时流量</w:t>
                  </w:r>
                </w:p>
              </w:tc>
              <w:tc>
                <w:tcPr>
                  <w:tcW w:w="371" w:type="pct"/>
                  <w:tcBorders>
                    <w:tl2br w:val="nil"/>
                    <w:tr2bl w:val="nil"/>
                  </w:tcBorders>
                  <w:shd w:val="clear" w:color="auto" w:fill="auto"/>
                  <w:vAlign w:val="center"/>
                </w:tcPr>
                <w:p w14:paraId="68A4FB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水温</w:t>
                  </w:r>
                </w:p>
              </w:tc>
            </w:tr>
            <w:tr w14:paraId="5E6B79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0" w:hRule="atLeast"/>
              </w:trPr>
              <w:tc>
                <w:tcPr>
                  <w:tcW w:w="283" w:type="pct"/>
                  <w:vMerge w:val="continue"/>
                  <w:tcBorders>
                    <w:tl2br w:val="nil"/>
                    <w:tr2bl w:val="nil"/>
                  </w:tcBorders>
                  <w:shd w:val="clear" w:color="auto" w:fill="auto"/>
                  <w:vAlign w:val="center"/>
                </w:tcPr>
                <w:p w14:paraId="281A81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p>
              </w:tc>
              <w:tc>
                <w:tcPr>
                  <w:tcW w:w="672" w:type="pct"/>
                  <w:vMerge w:val="continue"/>
                  <w:tcBorders>
                    <w:tl2br w:val="nil"/>
                    <w:tr2bl w:val="nil"/>
                  </w:tcBorders>
                  <w:shd w:val="clear" w:color="auto" w:fill="auto"/>
                  <w:vAlign w:val="center"/>
                </w:tcPr>
                <w:p w14:paraId="06207B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p>
              </w:tc>
              <w:tc>
                <w:tcPr>
                  <w:tcW w:w="523" w:type="pct"/>
                  <w:tcBorders>
                    <w:tl2br w:val="nil"/>
                    <w:tr2bl w:val="nil"/>
                  </w:tcBorders>
                  <w:shd w:val="clear" w:color="auto" w:fill="auto"/>
                  <w:vAlign w:val="center"/>
                </w:tcPr>
                <w:p w14:paraId="0EF897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无量纲</w:t>
                  </w:r>
                </w:p>
              </w:tc>
              <w:tc>
                <w:tcPr>
                  <w:tcW w:w="741" w:type="pct"/>
                  <w:tcBorders>
                    <w:tl2br w:val="nil"/>
                    <w:tr2bl w:val="nil"/>
                  </w:tcBorders>
                  <w:shd w:val="clear" w:color="auto" w:fill="auto"/>
                  <w:vAlign w:val="center"/>
                </w:tcPr>
                <w:p w14:paraId="4A3D56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default"/>
                      <w:color w:val="auto"/>
                      <w:sz w:val="18"/>
                      <w:szCs w:val="18"/>
                      <w:lang w:val="en-US" w:eastAsia="zh-CN"/>
                    </w:rPr>
                    <w:t>mg/L</w:t>
                  </w:r>
                </w:p>
              </w:tc>
              <w:tc>
                <w:tcPr>
                  <w:tcW w:w="523" w:type="pct"/>
                  <w:tcBorders>
                    <w:tl2br w:val="nil"/>
                    <w:tr2bl w:val="nil"/>
                  </w:tcBorders>
                  <w:shd w:val="clear" w:color="auto" w:fill="auto"/>
                  <w:vAlign w:val="center"/>
                </w:tcPr>
                <w:p w14:paraId="23C826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default"/>
                      <w:color w:val="auto"/>
                      <w:sz w:val="18"/>
                      <w:szCs w:val="18"/>
                      <w:lang w:val="en-US" w:eastAsia="zh-CN"/>
                    </w:rPr>
                    <w:t>mg/L</w:t>
                  </w:r>
                </w:p>
              </w:tc>
              <w:tc>
                <w:tcPr>
                  <w:tcW w:w="482" w:type="pct"/>
                  <w:tcBorders>
                    <w:tl2br w:val="nil"/>
                    <w:tr2bl w:val="nil"/>
                  </w:tcBorders>
                  <w:shd w:val="clear" w:color="auto" w:fill="auto"/>
                  <w:vAlign w:val="center"/>
                </w:tcPr>
                <w:p w14:paraId="222F2B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default"/>
                      <w:color w:val="auto"/>
                      <w:sz w:val="18"/>
                      <w:szCs w:val="18"/>
                      <w:lang w:val="en-US" w:eastAsia="zh-CN"/>
                    </w:rPr>
                    <w:t>mg/L</w:t>
                  </w:r>
                </w:p>
              </w:tc>
              <w:tc>
                <w:tcPr>
                  <w:tcW w:w="530" w:type="pct"/>
                  <w:tcBorders>
                    <w:tl2br w:val="nil"/>
                    <w:tr2bl w:val="nil"/>
                  </w:tcBorders>
                  <w:shd w:val="clear" w:color="auto" w:fill="auto"/>
                  <w:vAlign w:val="center"/>
                </w:tcPr>
                <w:p w14:paraId="7BA78E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default"/>
                      <w:color w:val="auto"/>
                      <w:sz w:val="18"/>
                      <w:szCs w:val="18"/>
                      <w:lang w:val="en-US" w:eastAsia="zh-CN"/>
                    </w:rPr>
                    <w:t>mg/L</w:t>
                  </w:r>
                </w:p>
              </w:tc>
              <w:tc>
                <w:tcPr>
                  <w:tcW w:w="870" w:type="pct"/>
                  <w:tcBorders>
                    <w:tl2br w:val="nil"/>
                    <w:tr2bl w:val="nil"/>
                  </w:tcBorders>
                  <w:shd w:val="clear" w:color="auto" w:fill="auto"/>
                  <w:vAlign w:val="center"/>
                </w:tcPr>
                <w:p w14:paraId="24D357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升/秒</w:t>
                  </w:r>
                </w:p>
              </w:tc>
              <w:tc>
                <w:tcPr>
                  <w:tcW w:w="371" w:type="pct"/>
                  <w:tcBorders>
                    <w:tl2br w:val="nil"/>
                    <w:tr2bl w:val="nil"/>
                  </w:tcBorders>
                  <w:shd w:val="clear" w:color="auto" w:fill="auto"/>
                  <w:vAlign w:val="center"/>
                </w:tcPr>
                <w:p w14:paraId="0BFD4C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w:t>
                  </w:r>
                </w:p>
              </w:tc>
            </w:tr>
            <w:tr w14:paraId="79877B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0" w:hRule="atLeast"/>
              </w:trPr>
              <w:tc>
                <w:tcPr>
                  <w:tcW w:w="283" w:type="pct"/>
                  <w:tcBorders>
                    <w:tl2br w:val="nil"/>
                    <w:tr2bl w:val="nil"/>
                  </w:tcBorders>
                  <w:shd w:val="clear" w:color="auto" w:fill="auto"/>
                  <w:vAlign w:val="center"/>
                </w:tcPr>
                <w:p w14:paraId="58B11F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1</w:t>
                  </w:r>
                </w:p>
              </w:tc>
              <w:tc>
                <w:tcPr>
                  <w:tcW w:w="672" w:type="pct"/>
                  <w:tcBorders>
                    <w:tl2br w:val="nil"/>
                    <w:tr2bl w:val="nil"/>
                  </w:tcBorders>
                  <w:shd w:val="clear" w:color="auto" w:fill="auto"/>
                  <w:vAlign w:val="center"/>
                </w:tcPr>
                <w:p w14:paraId="77C31F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2025/5/20</w:t>
                  </w:r>
                </w:p>
              </w:tc>
              <w:tc>
                <w:tcPr>
                  <w:tcW w:w="523" w:type="pct"/>
                  <w:tcBorders>
                    <w:tl2br w:val="nil"/>
                    <w:tr2bl w:val="nil"/>
                  </w:tcBorders>
                  <w:shd w:val="clear" w:color="auto" w:fill="auto"/>
                  <w:vAlign w:val="center"/>
                </w:tcPr>
                <w:p w14:paraId="5AD63F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6.71</w:t>
                  </w:r>
                </w:p>
              </w:tc>
              <w:tc>
                <w:tcPr>
                  <w:tcW w:w="741" w:type="pct"/>
                  <w:tcBorders>
                    <w:tl2br w:val="nil"/>
                    <w:tr2bl w:val="nil"/>
                  </w:tcBorders>
                  <w:shd w:val="clear" w:color="auto" w:fill="auto"/>
                  <w:vAlign w:val="center"/>
                </w:tcPr>
                <w:p w14:paraId="1FB9F7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5.27</w:t>
                  </w:r>
                </w:p>
              </w:tc>
              <w:tc>
                <w:tcPr>
                  <w:tcW w:w="523" w:type="pct"/>
                  <w:tcBorders>
                    <w:tl2br w:val="nil"/>
                    <w:tr2bl w:val="nil"/>
                  </w:tcBorders>
                  <w:shd w:val="clear" w:color="auto" w:fill="auto"/>
                  <w:vAlign w:val="center"/>
                </w:tcPr>
                <w:p w14:paraId="60FA16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0.11</w:t>
                  </w:r>
                </w:p>
              </w:tc>
              <w:tc>
                <w:tcPr>
                  <w:tcW w:w="482" w:type="pct"/>
                  <w:tcBorders>
                    <w:tl2br w:val="nil"/>
                    <w:tr2bl w:val="nil"/>
                  </w:tcBorders>
                  <w:shd w:val="clear" w:color="auto" w:fill="auto"/>
                  <w:vAlign w:val="center"/>
                </w:tcPr>
                <w:p w14:paraId="5B6964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0.0734</w:t>
                  </w:r>
                </w:p>
              </w:tc>
              <w:tc>
                <w:tcPr>
                  <w:tcW w:w="530" w:type="pct"/>
                  <w:tcBorders>
                    <w:tl2br w:val="nil"/>
                    <w:tr2bl w:val="nil"/>
                  </w:tcBorders>
                  <w:shd w:val="clear" w:color="auto" w:fill="auto"/>
                  <w:vAlign w:val="center"/>
                </w:tcPr>
                <w:p w14:paraId="4D6FB8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6.51</w:t>
                  </w:r>
                </w:p>
              </w:tc>
              <w:tc>
                <w:tcPr>
                  <w:tcW w:w="870" w:type="pct"/>
                  <w:tcBorders>
                    <w:tl2br w:val="nil"/>
                    <w:tr2bl w:val="nil"/>
                  </w:tcBorders>
                  <w:shd w:val="clear" w:color="auto" w:fill="auto"/>
                  <w:vAlign w:val="center"/>
                </w:tcPr>
                <w:p w14:paraId="591F05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569.38</w:t>
                  </w:r>
                </w:p>
              </w:tc>
              <w:tc>
                <w:tcPr>
                  <w:tcW w:w="371" w:type="pct"/>
                  <w:tcBorders>
                    <w:tl2br w:val="nil"/>
                    <w:tr2bl w:val="nil"/>
                  </w:tcBorders>
                  <w:shd w:val="clear" w:color="auto" w:fill="auto"/>
                  <w:vAlign w:val="center"/>
                </w:tcPr>
                <w:p w14:paraId="51FAA9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24</w:t>
                  </w:r>
                </w:p>
              </w:tc>
            </w:tr>
            <w:tr w14:paraId="4DFEFF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0" w:hRule="atLeast"/>
              </w:trPr>
              <w:tc>
                <w:tcPr>
                  <w:tcW w:w="283" w:type="pct"/>
                  <w:tcBorders>
                    <w:tl2br w:val="nil"/>
                    <w:tr2bl w:val="nil"/>
                  </w:tcBorders>
                  <w:shd w:val="clear" w:color="auto" w:fill="auto"/>
                  <w:vAlign w:val="center"/>
                </w:tcPr>
                <w:p w14:paraId="6237C4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2</w:t>
                  </w:r>
                </w:p>
              </w:tc>
              <w:tc>
                <w:tcPr>
                  <w:tcW w:w="672" w:type="pct"/>
                  <w:tcBorders>
                    <w:tl2br w:val="nil"/>
                    <w:tr2bl w:val="nil"/>
                  </w:tcBorders>
                  <w:shd w:val="clear" w:color="auto" w:fill="auto"/>
                  <w:vAlign w:val="center"/>
                </w:tcPr>
                <w:p w14:paraId="55A188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2025/5/19</w:t>
                  </w:r>
                </w:p>
              </w:tc>
              <w:tc>
                <w:tcPr>
                  <w:tcW w:w="523" w:type="pct"/>
                  <w:tcBorders>
                    <w:tl2br w:val="nil"/>
                    <w:tr2bl w:val="nil"/>
                  </w:tcBorders>
                  <w:shd w:val="clear" w:color="auto" w:fill="auto"/>
                  <w:vAlign w:val="center"/>
                </w:tcPr>
                <w:p w14:paraId="39DFD8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6.71</w:t>
                  </w:r>
                </w:p>
              </w:tc>
              <w:tc>
                <w:tcPr>
                  <w:tcW w:w="741" w:type="pct"/>
                  <w:tcBorders>
                    <w:tl2br w:val="nil"/>
                    <w:tr2bl w:val="nil"/>
                  </w:tcBorders>
                  <w:shd w:val="clear" w:color="auto" w:fill="auto"/>
                  <w:vAlign w:val="center"/>
                </w:tcPr>
                <w:p w14:paraId="4233AA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7.6</w:t>
                  </w:r>
                </w:p>
              </w:tc>
              <w:tc>
                <w:tcPr>
                  <w:tcW w:w="523" w:type="pct"/>
                  <w:tcBorders>
                    <w:tl2br w:val="nil"/>
                    <w:tr2bl w:val="nil"/>
                  </w:tcBorders>
                  <w:shd w:val="clear" w:color="auto" w:fill="auto"/>
                  <w:vAlign w:val="center"/>
                </w:tcPr>
                <w:p w14:paraId="077902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0.1083</w:t>
                  </w:r>
                </w:p>
              </w:tc>
              <w:tc>
                <w:tcPr>
                  <w:tcW w:w="482" w:type="pct"/>
                  <w:tcBorders>
                    <w:tl2br w:val="nil"/>
                    <w:tr2bl w:val="nil"/>
                  </w:tcBorders>
                  <w:shd w:val="clear" w:color="auto" w:fill="auto"/>
                  <w:vAlign w:val="center"/>
                </w:tcPr>
                <w:p w14:paraId="094058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0.0839</w:t>
                  </w:r>
                </w:p>
              </w:tc>
              <w:tc>
                <w:tcPr>
                  <w:tcW w:w="530" w:type="pct"/>
                  <w:tcBorders>
                    <w:tl2br w:val="nil"/>
                    <w:tr2bl w:val="nil"/>
                  </w:tcBorders>
                  <w:shd w:val="clear" w:color="auto" w:fill="auto"/>
                  <w:vAlign w:val="center"/>
                </w:tcPr>
                <w:p w14:paraId="0E6495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6.965</w:t>
                  </w:r>
                </w:p>
              </w:tc>
              <w:tc>
                <w:tcPr>
                  <w:tcW w:w="870" w:type="pct"/>
                  <w:tcBorders>
                    <w:tl2br w:val="nil"/>
                    <w:tr2bl w:val="nil"/>
                  </w:tcBorders>
                  <w:shd w:val="clear" w:color="auto" w:fill="auto"/>
                  <w:vAlign w:val="center"/>
                </w:tcPr>
                <w:p w14:paraId="1C3CAF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539.53</w:t>
                  </w:r>
                </w:p>
              </w:tc>
              <w:tc>
                <w:tcPr>
                  <w:tcW w:w="371" w:type="pct"/>
                  <w:tcBorders>
                    <w:tl2br w:val="nil"/>
                    <w:tr2bl w:val="nil"/>
                  </w:tcBorders>
                  <w:shd w:val="clear" w:color="auto" w:fill="auto"/>
                  <w:vAlign w:val="center"/>
                </w:tcPr>
                <w:p w14:paraId="3CFB4B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23.7</w:t>
                  </w:r>
                </w:p>
              </w:tc>
            </w:tr>
            <w:tr w14:paraId="3039C8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0" w:hRule="atLeast"/>
              </w:trPr>
              <w:tc>
                <w:tcPr>
                  <w:tcW w:w="283" w:type="pct"/>
                  <w:tcBorders>
                    <w:tl2br w:val="nil"/>
                    <w:tr2bl w:val="nil"/>
                  </w:tcBorders>
                  <w:shd w:val="clear" w:color="auto" w:fill="auto"/>
                  <w:vAlign w:val="center"/>
                </w:tcPr>
                <w:p w14:paraId="7637C2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3</w:t>
                  </w:r>
                </w:p>
              </w:tc>
              <w:tc>
                <w:tcPr>
                  <w:tcW w:w="672" w:type="pct"/>
                  <w:tcBorders>
                    <w:tl2br w:val="nil"/>
                    <w:tr2bl w:val="nil"/>
                  </w:tcBorders>
                  <w:shd w:val="clear" w:color="auto" w:fill="auto"/>
                  <w:vAlign w:val="center"/>
                </w:tcPr>
                <w:p w14:paraId="02D69F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2025/5/18</w:t>
                  </w:r>
                </w:p>
              </w:tc>
              <w:tc>
                <w:tcPr>
                  <w:tcW w:w="523" w:type="pct"/>
                  <w:tcBorders>
                    <w:tl2br w:val="nil"/>
                    <w:tr2bl w:val="nil"/>
                  </w:tcBorders>
                  <w:shd w:val="clear" w:color="auto" w:fill="auto"/>
                  <w:vAlign w:val="center"/>
                </w:tcPr>
                <w:p w14:paraId="093697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6.83</w:t>
                  </w:r>
                </w:p>
              </w:tc>
              <w:tc>
                <w:tcPr>
                  <w:tcW w:w="741" w:type="pct"/>
                  <w:tcBorders>
                    <w:tl2br w:val="nil"/>
                    <w:tr2bl w:val="nil"/>
                  </w:tcBorders>
                  <w:shd w:val="clear" w:color="auto" w:fill="auto"/>
                  <w:vAlign w:val="center"/>
                </w:tcPr>
                <w:p w14:paraId="6F0C79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5.89</w:t>
                  </w:r>
                </w:p>
              </w:tc>
              <w:tc>
                <w:tcPr>
                  <w:tcW w:w="523" w:type="pct"/>
                  <w:tcBorders>
                    <w:tl2br w:val="nil"/>
                    <w:tr2bl w:val="nil"/>
                  </w:tcBorders>
                  <w:shd w:val="clear" w:color="auto" w:fill="auto"/>
                  <w:vAlign w:val="center"/>
                </w:tcPr>
                <w:p w14:paraId="77BE64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0.0236</w:t>
                  </w:r>
                </w:p>
              </w:tc>
              <w:tc>
                <w:tcPr>
                  <w:tcW w:w="482" w:type="pct"/>
                  <w:tcBorders>
                    <w:tl2br w:val="nil"/>
                    <w:tr2bl w:val="nil"/>
                  </w:tcBorders>
                  <w:shd w:val="clear" w:color="auto" w:fill="auto"/>
                  <w:vAlign w:val="center"/>
                </w:tcPr>
                <w:p w14:paraId="581A90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0.0676</w:t>
                  </w:r>
                </w:p>
              </w:tc>
              <w:tc>
                <w:tcPr>
                  <w:tcW w:w="530" w:type="pct"/>
                  <w:tcBorders>
                    <w:tl2br w:val="nil"/>
                    <w:tr2bl w:val="nil"/>
                  </w:tcBorders>
                  <w:shd w:val="clear" w:color="auto" w:fill="auto"/>
                  <w:vAlign w:val="center"/>
                </w:tcPr>
                <w:p w14:paraId="290A2D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5.808</w:t>
                  </w:r>
                </w:p>
              </w:tc>
              <w:tc>
                <w:tcPr>
                  <w:tcW w:w="870" w:type="pct"/>
                  <w:tcBorders>
                    <w:tl2br w:val="nil"/>
                    <w:tr2bl w:val="nil"/>
                  </w:tcBorders>
                  <w:shd w:val="clear" w:color="auto" w:fill="auto"/>
                  <w:vAlign w:val="center"/>
                </w:tcPr>
                <w:p w14:paraId="33A900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544.31</w:t>
                  </w:r>
                </w:p>
              </w:tc>
              <w:tc>
                <w:tcPr>
                  <w:tcW w:w="371" w:type="pct"/>
                  <w:tcBorders>
                    <w:tl2br w:val="nil"/>
                    <w:tr2bl w:val="nil"/>
                  </w:tcBorders>
                  <w:shd w:val="clear" w:color="auto" w:fill="auto"/>
                  <w:vAlign w:val="center"/>
                </w:tcPr>
                <w:p w14:paraId="5C366E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23.7</w:t>
                  </w:r>
                </w:p>
              </w:tc>
            </w:tr>
            <w:tr w14:paraId="0D846F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270" w:hRule="atLeast"/>
              </w:trPr>
              <w:tc>
                <w:tcPr>
                  <w:tcW w:w="283" w:type="pct"/>
                  <w:tcBorders>
                    <w:tl2br w:val="nil"/>
                    <w:tr2bl w:val="nil"/>
                  </w:tcBorders>
                  <w:shd w:val="clear" w:color="auto" w:fill="auto"/>
                  <w:vAlign w:val="center"/>
                </w:tcPr>
                <w:p w14:paraId="6E153B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4</w:t>
                  </w:r>
                </w:p>
              </w:tc>
              <w:tc>
                <w:tcPr>
                  <w:tcW w:w="672" w:type="pct"/>
                  <w:tcBorders>
                    <w:tl2br w:val="nil"/>
                    <w:tr2bl w:val="nil"/>
                  </w:tcBorders>
                  <w:shd w:val="clear" w:color="auto" w:fill="auto"/>
                  <w:vAlign w:val="center"/>
                </w:tcPr>
                <w:p w14:paraId="69339E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2025/5/17</w:t>
                  </w:r>
                </w:p>
              </w:tc>
              <w:tc>
                <w:tcPr>
                  <w:tcW w:w="523" w:type="pct"/>
                  <w:tcBorders>
                    <w:tl2br w:val="nil"/>
                    <w:tr2bl w:val="nil"/>
                  </w:tcBorders>
                  <w:shd w:val="clear" w:color="auto" w:fill="auto"/>
                  <w:vAlign w:val="center"/>
                </w:tcPr>
                <w:p w14:paraId="28842B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6.9</w:t>
                  </w:r>
                </w:p>
              </w:tc>
              <w:tc>
                <w:tcPr>
                  <w:tcW w:w="741" w:type="pct"/>
                  <w:tcBorders>
                    <w:tl2br w:val="nil"/>
                    <w:tr2bl w:val="nil"/>
                  </w:tcBorders>
                  <w:shd w:val="clear" w:color="auto" w:fill="auto"/>
                  <w:vAlign w:val="center"/>
                </w:tcPr>
                <w:p w14:paraId="4DB240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4.88</w:t>
                  </w:r>
                </w:p>
              </w:tc>
              <w:tc>
                <w:tcPr>
                  <w:tcW w:w="523" w:type="pct"/>
                  <w:tcBorders>
                    <w:tl2br w:val="nil"/>
                    <w:tr2bl w:val="nil"/>
                  </w:tcBorders>
                  <w:shd w:val="clear" w:color="auto" w:fill="auto"/>
                  <w:vAlign w:val="center"/>
                </w:tcPr>
                <w:p w14:paraId="58AC36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0.0229</w:t>
                  </w:r>
                </w:p>
              </w:tc>
              <w:tc>
                <w:tcPr>
                  <w:tcW w:w="482" w:type="pct"/>
                  <w:tcBorders>
                    <w:tl2br w:val="nil"/>
                    <w:tr2bl w:val="nil"/>
                  </w:tcBorders>
                  <w:shd w:val="clear" w:color="auto" w:fill="auto"/>
                  <w:vAlign w:val="center"/>
                </w:tcPr>
                <w:p w14:paraId="4C375E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0.0676</w:t>
                  </w:r>
                </w:p>
              </w:tc>
              <w:tc>
                <w:tcPr>
                  <w:tcW w:w="530" w:type="pct"/>
                  <w:tcBorders>
                    <w:tl2br w:val="nil"/>
                    <w:tr2bl w:val="nil"/>
                  </w:tcBorders>
                  <w:shd w:val="clear" w:color="auto" w:fill="auto"/>
                  <w:vAlign w:val="center"/>
                </w:tcPr>
                <w:p w14:paraId="4B2FE6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6.263</w:t>
                  </w:r>
                </w:p>
              </w:tc>
              <w:tc>
                <w:tcPr>
                  <w:tcW w:w="870" w:type="pct"/>
                  <w:tcBorders>
                    <w:tl2br w:val="nil"/>
                    <w:tr2bl w:val="nil"/>
                  </w:tcBorders>
                  <w:shd w:val="clear" w:color="auto" w:fill="auto"/>
                  <w:vAlign w:val="center"/>
                </w:tcPr>
                <w:p w14:paraId="4CEB5E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546.67</w:t>
                  </w:r>
                </w:p>
              </w:tc>
              <w:tc>
                <w:tcPr>
                  <w:tcW w:w="371" w:type="pct"/>
                  <w:tcBorders>
                    <w:tl2br w:val="nil"/>
                    <w:tr2bl w:val="nil"/>
                  </w:tcBorders>
                  <w:shd w:val="clear" w:color="auto" w:fill="auto"/>
                  <w:vAlign w:val="center"/>
                </w:tcPr>
                <w:p w14:paraId="4FF9B5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23.7</w:t>
                  </w:r>
                </w:p>
              </w:tc>
            </w:tr>
            <w:tr w14:paraId="01E0DA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0" w:hRule="atLeast"/>
              </w:trPr>
              <w:tc>
                <w:tcPr>
                  <w:tcW w:w="283" w:type="pct"/>
                  <w:tcBorders>
                    <w:tl2br w:val="nil"/>
                    <w:tr2bl w:val="nil"/>
                  </w:tcBorders>
                  <w:shd w:val="clear" w:color="auto" w:fill="auto"/>
                  <w:vAlign w:val="center"/>
                </w:tcPr>
                <w:p w14:paraId="764CAD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5</w:t>
                  </w:r>
                </w:p>
              </w:tc>
              <w:tc>
                <w:tcPr>
                  <w:tcW w:w="672" w:type="pct"/>
                  <w:tcBorders>
                    <w:tl2br w:val="nil"/>
                    <w:tr2bl w:val="nil"/>
                  </w:tcBorders>
                  <w:shd w:val="clear" w:color="auto" w:fill="auto"/>
                  <w:vAlign w:val="center"/>
                </w:tcPr>
                <w:p w14:paraId="1C00D7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2025/5/16</w:t>
                  </w:r>
                </w:p>
              </w:tc>
              <w:tc>
                <w:tcPr>
                  <w:tcW w:w="523" w:type="pct"/>
                  <w:tcBorders>
                    <w:tl2br w:val="nil"/>
                    <w:tr2bl w:val="nil"/>
                  </w:tcBorders>
                  <w:shd w:val="clear" w:color="auto" w:fill="auto"/>
                  <w:vAlign w:val="center"/>
                </w:tcPr>
                <w:p w14:paraId="66DCE3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6.86</w:t>
                  </w:r>
                </w:p>
              </w:tc>
              <w:tc>
                <w:tcPr>
                  <w:tcW w:w="741" w:type="pct"/>
                  <w:tcBorders>
                    <w:tl2br w:val="nil"/>
                    <w:tr2bl w:val="nil"/>
                  </w:tcBorders>
                  <w:shd w:val="clear" w:color="auto" w:fill="auto"/>
                  <w:vAlign w:val="center"/>
                </w:tcPr>
                <w:p w14:paraId="58730F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4.35</w:t>
                  </w:r>
                </w:p>
              </w:tc>
              <w:tc>
                <w:tcPr>
                  <w:tcW w:w="523" w:type="pct"/>
                  <w:tcBorders>
                    <w:tl2br w:val="nil"/>
                    <w:tr2bl w:val="nil"/>
                  </w:tcBorders>
                  <w:shd w:val="clear" w:color="auto" w:fill="auto"/>
                  <w:vAlign w:val="center"/>
                </w:tcPr>
                <w:p w14:paraId="442913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0.0311</w:t>
                  </w:r>
                </w:p>
              </w:tc>
              <w:tc>
                <w:tcPr>
                  <w:tcW w:w="482" w:type="pct"/>
                  <w:tcBorders>
                    <w:tl2br w:val="nil"/>
                    <w:tr2bl w:val="nil"/>
                  </w:tcBorders>
                  <w:shd w:val="clear" w:color="auto" w:fill="auto"/>
                  <w:vAlign w:val="center"/>
                </w:tcPr>
                <w:p w14:paraId="101267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0.0696</w:t>
                  </w:r>
                </w:p>
              </w:tc>
              <w:tc>
                <w:tcPr>
                  <w:tcW w:w="530" w:type="pct"/>
                  <w:tcBorders>
                    <w:tl2br w:val="nil"/>
                    <w:tr2bl w:val="nil"/>
                  </w:tcBorders>
                  <w:shd w:val="clear" w:color="auto" w:fill="auto"/>
                  <w:vAlign w:val="center"/>
                </w:tcPr>
                <w:p w14:paraId="1D0A9A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6.435</w:t>
                  </w:r>
                </w:p>
              </w:tc>
              <w:tc>
                <w:tcPr>
                  <w:tcW w:w="870" w:type="pct"/>
                  <w:tcBorders>
                    <w:tl2br w:val="nil"/>
                    <w:tr2bl w:val="nil"/>
                  </w:tcBorders>
                  <w:shd w:val="clear" w:color="auto" w:fill="auto"/>
                  <w:vAlign w:val="center"/>
                </w:tcPr>
                <w:p w14:paraId="40BD55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557.36</w:t>
                  </w:r>
                </w:p>
              </w:tc>
              <w:tc>
                <w:tcPr>
                  <w:tcW w:w="371" w:type="pct"/>
                  <w:tcBorders>
                    <w:tl2br w:val="nil"/>
                    <w:tr2bl w:val="nil"/>
                  </w:tcBorders>
                  <w:shd w:val="clear" w:color="auto" w:fill="auto"/>
                  <w:vAlign w:val="center"/>
                </w:tcPr>
                <w:p w14:paraId="5E183A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23.4</w:t>
                  </w:r>
                </w:p>
              </w:tc>
            </w:tr>
            <w:tr w14:paraId="778D62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0" w:hRule="atLeast"/>
              </w:trPr>
              <w:tc>
                <w:tcPr>
                  <w:tcW w:w="283" w:type="pct"/>
                  <w:tcBorders>
                    <w:tl2br w:val="nil"/>
                    <w:tr2bl w:val="nil"/>
                  </w:tcBorders>
                  <w:shd w:val="clear" w:color="auto" w:fill="auto"/>
                  <w:vAlign w:val="center"/>
                </w:tcPr>
                <w:p w14:paraId="46BF57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6</w:t>
                  </w:r>
                </w:p>
              </w:tc>
              <w:tc>
                <w:tcPr>
                  <w:tcW w:w="672" w:type="pct"/>
                  <w:tcBorders>
                    <w:tl2br w:val="nil"/>
                    <w:tr2bl w:val="nil"/>
                  </w:tcBorders>
                  <w:shd w:val="clear" w:color="auto" w:fill="auto"/>
                  <w:vAlign w:val="center"/>
                </w:tcPr>
                <w:p w14:paraId="3C7304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2025/5/15</w:t>
                  </w:r>
                </w:p>
              </w:tc>
              <w:tc>
                <w:tcPr>
                  <w:tcW w:w="523" w:type="pct"/>
                  <w:tcBorders>
                    <w:tl2br w:val="nil"/>
                    <w:tr2bl w:val="nil"/>
                  </w:tcBorders>
                  <w:shd w:val="clear" w:color="auto" w:fill="auto"/>
                  <w:vAlign w:val="center"/>
                </w:tcPr>
                <w:p w14:paraId="6E4B2C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6.9</w:t>
                  </w:r>
                </w:p>
              </w:tc>
              <w:tc>
                <w:tcPr>
                  <w:tcW w:w="741" w:type="pct"/>
                  <w:tcBorders>
                    <w:tl2br w:val="nil"/>
                    <w:tr2bl w:val="nil"/>
                  </w:tcBorders>
                  <w:shd w:val="clear" w:color="auto" w:fill="auto"/>
                  <w:vAlign w:val="center"/>
                </w:tcPr>
                <w:p w14:paraId="2835AA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4.85</w:t>
                  </w:r>
                </w:p>
              </w:tc>
              <w:tc>
                <w:tcPr>
                  <w:tcW w:w="523" w:type="pct"/>
                  <w:tcBorders>
                    <w:tl2br w:val="nil"/>
                    <w:tr2bl w:val="nil"/>
                  </w:tcBorders>
                  <w:shd w:val="clear" w:color="auto" w:fill="auto"/>
                  <w:vAlign w:val="center"/>
                </w:tcPr>
                <w:p w14:paraId="17C0DA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0.0217</w:t>
                  </w:r>
                </w:p>
              </w:tc>
              <w:tc>
                <w:tcPr>
                  <w:tcW w:w="482" w:type="pct"/>
                  <w:tcBorders>
                    <w:tl2br w:val="nil"/>
                    <w:tr2bl w:val="nil"/>
                  </w:tcBorders>
                  <w:shd w:val="clear" w:color="auto" w:fill="auto"/>
                  <w:vAlign w:val="center"/>
                </w:tcPr>
                <w:p w14:paraId="23D0F9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0.0746</w:t>
                  </w:r>
                </w:p>
              </w:tc>
              <w:tc>
                <w:tcPr>
                  <w:tcW w:w="530" w:type="pct"/>
                  <w:tcBorders>
                    <w:tl2br w:val="nil"/>
                    <w:tr2bl w:val="nil"/>
                  </w:tcBorders>
                  <w:shd w:val="clear" w:color="auto" w:fill="auto"/>
                  <w:vAlign w:val="center"/>
                </w:tcPr>
                <w:p w14:paraId="2B2014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5.921</w:t>
                  </w:r>
                </w:p>
              </w:tc>
              <w:tc>
                <w:tcPr>
                  <w:tcW w:w="870" w:type="pct"/>
                  <w:tcBorders>
                    <w:tl2br w:val="nil"/>
                    <w:tr2bl w:val="nil"/>
                  </w:tcBorders>
                  <w:shd w:val="clear" w:color="auto" w:fill="auto"/>
                  <w:vAlign w:val="center"/>
                </w:tcPr>
                <w:p w14:paraId="3DFDE2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469.18</w:t>
                  </w:r>
                </w:p>
              </w:tc>
              <w:tc>
                <w:tcPr>
                  <w:tcW w:w="371" w:type="pct"/>
                  <w:tcBorders>
                    <w:tl2br w:val="nil"/>
                    <w:tr2bl w:val="nil"/>
                  </w:tcBorders>
                  <w:shd w:val="clear" w:color="auto" w:fill="auto"/>
                  <w:vAlign w:val="center"/>
                </w:tcPr>
                <w:p w14:paraId="0C4FE9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23.3</w:t>
                  </w:r>
                </w:p>
              </w:tc>
            </w:tr>
            <w:tr w14:paraId="1A5BE9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0" w:hRule="atLeast"/>
              </w:trPr>
              <w:tc>
                <w:tcPr>
                  <w:tcW w:w="283" w:type="pct"/>
                  <w:tcBorders>
                    <w:tl2br w:val="nil"/>
                    <w:tr2bl w:val="nil"/>
                  </w:tcBorders>
                  <w:shd w:val="clear" w:color="auto" w:fill="auto"/>
                  <w:vAlign w:val="center"/>
                </w:tcPr>
                <w:p w14:paraId="35F8C7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7</w:t>
                  </w:r>
                </w:p>
              </w:tc>
              <w:tc>
                <w:tcPr>
                  <w:tcW w:w="672" w:type="pct"/>
                  <w:tcBorders>
                    <w:tl2br w:val="nil"/>
                    <w:tr2bl w:val="nil"/>
                  </w:tcBorders>
                  <w:shd w:val="clear" w:color="auto" w:fill="auto"/>
                  <w:vAlign w:val="center"/>
                </w:tcPr>
                <w:p w14:paraId="64B4E9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2025/5/14</w:t>
                  </w:r>
                </w:p>
              </w:tc>
              <w:tc>
                <w:tcPr>
                  <w:tcW w:w="523" w:type="pct"/>
                  <w:tcBorders>
                    <w:tl2br w:val="nil"/>
                    <w:tr2bl w:val="nil"/>
                  </w:tcBorders>
                  <w:shd w:val="clear" w:color="auto" w:fill="auto"/>
                  <w:vAlign w:val="center"/>
                </w:tcPr>
                <w:p w14:paraId="5038E1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6.9</w:t>
                  </w:r>
                </w:p>
              </w:tc>
              <w:tc>
                <w:tcPr>
                  <w:tcW w:w="741" w:type="pct"/>
                  <w:tcBorders>
                    <w:tl2br w:val="nil"/>
                    <w:tr2bl w:val="nil"/>
                  </w:tcBorders>
                  <w:shd w:val="clear" w:color="auto" w:fill="auto"/>
                  <w:vAlign w:val="center"/>
                </w:tcPr>
                <w:p w14:paraId="56700A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4.6</w:t>
                  </w:r>
                </w:p>
              </w:tc>
              <w:tc>
                <w:tcPr>
                  <w:tcW w:w="523" w:type="pct"/>
                  <w:tcBorders>
                    <w:tl2br w:val="nil"/>
                    <w:tr2bl w:val="nil"/>
                  </w:tcBorders>
                  <w:shd w:val="clear" w:color="auto" w:fill="auto"/>
                  <w:vAlign w:val="center"/>
                </w:tcPr>
                <w:p w14:paraId="06303F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0.021</w:t>
                  </w:r>
                </w:p>
              </w:tc>
              <w:tc>
                <w:tcPr>
                  <w:tcW w:w="482" w:type="pct"/>
                  <w:tcBorders>
                    <w:tl2br w:val="nil"/>
                    <w:tr2bl w:val="nil"/>
                  </w:tcBorders>
                  <w:shd w:val="clear" w:color="auto" w:fill="auto"/>
                  <w:vAlign w:val="center"/>
                </w:tcPr>
                <w:p w14:paraId="501D98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0.0714</w:t>
                  </w:r>
                </w:p>
              </w:tc>
              <w:tc>
                <w:tcPr>
                  <w:tcW w:w="530" w:type="pct"/>
                  <w:tcBorders>
                    <w:tl2br w:val="nil"/>
                    <w:tr2bl w:val="nil"/>
                  </w:tcBorders>
                  <w:shd w:val="clear" w:color="auto" w:fill="auto"/>
                  <w:vAlign w:val="center"/>
                </w:tcPr>
                <w:p w14:paraId="74E738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5.297</w:t>
                  </w:r>
                </w:p>
              </w:tc>
              <w:tc>
                <w:tcPr>
                  <w:tcW w:w="870" w:type="pct"/>
                  <w:tcBorders>
                    <w:tl2br w:val="nil"/>
                    <w:tr2bl w:val="nil"/>
                  </w:tcBorders>
                  <w:shd w:val="clear" w:color="auto" w:fill="auto"/>
                  <w:vAlign w:val="center"/>
                </w:tcPr>
                <w:p w14:paraId="3DE131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459.03</w:t>
                  </w:r>
                </w:p>
              </w:tc>
              <w:tc>
                <w:tcPr>
                  <w:tcW w:w="371" w:type="pct"/>
                  <w:tcBorders>
                    <w:tl2br w:val="nil"/>
                    <w:tr2bl w:val="nil"/>
                  </w:tcBorders>
                  <w:shd w:val="clear" w:color="auto" w:fill="auto"/>
                  <w:vAlign w:val="center"/>
                </w:tcPr>
                <w:p w14:paraId="6E0C47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rPr>
                  </w:pPr>
                  <w:r>
                    <w:rPr>
                      <w:rFonts w:hint="eastAsia"/>
                      <w:color w:val="auto"/>
                      <w:sz w:val="18"/>
                      <w:szCs w:val="18"/>
                      <w:lang w:val="en-US" w:eastAsia="zh-CN"/>
                    </w:rPr>
                    <w:t>23</w:t>
                  </w:r>
                </w:p>
              </w:tc>
            </w:tr>
            <w:tr w14:paraId="67E629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0" w:hRule="atLeast"/>
              </w:trPr>
              <w:tc>
                <w:tcPr>
                  <w:tcW w:w="283" w:type="pct"/>
                  <w:tcBorders>
                    <w:tl2br w:val="nil"/>
                    <w:tr2bl w:val="nil"/>
                  </w:tcBorders>
                  <w:shd w:val="clear" w:color="auto" w:fill="auto"/>
                  <w:vAlign w:val="center"/>
                </w:tcPr>
                <w:p w14:paraId="2E1EEB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z w:val="18"/>
                      <w:szCs w:val="18"/>
                    </w:rPr>
                    <w:t>7</w:t>
                  </w:r>
                </w:p>
              </w:tc>
              <w:tc>
                <w:tcPr>
                  <w:tcW w:w="672" w:type="pct"/>
                  <w:tcBorders>
                    <w:tl2br w:val="nil"/>
                    <w:tr2bl w:val="nil"/>
                  </w:tcBorders>
                  <w:shd w:val="clear" w:color="auto" w:fill="auto"/>
                  <w:vAlign w:val="center"/>
                </w:tcPr>
                <w:p w14:paraId="0C5E0D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pacing w:val="7"/>
                      <w:sz w:val="18"/>
                      <w:szCs w:val="18"/>
                    </w:rPr>
                    <w:t>标准限值</w:t>
                  </w:r>
                </w:p>
              </w:tc>
              <w:tc>
                <w:tcPr>
                  <w:tcW w:w="523" w:type="pct"/>
                  <w:tcBorders>
                    <w:tl2br w:val="nil"/>
                    <w:tr2bl w:val="nil"/>
                  </w:tcBorders>
                  <w:shd w:val="clear" w:color="auto" w:fill="auto"/>
                  <w:vAlign w:val="center"/>
                </w:tcPr>
                <w:p w14:paraId="78AA65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z w:val="18"/>
                      <w:szCs w:val="18"/>
                    </w:rPr>
                    <w:t>6-9</w:t>
                  </w:r>
                </w:p>
              </w:tc>
              <w:tc>
                <w:tcPr>
                  <w:tcW w:w="741" w:type="pct"/>
                  <w:tcBorders>
                    <w:tl2br w:val="nil"/>
                    <w:tr2bl w:val="nil"/>
                  </w:tcBorders>
                  <w:shd w:val="clear" w:color="auto" w:fill="auto"/>
                  <w:vAlign w:val="center"/>
                </w:tcPr>
                <w:p w14:paraId="05F559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pacing w:val="3"/>
                      <w:sz w:val="18"/>
                      <w:szCs w:val="18"/>
                    </w:rPr>
                    <w:t>40</w:t>
                  </w:r>
                </w:p>
              </w:tc>
              <w:tc>
                <w:tcPr>
                  <w:tcW w:w="523" w:type="pct"/>
                  <w:tcBorders>
                    <w:tl2br w:val="nil"/>
                    <w:tr2bl w:val="nil"/>
                  </w:tcBorders>
                  <w:shd w:val="clear" w:color="auto" w:fill="auto"/>
                  <w:vAlign w:val="center"/>
                </w:tcPr>
                <w:p w14:paraId="14FFED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pacing w:val="4"/>
                      <w:sz w:val="18"/>
                      <w:szCs w:val="18"/>
                    </w:rPr>
                    <w:t>2</w:t>
                  </w:r>
                  <w:r>
                    <w:rPr>
                      <w:rFonts w:hint="eastAsia" w:cs="Times New Roman"/>
                      <w:color w:val="auto"/>
                      <w:spacing w:val="4"/>
                      <w:sz w:val="18"/>
                      <w:szCs w:val="18"/>
                      <w:lang w:eastAsia="zh-CN"/>
                    </w:rPr>
                    <w:t>（</w:t>
                  </w:r>
                  <w:r>
                    <w:rPr>
                      <w:rFonts w:hint="default" w:cs="Times New Roman"/>
                      <w:color w:val="auto"/>
                      <w:spacing w:val="4"/>
                      <w:sz w:val="18"/>
                      <w:szCs w:val="18"/>
                    </w:rPr>
                    <w:t>4</w:t>
                  </w:r>
                  <w:r>
                    <w:rPr>
                      <w:rFonts w:hint="eastAsia" w:cs="Times New Roman"/>
                      <w:color w:val="auto"/>
                      <w:spacing w:val="4"/>
                      <w:sz w:val="18"/>
                      <w:szCs w:val="18"/>
                      <w:lang w:eastAsia="zh-CN"/>
                    </w:rPr>
                    <w:t>）</w:t>
                  </w:r>
                </w:p>
              </w:tc>
              <w:tc>
                <w:tcPr>
                  <w:tcW w:w="482" w:type="pct"/>
                  <w:tcBorders>
                    <w:tl2br w:val="nil"/>
                    <w:tr2bl w:val="nil"/>
                  </w:tcBorders>
                  <w:shd w:val="clear" w:color="auto" w:fill="auto"/>
                  <w:vAlign w:val="center"/>
                </w:tcPr>
                <w:p w14:paraId="148EA3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pacing w:val="1"/>
                      <w:sz w:val="18"/>
                      <w:szCs w:val="18"/>
                    </w:rPr>
                    <w:t>0.3</w:t>
                  </w:r>
                </w:p>
              </w:tc>
              <w:tc>
                <w:tcPr>
                  <w:tcW w:w="530" w:type="pct"/>
                  <w:tcBorders>
                    <w:tl2br w:val="nil"/>
                    <w:tr2bl w:val="nil"/>
                  </w:tcBorders>
                  <w:shd w:val="clear" w:color="auto" w:fill="auto"/>
                  <w:vAlign w:val="center"/>
                </w:tcPr>
                <w:p w14:paraId="63EC5E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z w:val="18"/>
                      <w:szCs w:val="18"/>
                    </w:rPr>
                    <w:t>12（15）</w:t>
                  </w:r>
                </w:p>
              </w:tc>
              <w:tc>
                <w:tcPr>
                  <w:tcW w:w="870" w:type="pct"/>
                  <w:tcBorders>
                    <w:tl2br w:val="nil"/>
                    <w:tr2bl w:val="nil"/>
                  </w:tcBorders>
                  <w:shd w:val="clear" w:color="auto" w:fill="auto"/>
                  <w:vAlign w:val="center"/>
                </w:tcPr>
                <w:p w14:paraId="7BB31C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pacing w:val="2"/>
                      <w:position w:val="1"/>
                      <w:sz w:val="18"/>
                      <w:szCs w:val="18"/>
                    </w:rPr>
                    <w:t>/</w:t>
                  </w:r>
                </w:p>
              </w:tc>
              <w:tc>
                <w:tcPr>
                  <w:tcW w:w="371" w:type="pct"/>
                  <w:tcBorders>
                    <w:tl2br w:val="nil"/>
                    <w:tr2bl w:val="nil"/>
                  </w:tcBorders>
                  <w:shd w:val="clear" w:color="auto" w:fill="auto"/>
                  <w:vAlign w:val="center"/>
                </w:tcPr>
                <w:p w14:paraId="738B61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pacing w:val="2"/>
                      <w:position w:val="1"/>
                      <w:sz w:val="18"/>
                      <w:szCs w:val="18"/>
                    </w:rPr>
                    <w:t>/</w:t>
                  </w:r>
                </w:p>
              </w:tc>
            </w:tr>
            <w:tr w14:paraId="7D36E5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0" w:hRule="atLeast"/>
              </w:trPr>
              <w:tc>
                <w:tcPr>
                  <w:tcW w:w="283" w:type="pct"/>
                  <w:tcBorders>
                    <w:tl2br w:val="nil"/>
                    <w:tr2bl w:val="nil"/>
                  </w:tcBorders>
                  <w:shd w:val="clear" w:color="auto" w:fill="auto"/>
                  <w:vAlign w:val="center"/>
                </w:tcPr>
                <w:p w14:paraId="175C9F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z w:val="18"/>
                      <w:szCs w:val="18"/>
                    </w:rPr>
                    <w:t>8</w:t>
                  </w:r>
                </w:p>
              </w:tc>
              <w:tc>
                <w:tcPr>
                  <w:tcW w:w="672" w:type="pct"/>
                  <w:tcBorders>
                    <w:tl2br w:val="nil"/>
                    <w:tr2bl w:val="nil"/>
                  </w:tcBorders>
                  <w:shd w:val="clear" w:color="auto" w:fill="auto"/>
                  <w:vAlign w:val="center"/>
                </w:tcPr>
                <w:p w14:paraId="4B2693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pacing w:val="6"/>
                      <w:sz w:val="18"/>
                      <w:szCs w:val="18"/>
                    </w:rPr>
                    <w:t>是否超标</w:t>
                  </w:r>
                </w:p>
              </w:tc>
              <w:tc>
                <w:tcPr>
                  <w:tcW w:w="523" w:type="pct"/>
                  <w:tcBorders>
                    <w:tl2br w:val="nil"/>
                    <w:tr2bl w:val="nil"/>
                  </w:tcBorders>
                  <w:shd w:val="clear" w:color="auto" w:fill="auto"/>
                  <w:vAlign w:val="center"/>
                </w:tcPr>
                <w:p w14:paraId="24E9C7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z w:val="18"/>
                      <w:szCs w:val="18"/>
                    </w:rPr>
                    <w:t>否</w:t>
                  </w:r>
                </w:p>
              </w:tc>
              <w:tc>
                <w:tcPr>
                  <w:tcW w:w="741" w:type="pct"/>
                  <w:tcBorders>
                    <w:tl2br w:val="nil"/>
                    <w:tr2bl w:val="nil"/>
                  </w:tcBorders>
                  <w:shd w:val="clear" w:color="auto" w:fill="auto"/>
                  <w:vAlign w:val="center"/>
                </w:tcPr>
                <w:p w14:paraId="2EB821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z w:val="18"/>
                      <w:szCs w:val="18"/>
                    </w:rPr>
                    <w:t>否</w:t>
                  </w:r>
                </w:p>
              </w:tc>
              <w:tc>
                <w:tcPr>
                  <w:tcW w:w="523" w:type="pct"/>
                  <w:tcBorders>
                    <w:tl2br w:val="nil"/>
                    <w:tr2bl w:val="nil"/>
                  </w:tcBorders>
                  <w:shd w:val="clear" w:color="auto" w:fill="auto"/>
                  <w:vAlign w:val="center"/>
                </w:tcPr>
                <w:p w14:paraId="7A7A32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z w:val="18"/>
                      <w:szCs w:val="18"/>
                    </w:rPr>
                    <w:t>否</w:t>
                  </w:r>
                </w:p>
              </w:tc>
              <w:tc>
                <w:tcPr>
                  <w:tcW w:w="482" w:type="pct"/>
                  <w:tcBorders>
                    <w:tl2br w:val="nil"/>
                    <w:tr2bl w:val="nil"/>
                  </w:tcBorders>
                  <w:shd w:val="clear" w:color="auto" w:fill="auto"/>
                  <w:vAlign w:val="center"/>
                </w:tcPr>
                <w:p w14:paraId="47893D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z w:val="18"/>
                      <w:szCs w:val="18"/>
                    </w:rPr>
                    <w:t>否</w:t>
                  </w:r>
                </w:p>
              </w:tc>
              <w:tc>
                <w:tcPr>
                  <w:tcW w:w="530" w:type="pct"/>
                  <w:tcBorders>
                    <w:tl2br w:val="nil"/>
                    <w:tr2bl w:val="nil"/>
                  </w:tcBorders>
                  <w:shd w:val="clear" w:color="auto" w:fill="auto"/>
                  <w:vAlign w:val="center"/>
                </w:tcPr>
                <w:p w14:paraId="13CCB1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z w:val="18"/>
                      <w:szCs w:val="18"/>
                    </w:rPr>
                    <w:t>否</w:t>
                  </w:r>
                </w:p>
              </w:tc>
              <w:tc>
                <w:tcPr>
                  <w:tcW w:w="870" w:type="pct"/>
                  <w:tcBorders>
                    <w:tl2br w:val="nil"/>
                    <w:tr2bl w:val="nil"/>
                  </w:tcBorders>
                  <w:shd w:val="clear" w:color="auto" w:fill="auto"/>
                  <w:vAlign w:val="center"/>
                </w:tcPr>
                <w:p w14:paraId="5B5AB9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z w:val="18"/>
                      <w:szCs w:val="18"/>
                    </w:rPr>
                    <w:t>否</w:t>
                  </w:r>
                </w:p>
              </w:tc>
              <w:tc>
                <w:tcPr>
                  <w:tcW w:w="371" w:type="pct"/>
                  <w:tcBorders>
                    <w:tl2br w:val="nil"/>
                    <w:tr2bl w:val="nil"/>
                  </w:tcBorders>
                  <w:shd w:val="clear" w:color="auto" w:fill="auto"/>
                  <w:vAlign w:val="center"/>
                </w:tcPr>
                <w:p w14:paraId="02822A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olor w:val="auto"/>
                      <w:sz w:val="18"/>
                      <w:szCs w:val="18"/>
                      <w:lang w:val="en-US" w:eastAsia="zh-CN"/>
                    </w:rPr>
                  </w:pPr>
                  <w:r>
                    <w:rPr>
                      <w:rFonts w:hint="default" w:cs="Times New Roman"/>
                      <w:color w:val="auto"/>
                      <w:sz w:val="18"/>
                      <w:szCs w:val="18"/>
                    </w:rPr>
                    <w:t>否</w:t>
                  </w:r>
                </w:p>
              </w:tc>
            </w:tr>
          </w:tbl>
          <w:p w14:paraId="1795BFA4">
            <w:pPr>
              <w:keepNext w:val="0"/>
              <w:keepLines w:val="0"/>
              <w:suppressLineNumbers w:val="0"/>
              <w:bidi w:val="0"/>
              <w:spacing w:before="0" w:beforeAutospacing="0" w:after="0" w:afterAutospacing="0"/>
              <w:ind w:left="0" w:right="0"/>
              <w:rPr>
                <w:rFonts w:hint="eastAsia" w:eastAsia="宋体"/>
                <w:color w:val="auto"/>
                <w:lang w:val="en-US" w:eastAsia="zh-CN"/>
              </w:rPr>
            </w:pPr>
            <w:r>
              <w:rPr>
                <w:rFonts w:hint="eastAsia"/>
                <w:color w:val="auto"/>
              </w:rPr>
              <w:t>余杭污水处理厂目前运行的设计日处理量为13.</w:t>
            </w:r>
            <w:r>
              <w:rPr>
                <w:rFonts w:hint="eastAsia"/>
                <w:color w:val="auto"/>
                <w:lang w:val="en-US" w:eastAsia="zh-CN"/>
              </w:rPr>
              <w:t>5</w:t>
            </w:r>
            <w:r>
              <w:rPr>
                <w:rFonts w:hint="eastAsia"/>
                <w:color w:val="auto"/>
              </w:rPr>
              <w:t>万m</w:t>
            </w:r>
            <w:r>
              <w:rPr>
                <w:rFonts w:hint="eastAsia"/>
                <w:color w:val="auto"/>
                <w:vertAlign w:val="superscript"/>
                <w:lang w:val="en-US" w:eastAsia="zh-CN"/>
              </w:rPr>
              <w:t>3</w:t>
            </w:r>
            <w:r>
              <w:rPr>
                <w:rFonts w:hint="eastAsia"/>
                <w:color w:val="auto"/>
              </w:rPr>
              <w:t>/d(一、二、三期共6万m</w:t>
            </w:r>
            <w:r>
              <w:rPr>
                <w:rFonts w:hint="eastAsia"/>
                <w:color w:val="auto"/>
                <w:vertAlign w:val="superscript"/>
                <w:lang w:val="en-US" w:eastAsia="zh-CN"/>
              </w:rPr>
              <w:t>3</w:t>
            </w:r>
            <w:r>
              <w:rPr>
                <w:rFonts w:hint="eastAsia"/>
                <w:color w:val="auto"/>
              </w:rPr>
              <w:t>/d，四期7.5万m</w:t>
            </w:r>
            <w:r>
              <w:rPr>
                <w:rFonts w:hint="eastAsia" w:ascii="Times New Roman" w:hAnsi="Times New Roman" w:eastAsia="宋体"/>
                <w:color w:val="auto"/>
                <w:vertAlign w:val="superscript"/>
                <w:lang w:val="en-US" w:eastAsia="zh-CN"/>
              </w:rPr>
              <w:t>3</w:t>
            </w:r>
            <w:r>
              <w:rPr>
                <w:rFonts w:hint="eastAsia"/>
                <w:color w:val="auto"/>
              </w:rPr>
              <w:t>/d)，根据浙江省生态环境厅--监督性监测信息公开平台数据显示，余杭污水处理厂(一、二、三期)基本已满负荷运行余杭污水处理厂四期工程现已运行，废水水质监测数据详见</w:t>
            </w:r>
            <w:r>
              <w:rPr>
                <w:rFonts w:hint="eastAsia"/>
                <w:color w:val="auto"/>
                <w:lang w:val="en-US" w:eastAsia="zh-CN"/>
              </w:rPr>
              <w:t>上</w:t>
            </w:r>
            <w:r>
              <w:rPr>
                <w:rFonts w:hint="eastAsia"/>
                <w:color w:val="auto"/>
              </w:rPr>
              <w:t>表，截止至202</w:t>
            </w:r>
            <w:r>
              <w:rPr>
                <w:rFonts w:hint="eastAsia"/>
                <w:color w:val="auto"/>
                <w:lang w:val="en-US" w:eastAsia="zh-CN"/>
              </w:rPr>
              <w:t>5</w:t>
            </w:r>
            <w:r>
              <w:rPr>
                <w:rFonts w:hint="eastAsia"/>
                <w:color w:val="auto"/>
              </w:rPr>
              <w:t>年</w:t>
            </w:r>
            <w:r>
              <w:rPr>
                <w:rFonts w:hint="eastAsia"/>
                <w:color w:val="auto"/>
                <w:lang w:val="en-US" w:eastAsia="zh-CN"/>
              </w:rPr>
              <w:t>5</w:t>
            </w:r>
            <w:r>
              <w:rPr>
                <w:rFonts w:hint="eastAsia"/>
                <w:color w:val="auto"/>
              </w:rPr>
              <w:t>月</w:t>
            </w:r>
            <w:r>
              <w:rPr>
                <w:rFonts w:hint="eastAsia"/>
                <w:color w:val="auto"/>
                <w:lang w:val="en-US" w:eastAsia="zh-CN"/>
              </w:rPr>
              <w:t>20</w:t>
            </w:r>
            <w:r>
              <w:rPr>
                <w:rFonts w:hint="eastAsia"/>
                <w:color w:val="auto"/>
              </w:rPr>
              <w:t>日，</w:t>
            </w:r>
            <w:r>
              <w:rPr>
                <w:rFonts w:hint="eastAsia"/>
                <w:color w:val="auto"/>
                <w:lang w:val="en-US" w:eastAsia="zh-CN"/>
              </w:rPr>
              <w:t>余杭污水处理厂日均污水排放量为45489t/d</w:t>
            </w:r>
            <w:r>
              <w:rPr>
                <w:rFonts w:hint="eastAsia"/>
                <w:color w:val="auto"/>
              </w:rPr>
              <w:t>，</w:t>
            </w:r>
            <w:r>
              <w:rPr>
                <w:rFonts w:hint="eastAsia"/>
                <w:color w:val="auto"/>
                <w:lang w:val="en-US" w:eastAsia="zh-CN"/>
              </w:rPr>
              <w:t>余杭污水处理厂设计废水排放量为80000t/d，</w:t>
            </w:r>
            <w:r>
              <w:rPr>
                <w:rFonts w:hint="eastAsia"/>
                <w:color w:val="auto"/>
              </w:rPr>
              <w:t>尚有余量</w:t>
            </w:r>
            <w:r>
              <w:rPr>
                <w:rFonts w:hint="eastAsia"/>
                <w:color w:val="auto"/>
                <w:lang w:eastAsia="zh-CN"/>
              </w:rPr>
              <w:t>；</w:t>
            </w:r>
            <w:r>
              <w:rPr>
                <w:rFonts w:hint="eastAsia"/>
                <w:color w:val="auto"/>
              </w:rPr>
              <w:t>本项目新增废水纳管量为</w:t>
            </w:r>
            <w:r>
              <w:rPr>
                <w:rFonts w:hint="eastAsia"/>
                <w:color w:val="auto"/>
                <w:lang w:val="en-US" w:eastAsia="zh-CN"/>
              </w:rPr>
              <w:t>19.767</w:t>
            </w:r>
            <w:r>
              <w:rPr>
                <w:rFonts w:hint="eastAsia"/>
                <w:color w:val="auto"/>
              </w:rPr>
              <w:t>t/d</w:t>
            </w:r>
            <w:r>
              <w:rPr>
                <w:rFonts w:hint="eastAsia"/>
                <w:color w:val="auto"/>
                <w:lang w:eastAsia="zh-CN"/>
              </w:rPr>
              <w:t>，</w:t>
            </w:r>
            <w:r>
              <w:rPr>
                <w:rFonts w:hint="eastAsia"/>
                <w:color w:val="auto"/>
              </w:rPr>
              <w:t>则余杭污水处理厂现有余量能够处理本项目废水，且本项目水质不会对现有的污水处理厂处理设施造成水质水量的冲击负荷。因此本项目废水排放依托余杭污水处理厂可行。</w:t>
            </w:r>
          </w:p>
          <w:p w14:paraId="79DA13B3">
            <w:pPr>
              <w:keepNext w:val="0"/>
              <w:keepLines w:val="0"/>
              <w:suppressLineNumbers w:val="0"/>
              <w:bidi w:val="0"/>
              <w:spacing w:before="0" w:beforeAutospacing="0" w:after="0" w:afterAutospacing="0"/>
              <w:ind w:left="0" w:right="0"/>
              <w:rPr>
                <w:rFonts w:hint="default"/>
                <w:color w:val="auto"/>
              </w:rPr>
            </w:pPr>
            <w:r>
              <w:rPr>
                <w:rFonts w:hint="default"/>
                <w:color w:val="auto"/>
              </w:rPr>
              <w:t>综上所述，本项目废水</w:t>
            </w:r>
            <w:r>
              <w:rPr>
                <w:rFonts w:hint="eastAsia"/>
                <w:color w:val="auto"/>
                <w:lang w:val="en-US" w:eastAsia="zh-CN"/>
              </w:rPr>
              <w:t>纳管</w:t>
            </w:r>
            <w:r>
              <w:rPr>
                <w:rFonts w:hint="default"/>
                <w:color w:val="auto"/>
              </w:rPr>
              <w:t>排放依托</w:t>
            </w:r>
            <w:r>
              <w:rPr>
                <w:rFonts w:hint="eastAsia"/>
                <w:color w:val="auto"/>
                <w:lang w:val="en-US" w:eastAsia="zh-CN"/>
              </w:rPr>
              <w:t>余杭</w:t>
            </w:r>
            <w:r>
              <w:rPr>
                <w:rFonts w:hint="default"/>
                <w:color w:val="auto"/>
              </w:rPr>
              <w:t>污水处理厂</w:t>
            </w:r>
            <w:r>
              <w:rPr>
                <w:rFonts w:hint="eastAsia"/>
                <w:color w:val="auto"/>
                <w:lang w:val="en-US" w:eastAsia="zh-CN"/>
              </w:rPr>
              <w:t>处理</w:t>
            </w:r>
            <w:r>
              <w:rPr>
                <w:rFonts w:hint="default"/>
                <w:color w:val="auto"/>
              </w:rPr>
              <w:t>可行。</w:t>
            </w:r>
          </w:p>
          <w:p w14:paraId="29E92402">
            <w:pPr>
              <w:pStyle w:val="2"/>
              <w:keepNext w:val="0"/>
              <w:keepLines w:val="0"/>
              <w:numPr>
                <w:ilvl w:val="0"/>
                <w:numId w:val="6"/>
              </w:numPr>
              <w:suppressLineNumbers w:val="0"/>
              <w:spacing w:before="0" w:beforeAutospacing="0" w:after="0" w:afterAutospacing="0"/>
              <w:ind w:left="0" w:right="0" w:firstLine="480"/>
              <w:rPr>
                <w:rFonts w:hint="default"/>
                <w:color w:val="auto"/>
              </w:rPr>
            </w:pPr>
            <w:r>
              <w:rPr>
                <w:rFonts w:hint="eastAsia"/>
                <w:color w:val="auto"/>
              </w:rPr>
              <w:t>噪声</w:t>
            </w:r>
          </w:p>
          <w:p w14:paraId="5180731D">
            <w:pPr>
              <w:pStyle w:val="2"/>
              <w:keepNext w:val="0"/>
              <w:keepLines w:val="0"/>
              <w:suppressLineNumbers w:val="0"/>
              <w:spacing w:before="0" w:beforeAutospacing="0" w:after="0" w:afterAutospacing="0"/>
              <w:ind w:left="480" w:leftChars="200" w:right="0" w:firstLine="0" w:firstLineChars="0"/>
              <w:rPr>
                <w:rFonts w:hint="default"/>
                <w:color w:val="auto"/>
              </w:rPr>
            </w:pPr>
            <w:r>
              <w:rPr>
                <w:rFonts w:hint="eastAsia"/>
                <w:color w:val="auto"/>
              </w:rPr>
              <w:t>1、噪声源强及排放情况</w:t>
            </w:r>
          </w:p>
          <w:p w14:paraId="67D23228">
            <w:pPr>
              <w:pStyle w:val="2"/>
              <w:keepNext w:val="0"/>
              <w:keepLines w:val="0"/>
              <w:suppressLineNumbers w:val="0"/>
              <w:spacing w:before="0" w:beforeAutospacing="0" w:after="0" w:afterAutospacing="0"/>
              <w:ind w:left="0" w:right="0" w:firstLine="480"/>
              <w:rPr>
                <w:rFonts w:hint="default"/>
                <w:color w:val="auto"/>
              </w:rPr>
            </w:pPr>
            <w:r>
              <w:rPr>
                <w:rFonts w:hint="eastAsia"/>
                <w:color w:val="auto"/>
                <w:lang w:val="en-US" w:eastAsia="zh-CN"/>
              </w:rPr>
              <w:t>本</w:t>
            </w:r>
            <w:r>
              <w:rPr>
                <w:rFonts w:hint="default"/>
                <w:color w:val="auto"/>
              </w:rPr>
              <w:t>项目噪声主要来源于生产设备运行时产生的噪声，厂区设备源强详见表4-</w:t>
            </w:r>
            <w:r>
              <w:rPr>
                <w:rFonts w:hint="eastAsia"/>
                <w:color w:val="auto"/>
              </w:rPr>
              <w:t>8</w:t>
            </w:r>
            <w:r>
              <w:rPr>
                <w:rFonts w:hint="default"/>
                <w:color w:val="auto"/>
              </w:rPr>
              <w:t>。（坐标系以项目所在整体厂区地面中心为基点，设0，0，0；西向东为X轴，南向北为Y轴）。</w:t>
            </w:r>
          </w:p>
          <w:p w14:paraId="0BAEFFA6">
            <w:pPr>
              <w:pStyle w:val="2"/>
              <w:keepNext w:val="0"/>
              <w:keepLines w:val="0"/>
              <w:suppressLineNumbers w:val="0"/>
              <w:spacing w:before="0" w:beforeAutospacing="0" w:after="0" w:afterAutospacing="0"/>
              <w:ind w:left="0" w:right="0" w:firstLine="480"/>
              <w:rPr>
                <w:rFonts w:hint="default" w:eastAsia="宋体"/>
                <w:color w:val="auto"/>
                <w:lang w:val="en-US" w:eastAsia="zh-CN"/>
              </w:rPr>
            </w:pPr>
          </w:p>
        </w:tc>
      </w:tr>
    </w:tbl>
    <w:p w14:paraId="6519F809">
      <w:pPr>
        <w:pStyle w:val="2"/>
        <w:ind w:firstLine="0" w:firstLineChars="0"/>
        <w:sectPr>
          <w:pgSz w:w="11906" w:h="16838"/>
          <w:pgMar w:top="1440" w:right="1800" w:bottom="1440" w:left="1800" w:header="851" w:footer="992" w:gutter="0"/>
          <w:cols w:space="425" w:num="1"/>
          <w:docGrid w:type="lines"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20570"/>
      </w:tblGrid>
      <w:tr w14:paraId="7B7E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0" w:hRule="atLeast"/>
        </w:trPr>
        <w:tc>
          <w:tcPr>
            <w:tcW w:w="577" w:type="dxa"/>
          </w:tcPr>
          <w:p w14:paraId="4FCCF095">
            <w:pPr>
              <w:pStyle w:val="2"/>
              <w:keepNext w:val="0"/>
              <w:keepLines w:val="0"/>
              <w:suppressLineNumbers w:val="0"/>
              <w:spacing w:before="0" w:beforeAutospacing="0" w:after="0" w:afterAutospacing="0"/>
              <w:ind w:left="0" w:right="0" w:firstLine="480"/>
              <w:rPr>
                <w:rFonts w:hint="default"/>
                <w:color w:val="auto"/>
              </w:rPr>
            </w:pPr>
          </w:p>
        </w:tc>
        <w:tc>
          <w:tcPr>
            <w:tcW w:w="20570" w:type="dxa"/>
          </w:tcPr>
          <w:p w14:paraId="57C6CFD4">
            <w:pPr>
              <w:pStyle w:val="2"/>
              <w:keepNext w:val="0"/>
              <w:keepLines w:val="0"/>
              <w:suppressLineNumbers w:val="0"/>
              <w:spacing w:before="0" w:beforeAutospacing="0" w:after="0" w:afterAutospacing="0"/>
              <w:ind w:left="0" w:right="0" w:firstLine="0" w:firstLineChars="0"/>
              <w:jc w:val="center"/>
              <w:rPr>
                <w:rFonts w:hint="default" w:eastAsia="黑体" w:cs="Times New Roman"/>
                <w:color w:val="auto"/>
                <w:szCs w:val="24"/>
              </w:rPr>
            </w:pPr>
            <w:r>
              <w:rPr>
                <w:rFonts w:hint="default" w:eastAsia="黑体" w:cs="Times New Roman"/>
                <w:color w:val="auto"/>
                <w:szCs w:val="24"/>
              </w:rPr>
              <w:t>表4-</w:t>
            </w:r>
            <w:r>
              <w:rPr>
                <w:rFonts w:hint="eastAsia" w:eastAsia="黑体" w:cs="Times New Roman"/>
                <w:color w:val="auto"/>
                <w:szCs w:val="24"/>
                <w:lang w:val="en-US" w:eastAsia="zh-CN"/>
              </w:rPr>
              <w:t>8</w:t>
            </w:r>
            <w:r>
              <w:rPr>
                <w:rFonts w:hint="default" w:eastAsia="黑体" w:cs="Times New Roman"/>
                <w:color w:val="auto"/>
                <w:szCs w:val="24"/>
              </w:rPr>
              <w:t xml:space="preserve">  </w:t>
            </w:r>
            <w:r>
              <w:rPr>
                <w:rFonts w:hint="eastAsia" w:eastAsia="黑体" w:cs="Times New Roman"/>
                <w:color w:val="auto"/>
                <w:szCs w:val="24"/>
              </w:rPr>
              <w:t>主要噪声设备源强调查清单（部分室内设备）</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936"/>
              <w:gridCol w:w="2035"/>
              <w:gridCol w:w="729"/>
              <w:gridCol w:w="708"/>
              <w:gridCol w:w="716"/>
              <w:gridCol w:w="716"/>
              <w:gridCol w:w="733"/>
              <w:gridCol w:w="716"/>
              <w:gridCol w:w="716"/>
              <w:gridCol w:w="716"/>
              <w:gridCol w:w="749"/>
              <w:gridCol w:w="720"/>
              <w:gridCol w:w="720"/>
              <w:gridCol w:w="720"/>
              <w:gridCol w:w="741"/>
              <w:gridCol w:w="720"/>
              <w:gridCol w:w="720"/>
              <w:gridCol w:w="720"/>
              <w:gridCol w:w="721"/>
              <w:gridCol w:w="742"/>
              <w:gridCol w:w="721"/>
              <w:gridCol w:w="721"/>
              <w:gridCol w:w="721"/>
              <w:gridCol w:w="721"/>
              <w:gridCol w:w="750"/>
            </w:tblGrid>
            <w:tr w14:paraId="5BBF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 w:type="pct"/>
                  <w:vMerge w:val="restart"/>
                  <w:shd w:val="clear" w:color="auto" w:fill="auto"/>
                  <w:vAlign w:val="center"/>
                </w:tcPr>
                <w:p w14:paraId="52E417F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序号</w:t>
                  </w:r>
                </w:p>
              </w:tc>
              <w:tc>
                <w:tcPr>
                  <w:tcW w:w="230" w:type="pct"/>
                  <w:vMerge w:val="restart"/>
                  <w:shd w:val="clear" w:color="auto" w:fill="auto"/>
                  <w:vAlign w:val="center"/>
                </w:tcPr>
                <w:p w14:paraId="4C0DAA8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建筑物名称</w:t>
                  </w:r>
                </w:p>
              </w:tc>
              <w:tc>
                <w:tcPr>
                  <w:tcW w:w="500" w:type="pct"/>
                  <w:vMerge w:val="restart"/>
                  <w:shd w:val="clear" w:color="auto" w:fill="auto"/>
                  <w:vAlign w:val="center"/>
                </w:tcPr>
                <w:p w14:paraId="213E724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声源名称</w:t>
                  </w:r>
                </w:p>
              </w:tc>
              <w:tc>
                <w:tcPr>
                  <w:tcW w:w="179" w:type="pct"/>
                  <w:shd w:val="clear" w:color="auto" w:fill="auto"/>
                  <w:vAlign w:val="center"/>
                </w:tcPr>
                <w:p w14:paraId="3D7275D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声源源强</w:t>
                  </w:r>
                </w:p>
              </w:tc>
              <w:tc>
                <w:tcPr>
                  <w:tcW w:w="174" w:type="pct"/>
                  <w:vMerge w:val="restart"/>
                  <w:shd w:val="clear" w:color="auto" w:fill="auto"/>
                  <w:vAlign w:val="center"/>
                </w:tcPr>
                <w:p w14:paraId="26B190E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声源控制措施</w:t>
                  </w:r>
                </w:p>
              </w:tc>
              <w:tc>
                <w:tcPr>
                  <w:tcW w:w="532" w:type="pct"/>
                  <w:gridSpan w:val="3"/>
                  <w:shd w:val="clear" w:color="auto" w:fill="auto"/>
                  <w:vAlign w:val="center"/>
                </w:tcPr>
                <w:p w14:paraId="34EAA90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空间相对位置/m</w:t>
                  </w:r>
                </w:p>
              </w:tc>
              <w:tc>
                <w:tcPr>
                  <w:tcW w:w="712" w:type="pct"/>
                  <w:gridSpan w:val="4"/>
                  <w:shd w:val="clear" w:color="auto" w:fill="auto"/>
                  <w:vAlign w:val="center"/>
                </w:tcPr>
                <w:p w14:paraId="69A3F2F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距室内边界距离/m</w:t>
                  </w:r>
                </w:p>
              </w:tc>
              <w:tc>
                <w:tcPr>
                  <w:tcW w:w="713" w:type="pct"/>
                  <w:gridSpan w:val="4"/>
                  <w:shd w:val="clear" w:color="auto" w:fill="auto"/>
                  <w:vAlign w:val="center"/>
                </w:tcPr>
                <w:p w14:paraId="175996D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室内边界声级/dB(A)</w:t>
                  </w:r>
                </w:p>
              </w:tc>
              <w:tc>
                <w:tcPr>
                  <w:tcW w:w="177" w:type="pct"/>
                  <w:vMerge w:val="restart"/>
                  <w:shd w:val="clear" w:color="auto" w:fill="auto"/>
                  <w:vAlign w:val="center"/>
                </w:tcPr>
                <w:p w14:paraId="07F3CC1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运行时段</w:t>
                  </w:r>
                </w:p>
              </w:tc>
              <w:tc>
                <w:tcPr>
                  <w:tcW w:w="713" w:type="pct"/>
                  <w:gridSpan w:val="4"/>
                  <w:shd w:val="clear" w:color="auto" w:fill="auto"/>
                  <w:vAlign w:val="center"/>
                </w:tcPr>
                <w:p w14:paraId="25BED87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建筑物插入损失/dB(A)</w:t>
                  </w:r>
                </w:p>
              </w:tc>
              <w:tc>
                <w:tcPr>
                  <w:tcW w:w="892" w:type="pct"/>
                  <w:gridSpan w:val="5"/>
                  <w:shd w:val="clear" w:color="auto" w:fill="auto"/>
                  <w:vAlign w:val="center"/>
                </w:tcPr>
                <w:p w14:paraId="1F55B62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建筑物外噪声声压级/dB(A)</w:t>
                  </w:r>
                </w:p>
              </w:tc>
            </w:tr>
            <w:tr w14:paraId="24FF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 w:type="pct"/>
                  <w:vMerge w:val="continue"/>
                  <w:shd w:val="clear" w:color="auto" w:fill="auto"/>
                  <w:vAlign w:val="center"/>
                </w:tcPr>
                <w:p w14:paraId="3AD5A290">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18"/>
                      <w:szCs w:val="18"/>
                    </w:rPr>
                  </w:pPr>
                </w:p>
              </w:tc>
              <w:tc>
                <w:tcPr>
                  <w:tcW w:w="230" w:type="pct"/>
                  <w:vMerge w:val="continue"/>
                  <w:shd w:val="clear" w:color="auto" w:fill="auto"/>
                  <w:vAlign w:val="center"/>
                </w:tcPr>
                <w:p w14:paraId="2C5C8869">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18"/>
                      <w:szCs w:val="18"/>
                    </w:rPr>
                  </w:pPr>
                </w:p>
              </w:tc>
              <w:tc>
                <w:tcPr>
                  <w:tcW w:w="500" w:type="pct"/>
                  <w:vMerge w:val="continue"/>
                  <w:shd w:val="clear" w:color="auto" w:fill="auto"/>
                  <w:vAlign w:val="center"/>
                </w:tcPr>
                <w:p w14:paraId="1BA1704E">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18"/>
                      <w:szCs w:val="18"/>
                    </w:rPr>
                  </w:pPr>
                </w:p>
              </w:tc>
              <w:tc>
                <w:tcPr>
                  <w:tcW w:w="179" w:type="pct"/>
                  <w:shd w:val="clear" w:color="auto" w:fill="auto"/>
                  <w:vAlign w:val="center"/>
                </w:tcPr>
                <w:p w14:paraId="0D33DB1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声</w:t>
                  </w:r>
                  <w:r>
                    <w:rPr>
                      <w:rFonts w:hint="eastAsia" w:cs="Times New Roman"/>
                      <w:color w:val="auto"/>
                      <w:kern w:val="0"/>
                      <w:sz w:val="18"/>
                      <w:szCs w:val="18"/>
                      <w:lang w:val="en-US" w:eastAsia="zh-CN" w:bidi="ar"/>
                    </w:rPr>
                    <w:t>压</w:t>
                  </w:r>
                  <w:r>
                    <w:rPr>
                      <w:rFonts w:hint="default" w:cs="Times New Roman"/>
                      <w:color w:val="auto"/>
                      <w:kern w:val="0"/>
                      <w:sz w:val="18"/>
                      <w:szCs w:val="18"/>
                      <w:lang w:bidi="ar"/>
                    </w:rPr>
                    <w:t>级/dB(A)</w:t>
                  </w:r>
                </w:p>
              </w:tc>
              <w:tc>
                <w:tcPr>
                  <w:tcW w:w="174" w:type="pct"/>
                  <w:vMerge w:val="continue"/>
                  <w:shd w:val="clear" w:color="auto" w:fill="auto"/>
                  <w:vAlign w:val="center"/>
                </w:tcPr>
                <w:p w14:paraId="0B380A2A">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18"/>
                      <w:szCs w:val="18"/>
                    </w:rPr>
                  </w:pPr>
                </w:p>
              </w:tc>
              <w:tc>
                <w:tcPr>
                  <w:tcW w:w="176" w:type="pct"/>
                  <w:shd w:val="clear" w:color="auto" w:fill="auto"/>
                  <w:vAlign w:val="center"/>
                </w:tcPr>
                <w:p w14:paraId="2E224A7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X</w:t>
                  </w:r>
                </w:p>
              </w:tc>
              <w:tc>
                <w:tcPr>
                  <w:tcW w:w="176" w:type="pct"/>
                  <w:shd w:val="clear" w:color="auto" w:fill="auto"/>
                  <w:vAlign w:val="center"/>
                </w:tcPr>
                <w:p w14:paraId="376DF8E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Y</w:t>
                  </w:r>
                </w:p>
              </w:tc>
              <w:tc>
                <w:tcPr>
                  <w:tcW w:w="180" w:type="pct"/>
                  <w:shd w:val="clear" w:color="auto" w:fill="auto"/>
                  <w:vAlign w:val="center"/>
                </w:tcPr>
                <w:p w14:paraId="5510F11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Z</w:t>
                  </w:r>
                </w:p>
              </w:tc>
              <w:tc>
                <w:tcPr>
                  <w:tcW w:w="176" w:type="pct"/>
                  <w:shd w:val="clear" w:color="auto" w:fill="auto"/>
                  <w:vAlign w:val="center"/>
                </w:tcPr>
                <w:p w14:paraId="55C674C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东</w:t>
                  </w:r>
                </w:p>
              </w:tc>
              <w:tc>
                <w:tcPr>
                  <w:tcW w:w="176" w:type="pct"/>
                  <w:shd w:val="clear" w:color="auto" w:fill="auto"/>
                  <w:vAlign w:val="center"/>
                </w:tcPr>
                <w:p w14:paraId="4F96F6A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南</w:t>
                  </w:r>
                </w:p>
              </w:tc>
              <w:tc>
                <w:tcPr>
                  <w:tcW w:w="176" w:type="pct"/>
                  <w:shd w:val="clear" w:color="auto" w:fill="auto"/>
                  <w:vAlign w:val="center"/>
                </w:tcPr>
                <w:p w14:paraId="7D4706E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西</w:t>
                  </w:r>
                </w:p>
              </w:tc>
              <w:tc>
                <w:tcPr>
                  <w:tcW w:w="183" w:type="pct"/>
                  <w:shd w:val="clear" w:color="auto" w:fill="auto"/>
                  <w:vAlign w:val="center"/>
                </w:tcPr>
                <w:p w14:paraId="6DF60F9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北</w:t>
                  </w:r>
                </w:p>
              </w:tc>
              <w:tc>
                <w:tcPr>
                  <w:tcW w:w="177" w:type="pct"/>
                  <w:shd w:val="clear" w:color="auto" w:fill="auto"/>
                  <w:vAlign w:val="center"/>
                </w:tcPr>
                <w:p w14:paraId="1AD337C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东</w:t>
                  </w:r>
                </w:p>
              </w:tc>
              <w:tc>
                <w:tcPr>
                  <w:tcW w:w="177" w:type="pct"/>
                  <w:shd w:val="clear" w:color="auto" w:fill="auto"/>
                  <w:vAlign w:val="center"/>
                </w:tcPr>
                <w:p w14:paraId="1C9316B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南</w:t>
                  </w:r>
                </w:p>
              </w:tc>
              <w:tc>
                <w:tcPr>
                  <w:tcW w:w="177" w:type="pct"/>
                  <w:shd w:val="clear" w:color="auto" w:fill="auto"/>
                  <w:vAlign w:val="center"/>
                </w:tcPr>
                <w:p w14:paraId="0411AF7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西</w:t>
                  </w:r>
                </w:p>
              </w:tc>
              <w:tc>
                <w:tcPr>
                  <w:tcW w:w="181" w:type="pct"/>
                  <w:shd w:val="clear" w:color="auto" w:fill="auto"/>
                  <w:vAlign w:val="center"/>
                </w:tcPr>
                <w:p w14:paraId="4F3FEE6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北</w:t>
                  </w:r>
                </w:p>
              </w:tc>
              <w:tc>
                <w:tcPr>
                  <w:tcW w:w="177" w:type="pct"/>
                  <w:vMerge w:val="continue"/>
                  <w:shd w:val="clear" w:color="auto" w:fill="auto"/>
                  <w:vAlign w:val="center"/>
                </w:tcPr>
                <w:p w14:paraId="00DE2655">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18"/>
                      <w:szCs w:val="18"/>
                    </w:rPr>
                  </w:pPr>
                </w:p>
              </w:tc>
              <w:tc>
                <w:tcPr>
                  <w:tcW w:w="177" w:type="pct"/>
                  <w:shd w:val="clear" w:color="auto" w:fill="auto"/>
                  <w:vAlign w:val="center"/>
                </w:tcPr>
                <w:p w14:paraId="2C3E7D0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东</w:t>
                  </w:r>
                </w:p>
              </w:tc>
              <w:tc>
                <w:tcPr>
                  <w:tcW w:w="177" w:type="pct"/>
                  <w:shd w:val="clear" w:color="auto" w:fill="auto"/>
                  <w:vAlign w:val="center"/>
                </w:tcPr>
                <w:p w14:paraId="4B5D8F6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南</w:t>
                  </w:r>
                </w:p>
              </w:tc>
              <w:tc>
                <w:tcPr>
                  <w:tcW w:w="177" w:type="pct"/>
                  <w:shd w:val="clear" w:color="auto" w:fill="auto"/>
                  <w:vAlign w:val="center"/>
                </w:tcPr>
                <w:p w14:paraId="6AA5B98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西</w:t>
                  </w:r>
                </w:p>
              </w:tc>
              <w:tc>
                <w:tcPr>
                  <w:tcW w:w="181" w:type="pct"/>
                  <w:shd w:val="clear" w:color="auto" w:fill="auto"/>
                  <w:vAlign w:val="center"/>
                </w:tcPr>
                <w:p w14:paraId="76B2661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北</w:t>
                  </w:r>
                </w:p>
              </w:tc>
              <w:tc>
                <w:tcPr>
                  <w:tcW w:w="177" w:type="pct"/>
                  <w:shd w:val="clear" w:color="auto" w:fill="auto"/>
                  <w:vAlign w:val="center"/>
                </w:tcPr>
                <w:p w14:paraId="0006F1B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东</w:t>
                  </w:r>
                </w:p>
              </w:tc>
              <w:tc>
                <w:tcPr>
                  <w:tcW w:w="177" w:type="pct"/>
                  <w:shd w:val="clear" w:color="auto" w:fill="auto"/>
                  <w:vAlign w:val="center"/>
                </w:tcPr>
                <w:p w14:paraId="546429E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南</w:t>
                  </w:r>
                </w:p>
              </w:tc>
              <w:tc>
                <w:tcPr>
                  <w:tcW w:w="177" w:type="pct"/>
                  <w:shd w:val="clear" w:color="auto" w:fill="auto"/>
                  <w:vAlign w:val="center"/>
                </w:tcPr>
                <w:p w14:paraId="705AD56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西</w:t>
                  </w:r>
                </w:p>
              </w:tc>
              <w:tc>
                <w:tcPr>
                  <w:tcW w:w="177" w:type="pct"/>
                  <w:shd w:val="clear" w:color="auto" w:fill="auto"/>
                  <w:vAlign w:val="center"/>
                </w:tcPr>
                <w:p w14:paraId="7F0F0F7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北</w:t>
                  </w:r>
                </w:p>
              </w:tc>
              <w:tc>
                <w:tcPr>
                  <w:tcW w:w="184" w:type="pct"/>
                  <w:shd w:val="clear" w:color="auto" w:fill="auto"/>
                  <w:vAlign w:val="center"/>
                </w:tcPr>
                <w:p w14:paraId="49B97E45">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eastAsia="宋体" w:cs="Times New Roman"/>
                      <w:color w:val="auto"/>
                      <w:sz w:val="18"/>
                      <w:szCs w:val="18"/>
                      <w:lang w:val="en-US" w:eastAsia="zh-CN"/>
                    </w:rPr>
                  </w:pPr>
                  <w:r>
                    <w:rPr>
                      <w:rFonts w:hint="default" w:cs="Times New Roman"/>
                      <w:color w:val="auto"/>
                      <w:kern w:val="0"/>
                      <w:sz w:val="18"/>
                      <w:szCs w:val="18"/>
                      <w:lang w:bidi="ar"/>
                    </w:rPr>
                    <w:t>建筑物外 距离</w:t>
                  </w:r>
                  <w:r>
                    <w:rPr>
                      <w:rFonts w:hint="eastAsia" w:cs="Times New Roman"/>
                      <w:color w:val="auto"/>
                      <w:kern w:val="0"/>
                      <w:sz w:val="18"/>
                      <w:szCs w:val="18"/>
                      <w:lang w:val="en-US" w:eastAsia="zh-CN" w:bidi="ar"/>
                    </w:rPr>
                    <w:t>m</w:t>
                  </w:r>
                </w:p>
              </w:tc>
            </w:tr>
            <w:tr w14:paraId="0835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 w:type="pct"/>
                  <w:shd w:val="clear" w:color="auto" w:fill="auto"/>
                  <w:vAlign w:val="center"/>
                </w:tcPr>
                <w:p w14:paraId="022F761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1</w:t>
                  </w:r>
                </w:p>
              </w:tc>
              <w:tc>
                <w:tcPr>
                  <w:tcW w:w="230" w:type="pct"/>
                  <w:vMerge w:val="restart"/>
                  <w:shd w:val="clear" w:color="auto" w:fill="auto"/>
                  <w:vAlign w:val="center"/>
                </w:tcPr>
                <w:p w14:paraId="0C9862E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s="Times New Roman"/>
                      <w:color w:val="auto"/>
                      <w:sz w:val="18"/>
                      <w:szCs w:val="18"/>
                      <w:lang w:val="en-US" w:eastAsia="zh-CN"/>
                    </w:rPr>
                  </w:pPr>
                  <w:r>
                    <w:rPr>
                      <w:rFonts w:hint="eastAsia" w:cs="Times New Roman"/>
                      <w:color w:val="auto"/>
                      <w:kern w:val="0"/>
                      <w:sz w:val="18"/>
                      <w:szCs w:val="18"/>
                      <w:lang w:val="en-US" w:eastAsia="zh-CN" w:bidi="ar"/>
                    </w:rPr>
                    <w:t>租赁厂房3F</w:t>
                  </w:r>
                </w:p>
              </w:tc>
              <w:tc>
                <w:tcPr>
                  <w:tcW w:w="500" w:type="pct"/>
                  <w:shd w:val="clear" w:color="auto" w:fill="auto"/>
                  <w:vAlign w:val="center"/>
                </w:tcPr>
                <w:p w14:paraId="59F4C3D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eastAsia="宋体" w:cs="Times New Roman"/>
                      <w:color w:val="auto"/>
                      <w:sz w:val="18"/>
                      <w:szCs w:val="18"/>
                      <w:lang w:eastAsia="zh-CN"/>
                    </w:rPr>
                  </w:pPr>
                  <w:r>
                    <w:rPr>
                      <w:rFonts w:hint="eastAsia" w:cs="Times New Roman"/>
                      <w:color w:val="auto"/>
                      <w:sz w:val="18"/>
                      <w:szCs w:val="18"/>
                    </w:rPr>
                    <w:t>磁力搅拌器</w:t>
                  </w:r>
                </w:p>
              </w:tc>
              <w:tc>
                <w:tcPr>
                  <w:tcW w:w="179" w:type="pct"/>
                  <w:shd w:val="clear" w:color="auto" w:fill="auto"/>
                  <w:vAlign w:val="center"/>
                </w:tcPr>
                <w:p w14:paraId="454D01B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75</w:t>
                  </w:r>
                </w:p>
              </w:tc>
              <w:tc>
                <w:tcPr>
                  <w:tcW w:w="174" w:type="pct"/>
                  <w:vMerge w:val="restart"/>
                  <w:shd w:val="clear" w:color="auto" w:fill="auto"/>
                  <w:vAlign w:val="center"/>
                </w:tcPr>
                <w:p w14:paraId="564966C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砖混/墙体结构/隔声</w:t>
                  </w:r>
                </w:p>
              </w:tc>
              <w:tc>
                <w:tcPr>
                  <w:tcW w:w="176" w:type="pct"/>
                  <w:shd w:val="clear" w:color="auto" w:fill="auto"/>
                  <w:vAlign w:val="center"/>
                </w:tcPr>
                <w:p w14:paraId="186FE45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26.9</w:t>
                  </w:r>
                </w:p>
              </w:tc>
              <w:tc>
                <w:tcPr>
                  <w:tcW w:w="176" w:type="pct"/>
                  <w:shd w:val="clear" w:color="auto" w:fill="auto"/>
                  <w:vAlign w:val="center"/>
                </w:tcPr>
                <w:p w14:paraId="5CA9E8A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42.6</w:t>
                  </w:r>
                </w:p>
              </w:tc>
              <w:tc>
                <w:tcPr>
                  <w:tcW w:w="180" w:type="pct"/>
                  <w:shd w:val="clear" w:color="auto" w:fill="auto"/>
                  <w:vAlign w:val="center"/>
                </w:tcPr>
                <w:p w14:paraId="4F91998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1.2</w:t>
                  </w:r>
                </w:p>
              </w:tc>
              <w:tc>
                <w:tcPr>
                  <w:tcW w:w="176" w:type="pct"/>
                  <w:shd w:val="clear" w:color="auto" w:fill="auto"/>
                  <w:vAlign w:val="center"/>
                </w:tcPr>
                <w:p w14:paraId="7CDC0E5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28.6</w:t>
                  </w:r>
                </w:p>
              </w:tc>
              <w:tc>
                <w:tcPr>
                  <w:tcW w:w="176" w:type="pct"/>
                  <w:shd w:val="clear" w:color="auto" w:fill="auto"/>
                  <w:vAlign w:val="center"/>
                </w:tcPr>
                <w:p w14:paraId="521E677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33. 1</w:t>
                  </w:r>
                </w:p>
              </w:tc>
              <w:tc>
                <w:tcPr>
                  <w:tcW w:w="176" w:type="pct"/>
                  <w:shd w:val="clear" w:color="auto" w:fill="auto"/>
                  <w:vAlign w:val="center"/>
                </w:tcPr>
                <w:p w14:paraId="639E682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102.5</w:t>
                  </w:r>
                </w:p>
              </w:tc>
              <w:tc>
                <w:tcPr>
                  <w:tcW w:w="183" w:type="pct"/>
                  <w:shd w:val="clear" w:color="auto" w:fill="auto"/>
                  <w:vAlign w:val="center"/>
                </w:tcPr>
                <w:p w14:paraId="659792E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6.4</w:t>
                  </w:r>
                </w:p>
              </w:tc>
              <w:tc>
                <w:tcPr>
                  <w:tcW w:w="177" w:type="pct"/>
                  <w:shd w:val="clear" w:color="auto" w:fill="auto"/>
                  <w:vAlign w:val="center"/>
                </w:tcPr>
                <w:p w14:paraId="6EA8B10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57.7</w:t>
                  </w:r>
                </w:p>
              </w:tc>
              <w:tc>
                <w:tcPr>
                  <w:tcW w:w="177" w:type="pct"/>
                  <w:shd w:val="clear" w:color="auto" w:fill="auto"/>
                  <w:vAlign w:val="center"/>
                </w:tcPr>
                <w:p w14:paraId="251E33E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57.7</w:t>
                  </w:r>
                </w:p>
              </w:tc>
              <w:tc>
                <w:tcPr>
                  <w:tcW w:w="177" w:type="pct"/>
                  <w:shd w:val="clear" w:color="auto" w:fill="auto"/>
                  <w:vAlign w:val="center"/>
                </w:tcPr>
                <w:p w14:paraId="6870D3E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57.7</w:t>
                  </w:r>
                </w:p>
              </w:tc>
              <w:tc>
                <w:tcPr>
                  <w:tcW w:w="181" w:type="pct"/>
                  <w:shd w:val="clear" w:color="auto" w:fill="auto"/>
                  <w:vAlign w:val="center"/>
                </w:tcPr>
                <w:p w14:paraId="4D2D518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58. 1</w:t>
                  </w:r>
                </w:p>
              </w:tc>
              <w:tc>
                <w:tcPr>
                  <w:tcW w:w="177" w:type="pct"/>
                  <w:vMerge w:val="restart"/>
                  <w:shd w:val="clear" w:color="auto" w:fill="auto"/>
                  <w:vAlign w:val="center"/>
                </w:tcPr>
                <w:p w14:paraId="7363AEC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昼间</w:t>
                  </w:r>
                </w:p>
              </w:tc>
              <w:tc>
                <w:tcPr>
                  <w:tcW w:w="177" w:type="pct"/>
                  <w:shd w:val="clear" w:color="auto" w:fill="auto"/>
                  <w:vAlign w:val="center"/>
                </w:tcPr>
                <w:p w14:paraId="1FB8D35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21</w:t>
                  </w:r>
                </w:p>
              </w:tc>
              <w:tc>
                <w:tcPr>
                  <w:tcW w:w="177" w:type="pct"/>
                  <w:shd w:val="clear" w:color="auto" w:fill="auto"/>
                  <w:vAlign w:val="center"/>
                </w:tcPr>
                <w:p w14:paraId="1E641CA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21</w:t>
                  </w:r>
                </w:p>
              </w:tc>
              <w:tc>
                <w:tcPr>
                  <w:tcW w:w="177" w:type="pct"/>
                  <w:shd w:val="clear" w:color="auto" w:fill="auto"/>
                  <w:vAlign w:val="center"/>
                </w:tcPr>
                <w:p w14:paraId="4A35E40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21</w:t>
                  </w:r>
                </w:p>
              </w:tc>
              <w:tc>
                <w:tcPr>
                  <w:tcW w:w="181" w:type="pct"/>
                  <w:shd w:val="clear" w:color="auto" w:fill="auto"/>
                  <w:vAlign w:val="center"/>
                </w:tcPr>
                <w:p w14:paraId="04AF388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21</w:t>
                  </w:r>
                </w:p>
              </w:tc>
              <w:tc>
                <w:tcPr>
                  <w:tcW w:w="177" w:type="pct"/>
                  <w:shd w:val="clear" w:color="auto" w:fill="auto"/>
                  <w:vAlign w:val="center"/>
                </w:tcPr>
                <w:p w14:paraId="1A02CA0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36.7</w:t>
                  </w:r>
                </w:p>
              </w:tc>
              <w:tc>
                <w:tcPr>
                  <w:tcW w:w="177" w:type="pct"/>
                  <w:shd w:val="clear" w:color="auto" w:fill="auto"/>
                  <w:vAlign w:val="center"/>
                </w:tcPr>
                <w:p w14:paraId="3F528A9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36.7</w:t>
                  </w:r>
                </w:p>
              </w:tc>
              <w:tc>
                <w:tcPr>
                  <w:tcW w:w="177" w:type="pct"/>
                  <w:shd w:val="clear" w:color="auto" w:fill="auto"/>
                  <w:vAlign w:val="center"/>
                </w:tcPr>
                <w:p w14:paraId="105D1A8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36.7</w:t>
                  </w:r>
                </w:p>
              </w:tc>
              <w:tc>
                <w:tcPr>
                  <w:tcW w:w="177" w:type="pct"/>
                  <w:shd w:val="clear" w:color="auto" w:fill="auto"/>
                  <w:vAlign w:val="center"/>
                </w:tcPr>
                <w:p w14:paraId="1001DFD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37. 1</w:t>
                  </w:r>
                </w:p>
              </w:tc>
              <w:tc>
                <w:tcPr>
                  <w:tcW w:w="184" w:type="pct"/>
                  <w:shd w:val="clear" w:color="auto" w:fill="auto"/>
                  <w:vAlign w:val="center"/>
                </w:tcPr>
                <w:p w14:paraId="0A3C86D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1</w:t>
                  </w:r>
                </w:p>
              </w:tc>
            </w:tr>
            <w:tr w14:paraId="51AA9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 w:type="pct"/>
                  <w:shd w:val="clear" w:color="auto" w:fill="auto"/>
                  <w:vAlign w:val="center"/>
                </w:tcPr>
                <w:p w14:paraId="4C1AB01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w:t>
                  </w:r>
                </w:p>
              </w:tc>
              <w:tc>
                <w:tcPr>
                  <w:tcW w:w="230" w:type="pct"/>
                  <w:vMerge w:val="continue"/>
                  <w:shd w:val="clear" w:color="auto" w:fill="auto"/>
                  <w:vAlign w:val="center"/>
                </w:tcPr>
                <w:p w14:paraId="573FEF33">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18"/>
                      <w:szCs w:val="18"/>
                    </w:rPr>
                  </w:pPr>
                </w:p>
              </w:tc>
              <w:tc>
                <w:tcPr>
                  <w:tcW w:w="500" w:type="pct"/>
                  <w:shd w:val="clear" w:color="auto" w:fill="auto"/>
                  <w:vAlign w:val="center"/>
                </w:tcPr>
                <w:p w14:paraId="73BDE433">
                  <w:pPr>
                    <w:pStyle w:val="14"/>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eastAsia="宋体" w:cs="Times New Roman"/>
                      <w:color w:val="auto"/>
                      <w:sz w:val="18"/>
                      <w:szCs w:val="18"/>
                      <w:lang w:val="en-US" w:eastAsia="zh-CN"/>
                    </w:rPr>
                  </w:pPr>
                  <w:r>
                    <w:rPr>
                      <w:rFonts w:hint="eastAsia" w:ascii="Times New Roman" w:hAnsi="Times New Roman" w:eastAsia="宋体" w:cs="宋体"/>
                      <w:color w:val="auto"/>
                      <w:kern w:val="2"/>
                      <w:sz w:val="18"/>
                      <w:szCs w:val="21"/>
                      <w:lang w:val="en-US" w:eastAsia="zh-CN" w:bidi="ar"/>
                    </w:rPr>
                    <w:t>低温高速离心机</w:t>
                  </w:r>
                </w:p>
              </w:tc>
              <w:tc>
                <w:tcPr>
                  <w:tcW w:w="179" w:type="pct"/>
                  <w:shd w:val="clear" w:color="auto" w:fill="auto"/>
                  <w:vAlign w:val="center"/>
                </w:tcPr>
                <w:p w14:paraId="1A1F780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75</w:t>
                  </w:r>
                </w:p>
              </w:tc>
              <w:tc>
                <w:tcPr>
                  <w:tcW w:w="174" w:type="pct"/>
                  <w:vMerge w:val="continue"/>
                  <w:shd w:val="clear" w:color="auto" w:fill="auto"/>
                  <w:vAlign w:val="center"/>
                </w:tcPr>
                <w:p w14:paraId="55BDADD2">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18"/>
                      <w:szCs w:val="18"/>
                    </w:rPr>
                  </w:pPr>
                </w:p>
              </w:tc>
              <w:tc>
                <w:tcPr>
                  <w:tcW w:w="176" w:type="pct"/>
                  <w:shd w:val="clear" w:color="auto" w:fill="auto"/>
                  <w:vAlign w:val="center"/>
                </w:tcPr>
                <w:p w14:paraId="113F7DD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30.3</w:t>
                  </w:r>
                </w:p>
              </w:tc>
              <w:tc>
                <w:tcPr>
                  <w:tcW w:w="176" w:type="pct"/>
                  <w:shd w:val="clear" w:color="auto" w:fill="auto"/>
                  <w:vAlign w:val="center"/>
                </w:tcPr>
                <w:p w14:paraId="2CF5529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46.2</w:t>
                  </w:r>
                </w:p>
              </w:tc>
              <w:tc>
                <w:tcPr>
                  <w:tcW w:w="180" w:type="pct"/>
                  <w:shd w:val="clear" w:color="auto" w:fill="auto"/>
                  <w:vAlign w:val="center"/>
                </w:tcPr>
                <w:p w14:paraId="468289B4">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eastAsia="宋体" w:cs="Times New Roman"/>
                      <w:color w:val="auto"/>
                      <w:sz w:val="18"/>
                      <w:szCs w:val="18"/>
                      <w:lang w:eastAsia="zh-CN"/>
                    </w:rPr>
                  </w:pPr>
                  <w:r>
                    <w:rPr>
                      <w:rFonts w:hint="eastAsia" w:cs="Times New Roman"/>
                      <w:color w:val="auto"/>
                      <w:kern w:val="0"/>
                      <w:sz w:val="18"/>
                      <w:szCs w:val="18"/>
                      <w:lang w:val="en-US" w:eastAsia="zh-CN" w:bidi="ar"/>
                    </w:rPr>
                    <w:t>1</w:t>
                  </w:r>
                  <w:r>
                    <w:rPr>
                      <w:rFonts w:hint="default" w:cs="Times New Roman"/>
                      <w:color w:val="auto"/>
                      <w:kern w:val="0"/>
                      <w:sz w:val="18"/>
                      <w:szCs w:val="18"/>
                      <w:lang w:bidi="ar"/>
                    </w:rPr>
                    <w:t>.</w:t>
                  </w:r>
                  <w:r>
                    <w:rPr>
                      <w:rFonts w:hint="eastAsia" w:cs="Times New Roman"/>
                      <w:color w:val="auto"/>
                      <w:kern w:val="0"/>
                      <w:sz w:val="18"/>
                      <w:szCs w:val="18"/>
                      <w:lang w:val="en-US" w:eastAsia="zh-CN" w:bidi="ar"/>
                    </w:rPr>
                    <w:t>2</w:t>
                  </w:r>
                </w:p>
              </w:tc>
              <w:tc>
                <w:tcPr>
                  <w:tcW w:w="176" w:type="pct"/>
                  <w:shd w:val="clear" w:color="auto" w:fill="auto"/>
                  <w:vAlign w:val="center"/>
                </w:tcPr>
                <w:p w14:paraId="6A9D1AB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24.8</w:t>
                  </w:r>
                </w:p>
              </w:tc>
              <w:tc>
                <w:tcPr>
                  <w:tcW w:w="176" w:type="pct"/>
                  <w:shd w:val="clear" w:color="auto" w:fill="auto"/>
                  <w:vAlign w:val="center"/>
                </w:tcPr>
                <w:p w14:paraId="3B51D9A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36.3</w:t>
                  </w:r>
                </w:p>
              </w:tc>
              <w:tc>
                <w:tcPr>
                  <w:tcW w:w="176" w:type="pct"/>
                  <w:shd w:val="clear" w:color="auto" w:fill="auto"/>
                  <w:vAlign w:val="center"/>
                </w:tcPr>
                <w:p w14:paraId="21013FF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106.3</w:t>
                  </w:r>
                </w:p>
              </w:tc>
              <w:tc>
                <w:tcPr>
                  <w:tcW w:w="183" w:type="pct"/>
                  <w:shd w:val="clear" w:color="auto" w:fill="auto"/>
                  <w:vAlign w:val="center"/>
                </w:tcPr>
                <w:p w14:paraId="28FFF5A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3.3</w:t>
                  </w:r>
                </w:p>
              </w:tc>
              <w:tc>
                <w:tcPr>
                  <w:tcW w:w="177" w:type="pct"/>
                  <w:shd w:val="clear" w:color="auto" w:fill="auto"/>
                  <w:vAlign w:val="center"/>
                </w:tcPr>
                <w:p w14:paraId="41A4606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57.7</w:t>
                  </w:r>
                </w:p>
              </w:tc>
              <w:tc>
                <w:tcPr>
                  <w:tcW w:w="177" w:type="pct"/>
                  <w:shd w:val="clear" w:color="auto" w:fill="auto"/>
                  <w:vAlign w:val="center"/>
                </w:tcPr>
                <w:p w14:paraId="54448D1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57.7</w:t>
                  </w:r>
                </w:p>
              </w:tc>
              <w:tc>
                <w:tcPr>
                  <w:tcW w:w="177" w:type="pct"/>
                  <w:shd w:val="clear" w:color="auto" w:fill="auto"/>
                  <w:vAlign w:val="center"/>
                </w:tcPr>
                <w:p w14:paraId="3160E92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57.7</w:t>
                  </w:r>
                </w:p>
              </w:tc>
              <w:tc>
                <w:tcPr>
                  <w:tcW w:w="181" w:type="pct"/>
                  <w:shd w:val="clear" w:color="auto" w:fill="auto"/>
                  <w:vAlign w:val="center"/>
                </w:tcPr>
                <w:p w14:paraId="5A87AF8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59. 1</w:t>
                  </w:r>
                </w:p>
              </w:tc>
              <w:tc>
                <w:tcPr>
                  <w:tcW w:w="177" w:type="pct"/>
                  <w:vMerge w:val="continue"/>
                  <w:shd w:val="clear" w:color="auto" w:fill="auto"/>
                  <w:vAlign w:val="center"/>
                </w:tcPr>
                <w:p w14:paraId="26B32CBE">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18"/>
                      <w:szCs w:val="18"/>
                    </w:rPr>
                  </w:pPr>
                </w:p>
              </w:tc>
              <w:tc>
                <w:tcPr>
                  <w:tcW w:w="177" w:type="pct"/>
                  <w:shd w:val="clear" w:color="auto" w:fill="auto"/>
                  <w:vAlign w:val="center"/>
                </w:tcPr>
                <w:p w14:paraId="06FBE50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21</w:t>
                  </w:r>
                </w:p>
              </w:tc>
              <w:tc>
                <w:tcPr>
                  <w:tcW w:w="177" w:type="pct"/>
                  <w:shd w:val="clear" w:color="auto" w:fill="auto"/>
                  <w:vAlign w:val="center"/>
                </w:tcPr>
                <w:p w14:paraId="66EE8F5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21</w:t>
                  </w:r>
                </w:p>
              </w:tc>
              <w:tc>
                <w:tcPr>
                  <w:tcW w:w="177" w:type="pct"/>
                  <w:shd w:val="clear" w:color="auto" w:fill="auto"/>
                  <w:vAlign w:val="center"/>
                </w:tcPr>
                <w:p w14:paraId="1383A29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21</w:t>
                  </w:r>
                </w:p>
              </w:tc>
              <w:tc>
                <w:tcPr>
                  <w:tcW w:w="181" w:type="pct"/>
                  <w:shd w:val="clear" w:color="auto" w:fill="auto"/>
                  <w:vAlign w:val="center"/>
                </w:tcPr>
                <w:p w14:paraId="13DFEF7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21</w:t>
                  </w:r>
                </w:p>
              </w:tc>
              <w:tc>
                <w:tcPr>
                  <w:tcW w:w="177" w:type="pct"/>
                  <w:shd w:val="clear" w:color="auto" w:fill="auto"/>
                  <w:vAlign w:val="center"/>
                </w:tcPr>
                <w:p w14:paraId="142A742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36.7</w:t>
                  </w:r>
                </w:p>
              </w:tc>
              <w:tc>
                <w:tcPr>
                  <w:tcW w:w="177" w:type="pct"/>
                  <w:shd w:val="clear" w:color="auto" w:fill="auto"/>
                  <w:vAlign w:val="center"/>
                </w:tcPr>
                <w:p w14:paraId="67C9B19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36.7</w:t>
                  </w:r>
                </w:p>
              </w:tc>
              <w:tc>
                <w:tcPr>
                  <w:tcW w:w="177" w:type="pct"/>
                  <w:shd w:val="clear" w:color="auto" w:fill="auto"/>
                  <w:vAlign w:val="center"/>
                </w:tcPr>
                <w:p w14:paraId="7B89D09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36.7</w:t>
                  </w:r>
                </w:p>
              </w:tc>
              <w:tc>
                <w:tcPr>
                  <w:tcW w:w="177" w:type="pct"/>
                  <w:shd w:val="clear" w:color="auto" w:fill="auto"/>
                  <w:vAlign w:val="center"/>
                </w:tcPr>
                <w:p w14:paraId="36268E7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38. 1</w:t>
                  </w:r>
                </w:p>
              </w:tc>
              <w:tc>
                <w:tcPr>
                  <w:tcW w:w="184" w:type="pct"/>
                  <w:shd w:val="clear" w:color="auto" w:fill="auto"/>
                  <w:vAlign w:val="center"/>
                </w:tcPr>
                <w:p w14:paraId="0E88B1D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1</w:t>
                  </w:r>
                </w:p>
              </w:tc>
            </w:tr>
            <w:tr w14:paraId="3ED6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6" w:type="pct"/>
                  <w:shd w:val="clear" w:color="auto" w:fill="auto"/>
                  <w:vAlign w:val="center"/>
                </w:tcPr>
                <w:p w14:paraId="1F2375A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w:t>
                  </w:r>
                </w:p>
              </w:tc>
              <w:tc>
                <w:tcPr>
                  <w:tcW w:w="230" w:type="pct"/>
                  <w:vMerge w:val="continue"/>
                  <w:shd w:val="clear" w:color="auto" w:fill="auto"/>
                  <w:vAlign w:val="center"/>
                </w:tcPr>
                <w:p w14:paraId="7BAE812A">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18"/>
                      <w:szCs w:val="18"/>
                    </w:rPr>
                  </w:pPr>
                </w:p>
              </w:tc>
              <w:tc>
                <w:tcPr>
                  <w:tcW w:w="500" w:type="pct"/>
                  <w:shd w:val="clear" w:color="auto" w:fill="auto"/>
                  <w:vAlign w:val="center"/>
                </w:tcPr>
                <w:p w14:paraId="32D939FD">
                  <w:pPr>
                    <w:pStyle w:val="14"/>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eastAsia="宋体" w:cs="Times New Roman"/>
                      <w:color w:val="auto"/>
                      <w:sz w:val="18"/>
                      <w:szCs w:val="18"/>
                      <w:lang w:val="en-US" w:eastAsia="zh-CN"/>
                    </w:rPr>
                  </w:pPr>
                  <w:r>
                    <w:rPr>
                      <w:rFonts w:hint="eastAsia" w:ascii="Times New Roman" w:hAnsi="Times New Roman" w:eastAsia="宋体" w:cs="宋体"/>
                      <w:color w:val="auto"/>
                      <w:kern w:val="2"/>
                      <w:sz w:val="18"/>
                      <w:szCs w:val="21"/>
                      <w:lang w:val="en-US" w:eastAsia="zh-CN" w:bidi="ar"/>
                    </w:rPr>
                    <w:t>小型常温离心机</w:t>
                  </w:r>
                </w:p>
              </w:tc>
              <w:tc>
                <w:tcPr>
                  <w:tcW w:w="179" w:type="pct"/>
                  <w:shd w:val="clear" w:color="auto" w:fill="auto"/>
                  <w:vAlign w:val="center"/>
                </w:tcPr>
                <w:p w14:paraId="34405A5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70</w:t>
                  </w:r>
                </w:p>
              </w:tc>
              <w:tc>
                <w:tcPr>
                  <w:tcW w:w="174" w:type="pct"/>
                  <w:vMerge w:val="continue"/>
                  <w:shd w:val="clear" w:color="auto" w:fill="auto"/>
                  <w:vAlign w:val="center"/>
                </w:tcPr>
                <w:p w14:paraId="765A5FBD">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18"/>
                      <w:szCs w:val="18"/>
                    </w:rPr>
                  </w:pPr>
                </w:p>
              </w:tc>
              <w:tc>
                <w:tcPr>
                  <w:tcW w:w="176" w:type="pct"/>
                  <w:shd w:val="clear" w:color="auto" w:fill="auto"/>
                  <w:vAlign w:val="center"/>
                </w:tcPr>
                <w:p w14:paraId="12E8945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26. 1</w:t>
                  </w:r>
                </w:p>
              </w:tc>
              <w:tc>
                <w:tcPr>
                  <w:tcW w:w="176" w:type="pct"/>
                  <w:shd w:val="clear" w:color="auto" w:fill="auto"/>
                  <w:vAlign w:val="center"/>
                </w:tcPr>
                <w:p w14:paraId="75FC736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46.2</w:t>
                  </w:r>
                </w:p>
              </w:tc>
              <w:tc>
                <w:tcPr>
                  <w:tcW w:w="180" w:type="pct"/>
                  <w:shd w:val="clear" w:color="auto" w:fill="auto"/>
                  <w:vAlign w:val="center"/>
                </w:tcPr>
                <w:p w14:paraId="2BCB78ED">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eastAsia="宋体" w:cs="Times New Roman"/>
                      <w:color w:val="auto"/>
                      <w:sz w:val="18"/>
                      <w:szCs w:val="18"/>
                      <w:lang w:eastAsia="zh-CN"/>
                    </w:rPr>
                  </w:pPr>
                  <w:r>
                    <w:rPr>
                      <w:rFonts w:hint="eastAsia" w:cs="Times New Roman"/>
                      <w:color w:val="auto"/>
                      <w:kern w:val="0"/>
                      <w:sz w:val="18"/>
                      <w:szCs w:val="18"/>
                      <w:lang w:val="en-US" w:eastAsia="zh-CN" w:bidi="ar"/>
                    </w:rPr>
                    <w:t>1</w:t>
                  </w:r>
                  <w:r>
                    <w:rPr>
                      <w:rFonts w:hint="default" w:cs="Times New Roman"/>
                      <w:color w:val="auto"/>
                      <w:kern w:val="0"/>
                      <w:sz w:val="18"/>
                      <w:szCs w:val="18"/>
                      <w:lang w:bidi="ar"/>
                    </w:rPr>
                    <w:t>.</w:t>
                  </w:r>
                  <w:r>
                    <w:rPr>
                      <w:rFonts w:hint="eastAsia" w:cs="Times New Roman"/>
                      <w:color w:val="auto"/>
                      <w:kern w:val="0"/>
                      <w:sz w:val="18"/>
                      <w:szCs w:val="18"/>
                      <w:lang w:val="en-US" w:eastAsia="zh-CN" w:bidi="ar"/>
                    </w:rPr>
                    <w:t>2</w:t>
                  </w:r>
                </w:p>
              </w:tc>
              <w:tc>
                <w:tcPr>
                  <w:tcW w:w="176" w:type="pct"/>
                  <w:shd w:val="clear" w:color="auto" w:fill="auto"/>
                  <w:vAlign w:val="center"/>
                </w:tcPr>
                <w:p w14:paraId="12494F2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29</w:t>
                  </w:r>
                </w:p>
              </w:tc>
              <w:tc>
                <w:tcPr>
                  <w:tcW w:w="176" w:type="pct"/>
                  <w:shd w:val="clear" w:color="auto" w:fill="auto"/>
                  <w:vAlign w:val="center"/>
                </w:tcPr>
                <w:p w14:paraId="6D05E90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36.8</w:t>
                  </w:r>
                </w:p>
              </w:tc>
              <w:tc>
                <w:tcPr>
                  <w:tcW w:w="176" w:type="pct"/>
                  <w:shd w:val="clear" w:color="auto" w:fill="auto"/>
                  <w:vAlign w:val="center"/>
                </w:tcPr>
                <w:p w14:paraId="205AC7C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102. 1</w:t>
                  </w:r>
                </w:p>
              </w:tc>
              <w:tc>
                <w:tcPr>
                  <w:tcW w:w="183" w:type="pct"/>
                  <w:shd w:val="clear" w:color="auto" w:fill="auto"/>
                  <w:vAlign w:val="center"/>
                </w:tcPr>
                <w:p w14:paraId="5B231B6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2.8</w:t>
                  </w:r>
                </w:p>
              </w:tc>
              <w:tc>
                <w:tcPr>
                  <w:tcW w:w="177" w:type="pct"/>
                  <w:shd w:val="clear" w:color="auto" w:fill="auto"/>
                  <w:vAlign w:val="center"/>
                </w:tcPr>
                <w:p w14:paraId="4C49E08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57.7</w:t>
                  </w:r>
                </w:p>
              </w:tc>
              <w:tc>
                <w:tcPr>
                  <w:tcW w:w="177" w:type="pct"/>
                  <w:shd w:val="clear" w:color="auto" w:fill="auto"/>
                  <w:vAlign w:val="center"/>
                </w:tcPr>
                <w:p w14:paraId="668F316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57.7</w:t>
                  </w:r>
                </w:p>
              </w:tc>
              <w:tc>
                <w:tcPr>
                  <w:tcW w:w="177" w:type="pct"/>
                  <w:shd w:val="clear" w:color="auto" w:fill="auto"/>
                  <w:vAlign w:val="center"/>
                </w:tcPr>
                <w:p w14:paraId="016D6A4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57.7</w:t>
                  </w:r>
                </w:p>
              </w:tc>
              <w:tc>
                <w:tcPr>
                  <w:tcW w:w="181" w:type="pct"/>
                  <w:shd w:val="clear" w:color="auto" w:fill="auto"/>
                  <w:vAlign w:val="center"/>
                </w:tcPr>
                <w:p w14:paraId="2AF8C27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59.6</w:t>
                  </w:r>
                </w:p>
              </w:tc>
              <w:tc>
                <w:tcPr>
                  <w:tcW w:w="177" w:type="pct"/>
                  <w:vMerge w:val="continue"/>
                  <w:shd w:val="clear" w:color="auto" w:fill="auto"/>
                  <w:vAlign w:val="center"/>
                </w:tcPr>
                <w:p w14:paraId="19FBD28E">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18"/>
                      <w:szCs w:val="18"/>
                    </w:rPr>
                  </w:pPr>
                </w:p>
              </w:tc>
              <w:tc>
                <w:tcPr>
                  <w:tcW w:w="177" w:type="pct"/>
                  <w:shd w:val="clear" w:color="auto" w:fill="auto"/>
                  <w:vAlign w:val="center"/>
                </w:tcPr>
                <w:p w14:paraId="5A517A2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21</w:t>
                  </w:r>
                </w:p>
              </w:tc>
              <w:tc>
                <w:tcPr>
                  <w:tcW w:w="177" w:type="pct"/>
                  <w:shd w:val="clear" w:color="auto" w:fill="auto"/>
                  <w:vAlign w:val="center"/>
                </w:tcPr>
                <w:p w14:paraId="3CE3F78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21</w:t>
                  </w:r>
                </w:p>
              </w:tc>
              <w:tc>
                <w:tcPr>
                  <w:tcW w:w="177" w:type="pct"/>
                  <w:shd w:val="clear" w:color="auto" w:fill="auto"/>
                  <w:vAlign w:val="center"/>
                </w:tcPr>
                <w:p w14:paraId="4D8F55B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21</w:t>
                  </w:r>
                </w:p>
              </w:tc>
              <w:tc>
                <w:tcPr>
                  <w:tcW w:w="181" w:type="pct"/>
                  <w:shd w:val="clear" w:color="auto" w:fill="auto"/>
                  <w:vAlign w:val="center"/>
                </w:tcPr>
                <w:p w14:paraId="02941C2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21</w:t>
                  </w:r>
                </w:p>
              </w:tc>
              <w:tc>
                <w:tcPr>
                  <w:tcW w:w="177" w:type="pct"/>
                  <w:shd w:val="clear" w:color="auto" w:fill="auto"/>
                  <w:vAlign w:val="center"/>
                </w:tcPr>
                <w:p w14:paraId="3BAA2D9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36.7</w:t>
                  </w:r>
                </w:p>
              </w:tc>
              <w:tc>
                <w:tcPr>
                  <w:tcW w:w="177" w:type="pct"/>
                  <w:shd w:val="clear" w:color="auto" w:fill="auto"/>
                  <w:vAlign w:val="center"/>
                </w:tcPr>
                <w:p w14:paraId="6DF4722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36.7</w:t>
                  </w:r>
                </w:p>
              </w:tc>
              <w:tc>
                <w:tcPr>
                  <w:tcW w:w="177" w:type="pct"/>
                  <w:shd w:val="clear" w:color="auto" w:fill="auto"/>
                  <w:vAlign w:val="center"/>
                </w:tcPr>
                <w:p w14:paraId="55956B2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36.7</w:t>
                  </w:r>
                </w:p>
              </w:tc>
              <w:tc>
                <w:tcPr>
                  <w:tcW w:w="177" w:type="pct"/>
                  <w:shd w:val="clear" w:color="auto" w:fill="auto"/>
                  <w:vAlign w:val="center"/>
                </w:tcPr>
                <w:p w14:paraId="34DADE1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38.6</w:t>
                  </w:r>
                </w:p>
              </w:tc>
              <w:tc>
                <w:tcPr>
                  <w:tcW w:w="184" w:type="pct"/>
                  <w:shd w:val="clear" w:color="auto" w:fill="auto"/>
                  <w:vAlign w:val="center"/>
                </w:tcPr>
                <w:p w14:paraId="7CEC1B8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1</w:t>
                  </w:r>
                </w:p>
              </w:tc>
            </w:tr>
          </w:tbl>
          <w:p w14:paraId="2B07F683">
            <w:pPr>
              <w:pStyle w:val="2"/>
              <w:keepNext w:val="0"/>
              <w:keepLines w:val="0"/>
              <w:suppressLineNumbers w:val="0"/>
              <w:spacing w:before="0" w:beforeAutospacing="0" w:after="0" w:afterAutospacing="0"/>
              <w:ind w:left="0" w:right="0" w:firstLine="0" w:firstLineChars="0"/>
              <w:rPr>
                <w:rFonts w:hint="default" w:eastAsia="黑体" w:cs="Times New Roman"/>
                <w:color w:val="auto"/>
                <w:szCs w:val="24"/>
              </w:rPr>
            </w:pPr>
          </w:p>
          <w:p w14:paraId="6412BF27">
            <w:pPr>
              <w:pStyle w:val="2"/>
              <w:keepNext w:val="0"/>
              <w:keepLines w:val="0"/>
              <w:suppressLineNumbers w:val="0"/>
              <w:spacing w:before="0" w:beforeAutospacing="0" w:after="0" w:afterAutospacing="0"/>
              <w:ind w:left="0" w:right="0" w:firstLine="0" w:firstLineChars="0"/>
              <w:jc w:val="center"/>
              <w:rPr>
                <w:rFonts w:hint="default" w:eastAsia="黑体" w:cs="Times New Roman"/>
                <w:color w:val="auto"/>
                <w:szCs w:val="24"/>
              </w:rPr>
            </w:pPr>
            <w:r>
              <w:rPr>
                <w:rFonts w:hint="default" w:eastAsia="黑体" w:cs="Times New Roman"/>
                <w:color w:val="auto"/>
                <w:szCs w:val="24"/>
              </w:rPr>
              <w:t>表4-</w:t>
            </w:r>
            <w:r>
              <w:rPr>
                <w:rFonts w:hint="eastAsia" w:eastAsia="黑体" w:cs="Times New Roman"/>
                <w:color w:val="auto"/>
                <w:szCs w:val="24"/>
                <w:lang w:val="en-US" w:eastAsia="zh-CN"/>
              </w:rPr>
              <w:t xml:space="preserve">9 </w:t>
            </w:r>
            <w:r>
              <w:rPr>
                <w:rFonts w:hint="default" w:eastAsia="黑体" w:cs="Times New Roman"/>
                <w:color w:val="auto"/>
                <w:szCs w:val="24"/>
              </w:rPr>
              <w:t xml:space="preserve"> </w:t>
            </w:r>
            <w:r>
              <w:rPr>
                <w:rFonts w:hint="eastAsia" w:eastAsia="黑体" w:cs="Times New Roman"/>
                <w:color w:val="auto"/>
                <w:szCs w:val="24"/>
              </w:rPr>
              <w:t>主要噪声设备源强调查清单（室外设备）</w:t>
            </w:r>
          </w:p>
          <w:tbl>
            <w:tblPr>
              <w:tblStyle w:val="16"/>
              <w:tblW w:w="4998" w:type="pct"/>
              <w:jc w:val="center"/>
              <w:tblLayout w:type="autofit"/>
              <w:tblCellMar>
                <w:top w:w="0" w:type="dxa"/>
                <w:left w:w="108" w:type="dxa"/>
                <w:bottom w:w="0" w:type="dxa"/>
                <w:right w:w="108" w:type="dxa"/>
              </w:tblCellMar>
            </w:tblPr>
            <w:tblGrid>
              <w:gridCol w:w="1605"/>
              <w:gridCol w:w="2700"/>
              <w:gridCol w:w="3588"/>
              <w:gridCol w:w="1873"/>
              <w:gridCol w:w="1873"/>
              <w:gridCol w:w="1898"/>
              <w:gridCol w:w="2370"/>
              <w:gridCol w:w="2203"/>
              <w:gridCol w:w="2236"/>
            </w:tblGrid>
            <w:tr w14:paraId="205314C4">
              <w:tblPrEx>
                <w:tblCellMar>
                  <w:top w:w="0" w:type="dxa"/>
                  <w:left w:w="108" w:type="dxa"/>
                  <w:bottom w:w="0" w:type="dxa"/>
                  <w:right w:w="108" w:type="dxa"/>
                </w:tblCellMar>
              </w:tblPrEx>
              <w:trPr>
                <w:trHeight w:val="340" w:hRule="atLeast"/>
                <w:jc w:val="center"/>
              </w:trPr>
              <w:tc>
                <w:tcPr>
                  <w:tcW w:w="394" w:type="pct"/>
                  <w:vMerge w:val="restart"/>
                  <w:tcBorders>
                    <w:top w:val="single" w:color="auto" w:sz="4" w:space="0"/>
                    <w:left w:val="single" w:color="auto" w:sz="4" w:space="0"/>
                    <w:right w:val="single" w:color="auto" w:sz="4" w:space="0"/>
                  </w:tcBorders>
                  <w:shd w:val="clear" w:color="auto" w:fill="auto"/>
                  <w:noWrap/>
                  <w:vAlign w:val="center"/>
                </w:tcPr>
                <w:p w14:paraId="38E6547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18"/>
                      <w:szCs w:val="18"/>
                      <w:lang w:bidi="ar"/>
                    </w:rPr>
                  </w:pPr>
                  <w:r>
                    <w:rPr>
                      <w:rFonts w:hint="eastAsia" w:cs="Times New Roman"/>
                      <w:color w:val="auto"/>
                      <w:kern w:val="0"/>
                      <w:sz w:val="18"/>
                      <w:szCs w:val="18"/>
                      <w:lang w:bidi="ar"/>
                    </w:rPr>
                    <w:t>序号</w:t>
                  </w:r>
                </w:p>
              </w:tc>
              <w:tc>
                <w:tcPr>
                  <w:tcW w:w="663" w:type="pct"/>
                  <w:vMerge w:val="restart"/>
                  <w:tcBorders>
                    <w:top w:val="single" w:color="auto" w:sz="4" w:space="0"/>
                    <w:left w:val="nil"/>
                    <w:right w:val="single" w:color="auto" w:sz="4" w:space="0"/>
                  </w:tcBorders>
                  <w:shd w:val="clear" w:color="auto" w:fill="auto"/>
                  <w:vAlign w:val="center"/>
                </w:tcPr>
                <w:p w14:paraId="7DCB864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18"/>
                      <w:szCs w:val="18"/>
                      <w:lang w:bidi="ar"/>
                    </w:rPr>
                  </w:pPr>
                  <w:r>
                    <w:rPr>
                      <w:rFonts w:hint="eastAsia" w:cs="Times New Roman"/>
                      <w:color w:val="auto"/>
                      <w:kern w:val="0"/>
                      <w:sz w:val="18"/>
                      <w:szCs w:val="18"/>
                      <w:lang w:bidi="ar"/>
                    </w:rPr>
                    <w:t>声源名称</w:t>
                  </w:r>
                </w:p>
              </w:tc>
              <w:tc>
                <w:tcPr>
                  <w:tcW w:w="881" w:type="pct"/>
                  <w:vMerge w:val="restart"/>
                  <w:tcBorders>
                    <w:top w:val="single" w:color="auto" w:sz="4" w:space="0"/>
                    <w:left w:val="nil"/>
                    <w:right w:val="single" w:color="auto" w:sz="4" w:space="0"/>
                  </w:tcBorders>
                  <w:shd w:val="clear" w:color="auto" w:fill="auto"/>
                  <w:vAlign w:val="center"/>
                </w:tcPr>
                <w:p w14:paraId="6A59DAA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18"/>
                      <w:szCs w:val="18"/>
                      <w:lang w:bidi="ar"/>
                    </w:rPr>
                  </w:pPr>
                  <w:r>
                    <w:rPr>
                      <w:rFonts w:hint="eastAsia" w:cs="Times New Roman"/>
                      <w:color w:val="auto"/>
                      <w:kern w:val="0"/>
                      <w:sz w:val="18"/>
                      <w:szCs w:val="18"/>
                      <w:lang w:bidi="ar"/>
                    </w:rPr>
                    <w:t>型号</w:t>
                  </w:r>
                </w:p>
              </w:tc>
              <w:tc>
                <w:tcPr>
                  <w:tcW w:w="1386" w:type="pct"/>
                  <w:gridSpan w:val="3"/>
                  <w:tcBorders>
                    <w:top w:val="single" w:color="auto" w:sz="4" w:space="0"/>
                    <w:left w:val="nil"/>
                    <w:bottom w:val="single" w:color="auto" w:sz="4" w:space="0"/>
                    <w:right w:val="single" w:color="auto" w:sz="4" w:space="0"/>
                  </w:tcBorders>
                  <w:shd w:val="clear" w:color="auto" w:fill="auto"/>
                  <w:vAlign w:val="center"/>
                </w:tcPr>
                <w:p w14:paraId="6696F22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18"/>
                      <w:szCs w:val="18"/>
                      <w:lang w:bidi="ar"/>
                    </w:rPr>
                  </w:pPr>
                  <w:r>
                    <w:rPr>
                      <w:rFonts w:hint="eastAsia" w:cs="Times New Roman"/>
                      <w:color w:val="auto"/>
                      <w:kern w:val="0"/>
                      <w:sz w:val="18"/>
                      <w:szCs w:val="18"/>
                      <w:lang w:bidi="ar"/>
                    </w:rPr>
                    <w:t>空间相对位置</w:t>
                  </w:r>
                </w:p>
              </w:tc>
              <w:tc>
                <w:tcPr>
                  <w:tcW w:w="582" w:type="pct"/>
                  <w:vMerge w:val="restart"/>
                  <w:tcBorders>
                    <w:top w:val="single" w:color="auto" w:sz="4" w:space="0"/>
                    <w:left w:val="nil"/>
                    <w:right w:val="single" w:color="auto" w:sz="4" w:space="0"/>
                  </w:tcBorders>
                  <w:shd w:val="clear" w:color="auto" w:fill="auto"/>
                  <w:vAlign w:val="center"/>
                </w:tcPr>
                <w:p w14:paraId="1A3C597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18"/>
                      <w:szCs w:val="18"/>
                      <w:lang w:bidi="ar"/>
                    </w:rPr>
                  </w:pPr>
                  <w:r>
                    <w:rPr>
                      <w:rFonts w:hint="eastAsia" w:cs="Times New Roman"/>
                      <w:color w:val="auto"/>
                      <w:kern w:val="0"/>
                      <w:sz w:val="18"/>
                      <w:szCs w:val="18"/>
                      <w:lang w:bidi="ar"/>
                    </w:rPr>
                    <w:t>声压级/dB（A）</w:t>
                  </w:r>
                </w:p>
              </w:tc>
              <w:tc>
                <w:tcPr>
                  <w:tcW w:w="541" w:type="pct"/>
                  <w:vMerge w:val="restart"/>
                  <w:tcBorders>
                    <w:top w:val="single" w:color="auto" w:sz="4" w:space="0"/>
                    <w:left w:val="single" w:color="auto" w:sz="4" w:space="0"/>
                    <w:right w:val="single" w:color="auto" w:sz="4" w:space="0"/>
                  </w:tcBorders>
                  <w:shd w:val="clear" w:color="auto" w:fill="auto"/>
                  <w:vAlign w:val="center"/>
                </w:tcPr>
                <w:p w14:paraId="3536FB3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18"/>
                      <w:szCs w:val="18"/>
                      <w:lang w:bidi="ar"/>
                    </w:rPr>
                  </w:pPr>
                  <w:r>
                    <w:rPr>
                      <w:rFonts w:hint="default" w:cs="Times New Roman"/>
                      <w:color w:val="auto"/>
                      <w:kern w:val="0"/>
                      <w:sz w:val="18"/>
                      <w:szCs w:val="18"/>
                      <w:lang w:bidi="ar"/>
                    </w:rPr>
                    <w:t>声源控制措施</w:t>
                  </w:r>
                </w:p>
              </w:tc>
              <w:tc>
                <w:tcPr>
                  <w:tcW w:w="549" w:type="pct"/>
                  <w:vMerge w:val="restart"/>
                  <w:tcBorders>
                    <w:top w:val="single" w:color="auto" w:sz="4" w:space="0"/>
                    <w:left w:val="single" w:color="auto" w:sz="4" w:space="0"/>
                    <w:right w:val="single" w:color="auto" w:sz="4" w:space="0"/>
                  </w:tcBorders>
                  <w:shd w:val="clear" w:color="auto" w:fill="auto"/>
                  <w:vAlign w:val="center"/>
                </w:tcPr>
                <w:p w14:paraId="42D12D8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18"/>
                      <w:szCs w:val="18"/>
                      <w:lang w:bidi="ar"/>
                    </w:rPr>
                  </w:pPr>
                  <w:r>
                    <w:rPr>
                      <w:rFonts w:hint="default" w:cs="Times New Roman"/>
                      <w:color w:val="auto"/>
                      <w:kern w:val="0"/>
                      <w:sz w:val="18"/>
                      <w:szCs w:val="18"/>
                      <w:lang w:bidi="ar"/>
                    </w:rPr>
                    <w:t>运行时段/d</w:t>
                  </w:r>
                </w:p>
              </w:tc>
            </w:tr>
            <w:tr w14:paraId="401C1AE6">
              <w:tblPrEx>
                <w:tblCellMar>
                  <w:top w:w="0" w:type="dxa"/>
                  <w:left w:w="108" w:type="dxa"/>
                  <w:bottom w:w="0" w:type="dxa"/>
                  <w:right w:w="108" w:type="dxa"/>
                </w:tblCellMar>
              </w:tblPrEx>
              <w:trPr>
                <w:trHeight w:val="340" w:hRule="atLeast"/>
                <w:jc w:val="center"/>
              </w:trPr>
              <w:tc>
                <w:tcPr>
                  <w:tcW w:w="394" w:type="pct"/>
                  <w:vMerge w:val="continue"/>
                  <w:tcBorders>
                    <w:left w:val="single" w:color="auto" w:sz="4" w:space="0"/>
                    <w:bottom w:val="single" w:color="auto" w:sz="4" w:space="0"/>
                    <w:right w:val="single" w:color="auto" w:sz="4" w:space="0"/>
                  </w:tcBorders>
                  <w:shd w:val="clear" w:color="auto" w:fill="auto"/>
                  <w:noWrap/>
                  <w:vAlign w:val="center"/>
                </w:tcPr>
                <w:p w14:paraId="4F754F8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18"/>
                      <w:szCs w:val="18"/>
                      <w:lang w:bidi="ar"/>
                    </w:rPr>
                  </w:pPr>
                </w:p>
              </w:tc>
              <w:tc>
                <w:tcPr>
                  <w:tcW w:w="663" w:type="pct"/>
                  <w:vMerge w:val="continue"/>
                  <w:tcBorders>
                    <w:left w:val="nil"/>
                    <w:bottom w:val="single" w:color="auto" w:sz="4" w:space="0"/>
                    <w:right w:val="single" w:color="auto" w:sz="4" w:space="0"/>
                  </w:tcBorders>
                  <w:shd w:val="clear" w:color="auto" w:fill="auto"/>
                  <w:vAlign w:val="center"/>
                </w:tcPr>
                <w:p w14:paraId="41BB856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18"/>
                      <w:szCs w:val="18"/>
                      <w:lang w:bidi="ar"/>
                    </w:rPr>
                  </w:pPr>
                </w:p>
              </w:tc>
              <w:tc>
                <w:tcPr>
                  <w:tcW w:w="881" w:type="pct"/>
                  <w:vMerge w:val="continue"/>
                  <w:tcBorders>
                    <w:left w:val="nil"/>
                    <w:bottom w:val="single" w:color="auto" w:sz="4" w:space="0"/>
                    <w:right w:val="single" w:color="auto" w:sz="4" w:space="0"/>
                  </w:tcBorders>
                  <w:shd w:val="clear" w:color="auto" w:fill="auto"/>
                  <w:vAlign w:val="center"/>
                </w:tcPr>
                <w:p w14:paraId="1B4EF2A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18"/>
                      <w:szCs w:val="18"/>
                      <w:lang w:bidi="ar"/>
                    </w:rPr>
                  </w:pPr>
                </w:p>
              </w:tc>
              <w:tc>
                <w:tcPr>
                  <w:tcW w:w="460" w:type="pct"/>
                  <w:tcBorders>
                    <w:top w:val="single" w:color="auto" w:sz="4" w:space="0"/>
                    <w:left w:val="nil"/>
                    <w:bottom w:val="single" w:color="auto" w:sz="4" w:space="0"/>
                    <w:right w:val="single" w:color="auto" w:sz="4" w:space="0"/>
                  </w:tcBorders>
                  <w:shd w:val="clear" w:color="auto" w:fill="auto"/>
                  <w:vAlign w:val="center"/>
                </w:tcPr>
                <w:p w14:paraId="1A24BDC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18"/>
                      <w:szCs w:val="18"/>
                      <w:lang w:bidi="ar"/>
                    </w:rPr>
                  </w:pPr>
                  <w:r>
                    <w:rPr>
                      <w:rFonts w:hint="eastAsia" w:cs="Times New Roman"/>
                      <w:color w:val="auto"/>
                      <w:kern w:val="0"/>
                      <w:sz w:val="18"/>
                      <w:szCs w:val="18"/>
                      <w:lang w:bidi="ar"/>
                    </w:rPr>
                    <w:t>X</w:t>
                  </w:r>
                </w:p>
              </w:tc>
              <w:tc>
                <w:tcPr>
                  <w:tcW w:w="460" w:type="pct"/>
                  <w:tcBorders>
                    <w:top w:val="single" w:color="auto" w:sz="4" w:space="0"/>
                    <w:left w:val="nil"/>
                    <w:bottom w:val="single" w:color="auto" w:sz="4" w:space="0"/>
                    <w:right w:val="single" w:color="auto" w:sz="4" w:space="0"/>
                  </w:tcBorders>
                  <w:shd w:val="clear" w:color="auto" w:fill="auto"/>
                  <w:vAlign w:val="center"/>
                </w:tcPr>
                <w:p w14:paraId="774BE4C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18"/>
                      <w:szCs w:val="18"/>
                      <w:lang w:bidi="ar"/>
                    </w:rPr>
                  </w:pPr>
                  <w:r>
                    <w:rPr>
                      <w:rFonts w:hint="eastAsia" w:cs="Times New Roman"/>
                      <w:color w:val="auto"/>
                      <w:kern w:val="0"/>
                      <w:sz w:val="18"/>
                      <w:szCs w:val="18"/>
                      <w:lang w:bidi="ar"/>
                    </w:rPr>
                    <w:t>Y</w:t>
                  </w:r>
                </w:p>
              </w:tc>
              <w:tc>
                <w:tcPr>
                  <w:tcW w:w="466" w:type="pct"/>
                  <w:tcBorders>
                    <w:top w:val="single" w:color="auto" w:sz="4" w:space="0"/>
                    <w:left w:val="nil"/>
                    <w:bottom w:val="single" w:color="auto" w:sz="4" w:space="0"/>
                    <w:right w:val="single" w:color="auto" w:sz="4" w:space="0"/>
                  </w:tcBorders>
                  <w:shd w:val="clear" w:color="auto" w:fill="auto"/>
                  <w:vAlign w:val="center"/>
                </w:tcPr>
                <w:p w14:paraId="49AAAE0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18"/>
                      <w:szCs w:val="18"/>
                      <w:lang w:bidi="ar"/>
                    </w:rPr>
                  </w:pPr>
                  <w:r>
                    <w:rPr>
                      <w:rFonts w:hint="eastAsia" w:cs="Times New Roman"/>
                      <w:color w:val="auto"/>
                      <w:kern w:val="0"/>
                      <w:sz w:val="18"/>
                      <w:szCs w:val="18"/>
                      <w:lang w:bidi="ar"/>
                    </w:rPr>
                    <w:t>Z</w:t>
                  </w:r>
                </w:p>
              </w:tc>
              <w:tc>
                <w:tcPr>
                  <w:tcW w:w="582" w:type="pct"/>
                  <w:vMerge w:val="continue"/>
                  <w:tcBorders>
                    <w:left w:val="nil"/>
                    <w:bottom w:val="single" w:color="auto" w:sz="4" w:space="0"/>
                    <w:right w:val="single" w:color="auto" w:sz="4" w:space="0"/>
                  </w:tcBorders>
                  <w:shd w:val="clear" w:color="auto" w:fill="auto"/>
                  <w:vAlign w:val="center"/>
                </w:tcPr>
                <w:p w14:paraId="7420801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18"/>
                      <w:szCs w:val="18"/>
                      <w:lang w:bidi="ar"/>
                    </w:rPr>
                  </w:pPr>
                </w:p>
              </w:tc>
              <w:tc>
                <w:tcPr>
                  <w:tcW w:w="541" w:type="pct"/>
                  <w:vMerge w:val="continue"/>
                  <w:tcBorders>
                    <w:left w:val="single" w:color="auto" w:sz="4" w:space="0"/>
                    <w:bottom w:val="single" w:color="000000" w:sz="4" w:space="0"/>
                    <w:right w:val="single" w:color="auto" w:sz="4" w:space="0"/>
                  </w:tcBorders>
                  <w:shd w:val="clear" w:color="auto" w:fill="auto"/>
                  <w:vAlign w:val="center"/>
                </w:tcPr>
                <w:p w14:paraId="4E1CAF0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18"/>
                      <w:szCs w:val="18"/>
                      <w:lang w:bidi="ar"/>
                    </w:rPr>
                  </w:pPr>
                </w:p>
              </w:tc>
              <w:tc>
                <w:tcPr>
                  <w:tcW w:w="549" w:type="pct"/>
                  <w:vMerge w:val="continue"/>
                  <w:tcBorders>
                    <w:left w:val="single" w:color="auto" w:sz="4" w:space="0"/>
                    <w:bottom w:val="single" w:color="auto" w:sz="4" w:space="0"/>
                    <w:right w:val="single" w:color="auto" w:sz="4" w:space="0"/>
                  </w:tcBorders>
                  <w:shd w:val="clear" w:color="auto" w:fill="auto"/>
                  <w:vAlign w:val="center"/>
                </w:tcPr>
                <w:p w14:paraId="62FD9BD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18"/>
                      <w:szCs w:val="18"/>
                      <w:lang w:bidi="ar"/>
                    </w:rPr>
                  </w:pPr>
                </w:p>
              </w:tc>
            </w:tr>
            <w:tr w14:paraId="33405FE5">
              <w:tblPrEx>
                <w:tblCellMar>
                  <w:top w:w="0" w:type="dxa"/>
                  <w:left w:w="108" w:type="dxa"/>
                  <w:bottom w:w="0" w:type="dxa"/>
                  <w:right w:w="108" w:type="dxa"/>
                </w:tblCellMar>
              </w:tblPrEx>
              <w:trPr>
                <w:trHeight w:val="340" w:hRule="atLeast"/>
                <w:jc w:val="center"/>
              </w:trPr>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14F75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1</w:t>
                  </w:r>
                </w:p>
              </w:tc>
              <w:tc>
                <w:tcPr>
                  <w:tcW w:w="663" w:type="pct"/>
                  <w:tcBorders>
                    <w:top w:val="single" w:color="auto" w:sz="4" w:space="0"/>
                    <w:left w:val="nil"/>
                    <w:bottom w:val="single" w:color="auto" w:sz="4" w:space="0"/>
                    <w:right w:val="single" w:color="auto" w:sz="4" w:space="0"/>
                  </w:tcBorders>
                  <w:shd w:val="clear" w:color="auto" w:fill="auto"/>
                  <w:vAlign w:val="center"/>
                </w:tcPr>
                <w:p w14:paraId="618E299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0"/>
                      <w:sz w:val="18"/>
                      <w:szCs w:val="18"/>
                      <w:lang w:val="en-US" w:eastAsia="zh-CN" w:bidi="ar"/>
                    </w:rPr>
                    <w:t>新风系统风机</w:t>
                  </w:r>
                </w:p>
              </w:tc>
              <w:tc>
                <w:tcPr>
                  <w:tcW w:w="881" w:type="pct"/>
                  <w:tcBorders>
                    <w:top w:val="single" w:color="auto" w:sz="4" w:space="0"/>
                    <w:left w:val="nil"/>
                    <w:bottom w:val="single" w:color="auto" w:sz="4" w:space="0"/>
                    <w:right w:val="single" w:color="auto" w:sz="4" w:space="0"/>
                  </w:tcBorders>
                  <w:shd w:val="clear" w:color="auto" w:fill="auto"/>
                  <w:vAlign w:val="center"/>
                </w:tcPr>
                <w:p w14:paraId="0FCB799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cs="Times New Roman"/>
                      <w:color w:val="auto"/>
                      <w:kern w:val="0"/>
                      <w:sz w:val="18"/>
                      <w:szCs w:val="18"/>
                      <w:lang w:bidi="ar"/>
                    </w:rPr>
                    <w:t>/</w:t>
                  </w:r>
                </w:p>
              </w:tc>
              <w:tc>
                <w:tcPr>
                  <w:tcW w:w="460" w:type="pct"/>
                  <w:tcBorders>
                    <w:top w:val="single" w:color="auto" w:sz="4" w:space="0"/>
                    <w:left w:val="nil"/>
                    <w:bottom w:val="single" w:color="auto" w:sz="4" w:space="0"/>
                    <w:right w:val="single" w:color="auto" w:sz="4" w:space="0"/>
                  </w:tcBorders>
                  <w:shd w:val="clear" w:color="auto" w:fill="auto"/>
                  <w:vAlign w:val="center"/>
                </w:tcPr>
                <w:p w14:paraId="30AD54B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cs="Times New Roman"/>
                      <w:color w:val="auto"/>
                      <w:kern w:val="0"/>
                      <w:sz w:val="18"/>
                      <w:szCs w:val="18"/>
                      <w:lang w:bidi="ar"/>
                    </w:rPr>
                    <w:t>-12.5</w:t>
                  </w:r>
                </w:p>
              </w:tc>
              <w:tc>
                <w:tcPr>
                  <w:tcW w:w="460" w:type="pct"/>
                  <w:tcBorders>
                    <w:top w:val="single" w:color="auto" w:sz="4" w:space="0"/>
                    <w:left w:val="nil"/>
                    <w:bottom w:val="single" w:color="auto" w:sz="4" w:space="0"/>
                    <w:right w:val="single" w:color="auto" w:sz="4" w:space="0"/>
                  </w:tcBorders>
                  <w:shd w:val="clear" w:color="auto" w:fill="auto"/>
                  <w:vAlign w:val="center"/>
                </w:tcPr>
                <w:p w14:paraId="610F0C7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cs="Times New Roman"/>
                      <w:color w:val="auto"/>
                      <w:kern w:val="0"/>
                      <w:sz w:val="18"/>
                      <w:szCs w:val="18"/>
                      <w:lang w:bidi="ar"/>
                    </w:rPr>
                    <w:t>56</w:t>
                  </w:r>
                </w:p>
              </w:tc>
              <w:tc>
                <w:tcPr>
                  <w:tcW w:w="466" w:type="pct"/>
                  <w:tcBorders>
                    <w:top w:val="single" w:color="auto" w:sz="4" w:space="0"/>
                    <w:left w:val="nil"/>
                    <w:bottom w:val="single" w:color="auto" w:sz="4" w:space="0"/>
                    <w:right w:val="single" w:color="auto" w:sz="4" w:space="0"/>
                  </w:tcBorders>
                  <w:shd w:val="clear" w:color="auto" w:fill="auto"/>
                  <w:vAlign w:val="center"/>
                </w:tcPr>
                <w:p w14:paraId="3B43888B">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color w:val="auto"/>
                      <w:kern w:val="2"/>
                      <w:sz w:val="18"/>
                      <w:szCs w:val="18"/>
                      <w:lang w:val="en-US" w:eastAsia="zh-CN" w:bidi="ar-SA"/>
                    </w:rPr>
                  </w:pPr>
                  <w:r>
                    <w:rPr>
                      <w:rFonts w:hint="eastAsia" w:cs="Times New Roman"/>
                      <w:color w:val="auto"/>
                      <w:kern w:val="0"/>
                      <w:sz w:val="18"/>
                      <w:szCs w:val="18"/>
                      <w:lang w:val="en-US" w:eastAsia="zh-CN" w:bidi="ar"/>
                    </w:rPr>
                    <w:t>1</w:t>
                  </w:r>
                  <w:r>
                    <w:rPr>
                      <w:rFonts w:hint="default" w:cs="Times New Roman"/>
                      <w:color w:val="auto"/>
                      <w:kern w:val="0"/>
                      <w:sz w:val="18"/>
                      <w:szCs w:val="18"/>
                      <w:lang w:bidi="ar"/>
                    </w:rPr>
                    <w:t>.</w:t>
                  </w:r>
                  <w:r>
                    <w:rPr>
                      <w:rFonts w:hint="eastAsia" w:cs="Times New Roman"/>
                      <w:color w:val="auto"/>
                      <w:kern w:val="0"/>
                      <w:sz w:val="18"/>
                      <w:szCs w:val="18"/>
                      <w:lang w:val="en-US" w:eastAsia="zh-CN" w:bidi="ar"/>
                    </w:rPr>
                    <w:t>2</w:t>
                  </w:r>
                </w:p>
              </w:tc>
              <w:tc>
                <w:tcPr>
                  <w:tcW w:w="582" w:type="pct"/>
                  <w:tcBorders>
                    <w:top w:val="single" w:color="auto" w:sz="4" w:space="0"/>
                    <w:left w:val="nil"/>
                    <w:bottom w:val="single" w:color="auto" w:sz="4" w:space="0"/>
                    <w:right w:val="single" w:color="auto" w:sz="4" w:space="0"/>
                  </w:tcBorders>
                  <w:shd w:val="clear" w:color="auto" w:fill="auto"/>
                  <w:vAlign w:val="center"/>
                </w:tcPr>
                <w:p w14:paraId="37E3826D">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color w:val="auto"/>
                      <w:kern w:val="2"/>
                      <w:sz w:val="18"/>
                      <w:szCs w:val="18"/>
                      <w:lang w:val="en-US" w:eastAsia="zh-CN" w:bidi="ar-SA"/>
                    </w:rPr>
                  </w:pPr>
                  <w:r>
                    <w:rPr>
                      <w:rFonts w:hint="default" w:cs="Times New Roman"/>
                      <w:color w:val="auto"/>
                      <w:kern w:val="0"/>
                      <w:sz w:val="18"/>
                      <w:szCs w:val="18"/>
                      <w:lang w:bidi="ar"/>
                    </w:rPr>
                    <w:t>8</w:t>
                  </w:r>
                  <w:r>
                    <w:rPr>
                      <w:rFonts w:hint="eastAsia" w:cs="Times New Roman"/>
                      <w:color w:val="auto"/>
                      <w:kern w:val="0"/>
                      <w:sz w:val="18"/>
                      <w:szCs w:val="18"/>
                      <w:lang w:val="en-US" w:eastAsia="zh-CN" w:bidi="ar"/>
                    </w:rPr>
                    <w:t>5</w:t>
                  </w:r>
                </w:p>
              </w:tc>
              <w:tc>
                <w:tcPr>
                  <w:tcW w:w="541" w:type="pct"/>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7B3EC1A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消声、减振</w:t>
                  </w:r>
                </w:p>
              </w:tc>
              <w:tc>
                <w:tcPr>
                  <w:tcW w:w="54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903B4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昼间</w:t>
                  </w:r>
                </w:p>
              </w:tc>
            </w:tr>
            <w:tr w14:paraId="6909A68D">
              <w:tblPrEx>
                <w:tblCellMar>
                  <w:top w:w="0" w:type="dxa"/>
                  <w:left w:w="108" w:type="dxa"/>
                  <w:bottom w:w="0" w:type="dxa"/>
                  <w:right w:w="108" w:type="dxa"/>
                </w:tblCellMar>
              </w:tblPrEx>
              <w:trPr>
                <w:trHeight w:val="340" w:hRule="atLeast"/>
                <w:jc w:val="center"/>
              </w:trPr>
              <w:tc>
                <w:tcPr>
                  <w:tcW w:w="394" w:type="pct"/>
                  <w:tcBorders>
                    <w:top w:val="nil"/>
                    <w:left w:val="single" w:color="auto" w:sz="4" w:space="0"/>
                    <w:bottom w:val="single" w:color="auto" w:sz="4" w:space="0"/>
                    <w:right w:val="single" w:color="auto" w:sz="4" w:space="0"/>
                  </w:tcBorders>
                  <w:shd w:val="clear" w:color="auto" w:fill="auto"/>
                  <w:noWrap/>
                  <w:vAlign w:val="center"/>
                </w:tcPr>
                <w:p w14:paraId="2FC5EC4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sz w:val="18"/>
                      <w:szCs w:val="18"/>
                    </w:rPr>
                  </w:pPr>
                  <w:r>
                    <w:rPr>
                      <w:rFonts w:hint="default" w:cs="Times New Roman"/>
                      <w:color w:val="auto"/>
                      <w:kern w:val="0"/>
                      <w:sz w:val="18"/>
                      <w:szCs w:val="18"/>
                      <w:lang w:bidi="ar"/>
                    </w:rPr>
                    <w:t>2</w:t>
                  </w:r>
                </w:p>
              </w:tc>
              <w:tc>
                <w:tcPr>
                  <w:tcW w:w="663" w:type="pct"/>
                  <w:tcBorders>
                    <w:top w:val="nil"/>
                    <w:left w:val="nil"/>
                    <w:bottom w:val="single" w:color="auto" w:sz="4" w:space="0"/>
                    <w:right w:val="single" w:color="auto" w:sz="4" w:space="0"/>
                  </w:tcBorders>
                  <w:shd w:val="clear" w:color="auto" w:fill="auto"/>
                  <w:vAlign w:val="center"/>
                </w:tcPr>
                <w:p w14:paraId="5CF50F9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0"/>
                      <w:sz w:val="18"/>
                      <w:szCs w:val="18"/>
                      <w:lang w:val="en-US" w:eastAsia="zh-CN" w:bidi="ar"/>
                    </w:rPr>
                    <w:t>废气处理风机</w:t>
                  </w:r>
                </w:p>
              </w:tc>
              <w:tc>
                <w:tcPr>
                  <w:tcW w:w="881" w:type="pct"/>
                  <w:tcBorders>
                    <w:top w:val="nil"/>
                    <w:left w:val="nil"/>
                    <w:bottom w:val="single" w:color="auto" w:sz="4" w:space="0"/>
                    <w:right w:val="single" w:color="auto" w:sz="4" w:space="0"/>
                  </w:tcBorders>
                  <w:shd w:val="clear" w:color="auto" w:fill="auto"/>
                  <w:vAlign w:val="center"/>
                </w:tcPr>
                <w:p w14:paraId="61E800D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0"/>
                      <w:sz w:val="18"/>
                      <w:szCs w:val="18"/>
                      <w:lang w:val="en-US" w:eastAsia="zh-CN" w:bidi="ar"/>
                    </w:rPr>
                    <w:t>1700</w:t>
                  </w:r>
                  <w:r>
                    <w:rPr>
                      <w:rFonts w:hint="eastAsia" w:cs="Times New Roman"/>
                      <w:color w:val="auto"/>
                      <w:kern w:val="0"/>
                      <w:sz w:val="18"/>
                      <w:szCs w:val="18"/>
                      <w:lang w:bidi="ar"/>
                    </w:rPr>
                    <w:t>m</w:t>
                  </w:r>
                  <w:r>
                    <w:rPr>
                      <w:rFonts w:hint="eastAsia" w:cs="Times New Roman"/>
                      <w:color w:val="auto"/>
                      <w:kern w:val="0"/>
                      <w:sz w:val="18"/>
                      <w:szCs w:val="18"/>
                      <w:vertAlign w:val="superscript"/>
                      <w:lang w:bidi="ar"/>
                    </w:rPr>
                    <w:t>3</w:t>
                  </w:r>
                  <w:r>
                    <w:rPr>
                      <w:rFonts w:hint="eastAsia" w:cs="Times New Roman"/>
                      <w:color w:val="auto"/>
                      <w:kern w:val="0"/>
                      <w:sz w:val="18"/>
                      <w:szCs w:val="18"/>
                      <w:lang w:bidi="ar"/>
                    </w:rPr>
                    <w:t>/h</w:t>
                  </w:r>
                </w:p>
              </w:tc>
              <w:tc>
                <w:tcPr>
                  <w:tcW w:w="460" w:type="pct"/>
                  <w:tcBorders>
                    <w:top w:val="nil"/>
                    <w:left w:val="nil"/>
                    <w:bottom w:val="single" w:color="auto" w:sz="4" w:space="0"/>
                    <w:right w:val="single" w:color="auto" w:sz="4" w:space="0"/>
                  </w:tcBorders>
                  <w:shd w:val="clear" w:color="auto" w:fill="auto"/>
                  <w:vAlign w:val="center"/>
                </w:tcPr>
                <w:p w14:paraId="780077F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cs="Times New Roman"/>
                      <w:color w:val="auto"/>
                      <w:kern w:val="0"/>
                      <w:sz w:val="18"/>
                      <w:szCs w:val="18"/>
                      <w:lang w:bidi="ar"/>
                    </w:rPr>
                    <w:t>-15.2</w:t>
                  </w:r>
                </w:p>
              </w:tc>
              <w:tc>
                <w:tcPr>
                  <w:tcW w:w="460" w:type="pct"/>
                  <w:tcBorders>
                    <w:top w:val="nil"/>
                    <w:left w:val="nil"/>
                    <w:bottom w:val="single" w:color="auto" w:sz="4" w:space="0"/>
                    <w:right w:val="single" w:color="auto" w:sz="4" w:space="0"/>
                  </w:tcBorders>
                  <w:shd w:val="clear" w:color="auto" w:fill="auto"/>
                  <w:vAlign w:val="center"/>
                </w:tcPr>
                <w:p w14:paraId="0E1C0EC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18"/>
                      <w:szCs w:val="18"/>
                      <w:lang w:val="en-US" w:eastAsia="zh-CN" w:bidi="ar-SA"/>
                    </w:rPr>
                  </w:pPr>
                  <w:r>
                    <w:rPr>
                      <w:rFonts w:hint="default" w:cs="Times New Roman"/>
                      <w:color w:val="auto"/>
                      <w:kern w:val="0"/>
                      <w:sz w:val="18"/>
                      <w:szCs w:val="18"/>
                      <w:lang w:bidi="ar"/>
                    </w:rPr>
                    <w:t>55.8</w:t>
                  </w:r>
                </w:p>
              </w:tc>
              <w:tc>
                <w:tcPr>
                  <w:tcW w:w="466" w:type="pct"/>
                  <w:tcBorders>
                    <w:top w:val="nil"/>
                    <w:left w:val="nil"/>
                    <w:bottom w:val="single" w:color="auto" w:sz="4" w:space="0"/>
                    <w:right w:val="single" w:color="auto" w:sz="4" w:space="0"/>
                  </w:tcBorders>
                  <w:shd w:val="clear" w:color="auto" w:fill="auto"/>
                  <w:vAlign w:val="center"/>
                </w:tcPr>
                <w:p w14:paraId="0290544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0"/>
                      <w:sz w:val="18"/>
                      <w:szCs w:val="18"/>
                      <w:lang w:val="en-US" w:eastAsia="zh-CN" w:bidi="ar"/>
                    </w:rPr>
                    <w:t>19</w:t>
                  </w:r>
                  <w:r>
                    <w:rPr>
                      <w:rFonts w:hint="default" w:cs="Times New Roman"/>
                      <w:color w:val="auto"/>
                      <w:kern w:val="0"/>
                      <w:sz w:val="18"/>
                      <w:szCs w:val="18"/>
                      <w:lang w:bidi="ar"/>
                    </w:rPr>
                    <w:t>.1</w:t>
                  </w:r>
                </w:p>
              </w:tc>
              <w:tc>
                <w:tcPr>
                  <w:tcW w:w="582" w:type="pct"/>
                  <w:tcBorders>
                    <w:top w:val="nil"/>
                    <w:left w:val="nil"/>
                    <w:bottom w:val="single" w:color="auto" w:sz="4" w:space="0"/>
                    <w:right w:val="single" w:color="auto" w:sz="4" w:space="0"/>
                  </w:tcBorders>
                  <w:shd w:val="clear" w:color="auto" w:fill="auto"/>
                  <w:vAlign w:val="center"/>
                </w:tcPr>
                <w:p w14:paraId="544CCE72">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color w:val="auto"/>
                      <w:kern w:val="2"/>
                      <w:sz w:val="18"/>
                      <w:szCs w:val="18"/>
                      <w:lang w:val="en-US" w:eastAsia="zh-CN" w:bidi="ar-SA"/>
                    </w:rPr>
                  </w:pPr>
                  <w:r>
                    <w:rPr>
                      <w:rFonts w:hint="default" w:cs="Times New Roman"/>
                      <w:color w:val="auto"/>
                      <w:kern w:val="0"/>
                      <w:sz w:val="18"/>
                      <w:szCs w:val="18"/>
                      <w:lang w:bidi="ar"/>
                    </w:rPr>
                    <w:t>8</w:t>
                  </w:r>
                  <w:r>
                    <w:rPr>
                      <w:rFonts w:hint="eastAsia" w:cs="Times New Roman"/>
                      <w:color w:val="auto"/>
                      <w:kern w:val="0"/>
                      <w:sz w:val="18"/>
                      <w:szCs w:val="18"/>
                      <w:lang w:val="en-US" w:eastAsia="zh-CN" w:bidi="ar"/>
                    </w:rPr>
                    <w:t>5</w:t>
                  </w:r>
                </w:p>
              </w:tc>
              <w:tc>
                <w:tcPr>
                  <w:tcW w:w="541" w:type="pct"/>
                  <w:vMerge w:val="continue"/>
                  <w:tcBorders>
                    <w:top w:val="single" w:color="auto" w:sz="4" w:space="0"/>
                    <w:left w:val="single" w:color="auto" w:sz="4" w:space="0"/>
                    <w:bottom w:val="single" w:color="000000" w:sz="4" w:space="0"/>
                    <w:right w:val="single" w:color="auto" w:sz="4" w:space="0"/>
                  </w:tcBorders>
                  <w:shd w:val="clear" w:color="auto" w:fill="auto"/>
                  <w:vAlign w:val="center"/>
                </w:tcPr>
                <w:p w14:paraId="71728C6F">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18"/>
                      <w:szCs w:val="18"/>
                    </w:rPr>
                  </w:pPr>
                </w:p>
              </w:tc>
              <w:tc>
                <w:tcPr>
                  <w:tcW w:w="54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E0717A7">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auto"/>
                      <w:sz w:val="18"/>
                      <w:szCs w:val="18"/>
                    </w:rPr>
                  </w:pPr>
                </w:p>
              </w:tc>
            </w:tr>
          </w:tbl>
          <w:p w14:paraId="4533EDD3">
            <w:pPr>
              <w:pStyle w:val="2"/>
              <w:keepNext w:val="0"/>
              <w:keepLines w:val="0"/>
              <w:suppressLineNumbers w:val="0"/>
              <w:spacing w:before="0" w:beforeAutospacing="0" w:after="0" w:afterAutospacing="0"/>
              <w:ind w:left="0" w:right="0" w:firstLine="0" w:firstLineChars="0"/>
              <w:rPr>
                <w:rFonts w:hint="default" w:eastAsia="黑体" w:cs="Times New Roman"/>
                <w:color w:val="auto"/>
                <w:szCs w:val="24"/>
              </w:rPr>
            </w:pPr>
          </w:p>
        </w:tc>
      </w:tr>
    </w:tbl>
    <w:p w14:paraId="16DABCB8">
      <w:pPr>
        <w:pStyle w:val="2"/>
        <w:ind w:firstLine="0" w:firstLineChars="0"/>
        <w:sectPr>
          <w:pgSz w:w="23811" w:h="16838" w:orient="landscape"/>
          <w:pgMar w:top="1803" w:right="1440" w:bottom="1803" w:left="1440" w:header="851" w:footer="992" w:gutter="0"/>
          <w:cols w:space="0" w:num="1"/>
          <w:docGrid w:type="lines"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7962"/>
      </w:tblGrid>
      <w:tr w14:paraId="045BD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0" w:type="dxa"/>
          </w:tcPr>
          <w:p w14:paraId="238C585B">
            <w:pPr>
              <w:pStyle w:val="2"/>
              <w:keepNext w:val="0"/>
              <w:keepLines w:val="0"/>
              <w:suppressLineNumbers w:val="0"/>
              <w:spacing w:before="0" w:beforeAutospacing="0" w:after="0" w:afterAutospacing="0"/>
              <w:ind w:left="0" w:right="0" w:firstLine="480"/>
              <w:rPr>
                <w:rFonts w:hint="default"/>
                <w:color w:val="auto"/>
              </w:rPr>
            </w:pPr>
          </w:p>
        </w:tc>
        <w:tc>
          <w:tcPr>
            <w:tcW w:w="7962" w:type="dxa"/>
          </w:tcPr>
          <w:p w14:paraId="3AC7ED7E">
            <w:pPr>
              <w:keepNext w:val="0"/>
              <w:keepLines w:val="0"/>
              <w:suppressLineNumbers w:val="0"/>
              <w:bidi w:val="0"/>
              <w:spacing w:before="0" w:beforeAutospacing="0" w:after="0" w:afterAutospacing="0"/>
              <w:ind w:left="0" w:right="0"/>
              <w:rPr>
                <w:rFonts w:hint="default"/>
                <w:color w:val="auto"/>
              </w:rPr>
            </w:pPr>
            <w:r>
              <w:rPr>
                <w:rFonts w:hint="eastAsia"/>
                <w:color w:val="auto"/>
              </w:rPr>
              <w:t>2、预测方法与结果</w:t>
            </w:r>
          </w:p>
          <w:p w14:paraId="38E45DD6">
            <w:pPr>
              <w:keepNext w:val="0"/>
              <w:keepLines w:val="0"/>
              <w:suppressLineNumbers w:val="0"/>
              <w:bidi w:val="0"/>
              <w:spacing w:before="0" w:beforeAutospacing="0" w:after="0" w:afterAutospacing="0"/>
              <w:ind w:left="0" w:right="0"/>
              <w:rPr>
                <w:rFonts w:hint="default" w:eastAsia="宋体"/>
                <w:color w:val="auto"/>
                <w:lang w:val="en-US" w:eastAsia="zh-CN"/>
              </w:rPr>
            </w:pPr>
            <w:r>
              <w:rPr>
                <w:rFonts w:hint="default"/>
                <w:color w:val="auto"/>
              </w:rPr>
              <w:t>本环评按《环境影响评价技术导则 声环境》（HJ2.4-2021）噪声导则推荐的预测模式，噪声衰减因素中考虑了几何发散、空气吸收、地面吸收和屏障衰减等的影响。输入相关声源、敏感点以及周边建筑物、屏障、地面等数据后</w:t>
            </w:r>
            <w:r>
              <w:rPr>
                <w:rFonts w:hint="eastAsia"/>
                <w:color w:val="auto"/>
              </w:rPr>
              <w:t>进行预测</w:t>
            </w:r>
            <w:r>
              <w:rPr>
                <w:rFonts w:hint="default"/>
                <w:color w:val="auto"/>
              </w:rPr>
              <w:t>。</w:t>
            </w:r>
          </w:p>
          <w:p w14:paraId="652AE460">
            <w:pPr>
              <w:keepNext w:val="0"/>
              <w:keepLines w:val="0"/>
              <w:suppressLineNumbers w:val="0"/>
              <w:bidi w:val="0"/>
              <w:spacing w:before="0" w:beforeAutospacing="0" w:after="0" w:afterAutospacing="0"/>
              <w:ind w:left="0" w:right="0"/>
              <w:rPr>
                <w:rFonts w:hint="default"/>
                <w:color w:val="auto"/>
              </w:rPr>
            </w:pPr>
            <w:r>
              <w:rPr>
                <w:rFonts w:hint="default"/>
                <w:color w:val="auto"/>
              </w:rPr>
              <w:t>本</w:t>
            </w:r>
            <w:r>
              <w:rPr>
                <w:rFonts w:hint="eastAsia"/>
                <w:color w:val="auto"/>
              </w:rPr>
              <w:t>次</w:t>
            </w:r>
            <w:r>
              <w:rPr>
                <w:rFonts w:hint="default"/>
                <w:color w:val="auto"/>
              </w:rPr>
              <w:t>预测经厂房隔声、距离衰减及采取降噪措施后，各噪声源对各厂界的影响预测结果见表4-1</w:t>
            </w:r>
            <w:r>
              <w:rPr>
                <w:rFonts w:hint="eastAsia"/>
                <w:color w:val="auto"/>
                <w:lang w:val="en-US" w:eastAsia="zh-CN"/>
              </w:rPr>
              <w:t>0</w:t>
            </w:r>
            <w:r>
              <w:rPr>
                <w:rFonts w:hint="eastAsia"/>
                <w:color w:val="auto"/>
              </w:rPr>
              <w:t>。</w:t>
            </w:r>
          </w:p>
          <w:p w14:paraId="655778A8">
            <w:pPr>
              <w:pStyle w:val="2"/>
              <w:keepNext w:val="0"/>
              <w:keepLines w:val="0"/>
              <w:suppressLineNumbers w:val="0"/>
              <w:spacing w:before="0" w:beforeAutospacing="0" w:after="0" w:afterAutospacing="0"/>
              <w:ind w:left="0" w:right="0" w:firstLine="0" w:firstLineChars="0"/>
              <w:jc w:val="center"/>
              <w:rPr>
                <w:rFonts w:hint="default" w:eastAsia="黑体" w:cs="Times New Roman"/>
                <w:color w:val="auto"/>
                <w:szCs w:val="24"/>
              </w:rPr>
            </w:pPr>
            <w:r>
              <w:rPr>
                <w:rFonts w:hint="default" w:eastAsia="黑体" w:cs="Times New Roman"/>
                <w:color w:val="auto"/>
                <w:szCs w:val="24"/>
              </w:rPr>
              <w:t>表4-</w:t>
            </w:r>
            <w:r>
              <w:rPr>
                <w:rFonts w:hint="eastAsia" w:eastAsia="黑体" w:cs="Times New Roman"/>
                <w:color w:val="auto"/>
                <w:szCs w:val="24"/>
              </w:rPr>
              <w:t>1</w:t>
            </w:r>
            <w:r>
              <w:rPr>
                <w:rFonts w:hint="eastAsia" w:eastAsia="黑体" w:cs="Times New Roman"/>
                <w:color w:val="auto"/>
                <w:szCs w:val="24"/>
                <w:lang w:val="en-US" w:eastAsia="zh-CN"/>
              </w:rPr>
              <w:t>0</w:t>
            </w:r>
            <w:r>
              <w:rPr>
                <w:rFonts w:hint="eastAsia" w:eastAsia="黑体" w:cs="Times New Roman"/>
                <w:color w:val="auto"/>
                <w:szCs w:val="24"/>
              </w:rPr>
              <w:t xml:space="preserve"> </w:t>
            </w:r>
            <w:r>
              <w:rPr>
                <w:rFonts w:hint="default" w:eastAsia="黑体" w:cs="Times New Roman"/>
                <w:color w:val="auto"/>
                <w:szCs w:val="24"/>
              </w:rPr>
              <w:t xml:space="preserve"> </w:t>
            </w:r>
            <w:r>
              <w:rPr>
                <w:rFonts w:hint="eastAsia" w:eastAsia="黑体" w:cs="Times New Roman"/>
                <w:color w:val="auto"/>
                <w:szCs w:val="24"/>
              </w:rPr>
              <w:t>厂界声环境影响预测结果  单位：dB（A）</w:t>
            </w:r>
          </w:p>
          <w:tbl>
            <w:tblPr>
              <w:tblStyle w:val="16"/>
              <w:tblW w:w="7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8"/>
              <w:gridCol w:w="1807"/>
              <w:gridCol w:w="1804"/>
              <w:gridCol w:w="1480"/>
            </w:tblGrid>
            <w:tr w14:paraId="082FC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9" w:type="pct"/>
                  <w:vMerge w:val="restart"/>
                  <w:shd w:val="clear" w:color="auto" w:fill="auto"/>
                  <w:vAlign w:val="center"/>
                </w:tcPr>
                <w:p w14:paraId="5F63F2DC">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预测点位</w:t>
                  </w:r>
                </w:p>
              </w:tc>
              <w:tc>
                <w:tcPr>
                  <w:tcW w:w="1164" w:type="pct"/>
                  <w:shd w:val="clear" w:color="auto" w:fill="auto"/>
                  <w:vAlign w:val="center"/>
                </w:tcPr>
                <w:p w14:paraId="25BA666C">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预测值</w:t>
                  </w:r>
                </w:p>
              </w:tc>
              <w:tc>
                <w:tcPr>
                  <w:tcW w:w="1162" w:type="pct"/>
                  <w:shd w:val="clear" w:color="auto" w:fill="auto"/>
                  <w:vAlign w:val="center"/>
                </w:tcPr>
                <w:p w14:paraId="3A9FFD8C">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标准值</w:t>
                  </w:r>
                </w:p>
              </w:tc>
              <w:tc>
                <w:tcPr>
                  <w:tcW w:w="953" w:type="pct"/>
                  <w:vMerge w:val="restart"/>
                  <w:shd w:val="clear" w:color="auto" w:fill="auto"/>
                  <w:vAlign w:val="center"/>
                </w:tcPr>
                <w:p w14:paraId="0AFD1301">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达标情况</w:t>
                  </w:r>
                </w:p>
              </w:tc>
            </w:tr>
            <w:tr w14:paraId="4DEA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9" w:type="pct"/>
                  <w:vMerge w:val="continue"/>
                  <w:shd w:val="clear" w:color="auto" w:fill="auto"/>
                  <w:vAlign w:val="center"/>
                </w:tcPr>
                <w:p w14:paraId="6E1D2BE6">
                  <w:pPr>
                    <w:keepNext w:val="0"/>
                    <w:keepLines w:val="0"/>
                    <w:widowControl/>
                    <w:suppressLineNumbers w:val="0"/>
                    <w:spacing w:before="0" w:beforeAutospacing="0" w:after="0" w:afterAutospacing="0" w:line="240" w:lineRule="auto"/>
                    <w:ind w:left="0" w:right="0" w:firstLine="0" w:firstLineChars="0"/>
                    <w:jc w:val="center"/>
                    <w:rPr>
                      <w:rFonts w:hint="eastAsia" w:ascii="宋体" w:hAnsi="宋体" w:cs="宋体"/>
                      <w:color w:val="auto"/>
                      <w:sz w:val="18"/>
                      <w:szCs w:val="18"/>
                    </w:rPr>
                  </w:pPr>
                </w:p>
              </w:tc>
              <w:tc>
                <w:tcPr>
                  <w:tcW w:w="1164" w:type="pct"/>
                  <w:shd w:val="clear" w:color="auto" w:fill="auto"/>
                  <w:vAlign w:val="center"/>
                </w:tcPr>
                <w:p w14:paraId="23780CA3">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昼间</w:t>
                  </w:r>
                </w:p>
              </w:tc>
              <w:tc>
                <w:tcPr>
                  <w:tcW w:w="1162" w:type="pct"/>
                  <w:shd w:val="clear" w:color="auto" w:fill="auto"/>
                  <w:vAlign w:val="center"/>
                </w:tcPr>
                <w:p w14:paraId="003A8147">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昼间</w:t>
                  </w:r>
                </w:p>
              </w:tc>
              <w:tc>
                <w:tcPr>
                  <w:tcW w:w="953" w:type="pct"/>
                  <w:vMerge w:val="continue"/>
                  <w:shd w:val="clear" w:color="auto" w:fill="auto"/>
                  <w:vAlign w:val="center"/>
                </w:tcPr>
                <w:p w14:paraId="6AE001C4">
                  <w:pPr>
                    <w:keepNext w:val="0"/>
                    <w:keepLines w:val="0"/>
                    <w:widowControl/>
                    <w:suppressLineNumbers w:val="0"/>
                    <w:spacing w:before="0" w:beforeAutospacing="0" w:after="0" w:afterAutospacing="0" w:line="240" w:lineRule="auto"/>
                    <w:ind w:left="0" w:right="0" w:firstLine="0" w:firstLineChars="0"/>
                    <w:jc w:val="center"/>
                    <w:rPr>
                      <w:rFonts w:hint="eastAsia" w:ascii="宋体" w:hAnsi="宋体" w:cs="宋体"/>
                      <w:color w:val="auto"/>
                      <w:sz w:val="18"/>
                      <w:szCs w:val="18"/>
                    </w:rPr>
                  </w:pPr>
                </w:p>
              </w:tc>
            </w:tr>
            <w:tr w14:paraId="6E6E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719" w:type="pct"/>
                  <w:shd w:val="clear" w:color="auto" w:fill="auto"/>
                  <w:vAlign w:val="center"/>
                </w:tcPr>
                <w:p w14:paraId="0B2B49F0">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东厂界</w:t>
                  </w:r>
                </w:p>
              </w:tc>
              <w:tc>
                <w:tcPr>
                  <w:tcW w:w="1164" w:type="pct"/>
                  <w:shd w:val="clear" w:color="auto" w:fill="auto"/>
                  <w:vAlign w:val="center"/>
                </w:tcPr>
                <w:p w14:paraId="792AF7C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等线" w:cs="Times New Roman"/>
                      <w:color w:val="auto"/>
                      <w:sz w:val="18"/>
                      <w:szCs w:val="18"/>
                    </w:rPr>
                  </w:pPr>
                  <w:r>
                    <w:rPr>
                      <w:rFonts w:hint="default" w:eastAsia="等线" w:cs="Times New Roman"/>
                      <w:color w:val="auto"/>
                      <w:kern w:val="0"/>
                      <w:sz w:val="18"/>
                      <w:szCs w:val="18"/>
                      <w:lang w:bidi="ar"/>
                    </w:rPr>
                    <w:t>5</w:t>
                  </w:r>
                  <w:r>
                    <w:rPr>
                      <w:rFonts w:hint="eastAsia" w:eastAsia="等线" w:cs="Times New Roman"/>
                      <w:color w:val="auto"/>
                      <w:kern w:val="0"/>
                      <w:sz w:val="18"/>
                      <w:szCs w:val="18"/>
                      <w:lang w:val="en-US" w:eastAsia="zh-CN" w:bidi="ar"/>
                    </w:rPr>
                    <w:t>4</w:t>
                  </w:r>
                  <w:r>
                    <w:rPr>
                      <w:rFonts w:hint="default" w:eastAsia="等线" w:cs="Times New Roman"/>
                      <w:color w:val="auto"/>
                      <w:kern w:val="0"/>
                      <w:sz w:val="18"/>
                      <w:szCs w:val="18"/>
                      <w:lang w:bidi="ar"/>
                    </w:rPr>
                    <w:t>.87</w:t>
                  </w:r>
                </w:p>
              </w:tc>
              <w:tc>
                <w:tcPr>
                  <w:tcW w:w="1162" w:type="pct"/>
                  <w:vMerge w:val="restart"/>
                  <w:shd w:val="clear" w:color="auto" w:fill="auto"/>
                  <w:vAlign w:val="center"/>
                </w:tcPr>
                <w:p w14:paraId="478B3BE1">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eastAsia="等线" w:cs="Times New Roman"/>
                      <w:color w:val="auto"/>
                      <w:sz w:val="18"/>
                      <w:szCs w:val="18"/>
                      <w:lang w:eastAsia="zh-CN"/>
                    </w:rPr>
                  </w:pPr>
                  <w:r>
                    <w:rPr>
                      <w:rFonts w:hint="default" w:eastAsia="等线" w:cs="Times New Roman"/>
                      <w:color w:val="auto"/>
                      <w:kern w:val="0"/>
                      <w:sz w:val="18"/>
                      <w:szCs w:val="18"/>
                      <w:lang w:bidi="ar"/>
                    </w:rPr>
                    <w:t>6</w:t>
                  </w:r>
                  <w:r>
                    <w:rPr>
                      <w:rFonts w:hint="eastAsia" w:eastAsia="等线" w:cs="Times New Roman"/>
                      <w:color w:val="auto"/>
                      <w:kern w:val="0"/>
                      <w:sz w:val="18"/>
                      <w:szCs w:val="18"/>
                      <w:lang w:val="en-US" w:eastAsia="zh-CN" w:bidi="ar"/>
                    </w:rPr>
                    <w:t>0</w:t>
                  </w:r>
                </w:p>
              </w:tc>
              <w:tc>
                <w:tcPr>
                  <w:tcW w:w="953" w:type="pct"/>
                  <w:shd w:val="clear" w:color="auto" w:fill="auto"/>
                  <w:vAlign w:val="center"/>
                </w:tcPr>
                <w:p w14:paraId="2EA7B021">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达标</w:t>
                  </w:r>
                </w:p>
              </w:tc>
            </w:tr>
            <w:tr w14:paraId="53572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9" w:type="pct"/>
                  <w:shd w:val="clear" w:color="auto" w:fill="auto"/>
                  <w:vAlign w:val="center"/>
                </w:tcPr>
                <w:p w14:paraId="2C2DE7BE">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西厂界</w:t>
                  </w:r>
                </w:p>
              </w:tc>
              <w:tc>
                <w:tcPr>
                  <w:tcW w:w="1164" w:type="pct"/>
                  <w:shd w:val="clear" w:color="auto" w:fill="auto"/>
                  <w:vAlign w:val="center"/>
                </w:tcPr>
                <w:p w14:paraId="0DFC9DA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等线" w:cs="Times New Roman"/>
                      <w:color w:val="auto"/>
                      <w:sz w:val="18"/>
                      <w:szCs w:val="18"/>
                    </w:rPr>
                  </w:pPr>
                  <w:r>
                    <w:rPr>
                      <w:rFonts w:hint="default" w:eastAsia="等线" w:cs="Times New Roman"/>
                      <w:color w:val="auto"/>
                      <w:kern w:val="0"/>
                      <w:sz w:val="18"/>
                      <w:szCs w:val="18"/>
                      <w:lang w:bidi="ar"/>
                    </w:rPr>
                    <w:t>5</w:t>
                  </w:r>
                  <w:r>
                    <w:rPr>
                      <w:rFonts w:hint="eastAsia" w:eastAsia="等线" w:cs="Times New Roman"/>
                      <w:color w:val="auto"/>
                      <w:kern w:val="0"/>
                      <w:sz w:val="18"/>
                      <w:szCs w:val="18"/>
                      <w:lang w:val="en-US" w:eastAsia="zh-CN" w:bidi="ar"/>
                    </w:rPr>
                    <w:t>2</w:t>
                  </w:r>
                  <w:r>
                    <w:rPr>
                      <w:rFonts w:hint="default" w:eastAsia="等线" w:cs="Times New Roman"/>
                      <w:color w:val="auto"/>
                      <w:kern w:val="0"/>
                      <w:sz w:val="18"/>
                      <w:szCs w:val="18"/>
                      <w:lang w:bidi="ar"/>
                    </w:rPr>
                    <w:t>.83</w:t>
                  </w:r>
                </w:p>
              </w:tc>
              <w:tc>
                <w:tcPr>
                  <w:tcW w:w="1162" w:type="pct"/>
                  <w:vMerge w:val="continue"/>
                  <w:shd w:val="clear" w:color="auto" w:fill="auto"/>
                  <w:vAlign w:val="center"/>
                </w:tcPr>
                <w:p w14:paraId="0FCD2759">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color w:val="auto"/>
                      <w:sz w:val="18"/>
                      <w:szCs w:val="18"/>
                    </w:rPr>
                  </w:pPr>
                </w:p>
              </w:tc>
              <w:tc>
                <w:tcPr>
                  <w:tcW w:w="953" w:type="pct"/>
                  <w:shd w:val="clear" w:color="auto" w:fill="auto"/>
                  <w:vAlign w:val="center"/>
                </w:tcPr>
                <w:p w14:paraId="2742D16B">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达标</w:t>
                  </w:r>
                </w:p>
              </w:tc>
            </w:tr>
            <w:tr w14:paraId="13594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9" w:type="pct"/>
                  <w:shd w:val="clear" w:color="auto" w:fill="auto"/>
                  <w:vAlign w:val="center"/>
                </w:tcPr>
                <w:p w14:paraId="72F87D2F">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北厂界</w:t>
                  </w:r>
                </w:p>
              </w:tc>
              <w:tc>
                <w:tcPr>
                  <w:tcW w:w="1164" w:type="pct"/>
                  <w:shd w:val="clear" w:color="auto" w:fill="auto"/>
                  <w:vAlign w:val="center"/>
                </w:tcPr>
                <w:p w14:paraId="16560D7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等线" w:cs="Times New Roman"/>
                      <w:color w:val="auto"/>
                      <w:sz w:val="18"/>
                      <w:szCs w:val="18"/>
                    </w:rPr>
                  </w:pPr>
                  <w:r>
                    <w:rPr>
                      <w:rFonts w:hint="default" w:eastAsia="等线" w:cs="Times New Roman"/>
                      <w:color w:val="auto"/>
                      <w:kern w:val="0"/>
                      <w:sz w:val="18"/>
                      <w:szCs w:val="18"/>
                      <w:lang w:bidi="ar"/>
                    </w:rPr>
                    <w:t>5</w:t>
                  </w:r>
                  <w:r>
                    <w:rPr>
                      <w:rFonts w:hint="eastAsia" w:eastAsia="等线" w:cs="Times New Roman"/>
                      <w:color w:val="auto"/>
                      <w:kern w:val="0"/>
                      <w:sz w:val="18"/>
                      <w:szCs w:val="18"/>
                      <w:lang w:val="en-US" w:eastAsia="zh-CN" w:bidi="ar"/>
                    </w:rPr>
                    <w:t>1</w:t>
                  </w:r>
                  <w:r>
                    <w:rPr>
                      <w:rFonts w:hint="default" w:eastAsia="等线" w:cs="Times New Roman"/>
                      <w:color w:val="auto"/>
                      <w:kern w:val="0"/>
                      <w:sz w:val="18"/>
                      <w:szCs w:val="18"/>
                      <w:lang w:bidi="ar"/>
                    </w:rPr>
                    <w:t>.21</w:t>
                  </w:r>
                </w:p>
              </w:tc>
              <w:tc>
                <w:tcPr>
                  <w:tcW w:w="1162" w:type="pct"/>
                  <w:vMerge w:val="continue"/>
                  <w:shd w:val="clear" w:color="auto" w:fill="auto"/>
                  <w:vAlign w:val="center"/>
                </w:tcPr>
                <w:p w14:paraId="7A53D578">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color w:val="auto"/>
                      <w:sz w:val="18"/>
                      <w:szCs w:val="18"/>
                    </w:rPr>
                  </w:pPr>
                </w:p>
              </w:tc>
              <w:tc>
                <w:tcPr>
                  <w:tcW w:w="953" w:type="pct"/>
                  <w:shd w:val="clear" w:color="auto" w:fill="auto"/>
                  <w:vAlign w:val="center"/>
                </w:tcPr>
                <w:p w14:paraId="6473ECAF">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sz w:val="18"/>
                      <w:szCs w:val="18"/>
                    </w:rPr>
                  </w:pPr>
                  <w:r>
                    <w:rPr>
                      <w:rFonts w:hint="eastAsia" w:ascii="宋体" w:hAnsi="宋体" w:cs="宋体"/>
                      <w:color w:val="auto"/>
                      <w:kern w:val="0"/>
                      <w:sz w:val="18"/>
                      <w:szCs w:val="18"/>
                      <w:lang w:bidi="ar"/>
                    </w:rPr>
                    <w:t>达标</w:t>
                  </w:r>
                </w:p>
              </w:tc>
            </w:tr>
            <w:tr w14:paraId="4259A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9" w:type="pct"/>
                  <w:shd w:val="clear" w:color="auto" w:fill="auto"/>
                  <w:vAlign w:val="center"/>
                </w:tcPr>
                <w:p w14:paraId="43D6DD42">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南厂界</w:t>
                  </w:r>
                </w:p>
              </w:tc>
              <w:tc>
                <w:tcPr>
                  <w:tcW w:w="1164" w:type="pct"/>
                  <w:shd w:val="clear" w:color="auto" w:fill="auto"/>
                  <w:vAlign w:val="center"/>
                </w:tcPr>
                <w:p w14:paraId="1421625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等线" w:cs="Times New Roman"/>
                      <w:color w:val="auto"/>
                      <w:kern w:val="0"/>
                      <w:sz w:val="18"/>
                      <w:szCs w:val="18"/>
                      <w:lang w:bidi="ar"/>
                    </w:rPr>
                  </w:pPr>
                  <w:r>
                    <w:rPr>
                      <w:rFonts w:hint="eastAsia" w:eastAsia="等线" w:cs="Times New Roman"/>
                      <w:color w:val="auto"/>
                      <w:kern w:val="0"/>
                      <w:sz w:val="18"/>
                      <w:szCs w:val="18"/>
                      <w:lang w:bidi="ar"/>
                    </w:rPr>
                    <w:t>5</w:t>
                  </w:r>
                  <w:r>
                    <w:rPr>
                      <w:rFonts w:hint="eastAsia" w:eastAsia="等线" w:cs="Times New Roman"/>
                      <w:color w:val="auto"/>
                      <w:kern w:val="0"/>
                      <w:sz w:val="18"/>
                      <w:szCs w:val="18"/>
                      <w:lang w:val="en-US" w:eastAsia="zh-CN" w:bidi="ar"/>
                    </w:rPr>
                    <w:t>4</w:t>
                  </w:r>
                  <w:r>
                    <w:rPr>
                      <w:rFonts w:hint="eastAsia" w:eastAsia="等线" w:cs="Times New Roman"/>
                      <w:color w:val="auto"/>
                      <w:kern w:val="0"/>
                      <w:sz w:val="18"/>
                      <w:szCs w:val="18"/>
                      <w:lang w:bidi="ar"/>
                    </w:rPr>
                    <w:t>.15</w:t>
                  </w:r>
                </w:p>
              </w:tc>
              <w:tc>
                <w:tcPr>
                  <w:tcW w:w="1162" w:type="pct"/>
                  <w:vMerge w:val="continue"/>
                  <w:shd w:val="clear" w:color="auto" w:fill="auto"/>
                  <w:vAlign w:val="center"/>
                </w:tcPr>
                <w:p w14:paraId="1B688B20">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color w:val="auto"/>
                      <w:sz w:val="18"/>
                      <w:szCs w:val="18"/>
                    </w:rPr>
                  </w:pPr>
                </w:p>
              </w:tc>
              <w:tc>
                <w:tcPr>
                  <w:tcW w:w="953" w:type="pct"/>
                  <w:shd w:val="clear" w:color="auto" w:fill="auto"/>
                  <w:vAlign w:val="center"/>
                </w:tcPr>
                <w:p w14:paraId="4A0A556D">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宋体" w:hAnsi="宋体" w:cs="宋体"/>
                      <w:color w:val="auto"/>
                      <w:kern w:val="0"/>
                      <w:sz w:val="18"/>
                      <w:szCs w:val="18"/>
                      <w:lang w:bidi="ar"/>
                    </w:rPr>
                  </w:pPr>
                  <w:r>
                    <w:rPr>
                      <w:rFonts w:hint="eastAsia" w:ascii="宋体" w:hAnsi="宋体" w:cs="宋体"/>
                      <w:color w:val="auto"/>
                      <w:kern w:val="0"/>
                      <w:sz w:val="18"/>
                      <w:szCs w:val="18"/>
                      <w:lang w:bidi="ar"/>
                    </w:rPr>
                    <w:t>达标</w:t>
                  </w:r>
                </w:p>
              </w:tc>
            </w:tr>
          </w:tbl>
          <w:p w14:paraId="7539280E">
            <w:pPr>
              <w:pStyle w:val="2"/>
              <w:keepNext w:val="0"/>
              <w:keepLines w:val="0"/>
              <w:suppressLineNumbers w:val="0"/>
              <w:spacing w:before="0" w:beforeAutospacing="0" w:after="0" w:afterAutospacing="0" w:line="240" w:lineRule="auto"/>
              <w:ind w:left="0" w:right="0" w:firstLine="0" w:firstLineChars="0"/>
              <w:rPr>
                <w:rFonts w:hint="default" w:eastAsia="黑体" w:cs="Times New Roman"/>
                <w:color w:val="auto"/>
                <w:sz w:val="18"/>
                <w:szCs w:val="18"/>
              </w:rPr>
            </w:pPr>
          </w:p>
          <w:p w14:paraId="371A2BCD">
            <w:pPr>
              <w:pStyle w:val="2"/>
              <w:keepNext w:val="0"/>
              <w:keepLines w:val="0"/>
              <w:suppressLineNumbers w:val="0"/>
              <w:spacing w:before="0" w:beforeAutospacing="0" w:after="0" w:afterAutospacing="0"/>
              <w:ind w:left="0" w:right="0" w:firstLine="480"/>
              <w:rPr>
                <w:rFonts w:hint="default"/>
                <w:color w:val="auto"/>
              </w:rPr>
            </w:pPr>
            <w:r>
              <w:rPr>
                <w:rFonts w:hint="default"/>
                <w:color w:val="auto"/>
              </w:rPr>
              <w:t>由预测结果可知，经过</w:t>
            </w:r>
            <w:r>
              <w:rPr>
                <w:rFonts w:hint="eastAsia"/>
                <w:color w:val="auto"/>
              </w:rPr>
              <w:t>隔声、减振</w:t>
            </w:r>
            <w:r>
              <w:rPr>
                <w:rFonts w:hint="default"/>
                <w:color w:val="auto"/>
              </w:rPr>
              <w:t>和障碍物的衰减作用，项目四周厂界噪声能够满足《工业企业厂界环境噪声排放标准》中</w:t>
            </w:r>
            <w:r>
              <w:rPr>
                <w:rFonts w:hint="eastAsia"/>
                <w:color w:val="auto"/>
                <w:lang w:val="en-US" w:eastAsia="zh-CN"/>
              </w:rPr>
              <w:t>2</w:t>
            </w:r>
            <w:r>
              <w:rPr>
                <w:rFonts w:hint="default"/>
                <w:color w:val="auto"/>
              </w:rPr>
              <w:t>类标准要求。</w:t>
            </w:r>
          </w:p>
          <w:p w14:paraId="646478BC">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四、固体废物</w:t>
            </w:r>
          </w:p>
          <w:p w14:paraId="2BE855E6">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(1) 固体废物产生及处置情况</w:t>
            </w:r>
          </w:p>
          <w:p w14:paraId="4D14CA20">
            <w:pPr>
              <w:pStyle w:val="2"/>
              <w:keepNext w:val="0"/>
              <w:keepLines w:val="0"/>
              <w:suppressLineNumbers w:val="0"/>
              <w:spacing w:before="0" w:beforeAutospacing="0" w:after="0" w:afterAutospacing="0"/>
              <w:ind w:left="0" w:right="0" w:firstLine="480"/>
              <w:rPr>
                <w:rFonts w:hint="default"/>
                <w:color w:val="auto"/>
              </w:rPr>
            </w:pPr>
            <w:r>
              <w:rPr>
                <w:rFonts w:hint="default"/>
                <w:color w:val="auto"/>
              </w:rPr>
              <w:t>本项目产生的固废主要为实验室废液</w:t>
            </w:r>
            <w:r>
              <w:rPr>
                <w:rFonts w:hint="eastAsia"/>
                <w:color w:val="auto"/>
                <w:lang w:eastAsia="zh-CN"/>
              </w:rPr>
              <w:t>、</w:t>
            </w:r>
            <w:r>
              <w:rPr>
                <w:rFonts w:hint="default"/>
                <w:color w:val="auto"/>
              </w:rPr>
              <w:t>废原料包装物</w:t>
            </w:r>
            <w:r>
              <w:rPr>
                <w:rFonts w:hint="eastAsia"/>
                <w:color w:val="auto"/>
                <w:lang w:eastAsia="zh-CN"/>
              </w:rPr>
              <w:t>、</w:t>
            </w:r>
            <w:r>
              <w:rPr>
                <w:rFonts w:hint="default"/>
                <w:color w:val="auto"/>
              </w:rPr>
              <w:t>废气处理活性炭</w:t>
            </w:r>
            <w:r>
              <w:rPr>
                <w:rFonts w:hint="eastAsia"/>
                <w:color w:val="auto"/>
                <w:lang w:val="en-US" w:eastAsia="zh-CN"/>
              </w:rPr>
              <w:t>等</w:t>
            </w:r>
            <w:r>
              <w:rPr>
                <w:rFonts w:hint="default"/>
                <w:color w:val="auto"/>
              </w:rPr>
              <w:t>。</w:t>
            </w:r>
          </w:p>
          <w:p w14:paraId="54A451AD">
            <w:pPr>
              <w:pStyle w:val="2"/>
              <w:keepNext w:val="0"/>
              <w:keepLines w:val="0"/>
              <w:suppressLineNumbers w:val="0"/>
              <w:spacing w:before="0" w:beforeAutospacing="0" w:after="0" w:afterAutospacing="0"/>
              <w:ind w:left="0" w:right="0" w:firstLine="480"/>
              <w:rPr>
                <w:rFonts w:hint="eastAsia" w:eastAsia="宋体"/>
                <w:color w:val="auto"/>
                <w:lang w:val="en-US" w:eastAsia="zh-CN"/>
              </w:rPr>
            </w:pPr>
            <w:r>
              <w:rPr>
                <w:rFonts w:hint="default"/>
                <w:color w:val="auto"/>
              </w:rPr>
              <w:t>①</w:t>
            </w:r>
            <w:r>
              <w:rPr>
                <w:rFonts w:hint="eastAsia"/>
                <w:color w:val="auto"/>
                <w:lang w:val="en-US" w:eastAsia="zh-CN"/>
              </w:rPr>
              <w:t>不合格品</w:t>
            </w:r>
          </w:p>
          <w:p w14:paraId="16EFF943">
            <w:pPr>
              <w:pStyle w:val="2"/>
              <w:keepNext w:val="0"/>
              <w:keepLines w:val="0"/>
              <w:suppressLineNumbers w:val="0"/>
              <w:spacing w:before="0" w:beforeAutospacing="0" w:after="0" w:afterAutospacing="0"/>
              <w:ind w:left="0" w:right="0" w:firstLine="480"/>
              <w:rPr>
                <w:rFonts w:hint="default"/>
                <w:color w:val="auto"/>
              </w:rPr>
            </w:pPr>
            <w:r>
              <w:rPr>
                <w:rFonts w:hint="eastAsia"/>
                <w:color w:val="auto"/>
                <w:lang w:val="en-US" w:eastAsia="zh-CN"/>
              </w:rPr>
              <w:t>本项目不合格品为废胶囊，根据建设单位设计方案，本项目不合格品产生量约为0.001t/a，暂存于厂区危废间，委托有资质单位进行处置</w:t>
            </w:r>
            <w:r>
              <w:rPr>
                <w:rFonts w:hint="default"/>
                <w:color w:val="auto"/>
              </w:rPr>
              <w:t>。</w:t>
            </w:r>
          </w:p>
          <w:p w14:paraId="475EA036">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default"/>
                <w:color w:val="auto"/>
              </w:rPr>
              <w:t>②</w:t>
            </w:r>
            <w:r>
              <w:rPr>
                <w:rFonts w:hint="eastAsia"/>
                <w:color w:val="auto"/>
                <w:lang w:val="en-US" w:eastAsia="zh-CN"/>
              </w:rPr>
              <w:t>实验室废物</w:t>
            </w:r>
          </w:p>
          <w:p w14:paraId="6B65DE70">
            <w:pPr>
              <w:pStyle w:val="2"/>
              <w:keepNext w:val="0"/>
              <w:keepLines w:val="0"/>
              <w:suppressLineNumbers w:val="0"/>
              <w:spacing w:before="0" w:beforeAutospacing="0" w:after="0" w:afterAutospacing="0"/>
              <w:ind w:left="0" w:right="0" w:firstLine="480"/>
              <w:rPr>
                <w:rFonts w:hint="default"/>
                <w:color w:val="auto"/>
                <w:lang w:val="en-US"/>
              </w:rPr>
            </w:pPr>
            <w:r>
              <w:rPr>
                <w:rFonts w:hint="default"/>
                <w:color w:val="auto"/>
              </w:rPr>
              <w:t>本项目</w:t>
            </w:r>
            <w:r>
              <w:rPr>
                <w:rFonts w:hint="eastAsia"/>
                <w:color w:val="auto"/>
                <w:lang w:val="en-US" w:eastAsia="zh-CN"/>
              </w:rPr>
              <w:t>包括实验室检测过程中产生的废劳保用品（手套、抹布、废实验服）、废试剂、废器皿、废一次性离心管、废一次性移液枪头等，收集后交由有资质的单位回收处置。产生量约2t/a，收集后交由有资质的单位回收处置。以上实验室废物可能含有生物活性物质，高温灭菌后交由有资质的单位回收处置。</w:t>
            </w:r>
          </w:p>
          <w:p w14:paraId="711721E9">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default"/>
                <w:color w:val="auto"/>
              </w:rPr>
              <w:t>③</w:t>
            </w:r>
            <w:r>
              <w:rPr>
                <w:rFonts w:hint="eastAsia"/>
                <w:color w:val="auto"/>
                <w:lang w:val="en-US" w:eastAsia="zh-CN"/>
              </w:rPr>
              <w:t>实验室废液</w:t>
            </w:r>
          </w:p>
          <w:p w14:paraId="1836C9B1">
            <w:pPr>
              <w:pStyle w:val="2"/>
              <w:keepNext w:val="0"/>
              <w:keepLines w:val="0"/>
              <w:suppressLineNumbers w:val="0"/>
              <w:spacing w:before="0" w:beforeAutospacing="0" w:after="0" w:afterAutospacing="0"/>
              <w:ind w:left="0" w:right="0" w:firstLine="480"/>
              <w:rPr>
                <w:rFonts w:hint="default"/>
                <w:color w:val="auto"/>
              </w:rPr>
            </w:pPr>
            <w:r>
              <w:rPr>
                <w:rFonts w:hint="eastAsia"/>
                <w:color w:val="auto"/>
                <w:lang w:val="en-US" w:eastAsia="zh-CN"/>
              </w:rPr>
              <w:t>经类比现有工程实际运行数据，</w:t>
            </w:r>
            <w:r>
              <w:rPr>
                <w:rFonts w:hint="default"/>
                <w:color w:val="auto"/>
              </w:rPr>
              <w:t>本项目项目实验、检测过程产生的废液等合计约</w:t>
            </w:r>
            <w:r>
              <w:rPr>
                <w:rFonts w:hint="eastAsia"/>
                <w:color w:val="auto"/>
                <w:lang w:val="en-US" w:eastAsia="zh-CN"/>
              </w:rPr>
              <w:t>7.94</w:t>
            </w:r>
            <w:r>
              <w:rPr>
                <w:rFonts w:hint="default"/>
                <w:color w:val="auto"/>
              </w:rPr>
              <w:t>t/a，属危险废物，灭活灭菌后交由有资质的单位回收处置。</w:t>
            </w:r>
          </w:p>
          <w:p w14:paraId="11F31BCF">
            <w:pPr>
              <w:pStyle w:val="2"/>
              <w:keepNext w:val="0"/>
              <w:keepLines w:val="0"/>
              <w:suppressLineNumbers w:val="0"/>
              <w:spacing w:before="0" w:beforeAutospacing="0" w:after="0" w:afterAutospacing="0"/>
              <w:ind w:left="0" w:right="0" w:firstLine="480"/>
              <w:rPr>
                <w:rFonts w:hint="eastAsia"/>
                <w:color w:val="auto"/>
                <w:lang w:val="en-US" w:eastAsia="zh-CN"/>
              </w:rPr>
            </w:pPr>
            <w:r>
              <w:rPr>
                <w:rFonts w:hint="eastAsia"/>
                <w:color w:val="auto"/>
              </w:rPr>
              <w:t>④</w:t>
            </w:r>
            <w:r>
              <w:rPr>
                <w:rFonts w:hint="eastAsia"/>
                <w:color w:val="auto"/>
                <w:lang w:val="en-US" w:eastAsia="zh-CN"/>
              </w:rPr>
              <w:t>废一次性耗材</w:t>
            </w:r>
          </w:p>
          <w:p w14:paraId="10744999">
            <w:pPr>
              <w:pStyle w:val="2"/>
              <w:keepNext w:val="0"/>
              <w:keepLines w:val="0"/>
              <w:suppressLineNumbers w:val="0"/>
              <w:spacing w:before="0" w:beforeAutospacing="0" w:after="0" w:afterAutospacing="0"/>
              <w:ind w:left="0" w:right="0" w:firstLine="480"/>
              <w:rPr>
                <w:rFonts w:hint="default"/>
                <w:color w:val="auto"/>
                <w:lang w:val="en-US" w:eastAsia="zh-CN"/>
              </w:rPr>
            </w:pPr>
            <w:r>
              <w:rPr>
                <w:rFonts w:hint="eastAsia"/>
                <w:color w:val="auto"/>
                <w:lang w:val="en-US" w:eastAsia="zh-CN"/>
              </w:rPr>
              <w:t>根据建设单位提供数据，用于粪便包装、过滤的一次性耗材，产生量约为0.5t/a，属于HW01医疗废物，危废代码为841-001-01，</w:t>
            </w:r>
            <w:r>
              <w:rPr>
                <w:rFonts w:hint="default"/>
                <w:color w:val="auto"/>
              </w:rPr>
              <w:t>收集后交由有资质的单位回收处置。</w:t>
            </w:r>
          </w:p>
          <w:p w14:paraId="11A9D6DC">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eastAsia"/>
                <w:color w:val="auto"/>
              </w:rPr>
              <w:t>⑤</w:t>
            </w:r>
            <w:r>
              <w:rPr>
                <w:rFonts w:hint="eastAsia"/>
                <w:color w:val="auto"/>
                <w:lang w:val="en-US" w:eastAsia="zh-CN"/>
              </w:rPr>
              <w:t>废原料包装物</w:t>
            </w:r>
          </w:p>
          <w:p w14:paraId="17ACF301">
            <w:pPr>
              <w:pStyle w:val="2"/>
              <w:keepNext w:val="0"/>
              <w:keepLines w:val="0"/>
              <w:suppressLineNumbers w:val="0"/>
              <w:spacing w:before="0" w:beforeAutospacing="0" w:after="0" w:afterAutospacing="0"/>
              <w:ind w:left="0" w:right="0" w:firstLine="480"/>
              <w:rPr>
                <w:rFonts w:hint="default"/>
                <w:color w:val="auto"/>
              </w:rPr>
            </w:pPr>
            <w:r>
              <w:rPr>
                <w:rFonts w:hint="default"/>
                <w:color w:val="auto"/>
              </w:rPr>
              <w:t>经类比现有工程实际运行数据，本项目各类试剂的包装物，产生量约为0.05t/a，</w:t>
            </w:r>
            <w:r>
              <w:rPr>
                <w:rFonts w:hint="eastAsia"/>
                <w:color w:val="auto"/>
                <w:lang w:val="en-US" w:eastAsia="zh-CN"/>
              </w:rPr>
              <w:t>属于危废，</w:t>
            </w:r>
            <w:r>
              <w:rPr>
                <w:rFonts w:hint="default"/>
                <w:color w:val="auto"/>
              </w:rPr>
              <w:t>收集后交由有资质的单位回收处置。</w:t>
            </w:r>
          </w:p>
          <w:p w14:paraId="20ED55C9">
            <w:pPr>
              <w:pStyle w:val="2"/>
              <w:keepNext w:val="0"/>
              <w:keepLines w:val="0"/>
              <w:suppressLineNumbers w:val="0"/>
              <w:spacing w:before="0" w:beforeAutospacing="0" w:after="0" w:afterAutospacing="0"/>
              <w:ind w:left="0" w:right="0" w:firstLine="480"/>
              <w:rPr>
                <w:rFonts w:hint="eastAsia" w:eastAsia="宋体"/>
                <w:color w:val="auto"/>
                <w:lang w:val="en-US" w:eastAsia="zh-CN"/>
              </w:rPr>
            </w:pPr>
            <w:r>
              <w:rPr>
                <w:rFonts w:hint="eastAsia"/>
                <w:color w:val="auto"/>
              </w:rPr>
              <w:t>⑥</w:t>
            </w:r>
            <w:r>
              <w:rPr>
                <w:rFonts w:hint="eastAsia"/>
                <w:color w:val="auto"/>
                <w:lang w:val="en-US" w:eastAsia="zh-CN"/>
              </w:rPr>
              <w:t>废活性炭</w:t>
            </w:r>
          </w:p>
          <w:p w14:paraId="219DAD5B">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本项目</w:t>
            </w:r>
            <w:r>
              <w:rPr>
                <w:rFonts w:hint="eastAsia"/>
                <w:color w:val="auto"/>
                <w:lang w:val="en-US" w:eastAsia="zh-CN"/>
              </w:rPr>
              <w:t>废活性炭分为废气处理产生和纯水制备产生的废活性炭。根据《杭州市生态环境局关于加快VOCs治理活性炭吸附设施升级改造工作的通知》中相关规定，本项目废气处理活性炭最低装填量为0.5t/次，考虑实际废气量较微，本项目活性炭更换频次按照每3个月/次，则废气处理废活性炭产生量约为2t/a。属于危废，</w:t>
            </w:r>
            <w:r>
              <w:rPr>
                <w:rFonts w:hint="default"/>
                <w:color w:val="auto"/>
              </w:rPr>
              <w:t>收集后交由有资质的单位回收处置。</w:t>
            </w:r>
          </w:p>
          <w:p w14:paraId="5D305BA6">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eastAsia"/>
                <w:color w:val="auto"/>
              </w:rPr>
              <w:t>⑦</w:t>
            </w:r>
            <w:r>
              <w:rPr>
                <w:rFonts w:hint="eastAsia"/>
                <w:color w:val="auto"/>
                <w:lang w:val="en-US" w:eastAsia="zh-CN"/>
              </w:rPr>
              <w:t>废样本(粪便)</w:t>
            </w:r>
          </w:p>
          <w:p w14:paraId="0862B65A">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default"/>
                <w:color w:val="auto"/>
              </w:rPr>
              <w:t>本项目</w:t>
            </w:r>
            <w:r>
              <w:rPr>
                <w:rFonts w:hint="eastAsia"/>
                <w:color w:val="auto"/>
                <w:lang w:val="en-US" w:eastAsia="zh-CN"/>
              </w:rPr>
              <w:t>样本采集完毕后，会产生多余粪便</w:t>
            </w:r>
            <w:r>
              <w:rPr>
                <w:rFonts w:hint="default"/>
                <w:color w:val="auto"/>
              </w:rPr>
              <w:t>，</w:t>
            </w:r>
            <w:r>
              <w:rPr>
                <w:rFonts w:hint="eastAsia"/>
                <w:color w:val="auto"/>
                <w:lang w:val="en-US" w:eastAsia="zh-CN"/>
              </w:rPr>
              <w:t>粪便</w:t>
            </w:r>
            <w:r>
              <w:rPr>
                <w:rFonts w:hint="default"/>
                <w:color w:val="auto"/>
              </w:rPr>
              <w:t>产生量约为0.0</w:t>
            </w:r>
            <w:r>
              <w:rPr>
                <w:rFonts w:hint="eastAsia"/>
                <w:color w:val="auto"/>
                <w:lang w:val="en-US" w:eastAsia="zh-CN"/>
              </w:rPr>
              <w:t>5</w:t>
            </w:r>
            <w:r>
              <w:rPr>
                <w:rFonts w:hint="default"/>
                <w:color w:val="auto"/>
              </w:rPr>
              <w:t>t/a。</w:t>
            </w:r>
            <w:r>
              <w:rPr>
                <w:rFonts w:hint="eastAsia"/>
                <w:color w:val="auto"/>
                <w:lang w:val="en-US" w:eastAsia="zh-CN"/>
              </w:rPr>
              <w:t>属于HW01医疗废物，危废代码为841-001-01，</w:t>
            </w:r>
            <w:r>
              <w:rPr>
                <w:rFonts w:hint="default"/>
                <w:color w:val="auto"/>
              </w:rPr>
              <w:t>收集后交由有资质的单位回收处置。</w:t>
            </w:r>
          </w:p>
          <w:p w14:paraId="7A9F8C5F">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eastAsia"/>
                <w:color w:val="auto"/>
              </w:rPr>
              <w:t>⑧</w:t>
            </w:r>
            <w:r>
              <w:rPr>
                <w:rFonts w:hint="eastAsia"/>
                <w:color w:val="auto"/>
                <w:lang w:val="en-US" w:eastAsia="zh-CN"/>
              </w:rPr>
              <w:t>废过滤介质</w:t>
            </w:r>
          </w:p>
          <w:p w14:paraId="37562E20">
            <w:pPr>
              <w:pStyle w:val="2"/>
              <w:keepNext w:val="0"/>
              <w:keepLines w:val="0"/>
              <w:suppressLineNumbers w:val="0"/>
              <w:spacing w:before="0" w:beforeAutospacing="0" w:after="0" w:afterAutospacing="0"/>
              <w:ind w:left="0" w:right="0" w:firstLine="480"/>
              <w:rPr>
                <w:rFonts w:hint="default"/>
                <w:color w:val="auto"/>
              </w:rPr>
            </w:pPr>
            <w:r>
              <w:rPr>
                <w:rFonts w:hint="default"/>
                <w:color w:val="auto"/>
              </w:rPr>
              <w:t>本项目</w:t>
            </w:r>
            <w:r>
              <w:rPr>
                <w:rFonts w:hint="eastAsia"/>
                <w:color w:val="auto"/>
                <w:lang w:val="en-US" w:eastAsia="zh-CN"/>
              </w:rPr>
              <w:t>生物安全柜自带高效过滤器，过滤装置产生的废滤料（无纺布及玻璃纤维），废水处理产生的废滤料均属于危险废物，</w:t>
            </w:r>
            <w:r>
              <w:rPr>
                <w:rFonts w:hint="default"/>
                <w:color w:val="auto"/>
              </w:rPr>
              <w:t>经类比现有工程实际运行数据，</w:t>
            </w:r>
            <w:r>
              <w:rPr>
                <w:rFonts w:hint="eastAsia"/>
                <w:color w:val="auto"/>
                <w:lang w:val="en-US" w:eastAsia="zh-CN"/>
              </w:rPr>
              <w:t>本项目废过滤介质产生量约为0.1t/a，属于危险废物，</w:t>
            </w:r>
            <w:r>
              <w:rPr>
                <w:rFonts w:hint="default"/>
                <w:color w:val="auto"/>
              </w:rPr>
              <w:t>收集后交由有资质的单位回收处置。</w:t>
            </w:r>
          </w:p>
          <w:p w14:paraId="15D3D620">
            <w:pPr>
              <w:pStyle w:val="2"/>
              <w:keepNext w:val="0"/>
              <w:keepLines w:val="0"/>
              <w:suppressLineNumbers w:val="0"/>
              <w:spacing w:before="0" w:beforeAutospacing="0" w:after="0" w:afterAutospacing="0"/>
              <w:ind w:left="0" w:right="0" w:firstLine="480"/>
              <w:rPr>
                <w:rFonts w:hint="default" w:eastAsia="宋体"/>
                <w:color w:val="auto"/>
                <w:lang w:val="en-US" w:eastAsia="zh-CN"/>
              </w:rPr>
            </w:pPr>
            <w:r>
              <w:rPr>
                <w:rFonts w:hint="eastAsia"/>
                <w:color w:val="auto"/>
              </w:rPr>
              <w:t>⑨</w:t>
            </w:r>
            <w:r>
              <w:rPr>
                <w:rFonts w:hint="eastAsia"/>
                <w:color w:val="auto"/>
                <w:lang w:val="en-US" w:eastAsia="zh-CN"/>
              </w:rPr>
              <w:t>一般包装废物</w:t>
            </w:r>
          </w:p>
          <w:p w14:paraId="17685AF6">
            <w:pPr>
              <w:pStyle w:val="2"/>
              <w:keepNext w:val="0"/>
              <w:keepLines w:val="0"/>
              <w:suppressLineNumbers w:val="0"/>
              <w:spacing w:before="0" w:beforeAutospacing="0" w:after="0" w:afterAutospacing="0"/>
              <w:ind w:left="0" w:right="0" w:firstLine="480"/>
              <w:rPr>
                <w:rFonts w:hint="default"/>
                <w:color w:val="auto"/>
              </w:rPr>
            </w:pPr>
            <w:r>
              <w:rPr>
                <w:rFonts w:hint="eastAsia"/>
                <w:color w:val="auto"/>
              </w:rPr>
              <w:t>各种原料外包装拆包过程会产生一定的纸箱、塑料袋等一般包装固废，量较少，根据建设单位提供的相关数据，其产生量约0.</w:t>
            </w:r>
            <w:r>
              <w:rPr>
                <w:rFonts w:hint="eastAsia"/>
                <w:color w:val="auto"/>
                <w:lang w:val="en-US" w:eastAsia="zh-CN"/>
              </w:rPr>
              <w:t>5</w:t>
            </w:r>
            <w:r>
              <w:rPr>
                <w:rFonts w:hint="eastAsia"/>
                <w:color w:val="auto"/>
              </w:rPr>
              <w:t>t/a，妥善收集后出售给物资回收公司。</w:t>
            </w:r>
          </w:p>
          <w:p w14:paraId="6CB1858E">
            <w:pPr>
              <w:pStyle w:val="2"/>
              <w:keepNext w:val="0"/>
              <w:keepLines w:val="0"/>
              <w:suppressLineNumbers w:val="0"/>
              <w:spacing w:before="0" w:beforeAutospacing="0" w:after="0" w:afterAutospacing="0"/>
              <w:ind w:left="0" w:right="0" w:firstLine="480"/>
              <w:rPr>
                <w:rFonts w:hint="eastAsia"/>
                <w:color w:val="auto"/>
                <w:lang w:val="en-US" w:eastAsia="zh-CN"/>
              </w:rPr>
            </w:pPr>
            <w:r>
              <w:rPr>
                <w:rFonts w:hint="eastAsia"/>
                <w:color w:val="auto"/>
              </w:rPr>
              <w:t>⑩</w:t>
            </w:r>
            <w:r>
              <w:rPr>
                <w:rFonts w:hint="eastAsia"/>
                <w:color w:val="auto"/>
                <w:lang w:val="en-US" w:eastAsia="zh-CN"/>
              </w:rPr>
              <w:t>废灯管</w:t>
            </w:r>
          </w:p>
          <w:p w14:paraId="54BBFB1C">
            <w:pPr>
              <w:pStyle w:val="2"/>
              <w:keepNext w:val="0"/>
              <w:keepLines w:val="0"/>
              <w:suppressLineNumbers w:val="0"/>
              <w:spacing w:before="0" w:beforeAutospacing="0" w:after="0" w:afterAutospacing="0"/>
              <w:ind w:left="0" w:right="0" w:firstLine="480"/>
              <w:rPr>
                <w:rFonts w:hint="default"/>
                <w:color w:val="auto"/>
                <w:lang w:val="en-US" w:eastAsia="zh-CN"/>
              </w:rPr>
            </w:pPr>
            <w:r>
              <w:rPr>
                <w:rFonts w:hint="eastAsia"/>
                <w:color w:val="auto"/>
                <w:lang w:val="en-US" w:eastAsia="zh-CN"/>
              </w:rPr>
              <w:t>本项目部分器皿灭菌采用紫外线消毒，使用过程会产生废灯管，类比同类型企业，本项目废灯管产生量约为0.01t/a，属于危险废物，</w:t>
            </w:r>
            <w:r>
              <w:rPr>
                <w:rFonts w:hint="default"/>
                <w:color w:val="auto"/>
              </w:rPr>
              <w:t>收集后交由有资质的单位回收处置。</w:t>
            </w:r>
          </w:p>
          <w:p w14:paraId="0C33729A">
            <w:pPr>
              <w:pStyle w:val="2"/>
              <w:keepNext w:val="0"/>
              <w:keepLines w:val="0"/>
              <w:suppressLineNumbers w:val="0"/>
              <w:spacing w:before="0" w:beforeAutospacing="0" w:after="0" w:afterAutospacing="0"/>
              <w:ind w:left="0" w:right="0" w:firstLine="480"/>
              <w:rPr>
                <w:rFonts w:hint="default" w:ascii="Times New Roman" w:hAnsi="Times New Roman" w:cs="Times New Roman"/>
                <w:color w:val="auto"/>
              </w:rPr>
            </w:pPr>
            <w:r>
              <w:rPr>
                <w:rFonts w:hint="default" w:ascii="Times New Roman" w:hAnsi="Times New Roman" w:cs="Times New Roman"/>
                <w:color w:val="auto"/>
              </w:rPr>
              <w:t>⑪生活垃圾</w:t>
            </w:r>
          </w:p>
          <w:p w14:paraId="2E8295E5">
            <w:pPr>
              <w:pStyle w:val="2"/>
              <w:keepNext w:val="0"/>
              <w:keepLines w:val="0"/>
              <w:suppressLineNumbers w:val="0"/>
              <w:spacing w:before="0" w:beforeAutospacing="0" w:after="0" w:afterAutospacing="0"/>
              <w:ind w:left="0" w:right="0" w:firstLine="480"/>
              <w:rPr>
                <w:rFonts w:hint="default"/>
                <w:color w:val="auto"/>
              </w:rPr>
            </w:pPr>
            <w:r>
              <w:rPr>
                <w:rFonts w:hint="default"/>
                <w:color w:val="auto"/>
              </w:rPr>
              <w:t>本项目劳动定员</w:t>
            </w:r>
            <w:r>
              <w:rPr>
                <w:rFonts w:hint="eastAsia"/>
                <w:color w:val="auto"/>
                <w:lang w:val="en-US" w:eastAsia="zh-CN"/>
              </w:rPr>
              <w:t>20</w:t>
            </w:r>
            <w:r>
              <w:rPr>
                <w:rFonts w:hint="default"/>
                <w:color w:val="auto"/>
              </w:rPr>
              <w:t>人，生活垃圾按0.5kg/人</w:t>
            </w:r>
            <w:r>
              <w:rPr>
                <w:rFonts w:hint="eastAsia"/>
                <w:color w:val="auto"/>
              </w:rPr>
              <w:t>·</w:t>
            </w:r>
            <w:r>
              <w:rPr>
                <w:rFonts w:hint="default"/>
                <w:color w:val="auto"/>
              </w:rPr>
              <w:t>天计，则项目生活垃圾产生量约为</w:t>
            </w:r>
            <w:r>
              <w:rPr>
                <w:rFonts w:hint="eastAsia"/>
                <w:color w:val="auto"/>
                <w:lang w:val="en-US" w:eastAsia="zh-CN"/>
              </w:rPr>
              <w:t>2.5</w:t>
            </w:r>
            <w:r>
              <w:rPr>
                <w:rFonts w:hint="default"/>
                <w:color w:val="auto"/>
              </w:rPr>
              <w:t>t/a。生活垃圾分类收集后由环卫部门清运处理。</w:t>
            </w:r>
          </w:p>
          <w:p w14:paraId="1E97A6BC">
            <w:pPr>
              <w:pStyle w:val="2"/>
              <w:keepNext w:val="0"/>
              <w:keepLines w:val="0"/>
              <w:suppressLineNumbers w:val="0"/>
              <w:spacing w:before="0" w:beforeAutospacing="0" w:after="0" w:afterAutospacing="0"/>
              <w:ind w:left="0" w:leftChars="0" w:right="0" w:firstLine="0" w:firstLineChars="0"/>
              <w:jc w:val="center"/>
              <w:rPr>
                <w:rFonts w:hint="default" w:eastAsia="黑体"/>
                <w:color w:val="auto"/>
                <w:lang w:val="en-US" w:eastAsia="zh-CN"/>
              </w:rPr>
            </w:pPr>
            <w:r>
              <w:rPr>
                <w:rFonts w:hint="default" w:eastAsia="黑体" w:cs="Times New Roman"/>
                <w:color w:val="auto"/>
                <w:szCs w:val="24"/>
              </w:rPr>
              <w:t>表4-</w:t>
            </w:r>
            <w:r>
              <w:rPr>
                <w:rFonts w:hint="eastAsia" w:eastAsia="黑体" w:cs="Times New Roman"/>
                <w:color w:val="auto"/>
                <w:szCs w:val="24"/>
              </w:rPr>
              <w:t>1</w:t>
            </w:r>
            <w:r>
              <w:rPr>
                <w:rFonts w:hint="eastAsia" w:eastAsia="黑体" w:cs="Times New Roman"/>
                <w:color w:val="auto"/>
                <w:szCs w:val="24"/>
                <w:lang w:val="en-US" w:eastAsia="zh-CN"/>
              </w:rPr>
              <w:t>1</w:t>
            </w:r>
            <w:r>
              <w:rPr>
                <w:rFonts w:hint="eastAsia" w:eastAsia="黑体" w:cs="Times New Roman"/>
                <w:color w:val="auto"/>
                <w:szCs w:val="24"/>
              </w:rPr>
              <w:t xml:space="preserve"> </w:t>
            </w:r>
            <w:r>
              <w:rPr>
                <w:rFonts w:hint="default" w:eastAsia="黑体" w:cs="Times New Roman"/>
                <w:color w:val="auto"/>
                <w:szCs w:val="24"/>
              </w:rPr>
              <w:t xml:space="preserve"> </w:t>
            </w:r>
            <w:r>
              <w:rPr>
                <w:rFonts w:hint="eastAsia" w:eastAsia="黑体" w:cs="Times New Roman"/>
                <w:color w:val="auto"/>
                <w:szCs w:val="24"/>
                <w:lang w:val="en-US" w:eastAsia="zh-CN"/>
              </w:rPr>
              <w:t>固体废物属性判定一览表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20"/>
              <w:gridCol w:w="1358"/>
              <w:gridCol w:w="1133"/>
              <w:gridCol w:w="816"/>
              <w:gridCol w:w="2033"/>
              <w:gridCol w:w="893"/>
              <w:gridCol w:w="983"/>
            </w:tblGrid>
            <w:tr w14:paraId="1CF2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6" w:type="pct"/>
                  <w:shd w:val="clear" w:color="auto" w:fill="auto"/>
                  <w:noWrap w:val="0"/>
                  <w:vAlign w:val="center"/>
                </w:tcPr>
                <w:p w14:paraId="5694AF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contextualSpacing/>
                    <w:jc w:val="center"/>
                    <w:textAlignment w:val="auto"/>
                    <w:rPr>
                      <w:rFonts w:hint="default"/>
                      <w:color w:val="auto"/>
                      <w:kern w:val="0"/>
                      <w:sz w:val="18"/>
                      <w:szCs w:val="18"/>
                    </w:rPr>
                  </w:pPr>
                  <w:r>
                    <w:rPr>
                      <w:rFonts w:hint="default"/>
                      <w:color w:val="auto"/>
                      <w:kern w:val="0"/>
                      <w:sz w:val="18"/>
                      <w:szCs w:val="18"/>
                    </w:rPr>
                    <w:t>序号</w:t>
                  </w:r>
                </w:p>
              </w:tc>
              <w:tc>
                <w:tcPr>
                  <w:tcW w:w="877" w:type="pct"/>
                  <w:shd w:val="clear" w:color="auto" w:fill="auto"/>
                  <w:noWrap w:val="0"/>
                  <w:vAlign w:val="center"/>
                </w:tcPr>
                <w:p w14:paraId="4A3247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contextualSpacing/>
                    <w:jc w:val="center"/>
                    <w:textAlignment w:val="auto"/>
                    <w:rPr>
                      <w:rFonts w:hint="default"/>
                      <w:color w:val="auto"/>
                      <w:kern w:val="0"/>
                      <w:sz w:val="18"/>
                      <w:szCs w:val="18"/>
                    </w:rPr>
                  </w:pPr>
                  <w:r>
                    <w:rPr>
                      <w:rFonts w:hint="default"/>
                      <w:color w:val="auto"/>
                      <w:kern w:val="0"/>
                      <w:sz w:val="18"/>
                      <w:szCs w:val="18"/>
                    </w:rPr>
                    <w:t>副产物名称</w:t>
                  </w:r>
                </w:p>
              </w:tc>
              <w:tc>
                <w:tcPr>
                  <w:tcW w:w="732" w:type="pct"/>
                  <w:shd w:val="clear" w:color="auto" w:fill="auto"/>
                  <w:noWrap w:val="0"/>
                  <w:vAlign w:val="center"/>
                </w:tcPr>
                <w:p w14:paraId="7D47A6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contextualSpacing/>
                    <w:jc w:val="center"/>
                    <w:textAlignment w:val="auto"/>
                    <w:rPr>
                      <w:rFonts w:hint="default"/>
                      <w:color w:val="auto"/>
                      <w:kern w:val="0"/>
                      <w:sz w:val="18"/>
                      <w:szCs w:val="18"/>
                    </w:rPr>
                  </w:pPr>
                  <w:r>
                    <w:rPr>
                      <w:rFonts w:hint="default"/>
                      <w:color w:val="auto"/>
                      <w:kern w:val="0"/>
                      <w:sz w:val="18"/>
                      <w:szCs w:val="18"/>
                    </w:rPr>
                    <w:t>产生工序</w:t>
                  </w:r>
                </w:p>
              </w:tc>
              <w:tc>
                <w:tcPr>
                  <w:tcW w:w="527" w:type="pct"/>
                  <w:shd w:val="clear" w:color="auto" w:fill="auto"/>
                  <w:noWrap w:val="0"/>
                  <w:vAlign w:val="center"/>
                </w:tcPr>
                <w:p w14:paraId="05E889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contextualSpacing/>
                    <w:jc w:val="center"/>
                    <w:textAlignment w:val="auto"/>
                    <w:rPr>
                      <w:rFonts w:hint="default"/>
                      <w:color w:val="auto"/>
                      <w:kern w:val="0"/>
                      <w:sz w:val="18"/>
                      <w:szCs w:val="18"/>
                    </w:rPr>
                  </w:pPr>
                  <w:r>
                    <w:rPr>
                      <w:rFonts w:hint="default"/>
                      <w:color w:val="auto"/>
                      <w:kern w:val="0"/>
                      <w:sz w:val="18"/>
                      <w:szCs w:val="18"/>
                    </w:rPr>
                    <w:t>形态</w:t>
                  </w:r>
                </w:p>
              </w:tc>
              <w:tc>
                <w:tcPr>
                  <w:tcW w:w="1313" w:type="pct"/>
                  <w:shd w:val="clear" w:color="auto" w:fill="auto"/>
                  <w:noWrap w:val="0"/>
                  <w:vAlign w:val="center"/>
                </w:tcPr>
                <w:p w14:paraId="13224E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contextualSpacing/>
                    <w:jc w:val="center"/>
                    <w:textAlignment w:val="auto"/>
                    <w:rPr>
                      <w:rFonts w:hint="default"/>
                      <w:color w:val="auto"/>
                      <w:kern w:val="0"/>
                      <w:sz w:val="18"/>
                      <w:szCs w:val="18"/>
                    </w:rPr>
                  </w:pPr>
                  <w:r>
                    <w:rPr>
                      <w:rFonts w:hint="default"/>
                      <w:color w:val="auto"/>
                      <w:kern w:val="0"/>
                      <w:sz w:val="18"/>
                      <w:szCs w:val="18"/>
                    </w:rPr>
                    <w:t>主要成分</w:t>
                  </w:r>
                </w:p>
              </w:tc>
              <w:tc>
                <w:tcPr>
                  <w:tcW w:w="577" w:type="pct"/>
                  <w:shd w:val="clear" w:color="auto" w:fill="auto"/>
                  <w:noWrap w:val="0"/>
                  <w:vAlign w:val="center"/>
                </w:tcPr>
                <w:p w14:paraId="6126DA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contextualSpacing/>
                    <w:jc w:val="center"/>
                    <w:textAlignment w:val="auto"/>
                    <w:rPr>
                      <w:rFonts w:hint="default"/>
                      <w:color w:val="auto"/>
                      <w:kern w:val="0"/>
                      <w:sz w:val="18"/>
                      <w:szCs w:val="18"/>
                    </w:rPr>
                  </w:pPr>
                  <w:r>
                    <w:rPr>
                      <w:rFonts w:hint="default"/>
                      <w:color w:val="auto"/>
                      <w:kern w:val="0"/>
                      <w:sz w:val="18"/>
                      <w:szCs w:val="18"/>
                    </w:rPr>
                    <w:t>是否固体废物</w:t>
                  </w:r>
                </w:p>
              </w:tc>
              <w:tc>
                <w:tcPr>
                  <w:tcW w:w="634" w:type="pct"/>
                  <w:shd w:val="clear" w:color="auto" w:fill="auto"/>
                  <w:noWrap w:val="0"/>
                  <w:vAlign w:val="center"/>
                </w:tcPr>
                <w:p w14:paraId="59E329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contextualSpacing/>
                    <w:jc w:val="center"/>
                    <w:textAlignment w:val="auto"/>
                    <w:rPr>
                      <w:rFonts w:hint="default"/>
                      <w:color w:val="auto"/>
                      <w:kern w:val="0"/>
                      <w:sz w:val="18"/>
                      <w:szCs w:val="18"/>
                    </w:rPr>
                  </w:pPr>
                  <w:r>
                    <w:rPr>
                      <w:rFonts w:hint="default"/>
                      <w:color w:val="auto"/>
                      <w:kern w:val="0"/>
                      <w:sz w:val="18"/>
                      <w:szCs w:val="18"/>
                    </w:rPr>
                    <w:t>判定依据</w:t>
                  </w:r>
                </w:p>
              </w:tc>
            </w:tr>
            <w:tr w14:paraId="3FB85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6" w:type="pct"/>
                  <w:shd w:val="clear" w:color="auto" w:fill="auto"/>
                  <w:noWrap w:val="0"/>
                  <w:vAlign w:val="center"/>
                </w:tcPr>
                <w:p w14:paraId="2F0DDB8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olor w:val="auto"/>
                      <w:kern w:val="0"/>
                      <w:sz w:val="18"/>
                      <w:szCs w:val="18"/>
                    </w:rPr>
                  </w:pPr>
                  <w:r>
                    <w:rPr>
                      <w:rFonts w:hint="default" w:cs="Times New Roman"/>
                      <w:color w:val="auto"/>
                      <w:kern w:val="0"/>
                      <w:sz w:val="18"/>
                      <w:szCs w:val="18"/>
                      <w:lang w:bidi="ar"/>
                    </w:rPr>
                    <w:t>1</w:t>
                  </w:r>
                </w:p>
              </w:tc>
              <w:tc>
                <w:tcPr>
                  <w:tcW w:w="877" w:type="pct"/>
                  <w:shd w:val="clear" w:color="auto" w:fill="auto"/>
                  <w:noWrap w:val="0"/>
                  <w:vAlign w:val="center"/>
                </w:tcPr>
                <w:p w14:paraId="129D312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olor w:val="auto"/>
                      <w:kern w:val="0"/>
                      <w:sz w:val="18"/>
                      <w:szCs w:val="18"/>
                    </w:rPr>
                  </w:pPr>
                  <w:r>
                    <w:rPr>
                      <w:rFonts w:hint="default" w:cs="Times New Roman"/>
                      <w:color w:val="auto"/>
                      <w:sz w:val="18"/>
                      <w:szCs w:val="18"/>
                      <w:lang w:val="en-US" w:eastAsia="zh-CN"/>
                    </w:rPr>
                    <w:t>不合格品</w:t>
                  </w:r>
                </w:p>
              </w:tc>
              <w:tc>
                <w:tcPr>
                  <w:tcW w:w="732" w:type="pct"/>
                  <w:shd w:val="clear" w:color="auto" w:fill="auto"/>
                  <w:noWrap w:val="0"/>
                  <w:vAlign w:val="center"/>
                </w:tcPr>
                <w:p w14:paraId="3A05210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olor w:val="auto"/>
                      <w:kern w:val="0"/>
                      <w:sz w:val="18"/>
                      <w:szCs w:val="18"/>
                    </w:rPr>
                  </w:pPr>
                  <w:r>
                    <w:rPr>
                      <w:rFonts w:hint="eastAsia" w:cs="Times New Roman"/>
                      <w:color w:val="auto"/>
                      <w:sz w:val="18"/>
                      <w:szCs w:val="18"/>
                      <w:lang w:val="en-US" w:eastAsia="zh-CN"/>
                    </w:rPr>
                    <w:t>检验</w:t>
                  </w:r>
                </w:p>
              </w:tc>
              <w:tc>
                <w:tcPr>
                  <w:tcW w:w="527" w:type="pct"/>
                  <w:shd w:val="clear" w:color="auto" w:fill="auto"/>
                  <w:noWrap/>
                  <w:vAlign w:val="center"/>
                </w:tcPr>
                <w:p w14:paraId="502E9A9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color w:val="auto"/>
                      <w:kern w:val="0"/>
                      <w:sz w:val="18"/>
                      <w:szCs w:val="18"/>
                    </w:rPr>
                  </w:pPr>
                  <w:r>
                    <w:rPr>
                      <w:rFonts w:hint="default" w:cs="Times New Roman"/>
                      <w:color w:val="auto"/>
                      <w:kern w:val="0"/>
                      <w:sz w:val="18"/>
                      <w:szCs w:val="18"/>
                      <w:lang w:bidi="ar"/>
                    </w:rPr>
                    <w:t>固态</w:t>
                  </w:r>
                </w:p>
              </w:tc>
              <w:tc>
                <w:tcPr>
                  <w:tcW w:w="1313" w:type="pct"/>
                  <w:shd w:val="clear" w:color="auto" w:fill="auto"/>
                  <w:noWrap w:val="0"/>
                  <w:vAlign w:val="center"/>
                </w:tcPr>
                <w:p w14:paraId="5072F97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olor w:val="auto"/>
                      <w:kern w:val="0"/>
                      <w:sz w:val="18"/>
                      <w:szCs w:val="18"/>
                    </w:rPr>
                  </w:pPr>
                  <w:r>
                    <w:rPr>
                      <w:rFonts w:hint="eastAsia" w:cs="Times New Roman"/>
                      <w:color w:val="auto"/>
                      <w:sz w:val="18"/>
                      <w:szCs w:val="18"/>
                      <w:lang w:val="en-US" w:eastAsia="zh-CN"/>
                    </w:rPr>
                    <w:t>菌液</w:t>
                  </w:r>
                </w:p>
              </w:tc>
              <w:tc>
                <w:tcPr>
                  <w:tcW w:w="577" w:type="pct"/>
                  <w:shd w:val="clear" w:color="auto" w:fill="auto"/>
                  <w:noWrap w:val="0"/>
                  <w:vAlign w:val="center"/>
                </w:tcPr>
                <w:p w14:paraId="059E15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kern w:val="0"/>
                      <w:sz w:val="18"/>
                      <w:szCs w:val="18"/>
                    </w:rPr>
                  </w:pPr>
                  <w:r>
                    <w:rPr>
                      <w:rFonts w:hint="default"/>
                      <w:color w:val="auto"/>
                      <w:kern w:val="0"/>
                      <w:sz w:val="18"/>
                      <w:szCs w:val="18"/>
                    </w:rPr>
                    <w:t>是</w:t>
                  </w:r>
                </w:p>
              </w:tc>
              <w:tc>
                <w:tcPr>
                  <w:tcW w:w="634" w:type="pct"/>
                  <w:shd w:val="clear" w:color="auto" w:fill="auto"/>
                  <w:noWrap w:val="0"/>
                  <w:vAlign w:val="center"/>
                </w:tcPr>
                <w:p w14:paraId="16BD54F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contextualSpacing/>
                    <w:jc w:val="center"/>
                    <w:textAlignment w:val="auto"/>
                    <w:rPr>
                      <w:rFonts w:hint="default"/>
                      <w:color w:val="auto"/>
                      <w:kern w:val="0"/>
                      <w:sz w:val="18"/>
                      <w:szCs w:val="18"/>
                    </w:rPr>
                  </w:pPr>
                  <w:r>
                    <w:rPr>
                      <w:rFonts w:hint="eastAsia"/>
                      <w:color w:val="auto"/>
                      <w:kern w:val="0"/>
                      <w:sz w:val="18"/>
                      <w:szCs w:val="18"/>
                    </w:rPr>
                    <w:t>4.1a、4.2a</w:t>
                  </w:r>
                </w:p>
              </w:tc>
            </w:tr>
            <w:tr w14:paraId="6C085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6" w:type="pct"/>
                  <w:shd w:val="clear" w:color="auto" w:fill="auto"/>
                  <w:noWrap w:val="0"/>
                  <w:vAlign w:val="center"/>
                </w:tcPr>
                <w:p w14:paraId="67904E4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olor w:val="auto"/>
                      <w:kern w:val="0"/>
                      <w:sz w:val="18"/>
                      <w:szCs w:val="18"/>
                    </w:rPr>
                  </w:pPr>
                  <w:r>
                    <w:rPr>
                      <w:rFonts w:hint="default" w:cs="Times New Roman"/>
                      <w:color w:val="auto"/>
                      <w:kern w:val="0"/>
                      <w:sz w:val="18"/>
                      <w:szCs w:val="18"/>
                      <w:lang w:bidi="ar"/>
                    </w:rPr>
                    <w:t>2</w:t>
                  </w:r>
                </w:p>
              </w:tc>
              <w:tc>
                <w:tcPr>
                  <w:tcW w:w="877" w:type="pct"/>
                  <w:shd w:val="clear" w:color="auto" w:fill="auto"/>
                  <w:noWrap w:val="0"/>
                  <w:vAlign w:val="center"/>
                </w:tcPr>
                <w:p w14:paraId="5240E12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sz w:val="18"/>
                      <w:szCs w:val="18"/>
                      <w:lang w:val="en-US" w:eastAsia="zh-CN"/>
                    </w:rPr>
                    <w:t>实验室废物</w:t>
                  </w:r>
                </w:p>
              </w:tc>
              <w:tc>
                <w:tcPr>
                  <w:tcW w:w="732" w:type="pct"/>
                  <w:shd w:val="clear" w:color="auto" w:fill="auto"/>
                  <w:noWrap w:val="0"/>
                  <w:vAlign w:val="center"/>
                </w:tcPr>
                <w:p w14:paraId="3BA5DA9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eastAsia" w:cs="Times New Roman"/>
                      <w:color w:val="auto"/>
                      <w:sz w:val="18"/>
                      <w:szCs w:val="18"/>
                      <w:lang w:val="en-US" w:eastAsia="zh-CN"/>
                    </w:rPr>
                    <w:t>实验、检测</w:t>
                  </w:r>
                </w:p>
              </w:tc>
              <w:tc>
                <w:tcPr>
                  <w:tcW w:w="527" w:type="pct"/>
                  <w:shd w:val="clear" w:color="auto" w:fill="auto"/>
                  <w:noWrap/>
                  <w:vAlign w:val="center"/>
                </w:tcPr>
                <w:p w14:paraId="22B49AF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heme="minorBidi"/>
                      <w:color w:val="auto"/>
                      <w:kern w:val="0"/>
                      <w:sz w:val="18"/>
                      <w:szCs w:val="18"/>
                      <w:lang w:val="en-US" w:eastAsia="zh-CN" w:bidi="ar-SA"/>
                    </w:rPr>
                  </w:pPr>
                  <w:r>
                    <w:rPr>
                      <w:rFonts w:hint="default" w:cs="Times New Roman"/>
                      <w:color w:val="auto"/>
                      <w:kern w:val="0"/>
                      <w:sz w:val="18"/>
                      <w:szCs w:val="18"/>
                      <w:lang w:bidi="ar"/>
                    </w:rPr>
                    <w:t>固态</w:t>
                  </w:r>
                </w:p>
              </w:tc>
              <w:tc>
                <w:tcPr>
                  <w:tcW w:w="1313" w:type="pct"/>
                  <w:shd w:val="clear" w:color="auto" w:fill="auto"/>
                  <w:noWrap w:val="0"/>
                  <w:vAlign w:val="center"/>
                </w:tcPr>
                <w:p w14:paraId="24097AC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heme="minorBidi"/>
                      <w:color w:val="auto"/>
                      <w:kern w:val="0"/>
                      <w:sz w:val="18"/>
                      <w:szCs w:val="18"/>
                      <w:lang w:val="en-US" w:eastAsia="zh-CN" w:bidi="ar-SA"/>
                    </w:rPr>
                  </w:pPr>
                  <w:r>
                    <w:rPr>
                      <w:rFonts w:hint="default" w:cs="Times New Roman"/>
                      <w:color w:val="auto"/>
                      <w:sz w:val="18"/>
                      <w:szCs w:val="18"/>
                      <w:lang w:val="en-US" w:eastAsia="zh-CN"/>
                    </w:rPr>
                    <w:t>废劳保用品（手套、抹布</w:t>
                  </w:r>
                  <w:r>
                    <w:rPr>
                      <w:rFonts w:hint="eastAsia" w:cs="Times New Roman"/>
                      <w:color w:val="auto"/>
                      <w:sz w:val="18"/>
                      <w:szCs w:val="18"/>
                      <w:lang w:val="en-US" w:eastAsia="zh-CN"/>
                    </w:rPr>
                    <w:t>、废实验服</w:t>
                  </w:r>
                  <w:r>
                    <w:rPr>
                      <w:rFonts w:hint="default" w:cs="Times New Roman"/>
                      <w:color w:val="auto"/>
                      <w:sz w:val="18"/>
                      <w:szCs w:val="18"/>
                      <w:lang w:val="en-US" w:eastAsia="zh-CN"/>
                    </w:rPr>
                    <w:t>）、废试剂、废器皿、废一次性离心管、废一次性移液枪头等</w:t>
                  </w:r>
                </w:p>
              </w:tc>
              <w:tc>
                <w:tcPr>
                  <w:tcW w:w="577" w:type="pct"/>
                  <w:shd w:val="clear" w:color="auto" w:fill="auto"/>
                  <w:noWrap w:val="0"/>
                  <w:vAlign w:val="center"/>
                </w:tcPr>
                <w:p w14:paraId="4206E2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heme="minorBidi"/>
                      <w:color w:val="auto"/>
                      <w:kern w:val="0"/>
                      <w:sz w:val="18"/>
                      <w:szCs w:val="18"/>
                      <w:lang w:val="en-US" w:eastAsia="zh-CN" w:bidi="ar-SA"/>
                    </w:rPr>
                  </w:pPr>
                  <w:r>
                    <w:rPr>
                      <w:rFonts w:hint="default"/>
                      <w:color w:val="auto"/>
                      <w:kern w:val="0"/>
                      <w:sz w:val="18"/>
                      <w:szCs w:val="18"/>
                    </w:rPr>
                    <w:t>是</w:t>
                  </w:r>
                </w:p>
              </w:tc>
              <w:tc>
                <w:tcPr>
                  <w:tcW w:w="634" w:type="pct"/>
                  <w:shd w:val="clear" w:color="auto" w:fill="auto"/>
                  <w:noWrap w:val="0"/>
                  <w:vAlign w:val="center"/>
                </w:tcPr>
                <w:p w14:paraId="130C06F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heme="minorBidi"/>
                      <w:color w:val="auto"/>
                      <w:kern w:val="0"/>
                      <w:sz w:val="18"/>
                      <w:szCs w:val="18"/>
                      <w:lang w:val="en-US" w:eastAsia="zh-CN" w:bidi="ar-SA"/>
                    </w:rPr>
                  </w:pPr>
                  <w:r>
                    <w:rPr>
                      <w:rFonts w:hint="eastAsia"/>
                      <w:color w:val="auto"/>
                      <w:kern w:val="0"/>
                      <w:sz w:val="18"/>
                      <w:szCs w:val="18"/>
                    </w:rPr>
                    <w:t>4.2l</w:t>
                  </w:r>
                </w:p>
              </w:tc>
            </w:tr>
            <w:tr w14:paraId="69BA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6" w:type="pct"/>
                  <w:shd w:val="clear" w:color="auto" w:fill="auto"/>
                  <w:noWrap w:val="0"/>
                  <w:vAlign w:val="center"/>
                </w:tcPr>
                <w:p w14:paraId="2C59321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olor w:val="auto"/>
                      <w:kern w:val="0"/>
                      <w:sz w:val="18"/>
                      <w:szCs w:val="18"/>
                    </w:rPr>
                  </w:pPr>
                  <w:r>
                    <w:rPr>
                      <w:rFonts w:hint="default" w:cs="Times New Roman"/>
                      <w:color w:val="auto"/>
                      <w:kern w:val="0"/>
                      <w:sz w:val="18"/>
                      <w:szCs w:val="18"/>
                      <w:lang w:bidi="ar"/>
                    </w:rPr>
                    <w:t>3</w:t>
                  </w:r>
                </w:p>
              </w:tc>
              <w:tc>
                <w:tcPr>
                  <w:tcW w:w="877" w:type="pct"/>
                  <w:shd w:val="clear" w:color="auto" w:fill="auto"/>
                  <w:noWrap w:val="0"/>
                  <w:vAlign w:val="center"/>
                </w:tcPr>
                <w:p w14:paraId="16B10DE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sz w:val="18"/>
                      <w:szCs w:val="18"/>
                      <w:lang w:val="en-US" w:eastAsia="zh-CN"/>
                    </w:rPr>
                    <w:t>实验室废液</w:t>
                  </w:r>
                </w:p>
              </w:tc>
              <w:tc>
                <w:tcPr>
                  <w:tcW w:w="732" w:type="pct"/>
                  <w:shd w:val="clear" w:color="auto" w:fill="auto"/>
                  <w:noWrap w:val="0"/>
                  <w:vAlign w:val="center"/>
                </w:tcPr>
                <w:p w14:paraId="0E53B46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eastAsia" w:cs="Times New Roman"/>
                      <w:color w:val="auto"/>
                      <w:sz w:val="18"/>
                      <w:szCs w:val="18"/>
                      <w:lang w:val="en-US" w:eastAsia="zh-CN"/>
                    </w:rPr>
                    <w:t>实验、检测</w:t>
                  </w:r>
                </w:p>
              </w:tc>
              <w:tc>
                <w:tcPr>
                  <w:tcW w:w="527" w:type="pct"/>
                  <w:shd w:val="clear" w:color="auto" w:fill="auto"/>
                  <w:noWrap w:val="0"/>
                  <w:vAlign w:val="center"/>
                </w:tcPr>
                <w:p w14:paraId="1F5BC0F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eastAsia" w:cs="Times New Roman"/>
                      <w:color w:val="auto"/>
                      <w:sz w:val="18"/>
                      <w:szCs w:val="18"/>
                      <w:lang w:val="en-US" w:eastAsia="zh-CN"/>
                    </w:rPr>
                    <w:t>液态</w:t>
                  </w:r>
                </w:p>
              </w:tc>
              <w:tc>
                <w:tcPr>
                  <w:tcW w:w="1313" w:type="pct"/>
                  <w:shd w:val="clear" w:color="auto" w:fill="auto"/>
                  <w:noWrap w:val="0"/>
                  <w:vAlign w:val="center"/>
                </w:tcPr>
                <w:p w14:paraId="5031A00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eastAsia" w:cs="Times New Roman"/>
                      <w:color w:val="auto"/>
                      <w:sz w:val="18"/>
                      <w:szCs w:val="18"/>
                      <w:lang w:val="en-US" w:eastAsia="zh-CN"/>
                    </w:rPr>
                    <w:t>清洗废液</w:t>
                  </w:r>
                </w:p>
              </w:tc>
              <w:tc>
                <w:tcPr>
                  <w:tcW w:w="577" w:type="pct"/>
                  <w:shd w:val="clear" w:color="auto" w:fill="auto"/>
                  <w:noWrap w:val="0"/>
                  <w:vAlign w:val="center"/>
                </w:tcPr>
                <w:p w14:paraId="1529C8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heme="minorBidi"/>
                      <w:color w:val="auto"/>
                      <w:kern w:val="0"/>
                      <w:sz w:val="18"/>
                      <w:szCs w:val="18"/>
                      <w:lang w:val="en-US" w:eastAsia="zh-CN" w:bidi="ar-SA"/>
                    </w:rPr>
                  </w:pPr>
                  <w:r>
                    <w:rPr>
                      <w:rFonts w:hint="default"/>
                      <w:color w:val="auto"/>
                      <w:kern w:val="0"/>
                      <w:sz w:val="18"/>
                      <w:szCs w:val="18"/>
                    </w:rPr>
                    <w:t>是</w:t>
                  </w:r>
                </w:p>
              </w:tc>
              <w:tc>
                <w:tcPr>
                  <w:tcW w:w="634" w:type="pct"/>
                  <w:shd w:val="clear" w:color="auto" w:fill="auto"/>
                  <w:noWrap w:val="0"/>
                  <w:vAlign w:val="center"/>
                </w:tcPr>
                <w:p w14:paraId="7BED31E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heme="minorBidi"/>
                      <w:color w:val="auto"/>
                      <w:kern w:val="0"/>
                      <w:sz w:val="18"/>
                      <w:szCs w:val="18"/>
                      <w:lang w:val="en-US" w:eastAsia="zh-CN" w:bidi="ar-SA"/>
                    </w:rPr>
                  </w:pPr>
                  <w:r>
                    <w:rPr>
                      <w:rFonts w:hint="eastAsia"/>
                      <w:color w:val="auto"/>
                      <w:kern w:val="0"/>
                      <w:sz w:val="18"/>
                      <w:szCs w:val="18"/>
                    </w:rPr>
                    <w:t>4.2l</w:t>
                  </w:r>
                </w:p>
              </w:tc>
            </w:tr>
            <w:tr w14:paraId="4067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6" w:type="pct"/>
                  <w:shd w:val="clear" w:color="auto" w:fill="auto"/>
                  <w:noWrap w:val="0"/>
                  <w:vAlign w:val="center"/>
                </w:tcPr>
                <w:p w14:paraId="2D5D066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olor w:val="auto"/>
                      <w:kern w:val="0"/>
                      <w:sz w:val="18"/>
                      <w:szCs w:val="18"/>
                    </w:rPr>
                  </w:pPr>
                  <w:r>
                    <w:rPr>
                      <w:rFonts w:hint="default" w:cs="Times New Roman"/>
                      <w:color w:val="auto"/>
                      <w:kern w:val="0"/>
                      <w:sz w:val="18"/>
                      <w:szCs w:val="18"/>
                      <w:lang w:bidi="ar"/>
                    </w:rPr>
                    <w:t>4</w:t>
                  </w:r>
                </w:p>
              </w:tc>
              <w:tc>
                <w:tcPr>
                  <w:tcW w:w="877" w:type="pct"/>
                  <w:shd w:val="clear" w:color="auto" w:fill="auto"/>
                  <w:noWrap w:val="0"/>
                  <w:vAlign w:val="center"/>
                </w:tcPr>
                <w:p w14:paraId="58C8148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eastAsia" w:cs="Times New Roman"/>
                      <w:color w:val="auto"/>
                      <w:sz w:val="18"/>
                      <w:szCs w:val="18"/>
                      <w:lang w:val="en-US" w:eastAsia="zh-CN"/>
                    </w:rPr>
                    <w:t>废一次性耗材</w:t>
                  </w:r>
                </w:p>
              </w:tc>
              <w:tc>
                <w:tcPr>
                  <w:tcW w:w="732" w:type="pct"/>
                  <w:shd w:val="clear" w:color="auto" w:fill="auto"/>
                  <w:noWrap w:val="0"/>
                  <w:vAlign w:val="center"/>
                </w:tcPr>
                <w:p w14:paraId="7B08DF8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eastAsia" w:cs="Times New Roman"/>
                      <w:color w:val="auto"/>
                      <w:sz w:val="18"/>
                      <w:szCs w:val="18"/>
                      <w:lang w:val="en-US" w:eastAsia="zh-CN"/>
                    </w:rPr>
                    <w:t>实验、检测</w:t>
                  </w:r>
                </w:p>
              </w:tc>
              <w:tc>
                <w:tcPr>
                  <w:tcW w:w="527" w:type="pct"/>
                  <w:shd w:val="clear" w:color="auto" w:fill="auto"/>
                  <w:noWrap w:val="0"/>
                  <w:vAlign w:val="center"/>
                </w:tcPr>
                <w:p w14:paraId="0B76E6A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heme="minorBidi"/>
                      <w:color w:val="auto"/>
                      <w:kern w:val="0"/>
                      <w:sz w:val="18"/>
                      <w:szCs w:val="18"/>
                      <w:lang w:val="en-US" w:eastAsia="zh-CN" w:bidi="ar-SA"/>
                    </w:rPr>
                  </w:pPr>
                  <w:r>
                    <w:rPr>
                      <w:rFonts w:hint="default" w:cs="Times New Roman"/>
                      <w:color w:val="auto"/>
                      <w:kern w:val="0"/>
                      <w:sz w:val="18"/>
                      <w:szCs w:val="18"/>
                      <w:lang w:bidi="ar"/>
                    </w:rPr>
                    <w:t>固态</w:t>
                  </w:r>
                </w:p>
              </w:tc>
              <w:tc>
                <w:tcPr>
                  <w:tcW w:w="1313" w:type="pct"/>
                  <w:shd w:val="clear" w:color="auto" w:fill="auto"/>
                  <w:noWrap w:val="0"/>
                  <w:vAlign w:val="center"/>
                </w:tcPr>
                <w:p w14:paraId="098EB0B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eastAsia" w:cs="Times New Roman"/>
                      <w:color w:val="auto"/>
                      <w:sz w:val="18"/>
                      <w:szCs w:val="18"/>
                      <w:lang w:val="en-US" w:eastAsia="zh-CN"/>
                    </w:rPr>
                    <w:t>废器皿等</w:t>
                  </w:r>
                </w:p>
              </w:tc>
              <w:tc>
                <w:tcPr>
                  <w:tcW w:w="577" w:type="pct"/>
                  <w:shd w:val="clear" w:color="auto" w:fill="auto"/>
                  <w:noWrap w:val="0"/>
                  <w:vAlign w:val="center"/>
                </w:tcPr>
                <w:p w14:paraId="4B81E6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heme="minorBidi"/>
                      <w:color w:val="auto"/>
                      <w:kern w:val="0"/>
                      <w:sz w:val="18"/>
                      <w:szCs w:val="18"/>
                      <w:lang w:val="en-US" w:eastAsia="zh-CN" w:bidi="ar-SA"/>
                    </w:rPr>
                  </w:pPr>
                  <w:r>
                    <w:rPr>
                      <w:rFonts w:hint="default"/>
                      <w:color w:val="auto"/>
                      <w:kern w:val="0"/>
                      <w:sz w:val="18"/>
                      <w:szCs w:val="18"/>
                    </w:rPr>
                    <w:t>是</w:t>
                  </w:r>
                </w:p>
              </w:tc>
              <w:tc>
                <w:tcPr>
                  <w:tcW w:w="634" w:type="pct"/>
                  <w:shd w:val="clear" w:color="auto" w:fill="auto"/>
                  <w:noWrap w:val="0"/>
                  <w:vAlign w:val="center"/>
                </w:tcPr>
                <w:p w14:paraId="665CCAA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heme="minorBidi"/>
                      <w:color w:val="auto"/>
                      <w:kern w:val="0"/>
                      <w:sz w:val="18"/>
                      <w:szCs w:val="18"/>
                      <w:lang w:val="en-US" w:eastAsia="zh-CN" w:bidi="ar-SA"/>
                    </w:rPr>
                  </w:pPr>
                  <w:r>
                    <w:rPr>
                      <w:rFonts w:hint="eastAsia"/>
                      <w:color w:val="auto"/>
                      <w:kern w:val="0"/>
                      <w:sz w:val="18"/>
                      <w:szCs w:val="18"/>
                      <w:lang w:val="en-US" w:eastAsia="zh-CN"/>
                    </w:rPr>
                    <w:t>4.1a</w:t>
                  </w:r>
                </w:p>
              </w:tc>
            </w:tr>
            <w:tr w14:paraId="2A7BD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6" w:type="pct"/>
                  <w:shd w:val="clear" w:color="auto" w:fill="auto"/>
                  <w:noWrap w:val="0"/>
                  <w:vAlign w:val="center"/>
                </w:tcPr>
                <w:p w14:paraId="76AB1AA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olor w:val="auto"/>
                      <w:kern w:val="0"/>
                      <w:sz w:val="18"/>
                      <w:szCs w:val="18"/>
                    </w:rPr>
                  </w:pPr>
                  <w:r>
                    <w:rPr>
                      <w:rFonts w:hint="default" w:cs="Times New Roman"/>
                      <w:color w:val="auto"/>
                      <w:kern w:val="0"/>
                      <w:sz w:val="18"/>
                      <w:szCs w:val="18"/>
                      <w:lang w:bidi="ar"/>
                    </w:rPr>
                    <w:t>5</w:t>
                  </w:r>
                </w:p>
              </w:tc>
              <w:tc>
                <w:tcPr>
                  <w:tcW w:w="877" w:type="pct"/>
                  <w:shd w:val="clear" w:color="auto" w:fill="auto"/>
                  <w:noWrap w:val="0"/>
                  <w:vAlign w:val="center"/>
                </w:tcPr>
                <w:p w14:paraId="3C7E617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sz w:val="18"/>
                      <w:szCs w:val="18"/>
                      <w:lang w:val="en-US" w:eastAsia="zh-CN"/>
                    </w:rPr>
                    <w:t>废原料包装物</w:t>
                  </w:r>
                </w:p>
              </w:tc>
              <w:tc>
                <w:tcPr>
                  <w:tcW w:w="732" w:type="pct"/>
                  <w:shd w:val="clear" w:color="auto" w:fill="auto"/>
                  <w:noWrap w:val="0"/>
                  <w:vAlign w:val="center"/>
                </w:tcPr>
                <w:p w14:paraId="60DACD0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eastAsia" w:cs="Times New Roman"/>
                      <w:color w:val="auto"/>
                      <w:sz w:val="18"/>
                      <w:szCs w:val="18"/>
                      <w:lang w:val="en-US" w:eastAsia="zh-CN"/>
                    </w:rPr>
                    <w:t>拆包</w:t>
                  </w:r>
                </w:p>
              </w:tc>
              <w:tc>
                <w:tcPr>
                  <w:tcW w:w="527" w:type="pct"/>
                  <w:shd w:val="clear" w:color="auto" w:fill="auto"/>
                  <w:noWrap w:val="0"/>
                  <w:vAlign w:val="center"/>
                </w:tcPr>
                <w:p w14:paraId="300DE9A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kern w:val="0"/>
                      <w:sz w:val="18"/>
                      <w:szCs w:val="18"/>
                      <w:lang w:bidi="ar"/>
                    </w:rPr>
                    <w:t>固态</w:t>
                  </w:r>
                </w:p>
              </w:tc>
              <w:tc>
                <w:tcPr>
                  <w:tcW w:w="1313" w:type="pct"/>
                  <w:shd w:val="clear" w:color="auto" w:fill="auto"/>
                  <w:noWrap w:val="0"/>
                  <w:vAlign w:val="center"/>
                </w:tcPr>
                <w:p w14:paraId="6A03AF0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sz w:val="18"/>
                      <w:szCs w:val="18"/>
                      <w:lang w:val="en-US" w:eastAsia="zh-CN"/>
                    </w:rPr>
                    <w:t>纸塑、化学试剂</w:t>
                  </w:r>
                </w:p>
              </w:tc>
              <w:tc>
                <w:tcPr>
                  <w:tcW w:w="577" w:type="pct"/>
                  <w:shd w:val="clear" w:color="auto" w:fill="auto"/>
                  <w:noWrap w:val="0"/>
                  <w:vAlign w:val="center"/>
                </w:tcPr>
                <w:p w14:paraId="15245B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heme="minorBidi"/>
                      <w:color w:val="auto"/>
                      <w:kern w:val="0"/>
                      <w:sz w:val="18"/>
                      <w:szCs w:val="18"/>
                      <w:lang w:val="en-US" w:eastAsia="zh-CN" w:bidi="ar-SA"/>
                    </w:rPr>
                  </w:pPr>
                  <w:r>
                    <w:rPr>
                      <w:rFonts w:hint="default"/>
                      <w:color w:val="auto"/>
                      <w:kern w:val="0"/>
                      <w:sz w:val="18"/>
                      <w:szCs w:val="18"/>
                    </w:rPr>
                    <w:t>是</w:t>
                  </w:r>
                </w:p>
              </w:tc>
              <w:tc>
                <w:tcPr>
                  <w:tcW w:w="634" w:type="pct"/>
                  <w:shd w:val="clear" w:color="auto" w:fill="auto"/>
                  <w:noWrap w:val="0"/>
                  <w:vAlign w:val="center"/>
                </w:tcPr>
                <w:p w14:paraId="73D597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heme="minorBidi"/>
                      <w:color w:val="auto"/>
                      <w:kern w:val="0"/>
                      <w:sz w:val="18"/>
                      <w:szCs w:val="18"/>
                      <w:lang w:val="en-US" w:eastAsia="zh-CN" w:bidi="ar-SA"/>
                    </w:rPr>
                  </w:pPr>
                  <w:r>
                    <w:rPr>
                      <w:rFonts w:hint="eastAsia"/>
                      <w:color w:val="auto"/>
                      <w:kern w:val="0"/>
                      <w:sz w:val="18"/>
                      <w:szCs w:val="18"/>
                      <w:lang w:val="en-US" w:eastAsia="zh-CN"/>
                    </w:rPr>
                    <w:t>4.1h</w:t>
                  </w:r>
                </w:p>
              </w:tc>
            </w:tr>
            <w:tr w14:paraId="2040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6" w:type="pct"/>
                  <w:shd w:val="clear" w:color="auto" w:fill="auto"/>
                  <w:noWrap w:val="0"/>
                  <w:vAlign w:val="center"/>
                </w:tcPr>
                <w:p w14:paraId="43C8F38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olor w:val="auto"/>
                      <w:kern w:val="0"/>
                      <w:sz w:val="18"/>
                      <w:szCs w:val="18"/>
                    </w:rPr>
                  </w:pPr>
                  <w:r>
                    <w:rPr>
                      <w:rFonts w:hint="default" w:cs="Times New Roman"/>
                      <w:color w:val="auto"/>
                      <w:kern w:val="0"/>
                      <w:sz w:val="18"/>
                      <w:szCs w:val="18"/>
                      <w:lang w:bidi="ar"/>
                    </w:rPr>
                    <w:t>6</w:t>
                  </w:r>
                </w:p>
              </w:tc>
              <w:tc>
                <w:tcPr>
                  <w:tcW w:w="877" w:type="pct"/>
                  <w:shd w:val="clear" w:color="auto" w:fill="auto"/>
                  <w:noWrap w:val="0"/>
                  <w:vAlign w:val="center"/>
                </w:tcPr>
                <w:p w14:paraId="7A20E31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sz w:val="18"/>
                      <w:szCs w:val="18"/>
                      <w:lang w:val="en-US" w:eastAsia="zh-CN"/>
                    </w:rPr>
                    <w:t>废气处理活性炭</w:t>
                  </w:r>
                </w:p>
              </w:tc>
              <w:tc>
                <w:tcPr>
                  <w:tcW w:w="732" w:type="pct"/>
                  <w:shd w:val="clear" w:color="auto" w:fill="auto"/>
                  <w:noWrap w:val="0"/>
                  <w:vAlign w:val="center"/>
                </w:tcPr>
                <w:p w14:paraId="77EB477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eastAsia" w:cs="Times New Roman"/>
                      <w:color w:val="auto"/>
                      <w:sz w:val="18"/>
                      <w:szCs w:val="18"/>
                      <w:lang w:val="en-US" w:eastAsia="zh-CN"/>
                    </w:rPr>
                    <w:t>废气处理</w:t>
                  </w:r>
                </w:p>
              </w:tc>
              <w:tc>
                <w:tcPr>
                  <w:tcW w:w="527" w:type="pct"/>
                  <w:shd w:val="clear" w:color="auto" w:fill="auto"/>
                  <w:noWrap w:val="0"/>
                  <w:vAlign w:val="center"/>
                </w:tcPr>
                <w:p w14:paraId="0E3336F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kern w:val="0"/>
                      <w:sz w:val="18"/>
                      <w:szCs w:val="18"/>
                      <w:lang w:bidi="ar"/>
                    </w:rPr>
                    <w:t>固态</w:t>
                  </w:r>
                </w:p>
              </w:tc>
              <w:tc>
                <w:tcPr>
                  <w:tcW w:w="1313" w:type="pct"/>
                  <w:shd w:val="clear" w:color="auto" w:fill="auto"/>
                  <w:noWrap w:val="0"/>
                  <w:vAlign w:val="center"/>
                </w:tcPr>
                <w:p w14:paraId="5C56796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sz w:val="18"/>
                      <w:szCs w:val="18"/>
                      <w:lang w:val="en-US" w:eastAsia="zh-CN"/>
                    </w:rPr>
                    <w:t>活性炭、有机物</w:t>
                  </w:r>
                </w:p>
              </w:tc>
              <w:tc>
                <w:tcPr>
                  <w:tcW w:w="577" w:type="pct"/>
                  <w:shd w:val="clear" w:color="auto" w:fill="auto"/>
                  <w:noWrap w:val="0"/>
                  <w:vAlign w:val="center"/>
                </w:tcPr>
                <w:p w14:paraId="6BE408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heme="minorBidi"/>
                      <w:color w:val="auto"/>
                      <w:kern w:val="0"/>
                      <w:sz w:val="18"/>
                      <w:szCs w:val="18"/>
                      <w:lang w:val="en-US" w:eastAsia="zh-CN" w:bidi="ar-SA"/>
                    </w:rPr>
                  </w:pPr>
                  <w:r>
                    <w:rPr>
                      <w:rFonts w:hint="eastAsia"/>
                      <w:color w:val="auto"/>
                      <w:kern w:val="0"/>
                      <w:sz w:val="18"/>
                      <w:szCs w:val="18"/>
                    </w:rPr>
                    <w:t>是</w:t>
                  </w:r>
                </w:p>
              </w:tc>
              <w:tc>
                <w:tcPr>
                  <w:tcW w:w="634" w:type="pct"/>
                  <w:shd w:val="clear" w:color="auto" w:fill="auto"/>
                  <w:noWrap w:val="0"/>
                  <w:vAlign w:val="center"/>
                </w:tcPr>
                <w:p w14:paraId="62F516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heme="minorBidi"/>
                      <w:color w:val="auto"/>
                      <w:kern w:val="0"/>
                      <w:sz w:val="18"/>
                      <w:szCs w:val="18"/>
                      <w:lang w:val="en-US" w:eastAsia="zh-CN" w:bidi="ar-SA"/>
                    </w:rPr>
                  </w:pPr>
                  <w:r>
                    <w:rPr>
                      <w:rFonts w:hint="eastAsia"/>
                      <w:color w:val="auto"/>
                      <w:kern w:val="0"/>
                      <w:sz w:val="18"/>
                      <w:szCs w:val="18"/>
                    </w:rPr>
                    <w:t>4.</w:t>
                  </w:r>
                  <w:r>
                    <w:rPr>
                      <w:rFonts w:hint="eastAsia"/>
                      <w:color w:val="auto"/>
                      <w:kern w:val="0"/>
                      <w:sz w:val="18"/>
                      <w:szCs w:val="18"/>
                      <w:lang w:val="en-US" w:eastAsia="zh-CN"/>
                    </w:rPr>
                    <w:t>3</w:t>
                  </w:r>
                  <w:r>
                    <w:rPr>
                      <w:rFonts w:hint="eastAsia"/>
                      <w:color w:val="auto"/>
                      <w:kern w:val="0"/>
                      <w:sz w:val="18"/>
                      <w:szCs w:val="18"/>
                    </w:rPr>
                    <w:t>l</w:t>
                  </w:r>
                </w:p>
              </w:tc>
            </w:tr>
            <w:tr w14:paraId="7C50F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6" w:type="pct"/>
                  <w:shd w:val="clear" w:color="auto" w:fill="auto"/>
                  <w:noWrap w:val="0"/>
                  <w:vAlign w:val="center"/>
                </w:tcPr>
                <w:p w14:paraId="7B2DC56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olor w:val="auto"/>
                      <w:kern w:val="0"/>
                      <w:sz w:val="18"/>
                      <w:szCs w:val="18"/>
                    </w:rPr>
                  </w:pPr>
                  <w:r>
                    <w:rPr>
                      <w:rFonts w:hint="default" w:cs="Times New Roman"/>
                      <w:color w:val="auto"/>
                      <w:kern w:val="0"/>
                      <w:sz w:val="18"/>
                      <w:szCs w:val="18"/>
                      <w:lang w:bidi="ar"/>
                    </w:rPr>
                    <w:t>7</w:t>
                  </w:r>
                </w:p>
              </w:tc>
              <w:tc>
                <w:tcPr>
                  <w:tcW w:w="877" w:type="pct"/>
                  <w:shd w:val="clear" w:color="auto" w:fill="auto"/>
                  <w:noWrap w:val="0"/>
                  <w:vAlign w:val="center"/>
                </w:tcPr>
                <w:p w14:paraId="3D1B867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sz w:val="18"/>
                      <w:szCs w:val="18"/>
                      <w:lang w:val="en-US" w:eastAsia="zh-CN"/>
                    </w:rPr>
                    <w:t>废</w:t>
                  </w:r>
                  <w:r>
                    <w:rPr>
                      <w:rFonts w:hint="eastAsia" w:cs="Times New Roman"/>
                      <w:color w:val="auto"/>
                      <w:sz w:val="18"/>
                      <w:szCs w:val="18"/>
                      <w:lang w:val="en-US" w:eastAsia="zh-CN"/>
                    </w:rPr>
                    <w:t>样本</w:t>
                  </w:r>
                </w:p>
              </w:tc>
              <w:tc>
                <w:tcPr>
                  <w:tcW w:w="732" w:type="pct"/>
                  <w:shd w:val="clear" w:color="auto" w:fill="auto"/>
                  <w:noWrap w:val="0"/>
                  <w:vAlign w:val="center"/>
                </w:tcPr>
                <w:p w14:paraId="4638835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eastAsia" w:cs="Times New Roman"/>
                      <w:color w:val="auto"/>
                      <w:sz w:val="18"/>
                      <w:szCs w:val="18"/>
                      <w:lang w:val="en-US" w:eastAsia="zh-CN"/>
                    </w:rPr>
                    <w:t>样本采集</w:t>
                  </w:r>
                </w:p>
              </w:tc>
              <w:tc>
                <w:tcPr>
                  <w:tcW w:w="527" w:type="pct"/>
                  <w:shd w:val="clear" w:color="auto" w:fill="auto"/>
                  <w:noWrap w:val="0"/>
                  <w:vAlign w:val="center"/>
                </w:tcPr>
                <w:p w14:paraId="62B81C3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kern w:val="0"/>
                      <w:sz w:val="18"/>
                      <w:szCs w:val="18"/>
                      <w:lang w:bidi="ar"/>
                    </w:rPr>
                    <w:t>固态</w:t>
                  </w:r>
                </w:p>
              </w:tc>
              <w:tc>
                <w:tcPr>
                  <w:tcW w:w="1313" w:type="pct"/>
                  <w:shd w:val="clear" w:color="auto" w:fill="auto"/>
                  <w:noWrap w:val="0"/>
                  <w:vAlign w:val="center"/>
                </w:tcPr>
                <w:p w14:paraId="0B0DA14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eastAsia" w:cs="Times New Roman"/>
                      <w:color w:val="auto"/>
                      <w:sz w:val="18"/>
                      <w:szCs w:val="18"/>
                      <w:lang w:val="en-US" w:eastAsia="zh-CN"/>
                    </w:rPr>
                    <w:t>/</w:t>
                  </w:r>
                </w:p>
              </w:tc>
              <w:tc>
                <w:tcPr>
                  <w:tcW w:w="577" w:type="pct"/>
                  <w:shd w:val="clear" w:color="auto" w:fill="auto"/>
                  <w:noWrap w:val="0"/>
                  <w:vAlign w:val="center"/>
                </w:tcPr>
                <w:p w14:paraId="20E3BB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heme="minorBidi"/>
                      <w:color w:val="auto"/>
                      <w:kern w:val="0"/>
                      <w:sz w:val="18"/>
                      <w:szCs w:val="18"/>
                      <w:lang w:val="en-US" w:eastAsia="zh-CN" w:bidi="ar-SA"/>
                    </w:rPr>
                  </w:pPr>
                  <w:r>
                    <w:rPr>
                      <w:rFonts w:hint="default"/>
                      <w:color w:val="auto"/>
                      <w:kern w:val="0"/>
                      <w:sz w:val="18"/>
                      <w:szCs w:val="18"/>
                    </w:rPr>
                    <w:t>是</w:t>
                  </w:r>
                </w:p>
              </w:tc>
              <w:tc>
                <w:tcPr>
                  <w:tcW w:w="634" w:type="pct"/>
                  <w:shd w:val="clear" w:color="auto" w:fill="auto"/>
                  <w:noWrap w:val="0"/>
                  <w:vAlign w:val="center"/>
                </w:tcPr>
                <w:p w14:paraId="638137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heme="minorBidi"/>
                      <w:color w:val="auto"/>
                      <w:kern w:val="0"/>
                      <w:sz w:val="18"/>
                      <w:szCs w:val="18"/>
                      <w:lang w:val="en-US" w:eastAsia="zh-CN" w:bidi="ar-SA"/>
                    </w:rPr>
                  </w:pPr>
                  <w:r>
                    <w:rPr>
                      <w:rFonts w:hint="eastAsia"/>
                      <w:color w:val="auto"/>
                      <w:kern w:val="0"/>
                      <w:sz w:val="18"/>
                      <w:szCs w:val="18"/>
                      <w:lang w:val="en-US" w:eastAsia="zh-CN"/>
                    </w:rPr>
                    <w:t>4.2m</w:t>
                  </w:r>
                </w:p>
              </w:tc>
            </w:tr>
            <w:tr w14:paraId="0FBF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6" w:type="pct"/>
                  <w:shd w:val="clear" w:color="auto" w:fill="auto"/>
                  <w:noWrap w:val="0"/>
                  <w:vAlign w:val="center"/>
                </w:tcPr>
                <w:p w14:paraId="652567B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eastAsia="宋体"/>
                      <w:color w:val="auto"/>
                      <w:kern w:val="0"/>
                      <w:sz w:val="18"/>
                      <w:szCs w:val="18"/>
                      <w:lang w:eastAsia="zh-CN"/>
                    </w:rPr>
                  </w:pPr>
                  <w:r>
                    <w:rPr>
                      <w:rFonts w:hint="eastAsia" w:cs="Times New Roman"/>
                      <w:color w:val="auto"/>
                      <w:kern w:val="0"/>
                      <w:sz w:val="18"/>
                      <w:szCs w:val="18"/>
                      <w:lang w:val="en-US" w:eastAsia="zh-CN" w:bidi="ar"/>
                    </w:rPr>
                    <w:t>8</w:t>
                  </w:r>
                </w:p>
              </w:tc>
              <w:tc>
                <w:tcPr>
                  <w:tcW w:w="877" w:type="pct"/>
                  <w:shd w:val="clear" w:color="auto" w:fill="auto"/>
                  <w:noWrap w:val="0"/>
                  <w:vAlign w:val="center"/>
                </w:tcPr>
                <w:p w14:paraId="438FA4C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sz w:val="18"/>
                      <w:szCs w:val="18"/>
                      <w:lang w:val="en-US" w:eastAsia="zh-CN"/>
                    </w:rPr>
                    <w:t>废过滤介质</w:t>
                  </w:r>
                </w:p>
              </w:tc>
              <w:tc>
                <w:tcPr>
                  <w:tcW w:w="732" w:type="pct"/>
                  <w:shd w:val="clear" w:color="auto" w:fill="auto"/>
                  <w:noWrap w:val="0"/>
                  <w:vAlign w:val="center"/>
                </w:tcPr>
                <w:p w14:paraId="300421D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eastAsia" w:cs="Times New Roman"/>
                      <w:color w:val="auto"/>
                      <w:sz w:val="18"/>
                      <w:szCs w:val="18"/>
                      <w:lang w:val="en-US" w:eastAsia="zh-CN"/>
                    </w:rPr>
                    <w:t>废气处理</w:t>
                  </w:r>
                </w:p>
              </w:tc>
              <w:tc>
                <w:tcPr>
                  <w:tcW w:w="527" w:type="pct"/>
                  <w:shd w:val="clear" w:color="auto" w:fill="auto"/>
                  <w:noWrap w:val="0"/>
                  <w:vAlign w:val="center"/>
                </w:tcPr>
                <w:p w14:paraId="0E08664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kern w:val="0"/>
                      <w:sz w:val="18"/>
                      <w:szCs w:val="18"/>
                      <w:lang w:bidi="ar"/>
                    </w:rPr>
                    <w:t>固态</w:t>
                  </w:r>
                </w:p>
              </w:tc>
              <w:tc>
                <w:tcPr>
                  <w:tcW w:w="1313" w:type="pct"/>
                  <w:shd w:val="clear" w:color="auto" w:fill="auto"/>
                  <w:noWrap w:val="0"/>
                  <w:vAlign w:val="center"/>
                </w:tcPr>
                <w:p w14:paraId="0A64E2B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eastAsia" w:cs="Times New Roman"/>
                      <w:color w:val="auto"/>
                      <w:sz w:val="18"/>
                      <w:szCs w:val="18"/>
                      <w:lang w:val="en-US" w:eastAsia="zh-CN"/>
                    </w:rPr>
                    <w:t>过滤器、微生物</w:t>
                  </w:r>
                </w:p>
              </w:tc>
              <w:tc>
                <w:tcPr>
                  <w:tcW w:w="577" w:type="pct"/>
                  <w:shd w:val="clear" w:color="auto" w:fill="auto"/>
                  <w:noWrap w:val="0"/>
                  <w:vAlign w:val="center"/>
                </w:tcPr>
                <w:p w14:paraId="065DEA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heme="minorBidi"/>
                      <w:color w:val="auto"/>
                      <w:kern w:val="0"/>
                      <w:sz w:val="18"/>
                      <w:szCs w:val="18"/>
                      <w:lang w:val="en-US" w:eastAsia="zh-CN" w:bidi="ar-SA"/>
                    </w:rPr>
                  </w:pPr>
                  <w:r>
                    <w:rPr>
                      <w:rFonts w:hint="default"/>
                      <w:color w:val="auto"/>
                      <w:kern w:val="0"/>
                      <w:sz w:val="18"/>
                      <w:szCs w:val="18"/>
                    </w:rPr>
                    <w:t>是</w:t>
                  </w:r>
                </w:p>
              </w:tc>
              <w:tc>
                <w:tcPr>
                  <w:tcW w:w="634" w:type="pct"/>
                  <w:shd w:val="clear" w:color="auto" w:fill="auto"/>
                  <w:noWrap w:val="0"/>
                  <w:vAlign w:val="center"/>
                </w:tcPr>
                <w:p w14:paraId="3C9970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heme="minorBidi"/>
                      <w:color w:val="auto"/>
                      <w:kern w:val="0"/>
                      <w:sz w:val="18"/>
                      <w:szCs w:val="18"/>
                      <w:lang w:val="en-US" w:eastAsia="zh-CN" w:bidi="ar-SA"/>
                    </w:rPr>
                  </w:pPr>
                  <w:r>
                    <w:rPr>
                      <w:rFonts w:hint="eastAsia"/>
                      <w:color w:val="auto"/>
                      <w:kern w:val="0"/>
                      <w:sz w:val="18"/>
                      <w:szCs w:val="18"/>
                    </w:rPr>
                    <w:t>4.</w:t>
                  </w:r>
                  <w:r>
                    <w:rPr>
                      <w:rFonts w:hint="eastAsia"/>
                      <w:color w:val="auto"/>
                      <w:kern w:val="0"/>
                      <w:sz w:val="18"/>
                      <w:szCs w:val="18"/>
                      <w:lang w:val="en-US" w:eastAsia="zh-CN"/>
                    </w:rPr>
                    <w:t>3</w:t>
                  </w:r>
                  <w:r>
                    <w:rPr>
                      <w:rFonts w:hint="eastAsia"/>
                      <w:color w:val="auto"/>
                      <w:kern w:val="0"/>
                      <w:sz w:val="18"/>
                      <w:szCs w:val="18"/>
                    </w:rPr>
                    <w:t>l</w:t>
                  </w:r>
                </w:p>
              </w:tc>
            </w:tr>
            <w:tr w14:paraId="0826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6" w:type="pct"/>
                  <w:shd w:val="clear" w:color="auto" w:fill="auto"/>
                  <w:noWrap w:val="0"/>
                  <w:vAlign w:val="center"/>
                </w:tcPr>
                <w:p w14:paraId="4DCE8E2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eastAsia="宋体"/>
                      <w:color w:val="auto"/>
                      <w:kern w:val="0"/>
                      <w:sz w:val="18"/>
                      <w:szCs w:val="18"/>
                      <w:lang w:eastAsia="zh-CN"/>
                    </w:rPr>
                  </w:pPr>
                  <w:r>
                    <w:rPr>
                      <w:rFonts w:hint="eastAsia" w:cs="Times New Roman"/>
                      <w:color w:val="auto"/>
                      <w:kern w:val="0"/>
                      <w:sz w:val="18"/>
                      <w:szCs w:val="18"/>
                      <w:lang w:val="en-US" w:eastAsia="zh-CN" w:bidi="ar"/>
                    </w:rPr>
                    <w:t>9</w:t>
                  </w:r>
                </w:p>
              </w:tc>
              <w:tc>
                <w:tcPr>
                  <w:tcW w:w="877" w:type="pct"/>
                  <w:shd w:val="clear" w:color="auto" w:fill="auto"/>
                  <w:noWrap w:val="0"/>
                  <w:vAlign w:val="center"/>
                </w:tcPr>
                <w:p w14:paraId="1CD09E7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sz w:val="18"/>
                      <w:szCs w:val="18"/>
                      <w:lang w:val="en-US" w:eastAsia="zh-CN"/>
                    </w:rPr>
                    <w:t>一般包装废物</w:t>
                  </w:r>
                </w:p>
              </w:tc>
              <w:tc>
                <w:tcPr>
                  <w:tcW w:w="732" w:type="pct"/>
                  <w:shd w:val="clear" w:color="auto" w:fill="auto"/>
                  <w:noWrap w:val="0"/>
                  <w:vAlign w:val="center"/>
                </w:tcPr>
                <w:p w14:paraId="0DD6A72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eastAsia" w:cs="Times New Roman"/>
                      <w:color w:val="auto"/>
                      <w:sz w:val="18"/>
                      <w:szCs w:val="18"/>
                      <w:lang w:val="en-US" w:eastAsia="zh-CN"/>
                    </w:rPr>
                    <w:t>拆包</w:t>
                  </w:r>
                </w:p>
              </w:tc>
              <w:tc>
                <w:tcPr>
                  <w:tcW w:w="527" w:type="pct"/>
                  <w:shd w:val="clear" w:color="auto" w:fill="auto"/>
                  <w:noWrap w:val="0"/>
                  <w:vAlign w:val="center"/>
                </w:tcPr>
                <w:p w14:paraId="6A5A143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kern w:val="0"/>
                      <w:sz w:val="18"/>
                      <w:szCs w:val="18"/>
                      <w:lang w:bidi="ar"/>
                    </w:rPr>
                    <w:t>固态</w:t>
                  </w:r>
                </w:p>
              </w:tc>
              <w:tc>
                <w:tcPr>
                  <w:tcW w:w="1313" w:type="pct"/>
                  <w:shd w:val="clear" w:color="auto" w:fill="auto"/>
                  <w:noWrap w:val="0"/>
                  <w:vAlign w:val="center"/>
                </w:tcPr>
                <w:p w14:paraId="02A33CD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sz w:val="18"/>
                      <w:szCs w:val="18"/>
                      <w:lang w:val="en-US" w:eastAsia="zh-CN"/>
                    </w:rPr>
                    <w:t>纸塑</w:t>
                  </w:r>
                </w:p>
              </w:tc>
              <w:tc>
                <w:tcPr>
                  <w:tcW w:w="577" w:type="pct"/>
                  <w:shd w:val="clear" w:color="auto" w:fill="auto"/>
                  <w:noWrap w:val="0"/>
                  <w:vAlign w:val="center"/>
                </w:tcPr>
                <w:p w14:paraId="5A8595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heme="minorBidi"/>
                      <w:color w:val="auto"/>
                      <w:kern w:val="0"/>
                      <w:sz w:val="18"/>
                      <w:szCs w:val="18"/>
                      <w:lang w:val="en-US" w:eastAsia="zh-CN" w:bidi="ar-SA"/>
                    </w:rPr>
                  </w:pPr>
                  <w:r>
                    <w:rPr>
                      <w:rFonts w:hint="default"/>
                      <w:color w:val="auto"/>
                      <w:kern w:val="0"/>
                      <w:sz w:val="18"/>
                      <w:szCs w:val="18"/>
                    </w:rPr>
                    <w:t>是</w:t>
                  </w:r>
                </w:p>
              </w:tc>
              <w:tc>
                <w:tcPr>
                  <w:tcW w:w="634" w:type="pct"/>
                  <w:shd w:val="clear" w:color="auto" w:fill="auto"/>
                  <w:noWrap w:val="0"/>
                  <w:vAlign w:val="center"/>
                </w:tcPr>
                <w:p w14:paraId="1F46C6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heme="minorBidi"/>
                      <w:color w:val="auto"/>
                      <w:kern w:val="0"/>
                      <w:sz w:val="18"/>
                      <w:szCs w:val="18"/>
                      <w:lang w:val="en-US" w:eastAsia="zh-CN" w:bidi="ar-SA"/>
                    </w:rPr>
                  </w:pPr>
                  <w:r>
                    <w:rPr>
                      <w:rFonts w:hint="eastAsia"/>
                      <w:color w:val="auto"/>
                      <w:kern w:val="0"/>
                      <w:sz w:val="18"/>
                      <w:szCs w:val="18"/>
                      <w:lang w:val="en-US" w:eastAsia="zh-CN"/>
                    </w:rPr>
                    <w:t>4.1h</w:t>
                  </w:r>
                </w:p>
              </w:tc>
            </w:tr>
            <w:tr w14:paraId="25EDC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6" w:type="pct"/>
                  <w:shd w:val="clear" w:color="auto" w:fill="auto"/>
                  <w:noWrap w:val="0"/>
                  <w:vAlign w:val="center"/>
                </w:tcPr>
                <w:p w14:paraId="7C89E63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auto"/>
                      <w:kern w:val="0"/>
                      <w:sz w:val="18"/>
                      <w:szCs w:val="18"/>
                      <w:lang w:val="en-US" w:eastAsia="zh-CN" w:bidi="ar"/>
                    </w:rPr>
                  </w:pPr>
                  <w:r>
                    <w:rPr>
                      <w:rFonts w:hint="eastAsia" w:cs="Times New Roman"/>
                      <w:color w:val="auto"/>
                      <w:kern w:val="0"/>
                      <w:sz w:val="18"/>
                      <w:szCs w:val="18"/>
                      <w:lang w:val="en-US" w:eastAsia="zh-CN" w:bidi="ar"/>
                    </w:rPr>
                    <w:t>10</w:t>
                  </w:r>
                </w:p>
              </w:tc>
              <w:tc>
                <w:tcPr>
                  <w:tcW w:w="877" w:type="pct"/>
                  <w:shd w:val="clear" w:color="auto" w:fill="auto"/>
                  <w:noWrap w:val="0"/>
                  <w:vAlign w:val="center"/>
                </w:tcPr>
                <w:p w14:paraId="3E6E8E5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auto"/>
                      <w:sz w:val="18"/>
                      <w:szCs w:val="18"/>
                      <w:lang w:val="en-US" w:eastAsia="zh-CN"/>
                    </w:rPr>
                  </w:pPr>
                  <w:r>
                    <w:rPr>
                      <w:rFonts w:hint="eastAsia" w:cs="Times New Roman"/>
                      <w:color w:val="auto"/>
                      <w:sz w:val="18"/>
                      <w:szCs w:val="18"/>
                      <w:lang w:val="en-US" w:eastAsia="zh-CN"/>
                    </w:rPr>
                    <w:t>废灯管</w:t>
                  </w:r>
                </w:p>
              </w:tc>
              <w:tc>
                <w:tcPr>
                  <w:tcW w:w="732" w:type="pct"/>
                  <w:shd w:val="clear" w:color="auto" w:fill="auto"/>
                  <w:noWrap w:val="0"/>
                  <w:vAlign w:val="center"/>
                </w:tcPr>
                <w:p w14:paraId="636F3B5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auto"/>
                      <w:sz w:val="18"/>
                      <w:szCs w:val="18"/>
                      <w:lang w:val="en-US" w:eastAsia="zh-CN"/>
                    </w:rPr>
                  </w:pPr>
                  <w:r>
                    <w:rPr>
                      <w:rFonts w:hint="eastAsia" w:cs="Times New Roman"/>
                      <w:color w:val="auto"/>
                      <w:sz w:val="18"/>
                      <w:szCs w:val="18"/>
                      <w:lang w:val="en-US" w:eastAsia="zh-CN"/>
                    </w:rPr>
                    <w:t>消毒</w:t>
                  </w:r>
                </w:p>
              </w:tc>
              <w:tc>
                <w:tcPr>
                  <w:tcW w:w="527" w:type="pct"/>
                  <w:shd w:val="clear" w:color="auto" w:fill="auto"/>
                  <w:noWrap w:val="0"/>
                  <w:vAlign w:val="center"/>
                </w:tcPr>
                <w:p w14:paraId="024E9E6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eastAsia="宋体" w:cs="Times New Roman"/>
                      <w:color w:val="auto"/>
                      <w:kern w:val="0"/>
                      <w:sz w:val="18"/>
                      <w:szCs w:val="18"/>
                      <w:lang w:val="en-US" w:eastAsia="zh-CN" w:bidi="ar"/>
                    </w:rPr>
                  </w:pPr>
                  <w:r>
                    <w:rPr>
                      <w:rFonts w:hint="eastAsia" w:cs="Times New Roman"/>
                      <w:color w:val="auto"/>
                      <w:kern w:val="0"/>
                      <w:sz w:val="18"/>
                      <w:szCs w:val="18"/>
                      <w:lang w:val="en-US" w:eastAsia="zh-CN" w:bidi="ar"/>
                    </w:rPr>
                    <w:t>固态</w:t>
                  </w:r>
                </w:p>
              </w:tc>
              <w:tc>
                <w:tcPr>
                  <w:tcW w:w="1313" w:type="pct"/>
                  <w:shd w:val="clear" w:color="auto" w:fill="auto"/>
                  <w:noWrap w:val="0"/>
                  <w:vAlign w:val="center"/>
                </w:tcPr>
                <w:p w14:paraId="5323AD7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auto"/>
                      <w:sz w:val="18"/>
                      <w:szCs w:val="18"/>
                      <w:lang w:val="en-US" w:eastAsia="zh-CN"/>
                    </w:rPr>
                  </w:pPr>
                  <w:r>
                    <w:rPr>
                      <w:rFonts w:hint="eastAsia" w:cs="Times New Roman"/>
                      <w:color w:val="auto"/>
                      <w:sz w:val="18"/>
                      <w:szCs w:val="18"/>
                      <w:lang w:val="en-US" w:eastAsia="zh-CN"/>
                    </w:rPr>
                    <w:t>含汞废物</w:t>
                  </w:r>
                </w:p>
              </w:tc>
              <w:tc>
                <w:tcPr>
                  <w:tcW w:w="577" w:type="pct"/>
                  <w:shd w:val="clear" w:color="auto" w:fill="auto"/>
                  <w:noWrap w:val="0"/>
                  <w:vAlign w:val="center"/>
                </w:tcPr>
                <w:p w14:paraId="66E1E2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olor w:val="auto"/>
                      <w:kern w:val="0"/>
                      <w:sz w:val="18"/>
                      <w:szCs w:val="18"/>
                    </w:rPr>
                  </w:pPr>
                  <w:r>
                    <w:rPr>
                      <w:rFonts w:hint="default"/>
                      <w:color w:val="auto"/>
                      <w:kern w:val="0"/>
                      <w:sz w:val="18"/>
                      <w:szCs w:val="18"/>
                    </w:rPr>
                    <w:t>是</w:t>
                  </w:r>
                </w:p>
              </w:tc>
              <w:tc>
                <w:tcPr>
                  <w:tcW w:w="634" w:type="pct"/>
                  <w:shd w:val="clear" w:color="auto" w:fill="auto"/>
                  <w:noWrap w:val="0"/>
                  <w:vAlign w:val="center"/>
                </w:tcPr>
                <w:p w14:paraId="138933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kern w:val="0"/>
                      <w:sz w:val="18"/>
                      <w:szCs w:val="18"/>
                      <w:lang w:val="en-US" w:eastAsia="zh-CN"/>
                    </w:rPr>
                  </w:pPr>
                  <w:r>
                    <w:rPr>
                      <w:rFonts w:hint="eastAsia"/>
                      <w:color w:val="auto"/>
                      <w:kern w:val="0"/>
                      <w:sz w:val="18"/>
                      <w:szCs w:val="18"/>
                    </w:rPr>
                    <w:t>4.2l</w:t>
                  </w:r>
                </w:p>
              </w:tc>
            </w:tr>
            <w:tr w14:paraId="2342A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36" w:type="pct"/>
                  <w:shd w:val="clear" w:color="auto" w:fill="auto"/>
                  <w:noWrap w:val="0"/>
                  <w:vAlign w:val="center"/>
                </w:tcPr>
                <w:p w14:paraId="0E308FA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eastAsia="宋体"/>
                      <w:color w:val="auto"/>
                      <w:kern w:val="0"/>
                      <w:sz w:val="18"/>
                      <w:szCs w:val="18"/>
                      <w:lang w:eastAsia="zh-CN"/>
                    </w:rPr>
                  </w:pPr>
                  <w:r>
                    <w:rPr>
                      <w:rFonts w:hint="default" w:cs="Times New Roman"/>
                      <w:color w:val="auto"/>
                      <w:kern w:val="0"/>
                      <w:sz w:val="18"/>
                      <w:szCs w:val="18"/>
                      <w:lang w:bidi="ar"/>
                    </w:rPr>
                    <w:t>1</w:t>
                  </w:r>
                  <w:r>
                    <w:rPr>
                      <w:rFonts w:hint="eastAsia" w:cs="Times New Roman"/>
                      <w:color w:val="auto"/>
                      <w:kern w:val="0"/>
                      <w:sz w:val="18"/>
                      <w:szCs w:val="18"/>
                      <w:lang w:val="en-US" w:eastAsia="zh-CN" w:bidi="ar"/>
                    </w:rPr>
                    <w:t>1</w:t>
                  </w:r>
                </w:p>
              </w:tc>
              <w:tc>
                <w:tcPr>
                  <w:tcW w:w="877" w:type="pct"/>
                  <w:shd w:val="clear" w:color="auto" w:fill="auto"/>
                  <w:noWrap w:val="0"/>
                  <w:vAlign w:val="center"/>
                </w:tcPr>
                <w:p w14:paraId="1CD1222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sz w:val="18"/>
                      <w:szCs w:val="18"/>
                    </w:rPr>
                    <w:t>生活垃圾</w:t>
                  </w:r>
                </w:p>
              </w:tc>
              <w:tc>
                <w:tcPr>
                  <w:tcW w:w="732" w:type="pct"/>
                  <w:shd w:val="clear" w:color="auto" w:fill="auto"/>
                  <w:noWrap w:val="0"/>
                  <w:vAlign w:val="center"/>
                </w:tcPr>
                <w:p w14:paraId="273A5B4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kern w:val="0"/>
                      <w:sz w:val="18"/>
                      <w:szCs w:val="18"/>
                      <w:lang w:bidi="ar"/>
                    </w:rPr>
                    <w:t>员工生活</w:t>
                  </w:r>
                </w:p>
              </w:tc>
              <w:tc>
                <w:tcPr>
                  <w:tcW w:w="527" w:type="pct"/>
                  <w:shd w:val="clear" w:color="auto" w:fill="auto"/>
                  <w:noWrap w:val="0"/>
                  <w:vAlign w:val="center"/>
                </w:tcPr>
                <w:p w14:paraId="23D8B2C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kern w:val="0"/>
                      <w:sz w:val="18"/>
                      <w:szCs w:val="18"/>
                      <w:lang w:bidi="ar"/>
                    </w:rPr>
                    <w:t>固态</w:t>
                  </w:r>
                </w:p>
              </w:tc>
              <w:tc>
                <w:tcPr>
                  <w:tcW w:w="1313" w:type="pct"/>
                  <w:shd w:val="clear" w:color="auto" w:fill="auto"/>
                  <w:noWrap w:val="0"/>
                  <w:vAlign w:val="center"/>
                </w:tcPr>
                <w:p w14:paraId="31F6A86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kern w:val="0"/>
                      <w:sz w:val="18"/>
                      <w:szCs w:val="18"/>
                      <w:lang w:val="en-US" w:eastAsia="zh-CN" w:bidi="ar-SA"/>
                    </w:rPr>
                  </w:pPr>
                  <w:r>
                    <w:rPr>
                      <w:rFonts w:hint="default" w:cs="Times New Roman"/>
                      <w:color w:val="auto"/>
                      <w:kern w:val="0"/>
                      <w:sz w:val="18"/>
                      <w:szCs w:val="18"/>
                      <w:lang w:bidi="ar"/>
                    </w:rPr>
                    <w:t>生活垃圾</w:t>
                  </w:r>
                </w:p>
              </w:tc>
              <w:tc>
                <w:tcPr>
                  <w:tcW w:w="577" w:type="pct"/>
                  <w:shd w:val="clear" w:color="auto" w:fill="auto"/>
                  <w:noWrap w:val="0"/>
                  <w:vAlign w:val="center"/>
                </w:tcPr>
                <w:p w14:paraId="39F5B4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heme="minorBidi"/>
                      <w:color w:val="auto"/>
                      <w:kern w:val="0"/>
                      <w:sz w:val="18"/>
                      <w:szCs w:val="18"/>
                      <w:lang w:val="en-US" w:eastAsia="zh-CN" w:bidi="ar-SA"/>
                    </w:rPr>
                  </w:pPr>
                  <w:r>
                    <w:rPr>
                      <w:rFonts w:hint="default"/>
                      <w:color w:val="auto"/>
                      <w:kern w:val="0"/>
                      <w:sz w:val="18"/>
                      <w:szCs w:val="18"/>
                    </w:rPr>
                    <w:t>是</w:t>
                  </w:r>
                </w:p>
              </w:tc>
              <w:tc>
                <w:tcPr>
                  <w:tcW w:w="634" w:type="pct"/>
                  <w:shd w:val="clear" w:color="auto" w:fill="auto"/>
                  <w:noWrap w:val="0"/>
                  <w:vAlign w:val="center"/>
                </w:tcPr>
                <w:p w14:paraId="10D8F3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heme="minorBidi"/>
                      <w:color w:val="auto"/>
                      <w:kern w:val="0"/>
                      <w:sz w:val="18"/>
                      <w:szCs w:val="18"/>
                      <w:lang w:val="en-US" w:eastAsia="zh-CN" w:bidi="ar-SA"/>
                    </w:rPr>
                  </w:pPr>
                  <w:r>
                    <w:rPr>
                      <w:rFonts w:hint="default"/>
                      <w:color w:val="auto"/>
                      <w:kern w:val="0"/>
                      <w:sz w:val="18"/>
                      <w:szCs w:val="18"/>
                    </w:rPr>
                    <w:t>4.1</w:t>
                  </w:r>
                </w:p>
              </w:tc>
            </w:tr>
          </w:tbl>
          <w:p w14:paraId="4F38DE83">
            <w:pPr>
              <w:pStyle w:val="2"/>
              <w:keepNext w:val="0"/>
              <w:keepLines w:val="0"/>
              <w:suppressLineNumbers w:val="0"/>
              <w:spacing w:before="0" w:beforeAutospacing="0" w:after="0" w:afterAutospacing="0"/>
              <w:ind w:left="0" w:leftChars="0" w:right="0" w:firstLine="0" w:firstLineChars="0"/>
              <w:rPr>
                <w:rFonts w:hint="default"/>
                <w:color w:val="auto"/>
              </w:rPr>
            </w:pPr>
          </w:p>
          <w:p w14:paraId="70C2281F">
            <w:pPr>
              <w:pStyle w:val="2"/>
              <w:keepNext w:val="0"/>
              <w:keepLines w:val="0"/>
              <w:suppressLineNumbers w:val="0"/>
              <w:spacing w:before="0" w:beforeAutospacing="0" w:after="0" w:afterAutospacing="0"/>
              <w:ind w:left="0" w:leftChars="0" w:right="0" w:firstLine="0" w:firstLineChars="0"/>
              <w:rPr>
                <w:rFonts w:hint="default" w:eastAsia="宋体"/>
                <w:color w:val="auto"/>
                <w:lang w:val="en-US" w:eastAsia="zh-CN"/>
              </w:rPr>
            </w:pPr>
          </w:p>
        </w:tc>
      </w:tr>
    </w:tbl>
    <w:p w14:paraId="068561A9">
      <w:pPr>
        <w:pStyle w:val="2"/>
        <w:ind w:firstLine="0" w:firstLineChars="0"/>
        <w:sectPr>
          <w:pgSz w:w="11906" w:h="16838"/>
          <w:pgMar w:top="1440" w:right="1800" w:bottom="1440" w:left="1800" w:header="851" w:footer="992" w:gutter="0"/>
          <w:cols w:space="425" w:num="1"/>
          <w:docGrid w:type="lines"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6"/>
        <w:gridCol w:w="13568"/>
      </w:tblGrid>
      <w:tr w14:paraId="75FE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dxa"/>
          </w:tcPr>
          <w:p w14:paraId="11ACE0EF">
            <w:pPr>
              <w:pStyle w:val="2"/>
              <w:keepNext w:val="0"/>
              <w:keepLines w:val="0"/>
              <w:suppressLineNumbers w:val="0"/>
              <w:spacing w:before="0" w:beforeAutospacing="0" w:after="0" w:afterAutospacing="0"/>
              <w:ind w:left="0" w:right="0" w:firstLine="480"/>
              <w:rPr>
                <w:rFonts w:hint="default"/>
              </w:rPr>
            </w:pPr>
          </w:p>
        </w:tc>
        <w:tc>
          <w:tcPr>
            <w:tcW w:w="13568" w:type="dxa"/>
          </w:tcPr>
          <w:p w14:paraId="7EA15F40">
            <w:pPr>
              <w:pStyle w:val="2"/>
              <w:keepNext w:val="0"/>
              <w:keepLines w:val="0"/>
              <w:suppressLineNumbers w:val="0"/>
              <w:spacing w:before="0" w:beforeAutospacing="0" w:after="0" w:afterAutospacing="0"/>
              <w:ind w:left="0" w:right="0" w:firstLine="0" w:firstLineChars="0"/>
              <w:jc w:val="center"/>
              <w:rPr>
                <w:rFonts w:hint="default" w:eastAsia="黑体" w:cs="Times New Roman"/>
                <w:szCs w:val="24"/>
              </w:rPr>
            </w:pPr>
            <w:r>
              <w:rPr>
                <w:rFonts w:hint="default" w:eastAsia="黑体" w:cs="Times New Roman"/>
                <w:szCs w:val="24"/>
              </w:rPr>
              <w:t>表4-</w:t>
            </w:r>
            <w:r>
              <w:rPr>
                <w:rFonts w:hint="eastAsia" w:eastAsia="黑体" w:cs="Times New Roman"/>
                <w:szCs w:val="24"/>
              </w:rPr>
              <w:t>1</w:t>
            </w:r>
            <w:r>
              <w:rPr>
                <w:rFonts w:hint="eastAsia" w:eastAsia="黑体" w:cs="Times New Roman"/>
                <w:szCs w:val="24"/>
                <w:lang w:val="en-US" w:eastAsia="zh-CN"/>
              </w:rPr>
              <w:t>2</w:t>
            </w:r>
            <w:r>
              <w:rPr>
                <w:rFonts w:hint="eastAsia" w:eastAsia="黑体" w:cs="Times New Roman"/>
                <w:szCs w:val="24"/>
              </w:rPr>
              <w:t xml:space="preserve"> </w:t>
            </w:r>
            <w:r>
              <w:rPr>
                <w:rFonts w:hint="default" w:eastAsia="黑体" w:cs="Times New Roman"/>
                <w:szCs w:val="24"/>
              </w:rPr>
              <w:t xml:space="preserve"> </w:t>
            </w:r>
            <w:r>
              <w:rPr>
                <w:rFonts w:hint="eastAsia" w:eastAsia="黑体" w:cs="Times New Roman"/>
                <w:szCs w:val="24"/>
              </w:rPr>
              <w:t>副产物产生情况汇总表</w:t>
            </w:r>
          </w:p>
          <w:tbl>
            <w:tblPr>
              <w:tblStyle w:val="16"/>
              <w:tblW w:w="4998" w:type="pct"/>
              <w:jc w:val="center"/>
              <w:tblLayout w:type="autofit"/>
              <w:tblCellMar>
                <w:top w:w="0" w:type="dxa"/>
                <w:left w:w="108" w:type="dxa"/>
                <w:bottom w:w="0" w:type="dxa"/>
                <w:right w:w="108" w:type="dxa"/>
              </w:tblCellMar>
            </w:tblPr>
            <w:tblGrid>
              <w:gridCol w:w="925"/>
              <w:gridCol w:w="2258"/>
              <w:gridCol w:w="1312"/>
              <w:gridCol w:w="1165"/>
              <w:gridCol w:w="2399"/>
              <w:gridCol w:w="1622"/>
              <w:gridCol w:w="2044"/>
              <w:gridCol w:w="1622"/>
            </w:tblGrid>
            <w:tr w14:paraId="024E1B46">
              <w:tblPrEx>
                <w:tblCellMar>
                  <w:top w:w="0" w:type="dxa"/>
                  <w:left w:w="108" w:type="dxa"/>
                  <w:bottom w:w="0" w:type="dxa"/>
                  <w:right w:w="108" w:type="dxa"/>
                </w:tblCellMar>
              </w:tblPrEx>
              <w:trPr>
                <w:trHeight w:val="340" w:hRule="atLeast"/>
                <w:jc w:val="center"/>
              </w:trPr>
              <w:tc>
                <w:tcPr>
                  <w:tcW w:w="346" w:type="pct"/>
                  <w:tcBorders>
                    <w:top w:val="single" w:color="auto" w:sz="4" w:space="0"/>
                    <w:left w:val="single" w:color="auto" w:sz="4" w:space="0"/>
                    <w:bottom w:val="single" w:color="auto" w:sz="4" w:space="0"/>
                    <w:right w:val="single" w:color="auto" w:sz="4" w:space="0"/>
                  </w:tcBorders>
                  <w:shd w:val="clear" w:color="auto" w:fill="auto"/>
                  <w:vAlign w:val="center"/>
                </w:tcPr>
                <w:p w14:paraId="2F80A39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sz w:val="18"/>
                      <w:szCs w:val="18"/>
                    </w:rPr>
                  </w:pPr>
                  <w:r>
                    <w:rPr>
                      <w:rFonts w:hint="default" w:cs="Times New Roman"/>
                      <w:color w:val="000000"/>
                      <w:kern w:val="0"/>
                      <w:sz w:val="18"/>
                      <w:szCs w:val="18"/>
                      <w:lang w:bidi="ar"/>
                    </w:rPr>
                    <w:t>序号</w:t>
                  </w:r>
                </w:p>
              </w:tc>
              <w:tc>
                <w:tcPr>
                  <w:tcW w:w="845" w:type="pct"/>
                  <w:tcBorders>
                    <w:top w:val="single" w:color="auto" w:sz="4" w:space="0"/>
                    <w:left w:val="nil"/>
                    <w:bottom w:val="single" w:color="auto" w:sz="4" w:space="0"/>
                    <w:right w:val="single" w:color="auto" w:sz="4" w:space="0"/>
                  </w:tcBorders>
                  <w:shd w:val="clear" w:color="auto" w:fill="auto"/>
                  <w:vAlign w:val="center"/>
                </w:tcPr>
                <w:p w14:paraId="0734D37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sz w:val="18"/>
                      <w:szCs w:val="18"/>
                    </w:rPr>
                  </w:pPr>
                  <w:r>
                    <w:rPr>
                      <w:rFonts w:hint="default" w:cs="Times New Roman"/>
                      <w:color w:val="000000"/>
                      <w:kern w:val="0"/>
                      <w:sz w:val="18"/>
                      <w:szCs w:val="18"/>
                      <w:lang w:bidi="ar"/>
                    </w:rPr>
                    <w:t>副产物名称</w:t>
                  </w:r>
                </w:p>
              </w:tc>
              <w:tc>
                <w:tcPr>
                  <w:tcW w:w="491" w:type="pct"/>
                  <w:tcBorders>
                    <w:top w:val="single" w:color="auto" w:sz="4" w:space="0"/>
                    <w:left w:val="nil"/>
                    <w:bottom w:val="single" w:color="auto" w:sz="4" w:space="0"/>
                    <w:right w:val="single" w:color="auto" w:sz="4" w:space="0"/>
                  </w:tcBorders>
                  <w:shd w:val="clear" w:color="auto" w:fill="auto"/>
                  <w:vAlign w:val="center"/>
                </w:tcPr>
                <w:p w14:paraId="79E4AA1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sz w:val="18"/>
                      <w:szCs w:val="18"/>
                    </w:rPr>
                  </w:pPr>
                  <w:r>
                    <w:rPr>
                      <w:rFonts w:hint="default" w:cs="Times New Roman"/>
                      <w:color w:val="000000"/>
                      <w:kern w:val="0"/>
                      <w:sz w:val="18"/>
                      <w:szCs w:val="18"/>
                      <w:lang w:bidi="ar"/>
                    </w:rPr>
                    <w:t>产生工序</w:t>
                  </w:r>
                </w:p>
              </w:tc>
              <w:tc>
                <w:tcPr>
                  <w:tcW w:w="436" w:type="pct"/>
                  <w:tcBorders>
                    <w:top w:val="single" w:color="auto" w:sz="4" w:space="0"/>
                    <w:left w:val="nil"/>
                    <w:bottom w:val="single" w:color="auto" w:sz="4" w:space="0"/>
                    <w:right w:val="single" w:color="auto" w:sz="4" w:space="0"/>
                  </w:tcBorders>
                  <w:shd w:val="clear" w:color="auto" w:fill="auto"/>
                  <w:vAlign w:val="center"/>
                </w:tcPr>
                <w:p w14:paraId="34145F4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sz w:val="18"/>
                      <w:szCs w:val="18"/>
                    </w:rPr>
                  </w:pPr>
                  <w:r>
                    <w:rPr>
                      <w:rFonts w:hint="default" w:cs="Times New Roman"/>
                      <w:color w:val="000000"/>
                      <w:kern w:val="0"/>
                      <w:sz w:val="18"/>
                      <w:szCs w:val="18"/>
                      <w:lang w:bidi="ar"/>
                    </w:rPr>
                    <w:t>形态</w:t>
                  </w:r>
                </w:p>
              </w:tc>
              <w:tc>
                <w:tcPr>
                  <w:tcW w:w="898" w:type="pct"/>
                  <w:tcBorders>
                    <w:top w:val="single" w:color="auto" w:sz="4" w:space="0"/>
                    <w:left w:val="nil"/>
                    <w:bottom w:val="single" w:color="auto" w:sz="4" w:space="0"/>
                    <w:right w:val="single" w:color="auto" w:sz="4" w:space="0"/>
                  </w:tcBorders>
                  <w:shd w:val="clear" w:color="auto" w:fill="auto"/>
                  <w:vAlign w:val="center"/>
                </w:tcPr>
                <w:p w14:paraId="43E4A44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sz w:val="18"/>
                      <w:szCs w:val="18"/>
                    </w:rPr>
                  </w:pPr>
                  <w:r>
                    <w:rPr>
                      <w:rFonts w:hint="default" w:cs="Times New Roman"/>
                      <w:color w:val="000000"/>
                      <w:kern w:val="0"/>
                      <w:sz w:val="18"/>
                      <w:szCs w:val="18"/>
                      <w:lang w:bidi="ar"/>
                    </w:rPr>
                    <w:t>主要成分</w:t>
                  </w:r>
                </w:p>
              </w:tc>
              <w:tc>
                <w:tcPr>
                  <w:tcW w:w="607" w:type="pct"/>
                  <w:tcBorders>
                    <w:top w:val="single" w:color="auto" w:sz="4" w:space="0"/>
                    <w:left w:val="nil"/>
                    <w:bottom w:val="single" w:color="auto" w:sz="4" w:space="0"/>
                    <w:right w:val="single" w:color="auto" w:sz="4" w:space="0"/>
                  </w:tcBorders>
                  <w:shd w:val="clear" w:color="auto" w:fill="auto"/>
                  <w:vAlign w:val="center"/>
                </w:tcPr>
                <w:p w14:paraId="78E47BD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sz w:val="18"/>
                      <w:szCs w:val="18"/>
                    </w:rPr>
                  </w:pPr>
                  <w:r>
                    <w:rPr>
                      <w:rFonts w:hint="default" w:cs="Times New Roman"/>
                      <w:color w:val="000000"/>
                      <w:kern w:val="0"/>
                      <w:sz w:val="18"/>
                      <w:szCs w:val="18"/>
                      <w:lang w:bidi="ar"/>
                    </w:rPr>
                    <w:t>属性</w:t>
                  </w:r>
                </w:p>
              </w:tc>
              <w:tc>
                <w:tcPr>
                  <w:tcW w:w="765" w:type="pct"/>
                  <w:tcBorders>
                    <w:top w:val="single" w:color="auto" w:sz="4" w:space="0"/>
                    <w:left w:val="nil"/>
                    <w:bottom w:val="single" w:color="auto" w:sz="4" w:space="0"/>
                    <w:right w:val="single" w:color="auto" w:sz="4" w:space="0"/>
                  </w:tcBorders>
                  <w:shd w:val="clear" w:color="auto" w:fill="auto"/>
                  <w:vAlign w:val="center"/>
                </w:tcPr>
                <w:p w14:paraId="620D879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sz w:val="18"/>
                      <w:szCs w:val="18"/>
                    </w:rPr>
                  </w:pPr>
                  <w:r>
                    <w:rPr>
                      <w:rFonts w:hint="default" w:cs="Times New Roman"/>
                      <w:color w:val="000000"/>
                      <w:kern w:val="0"/>
                      <w:sz w:val="18"/>
                      <w:szCs w:val="18"/>
                      <w:lang w:bidi="ar"/>
                    </w:rPr>
                    <w:t>代码</w:t>
                  </w:r>
                </w:p>
              </w:tc>
              <w:tc>
                <w:tcPr>
                  <w:tcW w:w="607" w:type="pct"/>
                  <w:tcBorders>
                    <w:top w:val="single" w:color="auto" w:sz="4" w:space="0"/>
                    <w:left w:val="nil"/>
                    <w:bottom w:val="single" w:color="auto" w:sz="4" w:space="0"/>
                    <w:right w:val="single" w:color="auto" w:sz="4" w:space="0"/>
                  </w:tcBorders>
                  <w:shd w:val="clear" w:color="auto" w:fill="auto"/>
                  <w:vAlign w:val="center"/>
                </w:tcPr>
                <w:p w14:paraId="11B7FFA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sz w:val="18"/>
                      <w:szCs w:val="18"/>
                    </w:rPr>
                  </w:pPr>
                  <w:r>
                    <w:rPr>
                      <w:rFonts w:hint="default" w:cs="Times New Roman"/>
                      <w:color w:val="000000"/>
                      <w:kern w:val="0"/>
                      <w:sz w:val="18"/>
                      <w:szCs w:val="18"/>
                      <w:lang w:bidi="ar"/>
                    </w:rPr>
                    <w:t>预计产生量（t/a）</w:t>
                  </w:r>
                </w:p>
              </w:tc>
            </w:tr>
            <w:tr w14:paraId="019CCDBA">
              <w:tblPrEx>
                <w:tblCellMar>
                  <w:top w:w="0" w:type="dxa"/>
                  <w:left w:w="108" w:type="dxa"/>
                  <w:bottom w:w="0" w:type="dxa"/>
                  <w:right w:w="108" w:type="dxa"/>
                </w:tblCellMar>
              </w:tblPrEx>
              <w:trPr>
                <w:trHeight w:val="340" w:hRule="atLeast"/>
                <w:jc w:val="center"/>
              </w:trPr>
              <w:tc>
                <w:tcPr>
                  <w:tcW w:w="346" w:type="pct"/>
                  <w:tcBorders>
                    <w:top w:val="nil"/>
                    <w:left w:val="single" w:color="auto" w:sz="4" w:space="0"/>
                    <w:bottom w:val="single" w:color="auto" w:sz="4" w:space="0"/>
                    <w:right w:val="single" w:color="auto" w:sz="4" w:space="0"/>
                  </w:tcBorders>
                  <w:shd w:val="clear" w:color="auto" w:fill="auto"/>
                  <w:vAlign w:val="center"/>
                </w:tcPr>
                <w:p w14:paraId="2FB3612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sz w:val="18"/>
                      <w:szCs w:val="18"/>
                    </w:rPr>
                  </w:pPr>
                  <w:r>
                    <w:rPr>
                      <w:rFonts w:hint="default" w:cs="Times New Roman"/>
                      <w:color w:val="000000"/>
                      <w:kern w:val="0"/>
                      <w:sz w:val="18"/>
                      <w:szCs w:val="18"/>
                      <w:lang w:bidi="ar"/>
                    </w:rPr>
                    <w:t>1</w:t>
                  </w:r>
                </w:p>
              </w:tc>
              <w:tc>
                <w:tcPr>
                  <w:tcW w:w="845" w:type="pct"/>
                  <w:tcBorders>
                    <w:top w:val="nil"/>
                    <w:left w:val="nil"/>
                    <w:bottom w:val="single" w:color="auto" w:sz="4" w:space="0"/>
                    <w:right w:val="single" w:color="auto" w:sz="4" w:space="0"/>
                  </w:tcBorders>
                  <w:shd w:val="clear" w:color="auto" w:fill="auto"/>
                  <w:vAlign w:val="center"/>
                </w:tcPr>
                <w:p w14:paraId="4D5965E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sz w:val="18"/>
                      <w:szCs w:val="18"/>
                    </w:rPr>
                  </w:pPr>
                  <w:r>
                    <w:rPr>
                      <w:rFonts w:hint="default" w:cs="Times New Roman"/>
                      <w:color w:val="000000"/>
                      <w:sz w:val="18"/>
                      <w:szCs w:val="18"/>
                      <w:lang w:val="en-US" w:eastAsia="zh-CN"/>
                    </w:rPr>
                    <w:t>不合格品</w:t>
                  </w:r>
                </w:p>
              </w:tc>
              <w:tc>
                <w:tcPr>
                  <w:tcW w:w="491" w:type="pct"/>
                  <w:tcBorders>
                    <w:top w:val="nil"/>
                    <w:left w:val="nil"/>
                    <w:bottom w:val="single" w:color="auto" w:sz="4" w:space="0"/>
                    <w:right w:val="single" w:color="auto" w:sz="4" w:space="0"/>
                  </w:tcBorders>
                  <w:shd w:val="clear" w:color="auto" w:fill="auto"/>
                  <w:vAlign w:val="center"/>
                </w:tcPr>
                <w:p w14:paraId="538E10D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s="Times New Roman"/>
                      <w:color w:val="000000"/>
                      <w:sz w:val="18"/>
                      <w:szCs w:val="18"/>
                      <w:lang w:val="en-US" w:eastAsia="zh-CN"/>
                    </w:rPr>
                  </w:pPr>
                  <w:r>
                    <w:rPr>
                      <w:rFonts w:hint="eastAsia" w:cs="Times New Roman"/>
                      <w:color w:val="000000"/>
                      <w:sz w:val="18"/>
                      <w:szCs w:val="18"/>
                      <w:lang w:val="en-US" w:eastAsia="zh-CN"/>
                    </w:rPr>
                    <w:t>检验</w:t>
                  </w:r>
                </w:p>
              </w:tc>
              <w:tc>
                <w:tcPr>
                  <w:tcW w:w="436" w:type="pct"/>
                  <w:tcBorders>
                    <w:top w:val="nil"/>
                    <w:left w:val="nil"/>
                    <w:bottom w:val="single" w:color="auto" w:sz="4" w:space="0"/>
                    <w:right w:val="single" w:color="auto" w:sz="4" w:space="0"/>
                  </w:tcBorders>
                  <w:shd w:val="clear" w:color="auto" w:fill="auto"/>
                  <w:vAlign w:val="center"/>
                </w:tcPr>
                <w:p w14:paraId="721A732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sz w:val="18"/>
                      <w:szCs w:val="18"/>
                    </w:rPr>
                  </w:pPr>
                  <w:r>
                    <w:rPr>
                      <w:rFonts w:hint="default" w:cs="Times New Roman"/>
                      <w:color w:val="000000"/>
                      <w:kern w:val="0"/>
                      <w:sz w:val="18"/>
                      <w:szCs w:val="18"/>
                      <w:lang w:bidi="ar"/>
                    </w:rPr>
                    <w:t>固态</w:t>
                  </w:r>
                </w:p>
              </w:tc>
              <w:tc>
                <w:tcPr>
                  <w:tcW w:w="898" w:type="pct"/>
                  <w:tcBorders>
                    <w:top w:val="nil"/>
                    <w:left w:val="nil"/>
                    <w:bottom w:val="single" w:color="auto" w:sz="4" w:space="0"/>
                    <w:right w:val="single" w:color="auto" w:sz="4" w:space="0"/>
                  </w:tcBorders>
                  <w:shd w:val="clear" w:color="auto" w:fill="auto"/>
                  <w:vAlign w:val="center"/>
                </w:tcPr>
                <w:p w14:paraId="39D69F2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eastAsia="宋体" w:cs="Times New Roman"/>
                      <w:color w:val="000000"/>
                      <w:sz w:val="18"/>
                      <w:szCs w:val="18"/>
                      <w:lang w:val="en-US" w:eastAsia="zh-CN"/>
                    </w:rPr>
                  </w:pPr>
                  <w:r>
                    <w:rPr>
                      <w:rFonts w:hint="eastAsia" w:cs="Times New Roman"/>
                      <w:color w:val="000000"/>
                      <w:sz w:val="18"/>
                      <w:szCs w:val="18"/>
                      <w:lang w:val="en-US" w:eastAsia="zh-CN"/>
                    </w:rPr>
                    <w:t>菌液</w:t>
                  </w:r>
                </w:p>
              </w:tc>
              <w:tc>
                <w:tcPr>
                  <w:tcW w:w="607" w:type="pct"/>
                  <w:tcBorders>
                    <w:top w:val="nil"/>
                    <w:left w:val="nil"/>
                    <w:bottom w:val="single" w:color="auto" w:sz="4" w:space="0"/>
                    <w:right w:val="single" w:color="auto" w:sz="4" w:space="0"/>
                  </w:tcBorders>
                  <w:shd w:val="clear" w:color="auto" w:fill="auto"/>
                  <w:vAlign w:val="center"/>
                </w:tcPr>
                <w:p w14:paraId="6FF2C77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sz w:val="18"/>
                      <w:szCs w:val="18"/>
                    </w:rPr>
                  </w:pPr>
                  <w:r>
                    <w:rPr>
                      <w:rFonts w:hint="default" w:cs="Times New Roman"/>
                      <w:color w:val="000000"/>
                      <w:kern w:val="0"/>
                      <w:sz w:val="18"/>
                      <w:szCs w:val="18"/>
                      <w:lang w:bidi="ar"/>
                    </w:rPr>
                    <w:t>危险废物</w:t>
                  </w:r>
                </w:p>
              </w:tc>
              <w:tc>
                <w:tcPr>
                  <w:tcW w:w="765" w:type="pct"/>
                  <w:tcBorders>
                    <w:top w:val="nil"/>
                    <w:left w:val="nil"/>
                    <w:bottom w:val="single" w:color="auto" w:sz="4" w:space="0"/>
                    <w:right w:val="single" w:color="auto" w:sz="4" w:space="0"/>
                  </w:tcBorders>
                  <w:shd w:val="clear" w:color="auto" w:fill="auto"/>
                  <w:vAlign w:val="center"/>
                </w:tcPr>
                <w:p w14:paraId="73662688">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eastAsia="宋体" w:cs="Times New Roman"/>
                      <w:color w:val="000000"/>
                      <w:sz w:val="18"/>
                      <w:szCs w:val="18"/>
                      <w:lang w:eastAsia="zh-CN"/>
                    </w:rPr>
                  </w:pPr>
                  <w:r>
                    <w:rPr>
                      <w:rFonts w:hint="eastAsia" w:cs="Times New Roman"/>
                      <w:color w:val="000000"/>
                      <w:sz w:val="18"/>
                      <w:szCs w:val="18"/>
                      <w:lang w:val="en-US" w:eastAsia="zh-CN"/>
                    </w:rPr>
                    <w:t>HW01 831-003-01</w:t>
                  </w:r>
                </w:p>
              </w:tc>
              <w:tc>
                <w:tcPr>
                  <w:tcW w:w="607" w:type="pct"/>
                  <w:tcBorders>
                    <w:top w:val="nil"/>
                    <w:left w:val="nil"/>
                    <w:bottom w:val="single" w:color="auto" w:sz="4" w:space="0"/>
                    <w:right w:val="single" w:color="auto" w:sz="4" w:space="0"/>
                  </w:tcBorders>
                  <w:shd w:val="clear" w:color="auto" w:fill="auto"/>
                  <w:vAlign w:val="center"/>
                </w:tcPr>
                <w:p w14:paraId="037BC40A">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eastAsia="宋体" w:cs="Times New Roman"/>
                      <w:color w:val="000000"/>
                      <w:sz w:val="18"/>
                      <w:szCs w:val="18"/>
                      <w:lang w:val="en-US" w:eastAsia="zh-CN"/>
                    </w:rPr>
                  </w:pPr>
                  <w:r>
                    <w:rPr>
                      <w:rFonts w:hint="eastAsia" w:cs="Times New Roman"/>
                      <w:color w:val="000000"/>
                      <w:sz w:val="18"/>
                      <w:szCs w:val="18"/>
                      <w:lang w:val="en-US" w:eastAsia="zh-CN"/>
                    </w:rPr>
                    <w:t>0.001</w:t>
                  </w:r>
                </w:p>
              </w:tc>
            </w:tr>
            <w:tr w14:paraId="176D40F0">
              <w:tblPrEx>
                <w:tblCellMar>
                  <w:top w:w="0" w:type="dxa"/>
                  <w:left w:w="108" w:type="dxa"/>
                  <w:bottom w:w="0" w:type="dxa"/>
                  <w:right w:w="108" w:type="dxa"/>
                </w:tblCellMar>
              </w:tblPrEx>
              <w:trPr>
                <w:trHeight w:val="340" w:hRule="atLeast"/>
                <w:jc w:val="center"/>
              </w:trPr>
              <w:tc>
                <w:tcPr>
                  <w:tcW w:w="346" w:type="pct"/>
                  <w:tcBorders>
                    <w:top w:val="nil"/>
                    <w:left w:val="single" w:color="auto" w:sz="4" w:space="0"/>
                    <w:bottom w:val="single" w:color="auto" w:sz="4" w:space="0"/>
                    <w:right w:val="single" w:color="auto" w:sz="4" w:space="0"/>
                  </w:tcBorders>
                  <w:shd w:val="clear" w:color="auto" w:fill="auto"/>
                  <w:vAlign w:val="center"/>
                </w:tcPr>
                <w:p w14:paraId="58AEEE3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sz w:val="18"/>
                      <w:szCs w:val="18"/>
                    </w:rPr>
                  </w:pPr>
                  <w:r>
                    <w:rPr>
                      <w:rFonts w:hint="default" w:cs="Times New Roman"/>
                      <w:color w:val="000000"/>
                      <w:kern w:val="0"/>
                      <w:sz w:val="18"/>
                      <w:szCs w:val="18"/>
                      <w:lang w:bidi="ar"/>
                    </w:rPr>
                    <w:t>2</w:t>
                  </w:r>
                </w:p>
              </w:tc>
              <w:tc>
                <w:tcPr>
                  <w:tcW w:w="845" w:type="pct"/>
                  <w:tcBorders>
                    <w:top w:val="nil"/>
                    <w:left w:val="nil"/>
                    <w:bottom w:val="single" w:color="auto" w:sz="4" w:space="0"/>
                    <w:right w:val="single" w:color="auto" w:sz="4" w:space="0"/>
                  </w:tcBorders>
                  <w:shd w:val="clear" w:color="auto" w:fill="auto"/>
                  <w:vAlign w:val="center"/>
                </w:tcPr>
                <w:p w14:paraId="1120324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sz w:val="18"/>
                      <w:szCs w:val="18"/>
                      <w:lang w:val="en-US" w:eastAsia="zh-CN"/>
                    </w:rPr>
                    <w:t>实验室废物</w:t>
                  </w:r>
                </w:p>
              </w:tc>
              <w:tc>
                <w:tcPr>
                  <w:tcW w:w="491" w:type="pct"/>
                  <w:tcBorders>
                    <w:top w:val="nil"/>
                    <w:left w:val="nil"/>
                    <w:bottom w:val="single" w:color="auto" w:sz="4" w:space="0"/>
                    <w:right w:val="single" w:color="auto" w:sz="4" w:space="0"/>
                  </w:tcBorders>
                  <w:shd w:val="clear" w:color="auto" w:fill="auto"/>
                  <w:vAlign w:val="center"/>
                </w:tcPr>
                <w:p w14:paraId="343209A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sz w:val="18"/>
                      <w:szCs w:val="18"/>
                      <w:lang w:val="en-US" w:eastAsia="zh-CN"/>
                    </w:rPr>
                    <w:t>实验、检测</w:t>
                  </w:r>
                </w:p>
              </w:tc>
              <w:tc>
                <w:tcPr>
                  <w:tcW w:w="436" w:type="pct"/>
                  <w:tcBorders>
                    <w:top w:val="nil"/>
                    <w:left w:val="nil"/>
                    <w:bottom w:val="single" w:color="auto" w:sz="4" w:space="0"/>
                    <w:right w:val="single" w:color="auto" w:sz="4" w:space="0"/>
                  </w:tcBorders>
                  <w:shd w:val="clear" w:color="auto" w:fill="auto"/>
                  <w:vAlign w:val="center"/>
                </w:tcPr>
                <w:p w14:paraId="0163BD8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固态</w:t>
                  </w:r>
                </w:p>
              </w:tc>
              <w:tc>
                <w:tcPr>
                  <w:tcW w:w="898" w:type="pct"/>
                  <w:tcBorders>
                    <w:top w:val="nil"/>
                    <w:left w:val="nil"/>
                    <w:bottom w:val="single" w:color="auto" w:sz="4" w:space="0"/>
                    <w:right w:val="single" w:color="auto" w:sz="4" w:space="0"/>
                  </w:tcBorders>
                  <w:shd w:val="clear" w:color="auto" w:fill="auto"/>
                  <w:vAlign w:val="center"/>
                </w:tcPr>
                <w:p w14:paraId="4056BAA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sz w:val="18"/>
                      <w:szCs w:val="18"/>
                      <w:lang w:val="en-US" w:eastAsia="zh-CN"/>
                    </w:rPr>
                    <w:t>废劳保用品（手套、抹布</w:t>
                  </w:r>
                  <w:r>
                    <w:rPr>
                      <w:rFonts w:hint="eastAsia" w:cs="Times New Roman"/>
                      <w:color w:val="000000"/>
                      <w:sz w:val="18"/>
                      <w:szCs w:val="18"/>
                      <w:lang w:val="en-US" w:eastAsia="zh-CN"/>
                    </w:rPr>
                    <w:t>、废实验服</w:t>
                  </w:r>
                  <w:r>
                    <w:rPr>
                      <w:rFonts w:hint="default" w:cs="Times New Roman"/>
                      <w:color w:val="000000"/>
                      <w:sz w:val="18"/>
                      <w:szCs w:val="18"/>
                      <w:lang w:val="en-US" w:eastAsia="zh-CN"/>
                    </w:rPr>
                    <w:t>）、废试剂、废器皿、废一次性离心管、废一次性移液枪头等</w:t>
                  </w:r>
                </w:p>
              </w:tc>
              <w:tc>
                <w:tcPr>
                  <w:tcW w:w="607" w:type="pct"/>
                  <w:tcBorders>
                    <w:top w:val="nil"/>
                    <w:left w:val="nil"/>
                    <w:bottom w:val="single" w:color="auto" w:sz="4" w:space="0"/>
                    <w:right w:val="single" w:color="auto" w:sz="4" w:space="0"/>
                  </w:tcBorders>
                  <w:shd w:val="clear" w:color="auto" w:fill="auto"/>
                  <w:vAlign w:val="center"/>
                </w:tcPr>
                <w:p w14:paraId="63CA9CB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危险废物</w:t>
                  </w:r>
                </w:p>
              </w:tc>
              <w:tc>
                <w:tcPr>
                  <w:tcW w:w="765" w:type="pct"/>
                  <w:tcBorders>
                    <w:top w:val="nil"/>
                    <w:left w:val="nil"/>
                    <w:bottom w:val="single" w:color="auto" w:sz="4" w:space="0"/>
                    <w:right w:val="single" w:color="auto" w:sz="4" w:space="0"/>
                  </w:tcBorders>
                  <w:shd w:val="clear" w:color="auto" w:fill="auto"/>
                  <w:vAlign w:val="center"/>
                </w:tcPr>
                <w:p w14:paraId="50D156C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sz w:val="18"/>
                      <w:szCs w:val="18"/>
                      <w:lang w:val="en-US" w:eastAsia="zh-CN"/>
                    </w:rPr>
                    <w:t>HW01 831-003-01</w:t>
                  </w:r>
                </w:p>
              </w:tc>
              <w:tc>
                <w:tcPr>
                  <w:tcW w:w="607" w:type="pct"/>
                  <w:tcBorders>
                    <w:top w:val="nil"/>
                    <w:left w:val="nil"/>
                    <w:bottom w:val="single" w:color="auto" w:sz="4" w:space="0"/>
                    <w:right w:val="single" w:color="auto" w:sz="4" w:space="0"/>
                  </w:tcBorders>
                  <w:shd w:val="clear" w:color="auto" w:fill="auto"/>
                  <w:vAlign w:val="center"/>
                </w:tcPr>
                <w:p w14:paraId="6C98BBC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0"/>
                      <w:sz w:val="18"/>
                      <w:szCs w:val="18"/>
                      <w:lang w:val="en-US" w:eastAsia="zh-CN" w:bidi="ar"/>
                    </w:rPr>
                    <w:t>2</w:t>
                  </w:r>
                </w:p>
              </w:tc>
            </w:tr>
            <w:tr w14:paraId="5418609D">
              <w:tblPrEx>
                <w:tblCellMar>
                  <w:top w:w="0" w:type="dxa"/>
                  <w:left w:w="108" w:type="dxa"/>
                  <w:bottom w:w="0" w:type="dxa"/>
                  <w:right w:w="108" w:type="dxa"/>
                </w:tblCellMar>
              </w:tblPrEx>
              <w:trPr>
                <w:trHeight w:val="340" w:hRule="atLeast"/>
                <w:jc w:val="center"/>
              </w:trPr>
              <w:tc>
                <w:tcPr>
                  <w:tcW w:w="346" w:type="pct"/>
                  <w:tcBorders>
                    <w:top w:val="nil"/>
                    <w:left w:val="single" w:color="auto" w:sz="4" w:space="0"/>
                    <w:bottom w:val="single" w:color="auto" w:sz="4" w:space="0"/>
                    <w:right w:val="single" w:color="auto" w:sz="4" w:space="0"/>
                  </w:tcBorders>
                  <w:shd w:val="clear" w:color="auto" w:fill="auto"/>
                  <w:vAlign w:val="center"/>
                </w:tcPr>
                <w:p w14:paraId="1A43487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sz w:val="18"/>
                      <w:szCs w:val="18"/>
                    </w:rPr>
                  </w:pPr>
                  <w:r>
                    <w:rPr>
                      <w:rFonts w:hint="default" w:cs="Times New Roman"/>
                      <w:color w:val="000000"/>
                      <w:kern w:val="0"/>
                      <w:sz w:val="18"/>
                      <w:szCs w:val="18"/>
                      <w:lang w:bidi="ar"/>
                    </w:rPr>
                    <w:t>3</w:t>
                  </w:r>
                </w:p>
              </w:tc>
              <w:tc>
                <w:tcPr>
                  <w:tcW w:w="845" w:type="pct"/>
                  <w:tcBorders>
                    <w:top w:val="nil"/>
                    <w:left w:val="nil"/>
                    <w:bottom w:val="single" w:color="auto" w:sz="4" w:space="0"/>
                    <w:right w:val="single" w:color="auto" w:sz="4" w:space="0"/>
                  </w:tcBorders>
                  <w:shd w:val="clear" w:color="auto" w:fill="auto"/>
                  <w:vAlign w:val="center"/>
                </w:tcPr>
                <w:p w14:paraId="58E66EF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sz w:val="18"/>
                      <w:szCs w:val="18"/>
                      <w:lang w:val="en-US" w:eastAsia="zh-CN"/>
                    </w:rPr>
                    <w:t>实验室废液</w:t>
                  </w:r>
                </w:p>
              </w:tc>
              <w:tc>
                <w:tcPr>
                  <w:tcW w:w="491" w:type="pct"/>
                  <w:tcBorders>
                    <w:top w:val="nil"/>
                    <w:left w:val="nil"/>
                    <w:bottom w:val="single" w:color="auto" w:sz="4" w:space="0"/>
                    <w:right w:val="single" w:color="auto" w:sz="4" w:space="0"/>
                  </w:tcBorders>
                  <w:shd w:val="clear" w:color="auto" w:fill="auto"/>
                  <w:vAlign w:val="center"/>
                </w:tcPr>
                <w:p w14:paraId="5D1F887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sz w:val="18"/>
                      <w:szCs w:val="18"/>
                      <w:lang w:val="en-US" w:eastAsia="zh-CN"/>
                    </w:rPr>
                    <w:t>实验、检测</w:t>
                  </w:r>
                </w:p>
              </w:tc>
              <w:tc>
                <w:tcPr>
                  <w:tcW w:w="436" w:type="pct"/>
                  <w:tcBorders>
                    <w:top w:val="nil"/>
                    <w:left w:val="nil"/>
                    <w:bottom w:val="single" w:color="auto" w:sz="4" w:space="0"/>
                    <w:right w:val="single" w:color="auto" w:sz="4" w:space="0"/>
                  </w:tcBorders>
                  <w:shd w:val="clear" w:color="auto" w:fill="auto"/>
                  <w:vAlign w:val="center"/>
                </w:tcPr>
                <w:p w14:paraId="09F6A56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sz w:val="18"/>
                      <w:szCs w:val="18"/>
                      <w:lang w:val="en-US" w:eastAsia="zh-CN"/>
                    </w:rPr>
                    <w:t>液态</w:t>
                  </w:r>
                </w:p>
              </w:tc>
              <w:tc>
                <w:tcPr>
                  <w:tcW w:w="898" w:type="pct"/>
                  <w:tcBorders>
                    <w:top w:val="nil"/>
                    <w:left w:val="nil"/>
                    <w:bottom w:val="single" w:color="auto" w:sz="4" w:space="0"/>
                    <w:right w:val="single" w:color="auto" w:sz="4" w:space="0"/>
                  </w:tcBorders>
                  <w:shd w:val="clear" w:color="auto" w:fill="auto"/>
                  <w:vAlign w:val="center"/>
                </w:tcPr>
                <w:p w14:paraId="0913E18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sz w:val="18"/>
                      <w:szCs w:val="18"/>
                      <w:lang w:val="en-US" w:eastAsia="zh-CN"/>
                    </w:rPr>
                    <w:t>原料废液</w:t>
                  </w:r>
                </w:p>
              </w:tc>
              <w:tc>
                <w:tcPr>
                  <w:tcW w:w="607" w:type="pct"/>
                  <w:tcBorders>
                    <w:top w:val="nil"/>
                    <w:left w:val="nil"/>
                    <w:bottom w:val="single" w:color="auto" w:sz="4" w:space="0"/>
                    <w:right w:val="single" w:color="auto" w:sz="4" w:space="0"/>
                  </w:tcBorders>
                  <w:shd w:val="clear" w:color="auto" w:fill="auto"/>
                  <w:vAlign w:val="center"/>
                </w:tcPr>
                <w:p w14:paraId="6525952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0"/>
                      <w:sz w:val="18"/>
                      <w:szCs w:val="18"/>
                      <w:lang w:val="en-US" w:eastAsia="zh-CN" w:bidi="ar"/>
                    </w:rPr>
                  </w:pPr>
                  <w:r>
                    <w:rPr>
                      <w:rFonts w:hint="default" w:cs="Times New Roman"/>
                      <w:color w:val="000000"/>
                      <w:kern w:val="0"/>
                      <w:sz w:val="18"/>
                      <w:szCs w:val="18"/>
                      <w:lang w:bidi="ar"/>
                    </w:rPr>
                    <w:t>危险废物</w:t>
                  </w:r>
                </w:p>
              </w:tc>
              <w:tc>
                <w:tcPr>
                  <w:tcW w:w="765" w:type="pct"/>
                  <w:tcBorders>
                    <w:top w:val="nil"/>
                    <w:left w:val="nil"/>
                    <w:bottom w:val="single" w:color="auto" w:sz="4" w:space="0"/>
                    <w:right w:val="single" w:color="auto" w:sz="4" w:space="0"/>
                  </w:tcBorders>
                  <w:shd w:val="clear" w:color="auto" w:fill="auto"/>
                  <w:vAlign w:val="center"/>
                </w:tcPr>
                <w:p w14:paraId="1574184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sz w:val="18"/>
                      <w:szCs w:val="18"/>
                      <w:lang w:val="en-US" w:eastAsia="zh-CN"/>
                    </w:rPr>
                    <w:t>HW49</w:t>
                  </w:r>
                  <w:r>
                    <w:rPr>
                      <w:rFonts w:hint="eastAsia" w:cs="Times New Roman"/>
                      <w:color w:val="000000"/>
                      <w:sz w:val="18"/>
                      <w:szCs w:val="18"/>
                      <w:lang w:val="en-US" w:eastAsia="zh-CN"/>
                    </w:rPr>
                    <w:t xml:space="preserve"> </w:t>
                  </w:r>
                  <w:r>
                    <w:rPr>
                      <w:rFonts w:hint="default" w:cs="Times New Roman"/>
                      <w:color w:val="000000"/>
                      <w:sz w:val="18"/>
                      <w:szCs w:val="18"/>
                      <w:lang w:val="en-US" w:eastAsia="zh-CN"/>
                    </w:rPr>
                    <w:t>900-047-49</w:t>
                  </w:r>
                </w:p>
              </w:tc>
              <w:tc>
                <w:tcPr>
                  <w:tcW w:w="607" w:type="pct"/>
                  <w:tcBorders>
                    <w:top w:val="nil"/>
                    <w:left w:val="nil"/>
                    <w:bottom w:val="single" w:color="auto" w:sz="4" w:space="0"/>
                    <w:right w:val="single" w:color="auto" w:sz="4" w:space="0"/>
                  </w:tcBorders>
                  <w:shd w:val="clear" w:color="auto" w:fill="auto"/>
                  <w:vAlign w:val="center"/>
                </w:tcPr>
                <w:p w14:paraId="58FE2D7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7.94</w:t>
                  </w:r>
                </w:p>
              </w:tc>
            </w:tr>
            <w:tr w14:paraId="4EDA1EFA">
              <w:tblPrEx>
                <w:tblCellMar>
                  <w:top w:w="0" w:type="dxa"/>
                  <w:left w:w="108" w:type="dxa"/>
                  <w:bottom w:w="0" w:type="dxa"/>
                  <w:right w:w="108" w:type="dxa"/>
                </w:tblCellMar>
              </w:tblPrEx>
              <w:trPr>
                <w:trHeight w:val="340" w:hRule="atLeast"/>
                <w:jc w:val="center"/>
              </w:trPr>
              <w:tc>
                <w:tcPr>
                  <w:tcW w:w="346" w:type="pct"/>
                  <w:tcBorders>
                    <w:top w:val="nil"/>
                    <w:left w:val="single" w:color="auto" w:sz="4" w:space="0"/>
                    <w:bottom w:val="single" w:color="auto" w:sz="4" w:space="0"/>
                    <w:right w:val="single" w:color="auto" w:sz="4" w:space="0"/>
                  </w:tcBorders>
                  <w:shd w:val="clear" w:color="auto" w:fill="auto"/>
                  <w:vAlign w:val="center"/>
                </w:tcPr>
                <w:p w14:paraId="132803A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0"/>
                      <w:sz w:val="18"/>
                      <w:szCs w:val="18"/>
                      <w:lang w:val="en-US" w:eastAsia="zh-CN" w:bidi="ar"/>
                    </w:rPr>
                  </w:pPr>
                  <w:r>
                    <w:rPr>
                      <w:rFonts w:hint="default" w:cs="Times New Roman"/>
                      <w:color w:val="000000"/>
                      <w:kern w:val="0"/>
                      <w:sz w:val="18"/>
                      <w:szCs w:val="18"/>
                      <w:lang w:bidi="ar"/>
                    </w:rPr>
                    <w:t>4</w:t>
                  </w:r>
                </w:p>
              </w:tc>
              <w:tc>
                <w:tcPr>
                  <w:tcW w:w="845" w:type="pct"/>
                  <w:tcBorders>
                    <w:top w:val="nil"/>
                    <w:left w:val="nil"/>
                    <w:bottom w:val="single" w:color="auto" w:sz="4" w:space="0"/>
                    <w:right w:val="single" w:color="auto" w:sz="4" w:space="0"/>
                  </w:tcBorders>
                  <w:shd w:val="clear" w:color="auto" w:fill="auto"/>
                  <w:vAlign w:val="center"/>
                </w:tcPr>
                <w:p w14:paraId="6786686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sz w:val="18"/>
                      <w:szCs w:val="18"/>
                      <w:lang w:val="en-US" w:eastAsia="zh-CN"/>
                    </w:rPr>
                  </w:pPr>
                  <w:r>
                    <w:rPr>
                      <w:rFonts w:hint="eastAsia" w:cs="Times New Roman"/>
                      <w:color w:val="auto"/>
                      <w:sz w:val="18"/>
                      <w:szCs w:val="18"/>
                      <w:lang w:val="en-US" w:eastAsia="zh-CN"/>
                    </w:rPr>
                    <w:t>废一次性耗材</w:t>
                  </w:r>
                </w:p>
              </w:tc>
              <w:tc>
                <w:tcPr>
                  <w:tcW w:w="491" w:type="pct"/>
                  <w:tcBorders>
                    <w:top w:val="nil"/>
                    <w:left w:val="nil"/>
                    <w:bottom w:val="single" w:color="auto" w:sz="4" w:space="0"/>
                    <w:right w:val="single" w:color="auto" w:sz="4" w:space="0"/>
                  </w:tcBorders>
                  <w:shd w:val="clear" w:color="auto" w:fill="auto"/>
                  <w:vAlign w:val="center"/>
                </w:tcPr>
                <w:p w14:paraId="5C783E7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cs="Times New Roman"/>
                      <w:color w:val="000000"/>
                      <w:sz w:val="18"/>
                      <w:szCs w:val="18"/>
                      <w:lang w:val="en-US" w:eastAsia="zh-CN"/>
                    </w:rPr>
                  </w:pPr>
                  <w:r>
                    <w:rPr>
                      <w:rFonts w:hint="eastAsia" w:cs="Times New Roman"/>
                      <w:color w:val="000000"/>
                      <w:sz w:val="18"/>
                      <w:szCs w:val="18"/>
                      <w:lang w:val="en-US" w:eastAsia="zh-CN"/>
                    </w:rPr>
                    <w:t>实验、检测</w:t>
                  </w:r>
                </w:p>
              </w:tc>
              <w:tc>
                <w:tcPr>
                  <w:tcW w:w="436" w:type="pct"/>
                  <w:tcBorders>
                    <w:top w:val="nil"/>
                    <w:left w:val="nil"/>
                    <w:bottom w:val="single" w:color="auto" w:sz="4" w:space="0"/>
                    <w:right w:val="single" w:color="auto" w:sz="4" w:space="0"/>
                  </w:tcBorders>
                  <w:shd w:val="clear" w:color="auto" w:fill="auto"/>
                  <w:vAlign w:val="center"/>
                </w:tcPr>
                <w:p w14:paraId="566F9B5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cs="Times New Roman"/>
                      <w:color w:val="000000"/>
                      <w:sz w:val="18"/>
                      <w:szCs w:val="18"/>
                      <w:lang w:val="en-US" w:eastAsia="zh-CN"/>
                    </w:rPr>
                  </w:pPr>
                  <w:r>
                    <w:rPr>
                      <w:rFonts w:hint="default" w:cs="Times New Roman"/>
                      <w:color w:val="000000"/>
                      <w:kern w:val="0"/>
                      <w:sz w:val="18"/>
                      <w:szCs w:val="18"/>
                      <w:lang w:bidi="ar"/>
                    </w:rPr>
                    <w:t>固态</w:t>
                  </w:r>
                </w:p>
              </w:tc>
              <w:tc>
                <w:tcPr>
                  <w:tcW w:w="898" w:type="pct"/>
                  <w:tcBorders>
                    <w:top w:val="nil"/>
                    <w:left w:val="nil"/>
                    <w:bottom w:val="single" w:color="auto" w:sz="4" w:space="0"/>
                    <w:right w:val="single" w:color="auto" w:sz="4" w:space="0"/>
                  </w:tcBorders>
                  <w:shd w:val="clear" w:color="auto" w:fill="auto"/>
                  <w:vAlign w:val="center"/>
                </w:tcPr>
                <w:p w14:paraId="0739EBD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sz w:val="18"/>
                      <w:szCs w:val="18"/>
                      <w:lang w:val="en-US" w:eastAsia="zh-CN"/>
                    </w:rPr>
                  </w:pPr>
                  <w:r>
                    <w:rPr>
                      <w:rFonts w:hint="eastAsia" w:cs="Times New Roman"/>
                      <w:color w:val="000000"/>
                      <w:sz w:val="18"/>
                      <w:szCs w:val="18"/>
                      <w:lang w:val="en-US" w:eastAsia="zh-CN"/>
                    </w:rPr>
                    <w:t>废器皿等</w:t>
                  </w:r>
                </w:p>
              </w:tc>
              <w:tc>
                <w:tcPr>
                  <w:tcW w:w="607" w:type="pct"/>
                  <w:tcBorders>
                    <w:top w:val="nil"/>
                    <w:left w:val="nil"/>
                    <w:bottom w:val="single" w:color="auto" w:sz="4" w:space="0"/>
                    <w:right w:val="single" w:color="auto" w:sz="4" w:space="0"/>
                  </w:tcBorders>
                  <w:shd w:val="clear" w:color="auto" w:fill="auto"/>
                  <w:vAlign w:val="center"/>
                </w:tcPr>
                <w:p w14:paraId="38FF5DE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危险废物</w:t>
                  </w:r>
                </w:p>
              </w:tc>
              <w:tc>
                <w:tcPr>
                  <w:tcW w:w="765" w:type="pct"/>
                  <w:tcBorders>
                    <w:top w:val="nil"/>
                    <w:left w:val="nil"/>
                    <w:bottom w:val="single" w:color="auto" w:sz="4" w:space="0"/>
                    <w:right w:val="single" w:color="auto" w:sz="4" w:space="0"/>
                  </w:tcBorders>
                  <w:shd w:val="clear" w:color="auto" w:fill="auto"/>
                  <w:vAlign w:val="center"/>
                </w:tcPr>
                <w:p w14:paraId="624B0FB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sz w:val="18"/>
                      <w:szCs w:val="18"/>
                      <w:lang w:val="en-US" w:eastAsia="zh-CN"/>
                    </w:rPr>
                  </w:pPr>
                  <w:r>
                    <w:rPr>
                      <w:rFonts w:hint="default" w:cs="Times New Roman"/>
                      <w:color w:val="000000"/>
                      <w:sz w:val="18"/>
                      <w:szCs w:val="18"/>
                      <w:lang w:val="en-US" w:eastAsia="zh-CN"/>
                    </w:rPr>
                    <w:t>HW49</w:t>
                  </w:r>
                  <w:r>
                    <w:rPr>
                      <w:rFonts w:hint="eastAsia" w:cs="Times New Roman"/>
                      <w:color w:val="000000"/>
                      <w:sz w:val="18"/>
                      <w:szCs w:val="18"/>
                      <w:lang w:val="en-US" w:eastAsia="zh-CN"/>
                    </w:rPr>
                    <w:t xml:space="preserve"> </w:t>
                  </w:r>
                  <w:r>
                    <w:rPr>
                      <w:rFonts w:hint="default" w:cs="Times New Roman"/>
                      <w:color w:val="000000"/>
                      <w:sz w:val="18"/>
                      <w:szCs w:val="18"/>
                      <w:lang w:val="en-US" w:eastAsia="zh-CN"/>
                    </w:rPr>
                    <w:t>900-047-49</w:t>
                  </w:r>
                </w:p>
              </w:tc>
              <w:tc>
                <w:tcPr>
                  <w:tcW w:w="607" w:type="pct"/>
                  <w:tcBorders>
                    <w:top w:val="nil"/>
                    <w:left w:val="nil"/>
                    <w:bottom w:val="single" w:color="auto" w:sz="4" w:space="0"/>
                    <w:right w:val="single" w:color="auto" w:sz="4" w:space="0"/>
                  </w:tcBorders>
                  <w:shd w:val="clear" w:color="auto" w:fill="auto"/>
                  <w:vAlign w:val="center"/>
                </w:tcPr>
                <w:p w14:paraId="5079BC3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val="en-US" w:eastAsia="zh-CN" w:bidi="ar"/>
                    </w:rPr>
                  </w:pPr>
                  <w:r>
                    <w:rPr>
                      <w:rFonts w:hint="eastAsia" w:cs="Times New Roman"/>
                      <w:color w:val="000000"/>
                      <w:kern w:val="0"/>
                      <w:sz w:val="18"/>
                      <w:szCs w:val="18"/>
                      <w:lang w:val="en-US" w:eastAsia="zh-CN" w:bidi="ar"/>
                    </w:rPr>
                    <w:t>0.5</w:t>
                  </w:r>
                </w:p>
              </w:tc>
            </w:tr>
            <w:tr w14:paraId="13B4EF31">
              <w:tblPrEx>
                <w:tblCellMar>
                  <w:top w:w="0" w:type="dxa"/>
                  <w:left w:w="108" w:type="dxa"/>
                  <w:bottom w:w="0" w:type="dxa"/>
                  <w:right w:w="108" w:type="dxa"/>
                </w:tblCellMar>
              </w:tblPrEx>
              <w:trPr>
                <w:trHeight w:val="340" w:hRule="atLeast"/>
                <w:jc w:val="center"/>
              </w:trPr>
              <w:tc>
                <w:tcPr>
                  <w:tcW w:w="346" w:type="pct"/>
                  <w:tcBorders>
                    <w:top w:val="nil"/>
                    <w:left w:val="single" w:color="auto" w:sz="4" w:space="0"/>
                    <w:bottom w:val="single" w:color="auto" w:sz="4" w:space="0"/>
                    <w:right w:val="single" w:color="auto" w:sz="4" w:space="0"/>
                  </w:tcBorders>
                  <w:shd w:val="clear" w:color="auto" w:fill="auto"/>
                  <w:vAlign w:val="center"/>
                </w:tcPr>
                <w:p w14:paraId="2B5BA23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5</w:t>
                  </w:r>
                </w:p>
              </w:tc>
              <w:tc>
                <w:tcPr>
                  <w:tcW w:w="845" w:type="pct"/>
                  <w:tcBorders>
                    <w:top w:val="nil"/>
                    <w:left w:val="nil"/>
                    <w:bottom w:val="single" w:color="auto" w:sz="4" w:space="0"/>
                    <w:right w:val="single" w:color="auto" w:sz="4" w:space="0"/>
                  </w:tcBorders>
                  <w:shd w:val="clear" w:color="auto" w:fill="auto"/>
                  <w:vAlign w:val="center"/>
                </w:tcPr>
                <w:p w14:paraId="2A226B9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sz w:val="18"/>
                      <w:szCs w:val="18"/>
                      <w:lang w:val="en-US" w:eastAsia="zh-CN"/>
                    </w:rPr>
                    <w:t>废原料包装物</w:t>
                  </w:r>
                </w:p>
              </w:tc>
              <w:tc>
                <w:tcPr>
                  <w:tcW w:w="491" w:type="pct"/>
                  <w:tcBorders>
                    <w:top w:val="nil"/>
                    <w:left w:val="nil"/>
                    <w:bottom w:val="single" w:color="auto" w:sz="4" w:space="0"/>
                    <w:right w:val="single" w:color="auto" w:sz="4" w:space="0"/>
                  </w:tcBorders>
                  <w:shd w:val="clear" w:color="auto" w:fill="auto"/>
                  <w:vAlign w:val="center"/>
                </w:tcPr>
                <w:p w14:paraId="29B3E6D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sz w:val="18"/>
                      <w:szCs w:val="18"/>
                      <w:lang w:val="en-US" w:eastAsia="zh-CN"/>
                    </w:rPr>
                    <w:t>拆包</w:t>
                  </w:r>
                </w:p>
              </w:tc>
              <w:tc>
                <w:tcPr>
                  <w:tcW w:w="436" w:type="pct"/>
                  <w:tcBorders>
                    <w:top w:val="nil"/>
                    <w:left w:val="nil"/>
                    <w:bottom w:val="single" w:color="auto" w:sz="4" w:space="0"/>
                    <w:right w:val="single" w:color="auto" w:sz="4" w:space="0"/>
                  </w:tcBorders>
                  <w:shd w:val="clear" w:color="auto" w:fill="auto"/>
                  <w:vAlign w:val="center"/>
                </w:tcPr>
                <w:p w14:paraId="57F30B0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固态</w:t>
                  </w:r>
                </w:p>
              </w:tc>
              <w:tc>
                <w:tcPr>
                  <w:tcW w:w="898" w:type="pct"/>
                  <w:tcBorders>
                    <w:top w:val="nil"/>
                    <w:left w:val="nil"/>
                    <w:bottom w:val="single" w:color="auto" w:sz="4" w:space="0"/>
                    <w:right w:val="single" w:color="auto" w:sz="4" w:space="0"/>
                  </w:tcBorders>
                  <w:shd w:val="clear" w:color="auto" w:fill="auto"/>
                  <w:vAlign w:val="center"/>
                </w:tcPr>
                <w:p w14:paraId="5E846CB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sz w:val="18"/>
                      <w:szCs w:val="18"/>
                      <w:lang w:val="en-US" w:eastAsia="zh-CN"/>
                    </w:rPr>
                    <w:t>纸塑、化学试剂</w:t>
                  </w:r>
                </w:p>
              </w:tc>
              <w:tc>
                <w:tcPr>
                  <w:tcW w:w="607" w:type="pct"/>
                  <w:tcBorders>
                    <w:top w:val="nil"/>
                    <w:left w:val="nil"/>
                    <w:bottom w:val="single" w:color="auto" w:sz="4" w:space="0"/>
                    <w:right w:val="single" w:color="auto" w:sz="4" w:space="0"/>
                  </w:tcBorders>
                  <w:shd w:val="clear" w:color="auto" w:fill="auto"/>
                  <w:vAlign w:val="center"/>
                </w:tcPr>
                <w:p w14:paraId="759C8AA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危险废物</w:t>
                  </w:r>
                </w:p>
              </w:tc>
              <w:tc>
                <w:tcPr>
                  <w:tcW w:w="765" w:type="pct"/>
                  <w:tcBorders>
                    <w:top w:val="nil"/>
                    <w:left w:val="nil"/>
                    <w:bottom w:val="single" w:color="auto" w:sz="4" w:space="0"/>
                    <w:right w:val="single" w:color="auto" w:sz="4" w:space="0"/>
                  </w:tcBorders>
                  <w:shd w:val="clear" w:color="auto" w:fill="auto"/>
                  <w:vAlign w:val="center"/>
                </w:tcPr>
                <w:p w14:paraId="28FE0B3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olor w:val="000000"/>
                      <w:sz w:val="18"/>
                      <w:szCs w:val="18"/>
                    </w:rPr>
                    <w:t>HW49</w:t>
                  </w:r>
                  <w:r>
                    <w:rPr>
                      <w:rFonts w:hint="eastAsia"/>
                      <w:color w:val="000000"/>
                      <w:sz w:val="18"/>
                      <w:szCs w:val="18"/>
                      <w:lang w:val="en-US" w:eastAsia="zh-CN"/>
                    </w:rPr>
                    <w:t xml:space="preserve"> </w:t>
                  </w:r>
                  <w:r>
                    <w:rPr>
                      <w:rFonts w:hint="default"/>
                      <w:bCs/>
                      <w:color w:val="000000"/>
                      <w:sz w:val="18"/>
                      <w:szCs w:val="18"/>
                    </w:rPr>
                    <w:t>900-041-49</w:t>
                  </w:r>
                </w:p>
              </w:tc>
              <w:tc>
                <w:tcPr>
                  <w:tcW w:w="607" w:type="pct"/>
                  <w:tcBorders>
                    <w:top w:val="nil"/>
                    <w:left w:val="nil"/>
                    <w:bottom w:val="single" w:color="auto" w:sz="4" w:space="0"/>
                    <w:right w:val="single" w:color="auto" w:sz="4" w:space="0"/>
                  </w:tcBorders>
                  <w:shd w:val="clear" w:color="auto" w:fill="auto"/>
                  <w:vAlign w:val="center"/>
                </w:tcPr>
                <w:p w14:paraId="3785C26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0"/>
                      <w:sz w:val="18"/>
                      <w:szCs w:val="18"/>
                      <w:lang w:val="en-US" w:eastAsia="zh-CN" w:bidi="ar"/>
                    </w:rPr>
                    <w:t>0.05</w:t>
                  </w:r>
                </w:p>
              </w:tc>
            </w:tr>
            <w:tr w14:paraId="053D14AE">
              <w:tblPrEx>
                <w:tblCellMar>
                  <w:top w:w="0" w:type="dxa"/>
                  <w:left w:w="108" w:type="dxa"/>
                  <w:bottom w:w="0" w:type="dxa"/>
                  <w:right w:w="108" w:type="dxa"/>
                </w:tblCellMar>
              </w:tblPrEx>
              <w:trPr>
                <w:trHeight w:val="614" w:hRule="atLeast"/>
                <w:jc w:val="center"/>
              </w:trPr>
              <w:tc>
                <w:tcPr>
                  <w:tcW w:w="346" w:type="pct"/>
                  <w:tcBorders>
                    <w:top w:val="nil"/>
                    <w:left w:val="single" w:color="auto" w:sz="4" w:space="0"/>
                    <w:bottom w:val="single" w:color="auto" w:sz="4" w:space="0"/>
                    <w:right w:val="single" w:color="auto" w:sz="4" w:space="0"/>
                  </w:tcBorders>
                  <w:shd w:val="clear" w:color="auto" w:fill="auto"/>
                  <w:vAlign w:val="center"/>
                </w:tcPr>
                <w:p w14:paraId="7699193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6</w:t>
                  </w:r>
                </w:p>
              </w:tc>
              <w:tc>
                <w:tcPr>
                  <w:tcW w:w="845" w:type="pct"/>
                  <w:tcBorders>
                    <w:top w:val="nil"/>
                    <w:left w:val="nil"/>
                    <w:bottom w:val="single" w:color="auto" w:sz="4" w:space="0"/>
                    <w:right w:val="single" w:color="auto" w:sz="4" w:space="0"/>
                  </w:tcBorders>
                  <w:shd w:val="clear" w:color="auto" w:fill="auto"/>
                  <w:vAlign w:val="center"/>
                </w:tcPr>
                <w:p w14:paraId="0E2C14C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sz w:val="18"/>
                      <w:szCs w:val="18"/>
                      <w:lang w:val="en-US" w:eastAsia="zh-CN"/>
                    </w:rPr>
                    <w:t>废气处理</w:t>
                  </w:r>
                  <w:r>
                    <w:rPr>
                      <w:rFonts w:hint="eastAsia" w:cs="Times New Roman"/>
                      <w:color w:val="000000"/>
                      <w:sz w:val="18"/>
                      <w:szCs w:val="18"/>
                      <w:lang w:val="en-US" w:eastAsia="zh-CN"/>
                    </w:rPr>
                    <w:t>废</w:t>
                  </w:r>
                  <w:r>
                    <w:rPr>
                      <w:rFonts w:hint="default" w:cs="Times New Roman"/>
                      <w:color w:val="000000"/>
                      <w:sz w:val="18"/>
                      <w:szCs w:val="18"/>
                      <w:lang w:val="en-US" w:eastAsia="zh-CN"/>
                    </w:rPr>
                    <w:t>活性炭</w:t>
                  </w:r>
                </w:p>
              </w:tc>
              <w:tc>
                <w:tcPr>
                  <w:tcW w:w="491" w:type="pct"/>
                  <w:tcBorders>
                    <w:top w:val="nil"/>
                    <w:left w:val="nil"/>
                    <w:bottom w:val="single" w:color="auto" w:sz="4" w:space="0"/>
                    <w:right w:val="single" w:color="auto" w:sz="4" w:space="0"/>
                  </w:tcBorders>
                  <w:shd w:val="clear" w:color="auto" w:fill="auto"/>
                  <w:vAlign w:val="center"/>
                </w:tcPr>
                <w:p w14:paraId="039AF57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sz w:val="18"/>
                      <w:szCs w:val="18"/>
                      <w:lang w:val="en-US" w:eastAsia="zh-CN"/>
                    </w:rPr>
                    <w:t>废气处理</w:t>
                  </w:r>
                </w:p>
              </w:tc>
              <w:tc>
                <w:tcPr>
                  <w:tcW w:w="436" w:type="pct"/>
                  <w:tcBorders>
                    <w:top w:val="nil"/>
                    <w:left w:val="nil"/>
                    <w:bottom w:val="single" w:color="auto" w:sz="4" w:space="0"/>
                    <w:right w:val="single" w:color="auto" w:sz="4" w:space="0"/>
                  </w:tcBorders>
                  <w:shd w:val="clear" w:color="auto" w:fill="auto"/>
                  <w:vAlign w:val="center"/>
                </w:tcPr>
                <w:p w14:paraId="63FBACE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固态</w:t>
                  </w:r>
                </w:p>
              </w:tc>
              <w:tc>
                <w:tcPr>
                  <w:tcW w:w="898" w:type="pct"/>
                  <w:tcBorders>
                    <w:top w:val="nil"/>
                    <w:left w:val="nil"/>
                    <w:bottom w:val="single" w:color="auto" w:sz="4" w:space="0"/>
                    <w:right w:val="single" w:color="auto" w:sz="4" w:space="0"/>
                  </w:tcBorders>
                  <w:shd w:val="clear" w:color="auto" w:fill="auto"/>
                  <w:vAlign w:val="center"/>
                </w:tcPr>
                <w:p w14:paraId="13EC282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sz w:val="18"/>
                      <w:szCs w:val="18"/>
                      <w:lang w:val="en-US" w:eastAsia="zh-CN"/>
                    </w:rPr>
                    <w:t>活性炭、有机物</w:t>
                  </w:r>
                </w:p>
              </w:tc>
              <w:tc>
                <w:tcPr>
                  <w:tcW w:w="607" w:type="pct"/>
                  <w:tcBorders>
                    <w:top w:val="nil"/>
                    <w:left w:val="nil"/>
                    <w:bottom w:val="single" w:color="auto" w:sz="4" w:space="0"/>
                    <w:right w:val="single" w:color="auto" w:sz="4" w:space="0"/>
                  </w:tcBorders>
                  <w:shd w:val="clear" w:color="auto" w:fill="auto"/>
                  <w:vAlign w:val="center"/>
                </w:tcPr>
                <w:p w14:paraId="7959B1C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危险废物</w:t>
                  </w:r>
                </w:p>
              </w:tc>
              <w:tc>
                <w:tcPr>
                  <w:tcW w:w="765" w:type="pct"/>
                  <w:tcBorders>
                    <w:top w:val="nil"/>
                    <w:left w:val="nil"/>
                    <w:bottom w:val="single" w:color="auto" w:sz="4" w:space="0"/>
                    <w:right w:val="single" w:color="auto" w:sz="4" w:space="0"/>
                  </w:tcBorders>
                  <w:shd w:val="clear" w:color="auto" w:fill="auto"/>
                  <w:vAlign w:val="center"/>
                </w:tcPr>
                <w:p w14:paraId="47CD7F7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olor w:val="000000"/>
                      <w:sz w:val="18"/>
                      <w:szCs w:val="18"/>
                    </w:rPr>
                    <w:t>HW49</w:t>
                  </w:r>
                  <w:r>
                    <w:rPr>
                      <w:rFonts w:hint="eastAsia"/>
                      <w:color w:val="000000"/>
                      <w:sz w:val="18"/>
                      <w:szCs w:val="18"/>
                      <w:lang w:val="en-US" w:eastAsia="zh-CN"/>
                    </w:rPr>
                    <w:t xml:space="preserve"> </w:t>
                  </w:r>
                  <w:r>
                    <w:rPr>
                      <w:rFonts w:hint="default"/>
                      <w:bCs/>
                      <w:color w:val="000000"/>
                      <w:sz w:val="18"/>
                      <w:szCs w:val="18"/>
                    </w:rPr>
                    <w:t>900-0</w:t>
                  </w:r>
                  <w:r>
                    <w:rPr>
                      <w:rFonts w:hint="eastAsia"/>
                      <w:bCs/>
                      <w:color w:val="000000"/>
                      <w:sz w:val="18"/>
                      <w:szCs w:val="18"/>
                      <w:lang w:val="en-US" w:eastAsia="zh-CN"/>
                    </w:rPr>
                    <w:t>39</w:t>
                  </w:r>
                  <w:r>
                    <w:rPr>
                      <w:rFonts w:hint="default"/>
                      <w:bCs/>
                      <w:color w:val="000000"/>
                      <w:sz w:val="18"/>
                      <w:szCs w:val="18"/>
                    </w:rPr>
                    <w:t>-49</w:t>
                  </w:r>
                </w:p>
              </w:tc>
              <w:tc>
                <w:tcPr>
                  <w:tcW w:w="607" w:type="pct"/>
                  <w:tcBorders>
                    <w:top w:val="nil"/>
                    <w:left w:val="nil"/>
                    <w:bottom w:val="single" w:color="auto" w:sz="4" w:space="0"/>
                    <w:right w:val="single" w:color="auto" w:sz="4" w:space="0"/>
                  </w:tcBorders>
                  <w:shd w:val="clear" w:color="auto" w:fill="auto"/>
                  <w:vAlign w:val="center"/>
                </w:tcPr>
                <w:p w14:paraId="78D5C88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0"/>
                      <w:sz w:val="18"/>
                      <w:szCs w:val="18"/>
                      <w:lang w:val="en-US" w:eastAsia="zh-CN" w:bidi="ar"/>
                    </w:rPr>
                    <w:t>2</w:t>
                  </w:r>
                </w:p>
              </w:tc>
            </w:tr>
            <w:tr w14:paraId="01A3B856">
              <w:tblPrEx>
                <w:tblCellMar>
                  <w:top w:w="0" w:type="dxa"/>
                  <w:left w:w="108" w:type="dxa"/>
                  <w:bottom w:w="0" w:type="dxa"/>
                  <w:right w:w="108" w:type="dxa"/>
                </w:tblCellMar>
              </w:tblPrEx>
              <w:trPr>
                <w:trHeight w:val="340" w:hRule="atLeast"/>
                <w:jc w:val="center"/>
              </w:trPr>
              <w:tc>
                <w:tcPr>
                  <w:tcW w:w="346" w:type="pct"/>
                  <w:tcBorders>
                    <w:top w:val="nil"/>
                    <w:left w:val="single" w:color="auto" w:sz="4" w:space="0"/>
                    <w:bottom w:val="single" w:color="auto" w:sz="4" w:space="0"/>
                    <w:right w:val="single" w:color="auto" w:sz="4" w:space="0"/>
                  </w:tcBorders>
                  <w:shd w:val="clear" w:color="auto" w:fill="auto"/>
                  <w:vAlign w:val="center"/>
                </w:tcPr>
                <w:p w14:paraId="3941232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7</w:t>
                  </w:r>
                </w:p>
              </w:tc>
              <w:tc>
                <w:tcPr>
                  <w:tcW w:w="845" w:type="pct"/>
                  <w:tcBorders>
                    <w:top w:val="nil"/>
                    <w:left w:val="nil"/>
                    <w:bottom w:val="single" w:color="auto" w:sz="4" w:space="0"/>
                    <w:right w:val="single" w:color="auto" w:sz="4" w:space="0"/>
                  </w:tcBorders>
                  <w:shd w:val="clear" w:color="auto" w:fill="auto"/>
                  <w:vAlign w:val="center"/>
                </w:tcPr>
                <w:p w14:paraId="4B83136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sz w:val="18"/>
                      <w:szCs w:val="18"/>
                      <w:lang w:val="en-US" w:eastAsia="zh-CN"/>
                    </w:rPr>
                    <w:t>废</w:t>
                  </w:r>
                  <w:r>
                    <w:rPr>
                      <w:rFonts w:hint="eastAsia" w:cs="Times New Roman"/>
                      <w:color w:val="000000"/>
                      <w:sz w:val="18"/>
                      <w:szCs w:val="18"/>
                      <w:lang w:val="en-US" w:eastAsia="zh-CN"/>
                    </w:rPr>
                    <w:t>样本</w:t>
                  </w:r>
                </w:p>
              </w:tc>
              <w:tc>
                <w:tcPr>
                  <w:tcW w:w="491" w:type="pct"/>
                  <w:tcBorders>
                    <w:top w:val="nil"/>
                    <w:left w:val="nil"/>
                    <w:bottom w:val="single" w:color="auto" w:sz="4" w:space="0"/>
                    <w:right w:val="single" w:color="auto" w:sz="4" w:space="0"/>
                  </w:tcBorders>
                  <w:shd w:val="clear" w:color="auto" w:fill="auto"/>
                  <w:vAlign w:val="center"/>
                </w:tcPr>
                <w:p w14:paraId="593E410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sz w:val="18"/>
                      <w:szCs w:val="18"/>
                      <w:lang w:val="en-US" w:eastAsia="zh-CN"/>
                    </w:rPr>
                    <w:t>样本采集</w:t>
                  </w:r>
                </w:p>
              </w:tc>
              <w:tc>
                <w:tcPr>
                  <w:tcW w:w="436" w:type="pct"/>
                  <w:tcBorders>
                    <w:top w:val="nil"/>
                    <w:left w:val="nil"/>
                    <w:bottom w:val="single" w:color="auto" w:sz="4" w:space="0"/>
                    <w:right w:val="single" w:color="auto" w:sz="4" w:space="0"/>
                  </w:tcBorders>
                  <w:shd w:val="clear" w:color="auto" w:fill="auto"/>
                  <w:vAlign w:val="center"/>
                </w:tcPr>
                <w:p w14:paraId="60DBD81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固态</w:t>
                  </w:r>
                </w:p>
              </w:tc>
              <w:tc>
                <w:tcPr>
                  <w:tcW w:w="898" w:type="pct"/>
                  <w:tcBorders>
                    <w:top w:val="nil"/>
                    <w:left w:val="nil"/>
                    <w:bottom w:val="single" w:color="auto" w:sz="4" w:space="0"/>
                    <w:right w:val="single" w:color="auto" w:sz="4" w:space="0"/>
                  </w:tcBorders>
                  <w:shd w:val="clear" w:color="auto" w:fill="auto"/>
                  <w:vAlign w:val="center"/>
                </w:tcPr>
                <w:p w14:paraId="708BBEE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sz w:val="18"/>
                      <w:szCs w:val="18"/>
                      <w:lang w:val="en-US" w:eastAsia="zh-CN"/>
                    </w:rPr>
                    <w:t>粪便</w:t>
                  </w:r>
                </w:p>
              </w:tc>
              <w:tc>
                <w:tcPr>
                  <w:tcW w:w="607" w:type="pct"/>
                  <w:tcBorders>
                    <w:top w:val="nil"/>
                    <w:left w:val="nil"/>
                    <w:bottom w:val="single" w:color="auto" w:sz="4" w:space="0"/>
                    <w:right w:val="single" w:color="auto" w:sz="4" w:space="0"/>
                  </w:tcBorders>
                  <w:shd w:val="clear" w:color="auto" w:fill="auto"/>
                  <w:vAlign w:val="center"/>
                </w:tcPr>
                <w:p w14:paraId="0104FA4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危险废物</w:t>
                  </w:r>
                </w:p>
              </w:tc>
              <w:tc>
                <w:tcPr>
                  <w:tcW w:w="765" w:type="pct"/>
                  <w:tcBorders>
                    <w:top w:val="nil"/>
                    <w:left w:val="nil"/>
                    <w:bottom w:val="single" w:color="auto" w:sz="4" w:space="0"/>
                    <w:right w:val="single" w:color="auto" w:sz="4" w:space="0"/>
                  </w:tcBorders>
                  <w:shd w:val="clear" w:color="auto" w:fill="auto"/>
                  <w:vAlign w:val="center"/>
                </w:tcPr>
                <w:p w14:paraId="3F6FF41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kern w:val="0"/>
                      <w:sz w:val="18"/>
                      <w:szCs w:val="18"/>
                      <w:lang w:val="en-US" w:eastAsia="zh-CN"/>
                    </w:rPr>
                    <w:t>HW01 841-001-01</w:t>
                  </w:r>
                </w:p>
              </w:tc>
              <w:tc>
                <w:tcPr>
                  <w:tcW w:w="607" w:type="pct"/>
                  <w:tcBorders>
                    <w:top w:val="nil"/>
                    <w:left w:val="nil"/>
                    <w:bottom w:val="single" w:color="auto" w:sz="4" w:space="0"/>
                    <w:right w:val="single" w:color="auto" w:sz="4" w:space="0"/>
                  </w:tcBorders>
                  <w:shd w:val="clear" w:color="auto" w:fill="auto"/>
                  <w:vAlign w:val="center"/>
                </w:tcPr>
                <w:p w14:paraId="331F6E7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0"/>
                      <w:sz w:val="18"/>
                      <w:szCs w:val="18"/>
                      <w:lang w:val="en-US" w:eastAsia="zh-CN" w:bidi="ar"/>
                    </w:rPr>
                    <w:t>0.05</w:t>
                  </w:r>
                </w:p>
              </w:tc>
            </w:tr>
            <w:tr w14:paraId="53405981">
              <w:tblPrEx>
                <w:tblCellMar>
                  <w:top w:w="0" w:type="dxa"/>
                  <w:left w:w="108" w:type="dxa"/>
                  <w:bottom w:w="0" w:type="dxa"/>
                  <w:right w:w="108" w:type="dxa"/>
                </w:tblCellMar>
              </w:tblPrEx>
              <w:trPr>
                <w:trHeight w:val="340" w:hRule="atLeast"/>
                <w:jc w:val="center"/>
              </w:trPr>
              <w:tc>
                <w:tcPr>
                  <w:tcW w:w="346" w:type="pct"/>
                  <w:tcBorders>
                    <w:top w:val="nil"/>
                    <w:left w:val="single" w:color="auto" w:sz="4" w:space="0"/>
                    <w:bottom w:val="single" w:color="auto" w:sz="4" w:space="0"/>
                    <w:right w:val="single" w:color="auto" w:sz="4" w:space="0"/>
                  </w:tcBorders>
                  <w:shd w:val="clear" w:color="auto" w:fill="auto"/>
                  <w:vAlign w:val="center"/>
                </w:tcPr>
                <w:p w14:paraId="6E3DA68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0"/>
                      <w:sz w:val="18"/>
                      <w:szCs w:val="18"/>
                      <w:lang w:val="en-US" w:eastAsia="zh-CN" w:bidi="ar"/>
                    </w:rPr>
                    <w:t>8</w:t>
                  </w:r>
                </w:p>
              </w:tc>
              <w:tc>
                <w:tcPr>
                  <w:tcW w:w="845" w:type="pct"/>
                  <w:tcBorders>
                    <w:top w:val="nil"/>
                    <w:left w:val="nil"/>
                    <w:bottom w:val="single" w:color="auto" w:sz="4" w:space="0"/>
                    <w:right w:val="single" w:color="auto" w:sz="4" w:space="0"/>
                  </w:tcBorders>
                  <w:shd w:val="clear" w:color="auto" w:fill="auto"/>
                  <w:vAlign w:val="center"/>
                </w:tcPr>
                <w:p w14:paraId="7CF5B25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sz w:val="18"/>
                      <w:szCs w:val="18"/>
                      <w:lang w:val="en-US" w:eastAsia="zh-CN"/>
                    </w:rPr>
                    <w:t>废过滤介质</w:t>
                  </w:r>
                </w:p>
              </w:tc>
              <w:tc>
                <w:tcPr>
                  <w:tcW w:w="491" w:type="pct"/>
                  <w:tcBorders>
                    <w:top w:val="nil"/>
                    <w:left w:val="nil"/>
                    <w:bottom w:val="single" w:color="auto" w:sz="4" w:space="0"/>
                    <w:right w:val="single" w:color="auto" w:sz="4" w:space="0"/>
                  </w:tcBorders>
                  <w:shd w:val="clear" w:color="auto" w:fill="auto"/>
                  <w:vAlign w:val="center"/>
                </w:tcPr>
                <w:p w14:paraId="4E15B44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sz w:val="18"/>
                      <w:szCs w:val="18"/>
                      <w:lang w:val="en-US" w:eastAsia="zh-CN"/>
                    </w:rPr>
                    <w:t>废气处理</w:t>
                  </w:r>
                </w:p>
              </w:tc>
              <w:tc>
                <w:tcPr>
                  <w:tcW w:w="436" w:type="pct"/>
                  <w:tcBorders>
                    <w:top w:val="nil"/>
                    <w:left w:val="nil"/>
                    <w:bottom w:val="single" w:color="auto" w:sz="4" w:space="0"/>
                    <w:right w:val="single" w:color="auto" w:sz="4" w:space="0"/>
                  </w:tcBorders>
                  <w:shd w:val="clear" w:color="auto" w:fill="auto"/>
                  <w:vAlign w:val="center"/>
                </w:tcPr>
                <w:p w14:paraId="45801C4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固态</w:t>
                  </w:r>
                </w:p>
              </w:tc>
              <w:tc>
                <w:tcPr>
                  <w:tcW w:w="898" w:type="pct"/>
                  <w:tcBorders>
                    <w:top w:val="nil"/>
                    <w:left w:val="nil"/>
                    <w:bottom w:val="single" w:color="auto" w:sz="4" w:space="0"/>
                    <w:right w:val="single" w:color="auto" w:sz="4" w:space="0"/>
                  </w:tcBorders>
                  <w:shd w:val="clear" w:color="auto" w:fill="auto"/>
                  <w:vAlign w:val="center"/>
                </w:tcPr>
                <w:p w14:paraId="6CBD2BB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sz w:val="18"/>
                      <w:szCs w:val="18"/>
                      <w:lang w:val="en-US" w:eastAsia="zh-CN"/>
                    </w:rPr>
                    <w:t>过滤器、微生物</w:t>
                  </w:r>
                </w:p>
              </w:tc>
              <w:tc>
                <w:tcPr>
                  <w:tcW w:w="607" w:type="pct"/>
                  <w:tcBorders>
                    <w:top w:val="nil"/>
                    <w:left w:val="nil"/>
                    <w:bottom w:val="single" w:color="auto" w:sz="4" w:space="0"/>
                    <w:right w:val="single" w:color="auto" w:sz="4" w:space="0"/>
                  </w:tcBorders>
                  <w:shd w:val="clear" w:color="auto" w:fill="auto"/>
                  <w:vAlign w:val="center"/>
                </w:tcPr>
                <w:p w14:paraId="7605C59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危险废物</w:t>
                  </w:r>
                </w:p>
              </w:tc>
              <w:tc>
                <w:tcPr>
                  <w:tcW w:w="765" w:type="pct"/>
                  <w:tcBorders>
                    <w:top w:val="nil"/>
                    <w:left w:val="nil"/>
                    <w:bottom w:val="single" w:color="auto" w:sz="4" w:space="0"/>
                    <w:right w:val="single" w:color="auto" w:sz="4" w:space="0"/>
                  </w:tcBorders>
                  <w:shd w:val="clear" w:color="auto" w:fill="auto"/>
                  <w:vAlign w:val="center"/>
                </w:tcPr>
                <w:p w14:paraId="19E60EB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olor w:val="000000"/>
                      <w:sz w:val="18"/>
                      <w:szCs w:val="18"/>
                    </w:rPr>
                    <w:t>HW49</w:t>
                  </w:r>
                  <w:r>
                    <w:rPr>
                      <w:rFonts w:hint="eastAsia"/>
                      <w:color w:val="000000"/>
                      <w:sz w:val="18"/>
                      <w:szCs w:val="18"/>
                      <w:lang w:val="en-US" w:eastAsia="zh-CN"/>
                    </w:rPr>
                    <w:t xml:space="preserve"> </w:t>
                  </w:r>
                  <w:r>
                    <w:rPr>
                      <w:rFonts w:hint="default"/>
                      <w:bCs/>
                      <w:color w:val="000000"/>
                      <w:sz w:val="18"/>
                      <w:szCs w:val="18"/>
                    </w:rPr>
                    <w:t>900-041-49</w:t>
                  </w:r>
                </w:p>
              </w:tc>
              <w:tc>
                <w:tcPr>
                  <w:tcW w:w="607" w:type="pct"/>
                  <w:tcBorders>
                    <w:top w:val="nil"/>
                    <w:left w:val="nil"/>
                    <w:bottom w:val="single" w:color="auto" w:sz="4" w:space="0"/>
                    <w:right w:val="single" w:color="auto" w:sz="4" w:space="0"/>
                  </w:tcBorders>
                  <w:shd w:val="clear" w:color="auto" w:fill="auto"/>
                  <w:vAlign w:val="center"/>
                </w:tcPr>
                <w:p w14:paraId="3D124B0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000000"/>
                      <w:kern w:val="2"/>
                      <w:sz w:val="18"/>
                      <w:szCs w:val="18"/>
                      <w:lang w:val="en-US" w:eastAsia="zh-CN" w:bidi="ar-SA"/>
                    </w:rPr>
                  </w:pPr>
                  <w:r>
                    <w:rPr>
                      <w:rFonts w:hint="eastAsia" w:cs="Times New Roman"/>
                      <w:color w:val="000000"/>
                      <w:kern w:val="0"/>
                      <w:sz w:val="18"/>
                      <w:szCs w:val="18"/>
                      <w:lang w:val="en-US" w:eastAsia="zh-CN" w:bidi="ar"/>
                    </w:rPr>
                    <w:t>0.1</w:t>
                  </w:r>
                </w:p>
              </w:tc>
            </w:tr>
            <w:tr w14:paraId="101E26E8">
              <w:tblPrEx>
                <w:tblCellMar>
                  <w:top w:w="0" w:type="dxa"/>
                  <w:left w:w="108" w:type="dxa"/>
                  <w:bottom w:w="0" w:type="dxa"/>
                  <w:right w:w="108" w:type="dxa"/>
                </w:tblCellMar>
              </w:tblPrEx>
              <w:trPr>
                <w:trHeight w:val="340" w:hRule="atLeast"/>
                <w:jc w:val="center"/>
              </w:trPr>
              <w:tc>
                <w:tcPr>
                  <w:tcW w:w="346" w:type="pct"/>
                  <w:tcBorders>
                    <w:top w:val="nil"/>
                    <w:left w:val="single" w:color="auto" w:sz="4" w:space="0"/>
                    <w:bottom w:val="single" w:color="auto" w:sz="4" w:space="0"/>
                    <w:right w:val="single" w:color="auto" w:sz="4" w:space="0"/>
                  </w:tcBorders>
                  <w:shd w:val="clear" w:color="auto" w:fill="auto"/>
                  <w:vAlign w:val="center"/>
                </w:tcPr>
                <w:p w14:paraId="1450A70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000000"/>
                      <w:kern w:val="2"/>
                      <w:sz w:val="18"/>
                      <w:szCs w:val="18"/>
                      <w:lang w:val="en-US" w:eastAsia="zh-CN" w:bidi="ar-SA"/>
                    </w:rPr>
                  </w:pPr>
                  <w:r>
                    <w:rPr>
                      <w:rFonts w:hint="eastAsia" w:cs="Times New Roman"/>
                      <w:color w:val="000000"/>
                      <w:kern w:val="0"/>
                      <w:sz w:val="18"/>
                      <w:szCs w:val="18"/>
                      <w:lang w:val="en-US" w:eastAsia="zh-CN" w:bidi="ar"/>
                    </w:rPr>
                    <w:t>9</w:t>
                  </w:r>
                </w:p>
              </w:tc>
              <w:tc>
                <w:tcPr>
                  <w:tcW w:w="845" w:type="pct"/>
                  <w:tcBorders>
                    <w:top w:val="nil"/>
                    <w:left w:val="nil"/>
                    <w:bottom w:val="single" w:color="auto" w:sz="4" w:space="0"/>
                    <w:right w:val="single" w:color="auto" w:sz="4" w:space="0"/>
                  </w:tcBorders>
                  <w:shd w:val="clear" w:color="auto" w:fill="auto"/>
                  <w:vAlign w:val="center"/>
                </w:tcPr>
                <w:p w14:paraId="0162941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sz w:val="18"/>
                      <w:szCs w:val="18"/>
                      <w:lang w:val="en-US" w:eastAsia="zh-CN"/>
                    </w:rPr>
                    <w:t>一般包装废物</w:t>
                  </w:r>
                </w:p>
              </w:tc>
              <w:tc>
                <w:tcPr>
                  <w:tcW w:w="491" w:type="pct"/>
                  <w:tcBorders>
                    <w:top w:val="nil"/>
                    <w:left w:val="nil"/>
                    <w:bottom w:val="single" w:color="auto" w:sz="4" w:space="0"/>
                    <w:right w:val="single" w:color="auto" w:sz="4" w:space="0"/>
                  </w:tcBorders>
                  <w:shd w:val="clear" w:color="auto" w:fill="auto"/>
                  <w:vAlign w:val="center"/>
                </w:tcPr>
                <w:p w14:paraId="67F71B1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sz w:val="18"/>
                      <w:szCs w:val="18"/>
                      <w:lang w:val="en-US" w:eastAsia="zh-CN"/>
                    </w:rPr>
                    <w:t>拆包</w:t>
                  </w:r>
                </w:p>
              </w:tc>
              <w:tc>
                <w:tcPr>
                  <w:tcW w:w="436" w:type="pct"/>
                  <w:tcBorders>
                    <w:top w:val="nil"/>
                    <w:left w:val="nil"/>
                    <w:bottom w:val="single" w:color="auto" w:sz="4" w:space="0"/>
                    <w:right w:val="single" w:color="auto" w:sz="4" w:space="0"/>
                  </w:tcBorders>
                  <w:shd w:val="clear" w:color="auto" w:fill="auto"/>
                  <w:vAlign w:val="center"/>
                </w:tcPr>
                <w:p w14:paraId="3777B7A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固态</w:t>
                  </w:r>
                </w:p>
              </w:tc>
              <w:tc>
                <w:tcPr>
                  <w:tcW w:w="898" w:type="pct"/>
                  <w:tcBorders>
                    <w:top w:val="nil"/>
                    <w:left w:val="nil"/>
                    <w:bottom w:val="single" w:color="auto" w:sz="4" w:space="0"/>
                    <w:right w:val="single" w:color="auto" w:sz="4" w:space="0"/>
                  </w:tcBorders>
                  <w:shd w:val="clear" w:color="auto" w:fill="auto"/>
                  <w:vAlign w:val="center"/>
                </w:tcPr>
                <w:p w14:paraId="72ECBE7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sz w:val="18"/>
                      <w:szCs w:val="18"/>
                      <w:lang w:val="en-US" w:eastAsia="zh-CN"/>
                    </w:rPr>
                    <w:t>纸塑</w:t>
                  </w:r>
                </w:p>
              </w:tc>
              <w:tc>
                <w:tcPr>
                  <w:tcW w:w="607" w:type="pct"/>
                  <w:tcBorders>
                    <w:top w:val="nil"/>
                    <w:left w:val="nil"/>
                    <w:bottom w:val="single" w:color="auto" w:sz="4" w:space="0"/>
                    <w:right w:val="single" w:color="auto" w:sz="4" w:space="0"/>
                  </w:tcBorders>
                  <w:shd w:val="clear" w:color="auto" w:fill="auto"/>
                  <w:vAlign w:val="center"/>
                </w:tcPr>
                <w:p w14:paraId="2095F91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一般固废</w:t>
                  </w:r>
                </w:p>
              </w:tc>
              <w:tc>
                <w:tcPr>
                  <w:tcW w:w="765" w:type="pct"/>
                  <w:tcBorders>
                    <w:top w:val="nil"/>
                    <w:left w:val="nil"/>
                    <w:bottom w:val="single" w:color="auto" w:sz="4" w:space="0"/>
                    <w:right w:val="single" w:color="auto" w:sz="4" w:space="0"/>
                  </w:tcBorders>
                  <w:shd w:val="clear" w:color="auto" w:fill="auto"/>
                  <w:vAlign w:val="center"/>
                </w:tcPr>
                <w:p w14:paraId="280EBAB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kern w:val="0"/>
                      <w:sz w:val="18"/>
                      <w:szCs w:val="18"/>
                      <w:lang w:val="en-US" w:eastAsia="zh-CN"/>
                    </w:rPr>
                    <w:t>900-005-S17</w:t>
                  </w:r>
                </w:p>
              </w:tc>
              <w:tc>
                <w:tcPr>
                  <w:tcW w:w="607" w:type="pct"/>
                  <w:tcBorders>
                    <w:top w:val="nil"/>
                    <w:left w:val="nil"/>
                    <w:bottom w:val="single" w:color="auto" w:sz="4" w:space="0"/>
                    <w:right w:val="single" w:color="auto" w:sz="4" w:space="0"/>
                  </w:tcBorders>
                  <w:shd w:val="clear" w:color="auto" w:fill="auto"/>
                  <w:vAlign w:val="center"/>
                </w:tcPr>
                <w:p w14:paraId="51B20B9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0"/>
                      <w:sz w:val="18"/>
                      <w:szCs w:val="18"/>
                      <w:lang w:val="en-US" w:eastAsia="zh-CN" w:bidi="ar"/>
                    </w:rPr>
                    <w:t>0.5</w:t>
                  </w:r>
                </w:p>
              </w:tc>
            </w:tr>
            <w:tr w14:paraId="1E5A11E1">
              <w:tblPrEx>
                <w:tblCellMar>
                  <w:top w:w="0" w:type="dxa"/>
                  <w:left w:w="108" w:type="dxa"/>
                  <w:bottom w:w="0" w:type="dxa"/>
                  <w:right w:w="108" w:type="dxa"/>
                </w:tblCellMar>
              </w:tblPrEx>
              <w:trPr>
                <w:trHeight w:val="340" w:hRule="atLeast"/>
                <w:jc w:val="center"/>
              </w:trPr>
              <w:tc>
                <w:tcPr>
                  <w:tcW w:w="346" w:type="pct"/>
                  <w:tcBorders>
                    <w:top w:val="nil"/>
                    <w:left w:val="single" w:color="auto" w:sz="4" w:space="0"/>
                    <w:bottom w:val="single" w:color="auto" w:sz="4" w:space="0"/>
                    <w:right w:val="single" w:color="auto" w:sz="4" w:space="0"/>
                  </w:tcBorders>
                  <w:shd w:val="clear" w:color="auto" w:fill="auto"/>
                  <w:vAlign w:val="center"/>
                </w:tcPr>
                <w:p w14:paraId="3DF9127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val="en-US" w:eastAsia="zh-CN" w:bidi="ar"/>
                    </w:rPr>
                  </w:pPr>
                  <w:r>
                    <w:rPr>
                      <w:rFonts w:hint="eastAsia" w:cs="Times New Roman"/>
                      <w:color w:val="000000"/>
                      <w:kern w:val="0"/>
                      <w:sz w:val="18"/>
                      <w:szCs w:val="18"/>
                      <w:lang w:val="en-US" w:eastAsia="zh-CN" w:bidi="ar"/>
                    </w:rPr>
                    <w:t>10</w:t>
                  </w:r>
                </w:p>
              </w:tc>
              <w:tc>
                <w:tcPr>
                  <w:tcW w:w="845" w:type="pct"/>
                  <w:tcBorders>
                    <w:top w:val="nil"/>
                    <w:left w:val="nil"/>
                    <w:bottom w:val="single" w:color="auto" w:sz="4" w:space="0"/>
                    <w:right w:val="single" w:color="auto" w:sz="4" w:space="0"/>
                  </w:tcBorders>
                  <w:shd w:val="clear" w:color="auto" w:fill="auto"/>
                  <w:vAlign w:val="center"/>
                </w:tcPr>
                <w:p w14:paraId="32D4C22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sz w:val="18"/>
                      <w:szCs w:val="18"/>
                      <w:lang w:val="en-US" w:eastAsia="zh-CN"/>
                    </w:rPr>
                  </w:pPr>
                  <w:r>
                    <w:rPr>
                      <w:rFonts w:hint="eastAsia" w:cs="Times New Roman"/>
                      <w:color w:val="000000"/>
                      <w:sz w:val="18"/>
                      <w:szCs w:val="18"/>
                      <w:lang w:val="en-US" w:eastAsia="zh-CN"/>
                    </w:rPr>
                    <w:t>废灯管</w:t>
                  </w:r>
                </w:p>
              </w:tc>
              <w:tc>
                <w:tcPr>
                  <w:tcW w:w="491" w:type="pct"/>
                  <w:tcBorders>
                    <w:top w:val="nil"/>
                    <w:left w:val="nil"/>
                    <w:bottom w:val="single" w:color="auto" w:sz="4" w:space="0"/>
                    <w:right w:val="single" w:color="auto" w:sz="4" w:space="0"/>
                  </w:tcBorders>
                  <w:shd w:val="clear" w:color="auto" w:fill="auto"/>
                  <w:vAlign w:val="center"/>
                </w:tcPr>
                <w:p w14:paraId="3F3630C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sz w:val="18"/>
                      <w:szCs w:val="18"/>
                      <w:lang w:val="en-US" w:eastAsia="zh-CN"/>
                    </w:rPr>
                  </w:pPr>
                  <w:r>
                    <w:rPr>
                      <w:rFonts w:hint="eastAsia" w:cs="Times New Roman"/>
                      <w:color w:val="000000"/>
                      <w:sz w:val="18"/>
                      <w:szCs w:val="18"/>
                      <w:lang w:val="en-US" w:eastAsia="zh-CN"/>
                    </w:rPr>
                    <w:t>消毒</w:t>
                  </w:r>
                </w:p>
              </w:tc>
              <w:tc>
                <w:tcPr>
                  <w:tcW w:w="436" w:type="pct"/>
                  <w:tcBorders>
                    <w:top w:val="nil"/>
                    <w:left w:val="nil"/>
                    <w:bottom w:val="single" w:color="auto" w:sz="4" w:space="0"/>
                    <w:right w:val="single" w:color="auto" w:sz="4" w:space="0"/>
                  </w:tcBorders>
                  <w:shd w:val="clear" w:color="auto" w:fill="auto"/>
                  <w:vAlign w:val="center"/>
                </w:tcPr>
                <w:p w14:paraId="45293F9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固态</w:t>
                  </w:r>
                </w:p>
              </w:tc>
              <w:tc>
                <w:tcPr>
                  <w:tcW w:w="898" w:type="pct"/>
                  <w:tcBorders>
                    <w:top w:val="nil"/>
                    <w:left w:val="nil"/>
                    <w:bottom w:val="single" w:color="auto" w:sz="4" w:space="0"/>
                    <w:right w:val="single" w:color="auto" w:sz="4" w:space="0"/>
                  </w:tcBorders>
                  <w:shd w:val="clear" w:color="auto" w:fill="auto"/>
                  <w:vAlign w:val="center"/>
                </w:tcPr>
                <w:p w14:paraId="73C4107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sz w:val="18"/>
                      <w:szCs w:val="18"/>
                      <w:lang w:val="en-US" w:eastAsia="zh-CN"/>
                    </w:rPr>
                  </w:pPr>
                  <w:r>
                    <w:rPr>
                      <w:rFonts w:hint="eastAsia" w:cs="Times New Roman"/>
                      <w:color w:val="auto"/>
                      <w:sz w:val="18"/>
                      <w:szCs w:val="18"/>
                      <w:lang w:val="en-US" w:eastAsia="zh-CN"/>
                    </w:rPr>
                    <w:t>含汞废物</w:t>
                  </w:r>
                </w:p>
              </w:tc>
              <w:tc>
                <w:tcPr>
                  <w:tcW w:w="607" w:type="pct"/>
                  <w:tcBorders>
                    <w:top w:val="nil"/>
                    <w:left w:val="nil"/>
                    <w:bottom w:val="single" w:color="auto" w:sz="4" w:space="0"/>
                    <w:right w:val="single" w:color="auto" w:sz="4" w:space="0"/>
                  </w:tcBorders>
                  <w:shd w:val="clear" w:color="auto" w:fill="auto"/>
                  <w:vAlign w:val="center"/>
                </w:tcPr>
                <w:p w14:paraId="38C71C2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危险废物</w:t>
                  </w:r>
                </w:p>
              </w:tc>
              <w:tc>
                <w:tcPr>
                  <w:tcW w:w="765" w:type="pct"/>
                  <w:tcBorders>
                    <w:top w:val="nil"/>
                    <w:left w:val="nil"/>
                    <w:bottom w:val="single" w:color="auto" w:sz="4" w:space="0"/>
                    <w:right w:val="single" w:color="auto" w:sz="4" w:space="0"/>
                  </w:tcBorders>
                  <w:shd w:val="clear" w:color="auto" w:fill="auto"/>
                  <w:vAlign w:val="center"/>
                </w:tcPr>
                <w:p w14:paraId="53FF299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kern w:val="0"/>
                      <w:sz w:val="18"/>
                      <w:szCs w:val="18"/>
                      <w:lang w:val="en-US" w:eastAsia="zh-CN"/>
                    </w:rPr>
                  </w:pPr>
                  <w:r>
                    <w:rPr>
                      <w:rFonts w:hint="eastAsia"/>
                      <w:kern w:val="0"/>
                      <w:sz w:val="18"/>
                      <w:szCs w:val="18"/>
                      <w:lang w:val="en-US" w:eastAsia="zh-CN"/>
                    </w:rPr>
                    <w:t>900-023-29</w:t>
                  </w:r>
                </w:p>
              </w:tc>
              <w:tc>
                <w:tcPr>
                  <w:tcW w:w="607" w:type="pct"/>
                  <w:tcBorders>
                    <w:top w:val="nil"/>
                    <w:left w:val="nil"/>
                    <w:bottom w:val="single" w:color="auto" w:sz="4" w:space="0"/>
                    <w:right w:val="single" w:color="auto" w:sz="4" w:space="0"/>
                  </w:tcBorders>
                  <w:shd w:val="clear" w:color="auto" w:fill="auto"/>
                  <w:vAlign w:val="center"/>
                </w:tcPr>
                <w:p w14:paraId="57C1D5B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val="en-US" w:eastAsia="zh-CN" w:bidi="ar"/>
                    </w:rPr>
                  </w:pPr>
                  <w:r>
                    <w:rPr>
                      <w:rFonts w:hint="eastAsia" w:cs="Times New Roman"/>
                      <w:color w:val="000000"/>
                      <w:kern w:val="0"/>
                      <w:sz w:val="18"/>
                      <w:szCs w:val="18"/>
                      <w:lang w:val="en-US" w:eastAsia="zh-CN" w:bidi="ar"/>
                    </w:rPr>
                    <w:t>0.01</w:t>
                  </w:r>
                </w:p>
              </w:tc>
            </w:tr>
            <w:tr w14:paraId="3997A1C4">
              <w:tblPrEx>
                <w:tblCellMar>
                  <w:top w:w="0" w:type="dxa"/>
                  <w:left w:w="108" w:type="dxa"/>
                  <w:bottom w:w="0" w:type="dxa"/>
                  <w:right w:w="108" w:type="dxa"/>
                </w:tblCellMar>
              </w:tblPrEx>
              <w:trPr>
                <w:trHeight w:val="241" w:hRule="atLeast"/>
                <w:jc w:val="center"/>
              </w:trPr>
              <w:tc>
                <w:tcPr>
                  <w:tcW w:w="346" w:type="pct"/>
                  <w:tcBorders>
                    <w:top w:val="nil"/>
                    <w:left w:val="single" w:color="auto" w:sz="4" w:space="0"/>
                    <w:bottom w:val="single" w:color="auto" w:sz="4" w:space="0"/>
                    <w:right w:val="single" w:color="auto" w:sz="4" w:space="0"/>
                  </w:tcBorders>
                  <w:shd w:val="clear" w:color="auto" w:fill="auto"/>
                  <w:vAlign w:val="center"/>
                </w:tcPr>
                <w:p w14:paraId="0354E1D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eastAsia="宋体" w:cs="Times New Roman"/>
                      <w:color w:val="000000"/>
                      <w:sz w:val="18"/>
                      <w:szCs w:val="18"/>
                      <w:lang w:val="en-US" w:eastAsia="zh-CN"/>
                    </w:rPr>
                  </w:pPr>
                  <w:r>
                    <w:rPr>
                      <w:rFonts w:hint="eastAsia" w:cs="Times New Roman"/>
                      <w:color w:val="000000"/>
                      <w:sz w:val="18"/>
                      <w:szCs w:val="18"/>
                      <w:lang w:val="en-US" w:eastAsia="zh-CN"/>
                    </w:rPr>
                    <w:t>11</w:t>
                  </w:r>
                </w:p>
              </w:tc>
              <w:tc>
                <w:tcPr>
                  <w:tcW w:w="845" w:type="pct"/>
                  <w:tcBorders>
                    <w:top w:val="nil"/>
                    <w:left w:val="nil"/>
                    <w:bottom w:val="single" w:color="auto" w:sz="4" w:space="0"/>
                    <w:right w:val="single" w:color="auto" w:sz="4" w:space="0"/>
                  </w:tcBorders>
                  <w:shd w:val="clear" w:color="auto" w:fill="auto"/>
                  <w:vAlign w:val="center"/>
                </w:tcPr>
                <w:p w14:paraId="3B4F562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sz w:val="18"/>
                      <w:szCs w:val="18"/>
                    </w:rPr>
                    <w:t>生活垃圾</w:t>
                  </w:r>
                </w:p>
              </w:tc>
              <w:tc>
                <w:tcPr>
                  <w:tcW w:w="491" w:type="pct"/>
                  <w:tcBorders>
                    <w:top w:val="nil"/>
                    <w:left w:val="nil"/>
                    <w:bottom w:val="single" w:color="auto" w:sz="4" w:space="0"/>
                    <w:right w:val="single" w:color="auto" w:sz="4" w:space="0"/>
                  </w:tcBorders>
                  <w:shd w:val="clear" w:color="auto" w:fill="auto"/>
                  <w:vAlign w:val="center"/>
                </w:tcPr>
                <w:p w14:paraId="5F3FC46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员工生活</w:t>
                  </w:r>
                </w:p>
              </w:tc>
              <w:tc>
                <w:tcPr>
                  <w:tcW w:w="436" w:type="pct"/>
                  <w:tcBorders>
                    <w:top w:val="nil"/>
                    <w:left w:val="nil"/>
                    <w:bottom w:val="single" w:color="auto" w:sz="4" w:space="0"/>
                    <w:right w:val="single" w:color="auto" w:sz="4" w:space="0"/>
                  </w:tcBorders>
                  <w:shd w:val="clear" w:color="auto" w:fill="auto"/>
                  <w:vAlign w:val="center"/>
                </w:tcPr>
                <w:p w14:paraId="2638BC3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固态</w:t>
                  </w:r>
                </w:p>
              </w:tc>
              <w:tc>
                <w:tcPr>
                  <w:tcW w:w="898" w:type="pct"/>
                  <w:tcBorders>
                    <w:top w:val="nil"/>
                    <w:left w:val="nil"/>
                    <w:bottom w:val="single" w:color="auto" w:sz="4" w:space="0"/>
                    <w:right w:val="single" w:color="auto" w:sz="4" w:space="0"/>
                  </w:tcBorders>
                  <w:shd w:val="clear" w:color="auto" w:fill="auto"/>
                  <w:vAlign w:val="center"/>
                </w:tcPr>
                <w:p w14:paraId="00C81F9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生活垃圾</w:t>
                  </w:r>
                </w:p>
              </w:tc>
              <w:tc>
                <w:tcPr>
                  <w:tcW w:w="607" w:type="pct"/>
                  <w:tcBorders>
                    <w:top w:val="nil"/>
                    <w:left w:val="nil"/>
                    <w:bottom w:val="single" w:color="auto" w:sz="4" w:space="0"/>
                    <w:right w:val="single" w:color="auto" w:sz="4" w:space="0"/>
                  </w:tcBorders>
                  <w:shd w:val="clear" w:color="auto" w:fill="auto"/>
                  <w:vAlign w:val="center"/>
                </w:tcPr>
                <w:p w14:paraId="01C0E0E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default" w:cs="Times New Roman"/>
                      <w:color w:val="000000"/>
                      <w:kern w:val="0"/>
                      <w:sz w:val="18"/>
                      <w:szCs w:val="18"/>
                      <w:lang w:bidi="ar"/>
                    </w:rPr>
                    <w:t>一般固废</w:t>
                  </w:r>
                </w:p>
              </w:tc>
              <w:tc>
                <w:tcPr>
                  <w:tcW w:w="765" w:type="pct"/>
                  <w:tcBorders>
                    <w:top w:val="nil"/>
                    <w:left w:val="nil"/>
                    <w:bottom w:val="single" w:color="auto" w:sz="4" w:space="0"/>
                    <w:right w:val="single" w:color="auto" w:sz="4" w:space="0"/>
                  </w:tcBorders>
                  <w:shd w:val="clear" w:color="auto" w:fill="auto"/>
                  <w:vAlign w:val="center"/>
                </w:tcPr>
                <w:p w14:paraId="6748676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sz w:val="18"/>
                      <w:szCs w:val="18"/>
                      <w:lang w:val="en-US" w:eastAsia="zh-CN"/>
                    </w:rPr>
                    <w:t>900-099-S64</w:t>
                  </w:r>
                </w:p>
              </w:tc>
              <w:tc>
                <w:tcPr>
                  <w:tcW w:w="607" w:type="pct"/>
                  <w:tcBorders>
                    <w:top w:val="nil"/>
                    <w:left w:val="nil"/>
                    <w:bottom w:val="single" w:color="auto" w:sz="4" w:space="0"/>
                    <w:right w:val="single" w:color="auto" w:sz="4" w:space="0"/>
                  </w:tcBorders>
                  <w:shd w:val="clear" w:color="auto" w:fill="auto"/>
                  <w:vAlign w:val="center"/>
                </w:tcPr>
                <w:p w14:paraId="507210F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000000"/>
                      <w:kern w:val="2"/>
                      <w:sz w:val="18"/>
                      <w:szCs w:val="18"/>
                      <w:lang w:val="en-US" w:eastAsia="zh-CN" w:bidi="ar-SA"/>
                    </w:rPr>
                  </w:pPr>
                  <w:r>
                    <w:rPr>
                      <w:rFonts w:hint="eastAsia" w:cs="Times New Roman"/>
                      <w:color w:val="000000"/>
                      <w:kern w:val="0"/>
                      <w:sz w:val="18"/>
                      <w:szCs w:val="18"/>
                      <w:lang w:val="en-US" w:eastAsia="zh-CN" w:bidi="ar"/>
                    </w:rPr>
                    <w:t>2.5</w:t>
                  </w:r>
                </w:p>
              </w:tc>
            </w:tr>
          </w:tbl>
          <w:p w14:paraId="34885841">
            <w:pPr>
              <w:pStyle w:val="2"/>
              <w:keepNext w:val="0"/>
              <w:keepLines w:val="0"/>
              <w:suppressLineNumbers w:val="0"/>
              <w:spacing w:before="0" w:beforeAutospacing="0" w:after="0" w:afterAutospacing="0" w:line="240" w:lineRule="auto"/>
              <w:ind w:left="0" w:right="0" w:firstLine="0" w:firstLineChars="0"/>
              <w:rPr>
                <w:rFonts w:hint="default" w:eastAsia="黑体" w:cs="Times New Roman"/>
                <w:sz w:val="18"/>
                <w:szCs w:val="18"/>
              </w:rPr>
            </w:pPr>
          </w:p>
          <w:p w14:paraId="41560961">
            <w:pPr>
              <w:pStyle w:val="2"/>
              <w:keepNext w:val="0"/>
              <w:keepLines w:val="0"/>
              <w:suppressLineNumbers w:val="0"/>
              <w:spacing w:before="0" w:beforeAutospacing="0" w:after="0" w:afterAutospacing="0"/>
              <w:ind w:left="0" w:right="0" w:firstLine="0" w:firstLineChars="0"/>
              <w:jc w:val="center"/>
              <w:rPr>
                <w:rFonts w:hint="default" w:eastAsia="黑体" w:cs="Times New Roman"/>
                <w:szCs w:val="24"/>
              </w:rPr>
            </w:pPr>
            <w:r>
              <w:rPr>
                <w:rFonts w:hint="default" w:eastAsia="黑体" w:cs="Times New Roman"/>
                <w:szCs w:val="24"/>
              </w:rPr>
              <w:t>表4-</w:t>
            </w:r>
            <w:r>
              <w:rPr>
                <w:rFonts w:hint="eastAsia" w:eastAsia="黑体" w:cs="Times New Roman"/>
                <w:szCs w:val="24"/>
              </w:rPr>
              <w:t>1</w:t>
            </w:r>
            <w:r>
              <w:rPr>
                <w:rFonts w:hint="eastAsia" w:eastAsia="黑体" w:cs="Times New Roman"/>
                <w:szCs w:val="24"/>
                <w:lang w:val="en-US" w:eastAsia="zh-CN"/>
              </w:rPr>
              <w:t>3</w:t>
            </w:r>
            <w:r>
              <w:rPr>
                <w:rFonts w:hint="eastAsia" w:eastAsia="黑体" w:cs="Times New Roman"/>
                <w:szCs w:val="24"/>
              </w:rPr>
              <w:t xml:space="preserve"> </w:t>
            </w:r>
            <w:r>
              <w:rPr>
                <w:rFonts w:hint="default" w:eastAsia="黑体" w:cs="Times New Roman"/>
                <w:szCs w:val="24"/>
              </w:rPr>
              <w:t xml:space="preserve"> </w:t>
            </w:r>
            <w:r>
              <w:rPr>
                <w:rFonts w:hint="eastAsia" w:eastAsia="黑体" w:cs="Times New Roman"/>
                <w:szCs w:val="24"/>
              </w:rPr>
              <w:t>固废产生及贮存、利用处置情况</w:t>
            </w:r>
          </w:p>
          <w:tbl>
            <w:tblPr>
              <w:tblStyle w:val="16"/>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1587"/>
              <w:gridCol w:w="1048"/>
              <w:gridCol w:w="1422"/>
              <w:gridCol w:w="870"/>
              <w:gridCol w:w="1318"/>
              <w:gridCol w:w="1193"/>
              <w:gridCol w:w="1011"/>
              <w:gridCol w:w="1411"/>
              <w:gridCol w:w="987"/>
              <w:gridCol w:w="1367"/>
            </w:tblGrid>
            <w:tr w14:paraId="396A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7" w:type="pct"/>
                  <w:shd w:val="clear" w:color="auto" w:fill="auto"/>
                  <w:vAlign w:val="center"/>
                </w:tcPr>
                <w:p w14:paraId="3F4B3C1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产生环节</w:t>
                  </w:r>
                </w:p>
              </w:tc>
              <w:tc>
                <w:tcPr>
                  <w:tcW w:w="595" w:type="pct"/>
                  <w:shd w:val="clear" w:color="auto" w:fill="auto"/>
                  <w:vAlign w:val="center"/>
                </w:tcPr>
                <w:p w14:paraId="7DFD4AC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名称</w:t>
                  </w:r>
                </w:p>
              </w:tc>
              <w:tc>
                <w:tcPr>
                  <w:tcW w:w="393" w:type="pct"/>
                  <w:shd w:val="clear" w:color="auto" w:fill="auto"/>
                  <w:vAlign w:val="center"/>
                </w:tcPr>
                <w:p w14:paraId="1348F95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属性</w:t>
                  </w:r>
                </w:p>
              </w:tc>
              <w:tc>
                <w:tcPr>
                  <w:tcW w:w="533" w:type="pct"/>
                  <w:shd w:val="clear" w:color="auto" w:fill="auto"/>
                  <w:vAlign w:val="center"/>
                </w:tcPr>
                <w:p w14:paraId="68DA2B1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主要有毒有害物质名称</w:t>
                  </w:r>
                </w:p>
              </w:tc>
              <w:tc>
                <w:tcPr>
                  <w:tcW w:w="326" w:type="pct"/>
                  <w:shd w:val="clear" w:color="auto" w:fill="auto"/>
                  <w:vAlign w:val="center"/>
                </w:tcPr>
                <w:p w14:paraId="485F1C4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物理性状</w:t>
                  </w:r>
                </w:p>
              </w:tc>
              <w:tc>
                <w:tcPr>
                  <w:tcW w:w="494" w:type="pct"/>
                  <w:shd w:val="clear" w:color="auto" w:fill="auto"/>
                  <w:vAlign w:val="center"/>
                </w:tcPr>
                <w:p w14:paraId="1B8CF8F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环境危险特性</w:t>
                  </w:r>
                </w:p>
              </w:tc>
              <w:tc>
                <w:tcPr>
                  <w:tcW w:w="447" w:type="pct"/>
                  <w:shd w:val="clear" w:color="auto" w:fill="auto"/>
                  <w:vAlign w:val="center"/>
                </w:tcPr>
                <w:p w14:paraId="74A7C4E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 xml:space="preserve">产生量 </w:t>
                  </w:r>
                  <w:r>
                    <w:rPr>
                      <w:rFonts w:hint="default" w:cs="Times New Roman"/>
                      <w:color w:val="000000"/>
                      <w:kern w:val="0"/>
                      <w:sz w:val="18"/>
                      <w:szCs w:val="18"/>
                      <w:lang w:bidi="ar"/>
                    </w:rPr>
                    <w:t>/t/a</w:t>
                  </w:r>
                </w:p>
              </w:tc>
              <w:tc>
                <w:tcPr>
                  <w:tcW w:w="379" w:type="pct"/>
                  <w:shd w:val="clear" w:color="auto" w:fill="auto"/>
                  <w:vAlign w:val="center"/>
                </w:tcPr>
                <w:p w14:paraId="72E52D2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贮存方式</w:t>
                  </w:r>
                </w:p>
              </w:tc>
              <w:tc>
                <w:tcPr>
                  <w:tcW w:w="529" w:type="pct"/>
                  <w:shd w:val="clear" w:color="auto" w:fill="auto"/>
                  <w:vAlign w:val="center"/>
                </w:tcPr>
                <w:p w14:paraId="2C89ACA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利用处置方式</w:t>
                  </w:r>
                </w:p>
              </w:tc>
              <w:tc>
                <w:tcPr>
                  <w:tcW w:w="370" w:type="pct"/>
                  <w:shd w:val="clear" w:color="auto" w:fill="auto"/>
                  <w:vAlign w:val="center"/>
                </w:tcPr>
                <w:p w14:paraId="62429AF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去向</w:t>
                  </w:r>
                </w:p>
              </w:tc>
              <w:tc>
                <w:tcPr>
                  <w:tcW w:w="512" w:type="pct"/>
                  <w:shd w:val="clear" w:color="auto" w:fill="auto"/>
                  <w:vAlign w:val="center"/>
                </w:tcPr>
                <w:p w14:paraId="2F81475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利用处置量</w:t>
                  </w:r>
                  <w:r>
                    <w:rPr>
                      <w:rFonts w:hint="default" w:cs="Times New Roman"/>
                      <w:color w:val="000000"/>
                      <w:kern w:val="0"/>
                      <w:sz w:val="18"/>
                      <w:szCs w:val="18"/>
                      <w:lang w:bidi="ar"/>
                    </w:rPr>
                    <w:t>/t/a</w:t>
                  </w:r>
                </w:p>
              </w:tc>
            </w:tr>
            <w:tr w14:paraId="417B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7" w:type="pct"/>
                  <w:shd w:val="clear" w:color="auto" w:fill="auto"/>
                  <w:vAlign w:val="center"/>
                </w:tcPr>
                <w:p w14:paraId="2155473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质量控制</w:t>
                  </w:r>
                </w:p>
              </w:tc>
              <w:tc>
                <w:tcPr>
                  <w:tcW w:w="595" w:type="pct"/>
                  <w:shd w:val="clear" w:color="auto" w:fill="auto"/>
                  <w:vAlign w:val="center"/>
                </w:tcPr>
                <w:p w14:paraId="1B698A1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sz w:val="18"/>
                      <w:szCs w:val="18"/>
                      <w:lang w:val="en-US" w:eastAsia="zh-CN"/>
                    </w:rPr>
                    <w:t>不合格品</w:t>
                  </w:r>
                </w:p>
              </w:tc>
              <w:tc>
                <w:tcPr>
                  <w:tcW w:w="393" w:type="pct"/>
                  <w:shd w:val="clear" w:color="auto" w:fill="auto"/>
                  <w:vAlign w:val="center"/>
                </w:tcPr>
                <w:p w14:paraId="6F540C6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一般固废</w:t>
                  </w:r>
                </w:p>
              </w:tc>
              <w:tc>
                <w:tcPr>
                  <w:tcW w:w="533" w:type="pct"/>
                  <w:shd w:val="clear" w:color="auto" w:fill="auto"/>
                  <w:vAlign w:val="center"/>
                </w:tcPr>
                <w:p w14:paraId="29D4D64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菌液</w:t>
                  </w:r>
                </w:p>
              </w:tc>
              <w:tc>
                <w:tcPr>
                  <w:tcW w:w="326" w:type="pct"/>
                  <w:shd w:val="clear" w:color="auto" w:fill="auto"/>
                  <w:vAlign w:val="center"/>
                </w:tcPr>
                <w:p w14:paraId="00882D8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固态</w:t>
                  </w:r>
                </w:p>
              </w:tc>
              <w:tc>
                <w:tcPr>
                  <w:tcW w:w="494" w:type="pct"/>
                  <w:shd w:val="clear" w:color="auto" w:fill="auto"/>
                  <w:vAlign w:val="center"/>
                </w:tcPr>
                <w:p w14:paraId="5875522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w:t>
                  </w:r>
                </w:p>
              </w:tc>
              <w:tc>
                <w:tcPr>
                  <w:tcW w:w="447" w:type="pct"/>
                  <w:shd w:val="clear" w:color="auto" w:fill="auto"/>
                  <w:vAlign w:val="center"/>
                </w:tcPr>
                <w:p w14:paraId="3CA491E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sz w:val="18"/>
                      <w:szCs w:val="18"/>
                      <w:lang w:val="en-US" w:eastAsia="zh-CN"/>
                    </w:rPr>
                    <w:t>0.001</w:t>
                  </w:r>
                </w:p>
              </w:tc>
              <w:tc>
                <w:tcPr>
                  <w:tcW w:w="379" w:type="pct"/>
                  <w:shd w:val="clear" w:color="auto" w:fill="auto"/>
                  <w:vAlign w:val="center"/>
                </w:tcPr>
                <w:p w14:paraId="6F331ED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自行贮存</w:t>
                  </w:r>
                </w:p>
              </w:tc>
              <w:tc>
                <w:tcPr>
                  <w:tcW w:w="529" w:type="pct"/>
                  <w:shd w:val="clear" w:color="auto" w:fill="auto"/>
                  <w:vAlign w:val="center"/>
                </w:tcPr>
                <w:p w14:paraId="5E9F67A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委托处置</w:t>
                  </w:r>
                </w:p>
              </w:tc>
              <w:tc>
                <w:tcPr>
                  <w:tcW w:w="370" w:type="pct"/>
                  <w:shd w:val="clear" w:color="auto" w:fill="auto"/>
                  <w:vAlign w:val="center"/>
                </w:tcPr>
                <w:p w14:paraId="3D33D59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物资公司</w:t>
                  </w:r>
                </w:p>
              </w:tc>
              <w:tc>
                <w:tcPr>
                  <w:tcW w:w="512" w:type="pct"/>
                  <w:shd w:val="clear" w:color="auto" w:fill="auto"/>
                  <w:vAlign w:val="center"/>
                </w:tcPr>
                <w:p w14:paraId="27D469E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sz w:val="18"/>
                      <w:szCs w:val="18"/>
                      <w:lang w:val="en-US" w:eastAsia="zh-CN"/>
                    </w:rPr>
                    <w:t>0.001</w:t>
                  </w:r>
                </w:p>
              </w:tc>
            </w:tr>
            <w:tr w14:paraId="30806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7" w:type="pct"/>
                  <w:shd w:val="clear" w:color="auto" w:fill="auto"/>
                  <w:vAlign w:val="center"/>
                </w:tcPr>
                <w:p w14:paraId="7CFDFE0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sz w:val="18"/>
                      <w:szCs w:val="18"/>
                      <w:lang w:val="en-US" w:eastAsia="zh-CN"/>
                    </w:rPr>
                    <w:t>实验、检测</w:t>
                  </w:r>
                </w:p>
              </w:tc>
              <w:tc>
                <w:tcPr>
                  <w:tcW w:w="595" w:type="pct"/>
                  <w:shd w:val="clear" w:color="auto" w:fill="auto"/>
                  <w:vAlign w:val="center"/>
                </w:tcPr>
                <w:p w14:paraId="3D906F1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sz w:val="18"/>
                      <w:szCs w:val="18"/>
                      <w:lang w:val="en-US" w:eastAsia="zh-CN"/>
                    </w:rPr>
                    <w:t>实验室废物</w:t>
                  </w:r>
                </w:p>
              </w:tc>
              <w:tc>
                <w:tcPr>
                  <w:tcW w:w="393" w:type="pct"/>
                  <w:shd w:val="clear" w:color="auto" w:fill="auto"/>
                  <w:vAlign w:val="center"/>
                </w:tcPr>
                <w:p w14:paraId="3952EDE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危险废物</w:t>
                  </w:r>
                </w:p>
              </w:tc>
              <w:tc>
                <w:tcPr>
                  <w:tcW w:w="533" w:type="pct"/>
                  <w:shd w:val="clear" w:color="auto" w:fill="auto"/>
                  <w:vAlign w:val="center"/>
                </w:tcPr>
                <w:p w14:paraId="3D93E93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sz w:val="18"/>
                      <w:szCs w:val="18"/>
                      <w:lang w:val="en-US" w:eastAsia="zh-CN"/>
                    </w:rPr>
                    <w:t>废劳保用品（手套、抹布）、废试剂、废器皿、废一次性离心管、废一次性移液枪头等</w:t>
                  </w:r>
                </w:p>
              </w:tc>
              <w:tc>
                <w:tcPr>
                  <w:tcW w:w="326" w:type="pct"/>
                  <w:shd w:val="clear" w:color="auto" w:fill="auto"/>
                  <w:vAlign w:val="center"/>
                </w:tcPr>
                <w:p w14:paraId="2EA0053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固态</w:t>
                  </w:r>
                </w:p>
              </w:tc>
              <w:tc>
                <w:tcPr>
                  <w:tcW w:w="494" w:type="pct"/>
                  <w:shd w:val="clear" w:color="auto" w:fill="auto"/>
                  <w:vAlign w:val="center"/>
                </w:tcPr>
                <w:p w14:paraId="79CA8EB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In</w:t>
                  </w:r>
                </w:p>
              </w:tc>
              <w:tc>
                <w:tcPr>
                  <w:tcW w:w="447" w:type="pct"/>
                  <w:shd w:val="clear" w:color="auto" w:fill="auto"/>
                  <w:vAlign w:val="center"/>
                </w:tcPr>
                <w:p w14:paraId="763AC8D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val="en-US" w:bidi="ar"/>
                    </w:rPr>
                  </w:pPr>
                  <w:r>
                    <w:rPr>
                      <w:rFonts w:hint="eastAsia" w:cs="Times New Roman"/>
                      <w:color w:val="000000"/>
                      <w:kern w:val="0"/>
                      <w:sz w:val="18"/>
                      <w:szCs w:val="18"/>
                      <w:lang w:val="en-US" w:eastAsia="zh-CN" w:bidi="ar"/>
                    </w:rPr>
                    <w:t>2</w:t>
                  </w:r>
                </w:p>
              </w:tc>
              <w:tc>
                <w:tcPr>
                  <w:tcW w:w="379" w:type="pct"/>
                  <w:shd w:val="clear" w:color="auto" w:fill="auto"/>
                  <w:vAlign w:val="center"/>
                </w:tcPr>
                <w:p w14:paraId="511C1BB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自行贮存</w:t>
                  </w:r>
                </w:p>
              </w:tc>
              <w:tc>
                <w:tcPr>
                  <w:tcW w:w="529" w:type="pct"/>
                  <w:shd w:val="clear" w:color="auto" w:fill="auto"/>
                  <w:vAlign w:val="center"/>
                </w:tcPr>
                <w:p w14:paraId="31796C5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委托处置</w:t>
                  </w:r>
                </w:p>
              </w:tc>
              <w:tc>
                <w:tcPr>
                  <w:tcW w:w="370" w:type="pct"/>
                  <w:shd w:val="clear" w:color="auto" w:fill="auto"/>
                  <w:vAlign w:val="center"/>
                </w:tcPr>
                <w:p w14:paraId="322D1B5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资质单位</w:t>
                  </w:r>
                </w:p>
              </w:tc>
              <w:tc>
                <w:tcPr>
                  <w:tcW w:w="512" w:type="pct"/>
                  <w:shd w:val="clear" w:color="auto" w:fill="auto"/>
                  <w:vAlign w:val="center"/>
                </w:tcPr>
                <w:p w14:paraId="01BC435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2</w:t>
                  </w:r>
                </w:p>
              </w:tc>
            </w:tr>
            <w:tr w14:paraId="0AB98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7" w:type="pct"/>
                  <w:vMerge w:val="restart"/>
                  <w:shd w:val="clear" w:color="auto" w:fill="auto"/>
                  <w:vAlign w:val="center"/>
                </w:tcPr>
                <w:p w14:paraId="1FD80D0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sz w:val="18"/>
                      <w:szCs w:val="18"/>
                      <w:lang w:val="en-US" w:eastAsia="zh-CN"/>
                    </w:rPr>
                    <w:t>实验、检测</w:t>
                  </w:r>
                </w:p>
              </w:tc>
              <w:tc>
                <w:tcPr>
                  <w:tcW w:w="595" w:type="pct"/>
                  <w:shd w:val="clear" w:color="auto" w:fill="auto"/>
                  <w:vAlign w:val="center"/>
                </w:tcPr>
                <w:p w14:paraId="7E8027E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sz w:val="18"/>
                      <w:szCs w:val="18"/>
                      <w:lang w:val="en-US" w:eastAsia="zh-CN"/>
                    </w:rPr>
                    <w:t>实验室废液</w:t>
                  </w:r>
                </w:p>
              </w:tc>
              <w:tc>
                <w:tcPr>
                  <w:tcW w:w="393" w:type="pct"/>
                  <w:shd w:val="clear" w:color="auto" w:fill="auto"/>
                  <w:vAlign w:val="center"/>
                </w:tcPr>
                <w:p w14:paraId="73C0DC0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危险废物</w:t>
                  </w:r>
                </w:p>
              </w:tc>
              <w:tc>
                <w:tcPr>
                  <w:tcW w:w="533" w:type="pct"/>
                  <w:shd w:val="clear" w:color="auto" w:fill="auto"/>
                  <w:vAlign w:val="center"/>
                </w:tcPr>
                <w:p w14:paraId="44EB43B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sz w:val="18"/>
                      <w:szCs w:val="18"/>
                      <w:lang w:val="en-US" w:eastAsia="zh-CN"/>
                    </w:rPr>
                    <w:t>原料废液</w:t>
                  </w:r>
                </w:p>
              </w:tc>
              <w:tc>
                <w:tcPr>
                  <w:tcW w:w="326" w:type="pct"/>
                  <w:shd w:val="clear" w:color="auto" w:fill="auto"/>
                  <w:vAlign w:val="center"/>
                </w:tcPr>
                <w:p w14:paraId="0B6FE9C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sz w:val="18"/>
                      <w:szCs w:val="18"/>
                      <w:lang w:val="en-US" w:eastAsia="zh-CN"/>
                    </w:rPr>
                    <w:t>液态</w:t>
                  </w:r>
                </w:p>
              </w:tc>
              <w:tc>
                <w:tcPr>
                  <w:tcW w:w="494" w:type="pct"/>
                  <w:shd w:val="clear" w:color="auto" w:fill="auto"/>
                  <w:vAlign w:val="center"/>
                </w:tcPr>
                <w:p w14:paraId="5E5C9AD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T/C/I/R</w:t>
                  </w:r>
                </w:p>
              </w:tc>
              <w:tc>
                <w:tcPr>
                  <w:tcW w:w="447" w:type="pct"/>
                  <w:shd w:val="clear" w:color="auto" w:fill="auto"/>
                  <w:vAlign w:val="center"/>
                </w:tcPr>
                <w:p w14:paraId="06510FA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7.94</w:t>
                  </w:r>
                </w:p>
              </w:tc>
              <w:tc>
                <w:tcPr>
                  <w:tcW w:w="379" w:type="pct"/>
                  <w:shd w:val="clear" w:color="auto" w:fill="auto"/>
                  <w:vAlign w:val="center"/>
                </w:tcPr>
                <w:p w14:paraId="236272A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自行贮存</w:t>
                  </w:r>
                </w:p>
              </w:tc>
              <w:tc>
                <w:tcPr>
                  <w:tcW w:w="529" w:type="pct"/>
                  <w:shd w:val="clear" w:color="auto" w:fill="auto"/>
                  <w:vAlign w:val="center"/>
                </w:tcPr>
                <w:p w14:paraId="2C91A65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委托处置</w:t>
                  </w:r>
                </w:p>
              </w:tc>
              <w:tc>
                <w:tcPr>
                  <w:tcW w:w="370" w:type="pct"/>
                  <w:shd w:val="clear" w:color="auto" w:fill="auto"/>
                  <w:vAlign w:val="center"/>
                </w:tcPr>
                <w:p w14:paraId="72791FD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资质单位</w:t>
                  </w:r>
                </w:p>
              </w:tc>
              <w:tc>
                <w:tcPr>
                  <w:tcW w:w="512" w:type="pct"/>
                  <w:shd w:val="clear" w:color="auto" w:fill="auto"/>
                  <w:vAlign w:val="center"/>
                </w:tcPr>
                <w:p w14:paraId="7479263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7.94</w:t>
                  </w:r>
                </w:p>
              </w:tc>
            </w:tr>
            <w:tr w14:paraId="3494C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7" w:type="pct"/>
                  <w:vMerge w:val="continue"/>
                  <w:shd w:val="clear" w:color="auto" w:fill="auto"/>
                  <w:vAlign w:val="center"/>
                </w:tcPr>
                <w:p w14:paraId="05C1DE2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cs="Times New Roman"/>
                      <w:color w:val="000000"/>
                      <w:sz w:val="18"/>
                      <w:szCs w:val="18"/>
                      <w:lang w:val="en-US" w:eastAsia="zh-CN"/>
                    </w:rPr>
                  </w:pPr>
                </w:p>
              </w:tc>
              <w:tc>
                <w:tcPr>
                  <w:tcW w:w="595" w:type="pct"/>
                  <w:shd w:val="clear" w:color="auto" w:fill="auto"/>
                  <w:vAlign w:val="center"/>
                </w:tcPr>
                <w:p w14:paraId="37712BB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sz w:val="18"/>
                      <w:szCs w:val="18"/>
                      <w:lang w:val="en-US" w:eastAsia="zh-CN"/>
                    </w:rPr>
                  </w:pPr>
                  <w:r>
                    <w:rPr>
                      <w:rFonts w:hint="eastAsia" w:cs="Times New Roman"/>
                      <w:color w:val="auto"/>
                      <w:sz w:val="18"/>
                      <w:szCs w:val="18"/>
                      <w:lang w:val="en-US" w:eastAsia="zh-CN"/>
                    </w:rPr>
                    <w:t>废一次性耗材</w:t>
                  </w:r>
                </w:p>
              </w:tc>
              <w:tc>
                <w:tcPr>
                  <w:tcW w:w="393" w:type="pct"/>
                  <w:shd w:val="clear" w:color="auto" w:fill="auto"/>
                  <w:vAlign w:val="center"/>
                </w:tcPr>
                <w:p w14:paraId="7E7E948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危险废物</w:t>
                  </w:r>
                </w:p>
              </w:tc>
              <w:tc>
                <w:tcPr>
                  <w:tcW w:w="533" w:type="pct"/>
                  <w:shd w:val="clear" w:color="auto" w:fill="auto"/>
                  <w:vAlign w:val="center"/>
                </w:tcPr>
                <w:p w14:paraId="018A811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cs="Times New Roman"/>
                      <w:color w:val="000000"/>
                      <w:sz w:val="18"/>
                      <w:szCs w:val="18"/>
                      <w:lang w:val="en-US" w:eastAsia="zh-CN"/>
                    </w:rPr>
                  </w:pPr>
                  <w:r>
                    <w:rPr>
                      <w:rFonts w:hint="eastAsia" w:cs="Times New Roman"/>
                      <w:color w:val="000000"/>
                      <w:sz w:val="18"/>
                      <w:szCs w:val="18"/>
                      <w:lang w:val="en-US" w:eastAsia="zh-CN"/>
                    </w:rPr>
                    <w:t>废器皿等</w:t>
                  </w:r>
                </w:p>
              </w:tc>
              <w:tc>
                <w:tcPr>
                  <w:tcW w:w="326" w:type="pct"/>
                  <w:shd w:val="clear" w:color="auto" w:fill="auto"/>
                  <w:vAlign w:val="center"/>
                </w:tcPr>
                <w:p w14:paraId="6E04578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cs="Times New Roman"/>
                      <w:color w:val="000000"/>
                      <w:sz w:val="18"/>
                      <w:szCs w:val="18"/>
                      <w:lang w:val="en-US" w:eastAsia="zh-CN"/>
                    </w:rPr>
                  </w:pPr>
                  <w:r>
                    <w:rPr>
                      <w:rFonts w:hint="default" w:cs="Times New Roman"/>
                      <w:color w:val="000000"/>
                      <w:kern w:val="0"/>
                      <w:sz w:val="18"/>
                      <w:szCs w:val="18"/>
                      <w:lang w:bidi="ar"/>
                    </w:rPr>
                    <w:t>固态</w:t>
                  </w:r>
                </w:p>
              </w:tc>
              <w:tc>
                <w:tcPr>
                  <w:tcW w:w="494" w:type="pct"/>
                  <w:shd w:val="clear" w:color="auto" w:fill="auto"/>
                  <w:vAlign w:val="center"/>
                </w:tcPr>
                <w:p w14:paraId="1638DDF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T/C/I/R</w:t>
                  </w:r>
                </w:p>
              </w:tc>
              <w:tc>
                <w:tcPr>
                  <w:tcW w:w="447" w:type="pct"/>
                  <w:shd w:val="clear" w:color="auto" w:fill="auto"/>
                  <w:vAlign w:val="center"/>
                </w:tcPr>
                <w:p w14:paraId="24D2989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val="en-US" w:eastAsia="zh-CN" w:bidi="ar"/>
                    </w:rPr>
                  </w:pPr>
                  <w:r>
                    <w:rPr>
                      <w:rFonts w:hint="eastAsia" w:cs="Times New Roman"/>
                      <w:color w:val="000000"/>
                      <w:kern w:val="0"/>
                      <w:sz w:val="18"/>
                      <w:szCs w:val="18"/>
                      <w:lang w:val="en-US" w:eastAsia="zh-CN" w:bidi="ar"/>
                    </w:rPr>
                    <w:t>0.5</w:t>
                  </w:r>
                </w:p>
              </w:tc>
              <w:tc>
                <w:tcPr>
                  <w:tcW w:w="1011" w:type="dxa"/>
                  <w:shd w:val="clear" w:color="auto" w:fill="auto"/>
                  <w:vAlign w:val="center"/>
                </w:tcPr>
                <w:p w14:paraId="3235975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cs="Times New Roman"/>
                      <w:color w:val="000000"/>
                      <w:kern w:val="0"/>
                      <w:sz w:val="18"/>
                      <w:szCs w:val="18"/>
                      <w:lang w:bidi="ar"/>
                    </w:rPr>
                  </w:pPr>
                  <w:r>
                    <w:rPr>
                      <w:rFonts w:hint="eastAsia" w:cs="Times New Roman"/>
                      <w:color w:val="000000"/>
                      <w:kern w:val="0"/>
                      <w:sz w:val="18"/>
                      <w:szCs w:val="18"/>
                      <w:lang w:bidi="ar"/>
                    </w:rPr>
                    <w:t>自行贮存</w:t>
                  </w:r>
                </w:p>
              </w:tc>
              <w:tc>
                <w:tcPr>
                  <w:tcW w:w="1411" w:type="dxa"/>
                  <w:shd w:val="clear" w:color="auto" w:fill="auto"/>
                  <w:vAlign w:val="center"/>
                </w:tcPr>
                <w:p w14:paraId="0D7C75D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cs="Times New Roman"/>
                      <w:color w:val="000000"/>
                      <w:kern w:val="0"/>
                      <w:sz w:val="18"/>
                      <w:szCs w:val="18"/>
                      <w:lang w:val="en-US" w:eastAsia="zh-CN" w:bidi="ar"/>
                    </w:rPr>
                  </w:pPr>
                  <w:r>
                    <w:rPr>
                      <w:rFonts w:hint="eastAsia" w:cs="Times New Roman"/>
                      <w:color w:val="000000"/>
                      <w:kern w:val="0"/>
                      <w:sz w:val="18"/>
                      <w:szCs w:val="18"/>
                      <w:lang w:val="en-US" w:eastAsia="zh-CN" w:bidi="ar"/>
                    </w:rPr>
                    <w:t>委托处置</w:t>
                  </w:r>
                </w:p>
              </w:tc>
              <w:tc>
                <w:tcPr>
                  <w:tcW w:w="987" w:type="dxa"/>
                  <w:shd w:val="clear" w:color="auto" w:fill="auto"/>
                  <w:vAlign w:val="center"/>
                </w:tcPr>
                <w:p w14:paraId="3696691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cs="Times New Roman"/>
                      <w:color w:val="000000"/>
                      <w:kern w:val="0"/>
                      <w:sz w:val="18"/>
                      <w:szCs w:val="18"/>
                      <w:lang w:bidi="ar"/>
                    </w:rPr>
                  </w:pPr>
                  <w:r>
                    <w:rPr>
                      <w:rFonts w:hint="eastAsia" w:cs="Times New Roman"/>
                      <w:color w:val="000000"/>
                      <w:kern w:val="0"/>
                      <w:sz w:val="18"/>
                      <w:szCs w:val="18"/>
                      <w:lang w:bidi="ar"/>
                    </w:rPr>
                    <w:t>资质单位</w:t>
                  </w:r>
                </w:p>
              </w:tc>
              <w:tc>
                <w:tcPr>
                  <w:tcW w:w="1367" w:type="dxa"/>
                  <w:shd w:val="clear" w:color="auto" w:fill="auto"/>
                  <w:vAlign w:val="center"/>
                </w:tcPr>
                <w:p w14:paraId="1014721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cs="Times New Roman"/>
                      <w:color w:val="000000"/>
                      <w:kern w:val="0"/>
                      <w:sz w:val="18"/>
                      <w:szCs w:val="18"/>
                      <w:lang w:val="en-US" w:eastAsia="zh-CN" w:bidi="ar"/>
                    </w:rPr>
                  </w:pPr>
                  <w:r>
                    <w:rPr>
                      <w:rFonts w:hint="eastAsia" w:cs="Times New Roman"/>
                      <w:color w:val="000000"/>
                      <w:kern w:val="0"/>
                      <w:sz w:val="18"/>
                      <w:szCs w:val="18"/>
                      <w:lang w:val="en-US" w:eastAsia="zh-CN" w:bidi="ar"/>
                    </w:rPr>
                    <w:t>0.5</w:t>
                  </w:r>
                </w:p>
              </w:tc>
            </w:tr>
            <w:tr w14:paraId="5851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7" w:type="pct"/>
                  <w:shd w:val="clear" w:color="auto" w:fill="auto"/>
                  <w:vAlign w:val="center"/>
                </w:tcPr>
                <w:p w14:paraId="316B5C6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sz w:val="18"/>
                      <w:szCs w:val="18"/>
                      <w:lang w:val="en-US" w:eastAsia="zh-CN"/>
                    </w:rPr>
                    <w:t>拆包</w:t>
                  </w:r>
                </w:p>
              </w:tc>
              <w:tc>
                <w:tcPr>
                  <w:tcW w:w="595" w:type="pct"/>
                  <w:shd w:val="clear" w:color="auto" w:fill="auto"/>
                  <w:vAlign w:val="center"/>
                </w:tcPr>
                <w:p w14:paraId="14D970E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sz w:val="18"/>
                      <w:szCs w:val="18"/>
                      <w:lang w:val="en-US" w:eastAsia="zh-CN"/>
                    </w:rPr>
                    <w:t>废原料包装物</w:t>
                  </w:r>
                </w:p>
              </w:tc>
              <w:tc>
                <w:tcPr>
                  <w:tcW w:w="393" w:type="pct"/>
                  <w:shd w:val="clear" w:color="auto" w:fill="auto"/>
                  <w:vAlign w:val="center"/>
                </w:tcPr>
                <w:p w14:paraId="19E7C3D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危险废物</w:t>
                  </w:r>
                </w:p>
              </w:tc>
              <w:tc>
                <w:tcPr>
                  <w:tcW w:w="533" w:type="pct"/>
                  <w:shd w:val="clear" w:color="auto" w:fill="auto"/>
                  <w:vAlign w:val="center"/>
                </w:tcPr>
                <w:p w14:paraId="2496968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sz w:val="18"/>
                      <w:szCs w:val="18"/>
                      <w:lang w:val="en-US" w:eastAsia="zh-CN"/>
                    </w:rPr>
                    <w:t>纸塑、化学试剂</w:t>
                  </w:r>
                </w:p>
              </w:tc>
              <w:tc>
                <w:tcPr>
                  <w:tcW w:w="326" w:type="pct"/>
                  <w:shd w:val="clear" w:color="auto" w:fill="auto"/>
                  <w:vAlign w:val="center"/>
                </w:tcPr>
                <w:p w14:paraId="45BC334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固态</w:t>
                  </w:r>
                </w:p>
              </w:tc>
              <w:tc>
                <w:tcPr>
                  <w:tcW w:w="494" w:type="pct"/>
                  <w:shd w:val="clear" w:color="auto" w:fill="auto"/>
                  <w:vAlign w:val="center"/>
                </w:tcPr>
                <w:p w14:paraId="4712037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T</w:t>
                  </w:r>
                  <w:r>
                    <w:rPr>
                      <w:rFonts w:hint="eastAsia" w:cs="Times New Roman"/>
                      <w:color w:val="000000"/>
                      <w:kern w:val="0"/>
                      <w:sz w:val="18"/>
                      <w:szCs w:val="18"/>
                      <w:lang w:val="en-US" w:eastAsia="zh-CN" w:bidi="ar"/>
                    </w:rPr>
                    <w:t>/In</w:t>
                  </w:r>
                </w:p>
              </w:tc>
              <w:tc>
                <w:tcPr>
                  <w:tcW w:w="447" w:type="pct"/>
                  <w:shd w:val="clear" w:color="auto" w:fill="auto"/>
                  <w:vAlign w:val="center"/>
                </w:tcPr>
                <w:p w14:paraId="288118C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0.05</w:t>
                  </w:r>
                </w:p>
              </w:tc>
              <w:tc>
                <w:tcPr>
                  <w:tcW w:w="379" w:type="pct"/>
                  <w:shd w:val="clear" w:color="auto" w:fill="auto"/>
                  <w:vAlign w:val="center"/>
                </w:tcPr>
                <w:p w14:paraId="11302A4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自行贮存</w:t>
                  </w:r>
                </w:p>
              </w:tc>
              <w:tc>
                <w:tcPr>
                  <w:tcW w:w="529" w:type="pct"/>
                  <w:shd w:val="clear" w:color="auto" w:fill="auto"/>
                  <w:vAlign w:val="center"/>
                </w:tcPr>
                <w:p w14:paraId="12A854B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委托处置</w:t>
                  </w:r>
                </w:p>
              </w:tc>
              <w:tc>
                <w:tcPr>
                  <w:tcW w:w="370" w:type="pct"/>
                  <w:shd w:val="clear" w:color="auto" w:fill="auto"/>
                  <w:vAlign w:val="center"/>
                </w:tcPr>
                <w:p w14:paraId="66B0BA6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资质单位</w:t>
                  </w:r>
                </w:p>
              </w:tc>
              <w:tc>
                <w:tcPr>
                  <w:tcW w:w="512" w:type="pct"/>
                  <w:shd w:val="clear" w:color="auto" w:fill="auto"/>
                  <w:vAlign w:val="center"/>
                </w:tcPr>
                <w:p w14:paraId="4C02263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0.05</w:t>
                  </w:r>
                </w:p>
              </w:tc>
            </w:tr>
            <w:tr w14:paraId="11129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7" w:type="pct"/>
                  <w:shd w:val="clear" w:color="auto" w:fill="auto"/>
                  <w:vAlign w:val="center"/>
                </w:tcPr>
                <w:p w14:paraId="09FCDBD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sz w:val="18"/>
                      <w:szCs w:val="18"/>
                      <w:lang w:val="en-US" w:eastAsia="zh-CN"/>
                    </w:rPr>
                    <w:t>废气处理</w:t>
                  </w:r>
                </w:p>
              </w:tc>
              <w:tc>
                <w:tcPr>
                  <w:tcW w:w="595" w:type="pct"/>
                  <w:shd w:val="clear" w:color="auto" w:fill="auto"/>
                  <w:vAlign w:val="center"/>
                </w:tcPr>
                <w:p w14:paraId="3A1CE91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sz w:val="18"/>
                      <w:szCs w:val="18"/>
                      <w:lang w:val="en-US" w:eastAsia="zh-CN"/>
                    </w:rPr>
                    <w:t>废气处理活性炭</w:t>
                  </w:r>
                </w:p>
              </w:tc>
              <w:tc>
                <w:tcPr>
                  <w:tcW w:w="393" w:type="pct"/>
                  <w:shd w:val="clear" w:color="auto" w:fill="auto"/>
                  <w:vAlign w:val="center"/>
                </w:tcPr>
                <w:p w14:paraId="315494D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危险废物</w:t>
                  </w:r>
                </w:p>
              </w:tc>
              <w:tc>
                <w:tcPr>
                  <w:tcW w:w="533" w:type="pct"/>
                  <w:shd w:val="clear" w:color="auto" w:fill="auto"/>
                  <w:vAlign w:val="center"/>
                </w:tcPr>
                <w:p w14:paraId="4A26FC8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sz w:val="18"/>
                      <w:szCs w:val="18"/>
                      <w:lang w:val="en-US" w:eastAsia="zh-CN"/>
                    </w:rPr>
                    <w:t>活性炭、有机物</w:t>
                  </w:r>
                </w:p>
              </w:tc>
              <w:tc>
                <w:tcPr>
                  <w:tcW w:w="326" w:type="pct"/>
                  <w:shd w:val="clear" w:color="auto" w:fill="auto"/>
                  <w:vAlign w:val="center"/>
                </w:tcPr>
                <w:p w14:paraId="3984EA8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固态</w:t>
                  </w:r>
                </w:p>
              </w:tc>
              <w:tc>
                <w:tcPr>
                  <w:tcW w:w="494" w:type="pct"/>
                  <w:shd w:val="clear" w:color="auto" w:fill="auto"/>
                  <w:vAlign w:val="center"/>
                </w:tcPr>
                <w:p w14:paraId="4A6B13F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T</w:t>
                  </w:r>
                  <w:r>
                    <w:rPr>
                      <w:rFonts w:hint="eastAsia" w:cs="Times New Roman"/>
                      <w:color w:val="000000"/>
                      <w:kern w:val="0"/>
                      <w:sz w:val="18"/>
                      <w:szCs w:val="18"/>
                      <w:lang w:val="en-US" w:eastAsia="zh-CN" w:bidi="ar"/>
                    </w:rPr>
                    <w:t>/In</w:t>
                  </w:r>
                </w:p>
              </w:tc>
              <w:tc>
                <w:tcPr>
                  <w:tcW w:w="447" w:type="pct"/>
                  <w:shd w:val="clear" w:color="auto" w:fill="auto"/>
                  <w:vAlign w:val="center"/>
                </w:tcPr>
                <w:p w14:paraId="54F9A26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2</w:t>
                  </w:r>
                </w:p>
              </w:tc>
              <w:tc>
                <w:tcPr>
                  <w:tcW w:w="379" w:type="pct"/>
                  <w:shd w:val="clear" w:color="auto" w:fill="auto"/>
                  <w:vAlign w:val="center"/>
                </w:tcPr>
                <w:p w14:paraId="185BB6D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自行贮存</w:t>
                  </w:r>
                </w:p>
              </w:tc>
              <w:tc>
                <w:tcPr>
                  <w:tcW w:w="529" w:type="pct"/>
                  <w:shd w:val="clear" w:color="auto" w:fill="auto"/>
                  <w:vAlign w:val="center"/>
                </w:tcPr>
                <w:p w14:paraId="0A5A74C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委托处置</w:t>
                  </w:r>
                </w:p>
              </w:tc>
              <w:tc>
                <w:tcPr>
                  <w:tcW w:w="370" w:type="pct"/>
                  <w:shd w:val="clear" w:color="auto" w:fill="auto"/>
                  <w:vAlign w:val="center"/>
                </w:tcPr>
                <w:p w14:paraId="5A076EE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资质单位</w:t>
                  </w:r>
                </w:p>
              </w:tc>
              <w:tc>
                <w:tcPr>
                  <w:tcW w:w="512" w:type="pct"/>
                  <w:shd w:val="clear" w:color="auto" w:fill="auto"/>
                  <w:vAlign w:val="center"/>
                </w:tcPr>
                <w:p w14:paraId="203FAD8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2</w:t>
                  </w:r>
                </w:p>
              </w:tc>
            </w:tr>
            <w:tr w14:paraId="164C1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7" w:type="pct"/>
                  <w:shd w:val="clear" w:color="auto" w:fill="auto"/>
                  <w:vAlign w:val="center"/>
                </w:tcPr>
                <w:p w14:paraId="79D3375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sz w:val="18"/>
                      <w:szCs w:val="18"/>
                      <w:lang w:val="en-US" w:eastAsia="zh-CN"/>
                    </w:rPr>
                    <w:t>日常生产</w:t>
                  </w:r>
                </w:p>
              </w:tc>
              <w:tc>
                <w:tcPr>
                  <w:tcW w:w="595" w:type="pct"/>
                  <w:shd w:val="clear" w:color="auto" w:fill="auto"/>
                  <w:vAlign w:val="center"/>
                </w:tcPr>
                <w:p w14:paraId="1BACD77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sz w:val="18"/>
                      <w:szCs w:val="18"/>
                      <w:lang w:val="en-US" w:eastAsia="zh-CN"/>
                    </w:rPr>
                    <w:t>废</w:t>
                  </w:r>
                  <w:r>
                    <w:rPr>
                      <w:rFonts w:hint="eastAsia" w:cs="Times New Roman"/>
                      <w:color w:val="000000"/>
                      <w:sz w:val="18"/>
                      <w:szCs w:val="18"/>
                      <w:lang w:val="en-US" w:eastAsia="zh-CN"/>
                    </w:rPr>
                    <w:t>样本</w:t>
                  </w:r>
                </w:p>
              </w:tc>
              <w:tc>
                <w:tcPr>
                  <w:tcW w:w="393" w:type="pct"/>
                  <w:shd w:val="clear" w:color="auto" w:fill="auto"/>
                  <w:vAlign w:val="center"/>
                </w:tcPr>
                <w:p w14:paraId="4F7FBD4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危险废物</w:t>
                  </w:r>
                </w:p>
              </w:tc>
              <w:tc>
                <w:tcPr>
                  <w:tcW w:w="533" w:type="pct"/>
                  <w:shd w:val="clear" w:color="auto" w:fill="auto"/>
                  <w:noWrap/>
                  <w:vAlign w:val="center"/>
                </w:tcPr>
                <w:p w14:paraId="4629EFD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sz w:val="18"/>
                      <w:szCs w:val="18"/>
                      <w:lang w:val="en-US" w:eastAsia="zh-CN"/>
                    </w:rPr>
                    <w:t>粪便</w:t>
                  </w:r>
                </w:p>
              </w:tc>
              <w:tc>
                <w:tcPr>
                  <w:tcW w:w="326" w:type="pct"/>
                  <w:shd w:val="clear" w:color="auto" w:fill="auto"/>
                  <w:vAlign w:val="center"/>
                </w:tcPr>
                <w:p w14:paraId="7334F22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固态</w:t>
                  </w:r>
                </w:p>
              </w:tc>
              <w:tc>
                <w:tcPr>
                  <w:tcW w:w="494" w:type="pct"/>
                  <w:shd w:val="clear" w:color="auto" w:fill="auto"/>
                  <w:noWrap/>
                  <w:vAlign w:val="center"/>
                </w:tcPr>
                <w:p w14:paraId="267328E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w:t>
                  </w:r>
                </w:p>
              </w:tc>
              <w:tc>
                <w:tcPr>
                  <w:tcW w:w="447" w:type="pct"/>
                  <w:shd w:val="clear" w:color="auto" w:fill="auto"/>
                  <w:vAlign w:val="center"/>
                </w:tcPr>
                <w:p w14:paraId="1D23DAF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val="en-US" w:bidi="ar"/>
                    </w:rPr>
                  </w:pPr>
                  <w:r>
                    <w:rPr>
                      <w:rFonts w:hint="eastAsia" w:cs="Times New Roman"/>
                      <w:color w:val="000000"/>
                      <w:kern w:val="0"/>
                      <w:sz w:val="18"/>
                      <w:szCs w:val="18"/>
                      <w:lang w:val="en-US" w:eastAsia="zh-CN" w:bidi="ar"/>
                    </w:rPr>
                    <w:t>0.05</w:t>
                  </w:r>
                </w:p>
              </w:tc>
              <w:tc>
                <w:tcPr>
                  <w:tcW w:w="379" w:type="pct"/>
                  <w:shd w:val="clear" w:color="auto" w:fill="auto"/>
                  <w:vAlign w:val="center"/>
                </w:tcPr>
                <w:p w14:paraId="044AF6D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自行贮存</w:t>
                  </w:r>
                </w:p>
              </w:tc>
              <w:tc>
                <w:tcPr>
                  <w:tcW w:w="529" w:type="pct"/>
                  <w:shd w:val="clear" w:color="auto" w:fill="auto"/>
                  <w:vAlign w:val="center"/>
                </w:tcPr>
                <w:p w14:paraId="32C6CFD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委托处置</w:t>
                  </w:r>
                </w:p>
              </w:tc>
              <w:tc>
                <w:tcPr>
                  <w:tcW w:w="370" w:type="pct"/>
                  <w:shd w:val="clear" w:color="auto" w:fill="auto"/>
                  <w:vAlign w:val="center"/>
                </w:tcPr>
                <w:p w14:paraId="66DC14A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资质单位</w:t>
                  </w:r>
                </w:p>
              </w:tc>
              <w:tc>
                <w:tcPr>
                  <w:tcW w:w="512" w:type="pct"/>
                  <w:shd w:val="clear" w:color="auto" w:fill="auto"/>
                  <w:vAlign w:val="center"/>
                </w:tcPr>
                <w:p w14:paraId="12A2844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0.05</w:t>
                  </w:r>
                </w:p>
              </w:tc>
            </w:tr>
            <w:tr w14:paraId="580B8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7" w:type="pct"/>
                  <w:shd w:val="clear" w:color="auto" w:fill="auto"/>
                  <w:vAlign w:val="center"/>
                </w:tcPr>
                <w:p w14:paraId="21B1D84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val="en-US" w:bidi="ar"/>
                    </w:rPr>
                  </w:pPr>
                  <w:r>
                    <w:rPr>
                      <w:rFonts w:hint="eastAsia" w:cs="Times New Roman"/>
                      <w:color w:val="000000"/>
                      <w:sz w:val="18"/>
                      <w:szCs w:val="18"/>
                      <w:lang w:val="en-US" w:eastAsia="zh-CN"/>
                    </w:rPr>
                    <w:t>日常生产</w:t>
                  </w:r>
                </w:p>
              </w:tc>
              <w:tc>
                <w:tcPr>
                  <w:tcW w:w="595" w:type="pct"/>
                  <w:shd w:val="clear" w:color="auto" w:fill="auto"/>
                  <w:vAlign w:val="center"/>
                </w:tcPr>
                <w:p w14:paraId="1C1B53F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sz w:val="18"/>
                      <w:szCs w:val="18"/>
                      <w:lang w:val="en-US" w:eastAsia="zh-CN"/>
                    </w:rPr>
                    <w:t>废过滤介质</w:t>
                  </w:r>
                </w:p>
              </w:tc>
              <w:tc>
                <w:tcPr>
                  <w:tcW w:w="393" w:type="pct"/>
                  <w:shd w:val="clear" w:color="auto" w:fill="auto"/>
                  <w:vAlign w:val="center"/>
                </w:tcPr>
                <w:p w14:paraId="396614C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危险废物</w:t>
                  </w:r>
                </w:p>
              </w:tc>
              <w:tc>
                <w:tcPr>
                  <w:tcW w:w="533" w:type="pct"/>
                  <w:shd w:val="clear" w:color="auto" w:fill="auto"/>
                  <w:vAlign w:val="center"/>
                </w:tcPr>
                <w:p w14:paraId="738D0AC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sz w:val="18"/>
                      <w:szCs w:val="18"/>
                      <w:lang w:val="en-US" w:eastAsia="zh-CN"/>
                    </w:rPr>
                    <w:t>过滤器、微生物</w:t>
                  </w:r>
                </w:p>
              </w:tc>
              <w:tc>
                <w:tcPr>
                  <w:tcW w:w="326" w:type="pct"/>
                  <w:shd w:val="clear" w:color="auto" w:fill="auto"/>
                  <w:vAlign w:val="center"/>
                </w:tcPr>
                <w:p w14:paraId="1ABCE76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固态</w:t>
                  </w:r>
                </w:p>
              </w:tc>
              <w:tc>
                <w:tcPr>
                  <w:tcW w:w="494" w:type="pct"/>
                  <w:shd w:val="clear" w:color="auto" w:fill="auto"/>
                  <w:vAlign w:val="center"/>
                </w:tcPr>
                <w:p w14:paraId="652906B4">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eastAsia="宋体" w:cs="Times New Roman"/>
                      <w:color w:val="000000"/>
                      <w:kern w:val="0"/>
                      <w:sz w:val="18"/>
                      <w:szCs w:val="18"/>
                      <w:lang w:val="en-US" w:eastAsia="zh-CN" w:bidi="ar"/>
                    </w:rPr>
                  </w:pPr>
                  <w:r>
                    <w:rPr>
                      <w:rFonts w:hint="default" w:cs="Times New Roman"/>
                      <w:color w:val="000000"/>
                      <w:kern w:val="0"/>
                      <w:sz w:val="18"/>
                      <w:szCs w:val="18"/>
                      <w:lang w:bidi="ar"/>
                    </w:rPr>
                    <w:t>T</w:t>
                  </w:r>
                  <w:r>
                    <w:rPr>
                      <w:rFonts w:hint="eastAsia" w:cs="Times New Roman"/>
                      <w:color w:val="000000"/>
                      <w:kern w:val="0"/>
                      <w:sz w:val="18"/>
                      <w:szCs w:val="18"/>
                      <w:lang w:val="en-US" w:eastAsia="zh-CN" w:bidi="ar"/>
                    </w:rPr>
                    <w:t>/In</w:t>
                  </w:r>
                </w:p>
              </w:tc>
              <w:tc>
                <w:tcPr>
                  <w:tcW w:w="447" w:type="pct"/>
                  <w:shd w:val="clear" w:color="auto" w:fill="auto"/>
                  <w:vAlign w:val="center"/>
                </w:tcPr>
                <w:p w14:paraId="2D5A638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0.1</w:t>
                  </w:r>
                </w:p>
              </w:tc>
              <w:tc>
                <w:tcPr>
                  <w:tcW w:w="379" w:type="pct"/>
                  <w:shd w:val="clear" w:color="auto" w:fill="auto"/>
                  <w:vAlign w:val="center"/>
                </w:tcPr>
                <w:p w14:paraId="34D867D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自行贮存</w:t>
                  </w:r>
                </w:p>
              </w:tc>
              <w:tc>
                <w:tcPr>
                  <w:tcW w:w="529" w:type="pct"/>
                  <w:shd w:val="clear" w:color="auto" w:fill="auto"/>
                  <w:vAlign w:val="center"/>
                </w:tcPr>
                <w:p w14:paraId="3675A04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委托处置</w:t>
                  </w:r>
                </w:p>
              </w:tc>
              <w:tc>
                <w:tcPr>
                  <w:tcW w:w="370" w:type="pct"/>
                  <w:shd w:val="clear" w:color="auto" w:fill="auto"/>
                  <w:vAlign w:val="center"/>
                </w:tcPr>
                <w:p w14:paraId="487CC49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资质单位</w:t>
                  </w:r>
                </w:p>
              </w:tc>
              <w:tc>
                <w:tcPr>
                  <w:tcW w:w="512" w:type="pct"/>
                  <w:shd w:val="clear" w:color="auto" w:fill="auto"/>
                  <w:vAlign w:val="center"/>
                </w:tcPr>
                <w:p w14:paraId="319921E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0.1</w:t>
                  </w:r>
                </w:p>
              </w:tc>
            </w:tr>
            <w:tr w14:paraId="6CA3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7" w:type="pct"/>
                  <w:shd w:val="clear" w:color="auto" w:fill="auto"/>
                  <w:vAlign w:val="center"/>
                </w:tcPr>
                <w:p w14:paraId="6CDEDAF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sz w:val="18"/>
                      <w:szCs w:val="18"/>
                      <w:lang w:val="en-US" w:eastAsia="zh-CN"/>
                    </w:rPr>
                    <w:t>拆包</w:t>
                  </w:r>
                </w:p>
              </w:tc>
              <w:tc>
                <w:tcPr>
                  <w:tcW w:w="595" w:type="pct"/>
                  <w:shd w:val="clear" w:color="auto" w:fill="auto"/>
                  <w:vAlign w:val="center"/>
                </w:tcPr>
                <w:p w14:paraId="3BE71AC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sz w:val="18"/>
                      <w:szCs w:val="18"/>
                      <w:lang w:val="en-US" w:eastAsia="zh-CN"/>
                    </w:rPr>
                    <w:t>一般包装废物</w:t>
                  </w:r>
                </w:p>
              </w:tc>
              <w:tc>
                <w:tcPr>
                  <w:tcW w:w="393" w:type="pct"/>
                  <w:shd w:val="clear" w:color="auto" w:fill="auto"/>
                  <w:vAlign w:val="center"/>
                </w:tcPr>
                <w:p w14:paraId="03D280E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一般固废</w:t>
                  </w:r>
                </w:p>
              </w:tc>
              <w:tc>
                <w:tcPr>
                  <w:tcW w:w="533" w:type="pct"/>
                  <w:shd w:val="clear" w:color="auto" w:fill="auto"/>
                  <w:vAlign w:val="center"/>
                </w:tcPr>
                <w:p w14:paraId="724FE97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sz w:val="18"/>
                      <w:szCs w:val="18"/>
                      <w:lang w:val="en-US" w:eastAsia="zh-CN"/>
                    </w:rPr>
                    <w:t>纸塑</w:t>
                  </w:r>
                </w:p>
              </w:tc>
              <w:tc>
                <w:tcPr>
                  <w:tcW w:w="326" w:type="pct"/>
                  <w:shd w:val="clear" w:color="auto" w:fill="auto"/>
                  <w:vAlign w:val="center"/>
                </w:tcPr>
                <w:p w14:paraId="17E0290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固态</w:t>
                  </w:r>
                </w:p>
              </w:tc>
              <w:tc>
                <w:tcPr>
                  <w:tcW w:w="494" w:type="pct"/>
                  <w:shd w:val="clear" w:color="auto" w:fill="auto"/>
                  <w:vAlign w:val="center"/>
                </w:tcPr>
                <w:p w14:paraId="3F6DAE9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w:t>
                  </w:r>
                </w:p>
              </w:tc>
              <w:tc>
                <w:tcPr>
                  <w:tcW w:w="447" w:type="pct"/>
                  <w:shd w:val="clear" w:color="auto" w:fill="auto"/>
                  <w:vAlign w:val="center"/>
                </w:tcPr>
                <w:p w14:paraId="14CF961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0.5</w:t>
                  </w:r>
                </w:p>
              </w:tc>
              <w:tc>
                <w:tcPr>
                  <w:tcW w:w="379" w:type="pct"/>
                  <w:shd w:val="clear" w:color="auto" w:fill="auto"/>
                  <w:vAlign w:val="center"/>
                </w:tcPr>
                <w:p w14:paraId="4726EEA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自行贮存</w:t>
                  </w:r>
                </w:p>
              </w:tc>
              <w:tc>
                <w:tcPr>
                  <w:tcW w:w="529" w:type="pct"/>
                  <w:shd w:val="clear" w:color="auto" w:fill="auto"/>
                  <w:vAlign w:val="center"/>
                </w:tcPr>
                <w:p w14:paraId="3140A31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委托处置</w:t>
                  </w:r>
                </w:p>
              </w:tc>
              <w:tc>
                <w:tcPr>
                  <w:tcW w:w="370" w:type="pct"/>
                  <w:shd w:val="clear" w:color="auto" w:fill="auto"/>
                  <w:vAlign w:val="center"/>
                </w:tcPr>
                <w:p w14:paraId="25C166F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物资公司</w:t>
                  </w:r>
                </w:p>
              </w:tc>
              <w:tc>
                <w:tcPr>
                  <w:tcW w:w="512" w:type="pct"/>
                  <w:shd w:val="clear" w:color="auto" w:fill="auto"/>
                  <w:vAlign w:val="center"/>
                </w:tcPr>
                <w:p w14:paraId="7E6F702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0.5</w:t>
                  </w:r>
                </w:p>
              </w:tc>
            </w:tr>
            <w:tr w14:paraId="13B1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7" w:type="pct"/>
                  <w:shd w:val="clear" w:color="auto" w:fill="auto"/>
                  <w:vAlign w:val="center"/>
                </w:tcPr>
                <w:p w14:paraId="69EB907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sz w:val="18"/>
                      <w:szCs w:val="18"/>
                      <w:lang w:val="en-US" w:eastAsia="zh-CN"/>
                    </w:rPr>
                  </w:pPr>
                  <w:r>
                    <w:rPr>
                      <w:rFonts w:hint="eastAsia" w:cs="Times New Roman"/>
                      <w:color w:val="000000"/>
                      <w:sz w:val="18"/>
                      <w:szCs w:val="18"/>
                      <w:lang w:val="en-US" w:eastAsia="zh-CN"/>
                    </w:rPr>
                    <w:t>消毒</w:t>
                  </w:r>
                </w:p>
              </w:tc>
              <w:tc>
                <w:tcPr>
                  <w:tcW w:w="595" w:type="pct"/>
                  <w:shd w:val="clear" w:color="auto" w:fill="auto"/>
                  <w:vAlign w:val="center"/>
                </w:tcPr>
                <w:p w14:paraId="08AC38B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sz w:val="18"/>
                      <w:szCs w:val="18"/>
                      <w:lang w:val="en-US" w:eastAsia="zh-CN"/>
                    </w:rPr>
                  </w:pPr>
                  <w:r>
                    <w:rPr>
                      <w:rFonts w:hint="eastAsia" w:cs="Times New Roman"/>
                      <w:color w:val="000000"/>
                      <w:sz w:val="18"/>
                      <w:szCs w:val="18"/>
                      <w:lang w:val="en-US" w:eastAsia="zh-CN"/>
                    </w:rPr>
                    <w:t>废灯管</w:t>
                  </w:r>
                </w:p>
              </w:tc>
              <w:tc>
                <w:tcPr>
                  <w:tcW w:w="393" w:type="pct"/>
                  <w:shd w:val="clear" w:color="auto" w:fill="auto"/>
                  <w:vAlign w:val="center"/>
                </w:tcPr>
                <w:p w14:paraId="3E096A3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危险废物</w:t>
                  </w:r>
                </w:p>
              </w:tc>
              <w:tc>
                <w:tcPr>
                  <w:tcW w:w="533" w:type="pct"/>
                  <w:shd w:val="clear" w:color="auto" w:fill="auto"/>
                  <w:vAlign w:val="center"/>
                </w:tcPr>
                <w:p w14:paraId="1DA89C7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sz w:val="18"/>
                      <w:szCs w:val="18"/>
                      <w:lang w:val="en-US" w:eastAsia="zh-CN"/>
                    </w:rPr>
                  </w:pPr>
                  <w:r>
                    <w:rPr>
                      <w:rFonts w:hint="eastAsia" w:cs="Times New Roman"/>
                      <w:color w:val="auto"/>
                      <w:sz w:val="18"/>
                      <w:szCs w:val="18"/>
                      <w:lang w:val="en-US" w:eastAsia="zh-CN"/>
                    </w:rPr>
                    <w:t>含汞废物</w:t>
                  </w:r>
                </w:p>
              </w:tc>
              <w:tc>
                <w:tcPr>
                  <w:tcW w:w="326" w:type="pct"/>
                  <w:shd w:val="clear" w:color="auto" w:fill="auto"/>
                  <w:vAlign w:val="center"/>
                </w:tcPr>
                <w:p w14:paraId="36C94CF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固态</w:t>
                  </w:r>
                </w:p>
              </w:tc>
              <w:tc>
                <w:tcPr>
                  <w:tcW w:w="494" w:type="pct"/>
                  <w:shd w:val="clear" w:color="auto" w:fill="auto"/>
                  <w:vAlign w:val="center"/>
                </w:tcPr>
                <w:p w14:paraId="7CEE97B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T</w:t>
                  </w:r>
                </w:p>
              </w:tc>
              <w:tc>
                <w:tcPr>
                  <w:tcW w:w="447" w:type="pct"/>
                  <w:shd w:val="clear" w:color="auto" w:fill="auto"/>
                  <w:vAlign w:val="center"/>
                </w:tcPr>
                <w:p w14:paraId="094376F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val="en-US" w:eastAsia="zh-CN" w:bidi="ar"/>
                    </w:rPr>
                  </w:pPr>
                  <w:r>
                    <w:rPr>
                      <w:rFonts w:hint="eastAsia" w:cs="Times New Roman"/>
                      <w:color w:val="000000"/>
                      <w:kern w:val="0"/>
                      <w:sz w:val="18"/>
                      <w:szCs w:val="18"/>
                      <w:lang w:val="en-US" w:eastAsia="zh-CN" w:bidi="ar"/>
                    </w:rPr>
                    <w:t>0.01</w:t>
                  </w:r>
                </w:p>
              </w:tc>
              <w:tc>
                <w:tcPr>
                  <w:tcW w:w="1011" w:type="dxa"/>
                  <w:shd w:val="clear" w:color="auto" w:fill="auto"/>
                  <w:vAlign w:val="center"/>
                </w:tcPr>
                <w:p w14:paraId="67F84D4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cs="Times New Roman"/>
                      <w:color w:val="000000"/>
                      <w:kern w:val="0"/>
                      <w:sz w:val="18"/>
                      <w:szCs w:val="18"/>
                      <w:lang w:bidi="ar"/>
                    </w:rPr>
                  </w:pPr>
                  <w:r>
                    <w:rPr>
                      <w:rFonts w:hint="eastAsia" w:cs="Times New Roman"/>
                      <w:color w:val="000000"/>
                      <w:kern w:val="0"/>
                      <w:sz w:val="18"/>
                      <w:szCs w:val="18"/>
                      <w:lang w:bidi="ar"/>
                    </w:rPr>
                    <w:t>自行贮存</w:t>
                  </w:r>
                </w:p>
              </w:tc>
              <w:tc>
                <w:tcPr>
                  <w:tcW w:w="1411" w:type="dxa"/>
                  <w:shd w:val="clear" w:color="auto" w:fill="auto"/>
                  <w:vAlign w:val="center"/>
                </w:tcPr>
                <w:p w14:paraId="1E16A97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cs="Times New Roman"/>
                      <w:color w:val="000000"/>
                      <w:kern w:val="0"/>
                      <w:sz w:val="18"/>
                      <w:szCs w:val="18"/>
                      <w:lang w:val="en-US" w:eastAsia="zh-CN" w:bidi="ar"/>
                    </w:rPr>
                  </w:pPr>
                  <w:r>
                    <w:rPr>
                      <w:rFonts w:hint="eastAsia" w:cs="Times New Roman"/>
                      <w:color w:val="000000"/>
                      <w:kern w:val="0"/>
                      <w:sz w:val="18"/>
                      <w:szCs w:val="18"/>
                      <w:lang w:val="en-US" w:eastAsia="zh-CN" w:bidi="ar"/>
                    </w:rPr>
                    <w:t>委托处置</w:t>
                  </w:r>
                </w:p>
              </w:tc>
              <w:tc>
                <w:tcPr>
                  <w:tcW w:w="987" w:type="dxa"/>
                  <w:shd w:val="clear" w:color="auto" w:fill="auto"/>
                  <w:vAlign w:val="center"/>
                </w:tcPr>
                <w:p w14:paraId="3147B50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eastAsia" w:cs="Times New Roman"/>
                      <w:color w:val="000000"/>
                      <w:kern w:val="0"/>
                      <w:sz w:val="18"/>
                      <w:szCs w:val="18"/>
                      <w:lang w:bidi="ar"/>
                    </w:rPr>
                  </w:pPr>
                  <w:r>
                    <w:rPr>
                      <w:rFonts w:hint="eastAsia" w:cs="Times New Roman"/>
                      <w:color w:val="000000"/>
                      <w:kern w:val="0"/>
                      <w:sz w:val="18"/>
                      <w:szCs w:val="18"/>
                      <w:lang w:bidi="ar"/>
                    </w:rPr>
                    <w:t>资质单位</w:t>
                  </w:r>
                </w:p>
              </w:tc>
              <w:tc>
                <w:tcPr>
                  <w:tcW w:w="512" w:type="pct"/>
                  <w:shd w:val="clear" w:color="auto" w:fill="auto"/>
                  <w:vAlign w:val="center"/>
                </w:tcPr>
                <w:p w14:paraId="25BB4F4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val="en-US" w:eastAsia="zh-CN" w:bidi="ar"/>
                    </w:rPr>
                  </w:pPr>
                  <w:r>
                    <w:rPr>
                      <w:rFonts w:hint="eastAsia" w:cs="Times New Roman"/>
                      <w:color w:val="000000"/>
                      <w:kern w:val="0"/>
                      <w:sz w:val="18"/>
                      <w:szCs w:val="18"/>
                      <w:lang w:val="en-US" w:eastAsia="zh-CN" w:bidi="ar"/>
                    </w:rPr>
                    <w:t>0.01</w:t>
                  </w:r>
                </w:p>
              </w:tc>
            </w:tr>
            <w:tr w14:paraId="3789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7" w:type="pct"/>
                  <w:shd w:val="clear" w:color="auto" w:fill="auto"/>
                  <w:vAlign w:val="center"/>
                </w:tcPr>
                <w:p w14:paraId="5848BB8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员工生活</w:t>
                  </w:r>
                </w:p>
              </w:tc>
              <w:tc>
                <w:tcPr>
                  <w:tcW w:w="595" w:type="pct"/>
                  <w:shd w:val="clear" w:color="auto" w:fill="auto"/>
                  <w:vAlign w:val="center"/>
                </w:tcPr>
                <w:p w14:paraId="2DAB570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sz w:val="18"/>
                      <w:szCs w:val="18"/>
                    </w:rPr>
                    <w:t>生活垃圾</w:t>
                  </w:r>
                </w:p>
              </w:tc>
              <w:tc>
                <w:tcPr>
                  <w:tcW w:w="393" w:type="pct"/>
                  <w:shd w:val="clear" w:color="auto" w:fill="auto"/>
                  <w:vAlign w:val="center"/>
                </w:tcPr>
                <w:p w14:paraId="38AA855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一般固废</w:t>
                  </w:r>
                </w:p>
              </w:tc>
              <w:tc>
                <w:tcPr>
                  <w:tcW w:w="533" w:type="pct"/>
                  <w:shd w:val="clear" w:color="auto" w:fill="auto"/>
                  <w:noWrap/>
                  <w:vAlign w:val="center"/>
                </w:tcPr>
                <w:p w14:paraId="5971A6C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生活垃圾</w:t>
                  </w:r>
                </w:p>
              </w:tc>
              <w:tc>
                <w:tcPr>
                  <w:tcW w:w="326" w:type="pct"/>
                  <w:shd w:val="clear" w:color="auto" w:fill="auto"/>
                  <w:vAlign w:val="center"/>
                </w:tcPr>
                <w:p w14:paraId="13FF502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固态</w:t>
                  </w:r>
                </w:p>
              </w:tc>
              <w:tc>
                <w:tcPr>
                  <w:tcW w:w="494" w:type="pct"/>
                  <w:shd w:val="clear" w:color="auto" w:fill="auto"/>
                  <w:noWrap/>
                  <w:vAlign w:val="center"/>
                </w:tcPr>
                <w:p w14:paraId="50B12C9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default" w:cs="Times New Roman"/>
                      <w:color w:val="000000"/>
                      <w:kern w:val="0"/>
                      <w:sz w:val="18"/>
                      <w:szCs w:val="18"/>
                      <w:lang w:bidi="ar"/>
                    </w:rPr>
                    <w:t>/</w:t>
                  </w:r>
                </w:p>
              </w:tc>
              <w:tc>
                <w:tcPr>
                  <w:tcW w:w="447" w:type="pct"/>
                  <w:shd w:val="clear" w:color="auto" w:fill="auto"/>
                  <w:vAlign w:val="center"/>
                </w:tcPr>
                <w:p w14:paraId="67E8DB4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25</w:t>
                  </w:r>
                </w:p>
              </w:tc>
              <w:tc>
                <w:tcPr>
                  <w:tcW w:w="379" w:type="pct"/>
                  <w:shd w:val="clear" w:color="auto" w:fill="auto"/>
                  <w:vAlign w:val="center"/>
                </w:tcPr>
                <w:p w14:paraId="6D7DDE2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bidi="ar"/>
                    </w:rPr>
                    <w:t>自行贮存</w:t>
                  </w:r>
                </w:p>
              </w:tc>
              <w:tc>
                <w:tcPr>
                  <w:tcW w:w="529" w:type="pct"/>
                  <w:shd w:val="clear" w:color="auto" w:fill="auto"/>
                  <w:vAlign w:val="center"/>
                </w:tcPr>
                <w:p w14:paraId="24A29E4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委托处置</w:t>
                  </w:r>
                </w:p>
              </w:tc>
              <w:tc>
                <w:tcPr>
                  <w:tcW w:w="370" w:type="pct"/>
                  <w:shd w:val="clear" w:color="auto" w:fill="auto"/>
                  <w:vAlign w:val="center"/>
                </w:tcPr>
                <w:p w14:paraId="36CC6C2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宋体" w:cs="Times New Roman"/>
                      <w:color w:val="000000"/>
                      <w:kern w:val="0"/>
                      <w:sz w:val="18"/>
                      <w:szCs w:val="18"/>
                      <w:lang w:val="en-US" w:eastAsia="zh-CN" w:bidi="ar"/>
                    </w:rPr>
                  </w:pPr>
                  <w:r>
                    <w:rPr>
                      <w:rFonts w:hint="eastAsia" w:cs="Times New Roman"/>
                      <w:color w:val="000000"/>
                      <w:kern w:val="0"/>
                      <w:sz w:val="18"/>
                      <w:szCs w:val="18"/>
                      <w:lang w:val="en-US" w:eastAsia="zh-CN" w:bidi="ar"/>
                    </w:rPr>
                    <w:t>环卫部门</w:t>
                  </w:r>
                </w:p>
              </w:tc>
              <w:tc>
                <w:tcPr>
                  <w:tcW w:w="512" w:type="pct"/>
                  <w:shd w:val="clear" w:color="auto" w:fill="auto"/>
                  <w:vAlign w:val="center"/>
                </w:tcPr>
                <w:p w14:paraId="5F9DA9B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kern w:val="0"/>
                      <w:sz w:val="18"/>
                      <w:szCs w:val="18"/>
                      <w:lang w:bidi="ar"/>
                    </w:rPr>
                  </w:pPr>
                  <w:r>
                    <w:rPr>
                      <w:rFonts w:hint="eastAsia" w:cs="Times New Roman"/>
                      <w:color w:val="000000"/>
                      <w:kern w:val="0"/>
                      <w:sz w:val="18"/>
                      <w:szCs w:val="18"/>
                      <w:lang w:val="en-US" w:eastAsia="zh-CN" w:bidi="ar"/>
                    </w:rPr>
                    <w:t>25</w:t>
                  </w:r>
                </w:p>
              </w:tc>
            </w:tr>
          </w:tbl>
          <w:p w14:paraId="2DDAC10E">
            <w:pPr>
              <w:pStyle w:val="2"/>
              <w:keepNext w:val="0"/>
              <w:keepLines w:val="0"/>
              <w:suppressLineNumbers w:val="0"/>
              <w:spacing w:before="0" w:beforeAutospacing="0" w:after="0" w:afterAutospacing="0"/>
              <w:ind w:left="0" w:right="0" w:firstLine="0" w:firstLineChars="0"/>
              <w:rPr>
                <w:rFonts w:hint="default" w:eastAsia="黑体" w:cs="Times New Roman"/>
                <w:szCs w:val="24"/>
              </w:rPr>
            </w:pPr>
          </w:p>
        </w:tc>
      </w:tr>
    </w:tbl>
    <w:p w14:paraId="7E685FA8">
      <w:pPr>
        <w:pStyle w:val="2"/>
        <w:ind w:firstLine="0" w:firstLineChars="0"/>
        <w:sectPr>
          <w:pgSz w:w="16838" w:h="11906" w:orient="landscape"/>
          <w:pgMar w:top="1800" w:right="1440" w:bottom="1800" w:left="1440" w:header="851" w:footer="992" w:gutter="0"/>
          <w:cols w:space="425" w:num="1"/>
          <w:docGrid w:type="lines"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8042"/>
      </w:tblGrid>
      <w:tr w14:paraId="44C6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688" w:hRule="atLeast"/>
        </w:trPr>
        <w:tc>
          <w:tcPr>
            <w:tcW w:w="480" w:type="dxa"/>
          </w:tcPr>
          <w:p w14:paraId="4D62B50A">
            <w:pPr>
              <w:pStyle w:val="2"/>
              <w:keepNext w:val="0"/>
              <w:keepLines w:val="0"/>
              <w:suppressLineNumbers w:val="0"/>
              <w:spacing w:before="0" w:beforeAutospacing="0" w:after="0" w:afterAutospacing="0"/>
              <w:ind w:left="0" w:right="0" w:firstLine="480"/>
              <w:rPr>
                <w:rFonts w:hint="default"/>
                <w:color w:val="auto"/>
              </w:rPr>
            </w:pPr>
          </w:p>
        </w:tc>
        <w:tc>
          <w:tcPr>
            <w:tcW w:w="8042" w:type="dxa"/>
          </w:tcPr>
          <w:p w14:paraId="0A4F0C11">
            <w:pPr>
              <w:keepNext w:val="0"/>
              <w:keepLines w:val="0"/>
              <w:numPr>
                <w:ilvl w:val="0"/>
                <w:numId w:val="9"/>
              </w:numPr>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固体废物临时贮存设施的管理要求</w:t>
            </w:r>
          </w:p>
          <w:p w14:paraId="769AF4E1">
            <w:pPr>
              <w:keepNext w:val="0"/>
              <w:keepLines w:val="0"/>
              <w:suppressLineNumbers w:val="0"/>
              <w:spacing w:before="0" w:beforeAutospacing="0" w:after="0" w:afterAutospacing="0"/>
              <w:ind w:left="0" w:right="0" w:firstLine="480"/>
              <w:rPr>
                <w:rFonts w:hint="default" w:cs="Times New Roman"/>
                <w:color w:val="auto"/>
                <w:szCs w:val="24"/>
              </w:rPr>
            </w:pPr>
            <w:r>
              <w:rPr>
                <w:rFonts w:hint="eastAsia" w:ascii="宋体" w:hAnsi="宋体" w:cs="宋体"/>
                <w:color w:val="auto"/>
                <w:szCs w:val="24"/>
              </w:rPr>
              <w:t>①</w:t>
            </w:r>
            <w:r>
              <w:rPr>
                <w:rFonts w:hint="default" w:cs="Times New Roman"/>
                <w:color w:val="auto"/>
                <w:szCs w:val="24"/>
              </w:rPr>
              <w:t>一般工业固废</w:t>
            </w:r>
          </w:p>
          <w:p w14:paraId="49A92CDB">
            <w:pPr>
              <w:keepNext w:val="0"/>
              <w:keepLines w:val="0"/>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本项目一般工业固体废物</w:t>
            </w:r>
            <w:r>
              <w:rPr>
                <w:rFonts w:hint="eastAsia" w:cs="Times New Roman"/>
                <w:color w:val="auto"/>
                <w:szCs w:val="24"/>
              </w:rPr>
              <w:t>收集</w:t>
            </w:r>
            <w:r>
              <w:rPr>
                <w:rFonts w:hint="default" w:cs="Times New Roman"/>
                <w:color w:val="auto"/>
                <w:szCs w:val="24"/>
              </w:rPr>
              <w:t>后</w:t>
            </w:r>
            <w:r>
              <w:rPr>
                <w:rFonts w:hint="eastAsia" w:cs="Times New Roman"/>
                <w:color w:val="auto"/>
                <w:szCs w:val="24"/>
              </w:rPr>
              <w:t>外售综合利用</w:t>
            </w:r>
            <w:r>
              <w:rPr>
                <w:rFonts w:hint="default" w:cs="Times New Roman"/>
                <w:color w:val="auto"/>
                <w:szCs w:val="24"/>
              </w:rPr>
              <w:t>。</w:t>
            </w:r>
          </w:p>
          <w:p w14:paraId="6DC0532D">
            <w:pPr>
              <w:keepNext w:val="0"/>
              <w:keepLines w:val="0"/>
              <w:suppressLineNumbers w:val="0"/>
              <w:spacing w:before="0" w:beforeAutospacing="0" w:after="0" w:afterAutospacing="0"/>
              <w:ind w:left="0" w:right="0" w:firstLine="480"/>
              <w:rPr>
                <w:rFonts w:hint="default" w:cs="Times New Roman"/>
                <w:color w:val="auto"/>
                <w:szCs w:val="24"/>
              </w:rPr>
            </w:pPr>
            <w:r>
              <w:rPr>
                <w:rFonts w:hint="eastAsia" w:ascii="宋体" w:hAnsi="宋体" w:cs="宋体"/>
                <w:color w:val="auto"/>
                <w:szCs w:val="24"/>
              </w:rPr>
              <w:t>②</w:t>
            </w:r>
            <w:r>
              <w:rPr>
                <w:rFonts w:hint="default" w:cs="Times New Roman"/>
                <w:color w:val="auto"/>
                <w:szCs w:val="24"/>
              </w:rPr>
              <w:t>生活垃圾</w:t>
            </w:r>
          </w:p>
          <w:p w14:paraId="400FD95A">
            <w:pPr>
              <w:keepNext w:val="0"/>
              <w:keepLines w:val="0"/>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生活垃圾经在厂内设垃圾收集桶</w:t>
            </w:r>
            <w:r>
              <w:rPr>
                <w:rFonts w:hint="eastAsia" w:cs="Times New Roman"/>
                <w:color w:val="auto"/>
                <w:szCs w:val="24"/>
              </w:rPr>
              <w:t>，</w:t>
            </w:r>
            <w:r>
              <w:rPr>
                <w:rFonts w:hint="default" w:cs="Times New Roman"/>
                <w:color w:val="auto"/>
                <w:szCs w:val="24"/>
              </w:rPr>
              <w:t>由环卫部门</w:t>
            </w:r>
            <w:r>
              <w:rPr>
                <w:rFonts w:hint="eastAsia" w:cs="Times New Roman"/>
                <w:color w:val="auto"/>
                <w:szCs w:val="24"/>
                <w:lang w:val="en-US" w:eastAsia="zh-CN"/>
              </w:rPr>
              <w:t>统一</w:t>
            </w:r>
            <w:r>
              <w:rPr>
                <w:rFonts w:hint="default" w:cs="Times New Roman"/>
                <w:color w:val="auto"/>
                <w:szCs w:val="24"/>
              </w:rPr>
              <w:t>清运。</w:t>
            </w:r>
          </w:p>
          <w:p w14:paraId="59262C1E">
            <w:pPr>
              <w:keepNext w:val="0"/>
              <w:keepLines w:val="0"/>
              <w:suppressLineNumbers w:val="0"/>
              <w:spacing w:before="0" w:beforeAutospacing="0" w:after="0" w:afterAutospacing="0"/>
              <w:ind w:left="0" w:right="0" w:firstLine="480"/>
              <w:rPr>
                <w:rFonts w:hint="default" w:cs="Times New Roman"/>
                <w:color w:val="auto"/>
                <w:szCs w:val="24"/>
              </w:rPr>
            </w:pPr>
            <w:r>
              <w:rPr>
                <w:rFonts w:hint="eastAsia" w:ascii="宋体" w:hAnsi="宋体" w:cs="宋体"/>
                <w:color w:val="auto"/>
                <w:szCs w:val="24"/>
              </w:rPr>
              <w:t>③</w:t>
            </w:r>
            <w:r>
              <w:rPr>
                <w:rFonts w:hint="default" w:cs="Times New Roman"/>
                <w:color w:val="auto"/>
                <w:szCs w:val="24"/>
              </w:rPr>
              <w:t>危险固废</w:t>
            </w:r>
          </w:p>
          <w:p w14:paraId="60DA75D7">
            <w:pPr>
              <w:keepNext w:val="0"/>
              <w:keepLines w:val="0"/>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A、环境影响分析</w:t>
            </w:r>
          </w:p>
          <w:p w14:paraId="0D91943D">
            <w:pPr>
              <w:keepNext w:val="0"/>
              <w:keepLines w:val="0"/>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I、危险废物贮存场所(设施)</w:t>
            </w:r>
          </w:p>
          <w:p w14:paraId="2A3FC435">
            <w:pPr>
              <w:keepNext w:val="0"/>
              <w:keepLines w:val="0"/>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本项目</w:t>
            </w:r>
            <w:r>
              <w:rPr>
                <w:rFonts w:hint="eastAsia" w:cs="Times New Roman"/>
                <w:color w:val="auto"/>
                <w:szCs w:val="24"/>
                <w:lang w:val="en-US" w:eastAsia="zh-CN"/>
              </w:rPr>
              <w:t>新建</w:t>
            </w:r>
            <w:r>
              <w:rPr>
                <w:rFonts w:hint="default" w:cs="Times New Roman"/>
                <w:color w:val="auto"/>
                <w:szCs w:val="24"/>
              </w:rPr>
              <w:t>危废暂存</w:t>
            </w:r>
            <w:r>
              <w:rPr>
                <w:rFonts w:hint="eastAsia" w:cs="Times New Roman"/>
                <w:color w:val="auto"/>
                <w:szCs w:val="24"/>
                <w:lang w:val="en-US" w:eastAsia="zh-CN"/>
              </w:rPr>
              <w:t>间1处，分别位于租赁厂房一层及四层</w:t>
            </w:r>
            <w:r>
              <w:rPr>
                <w:rFonts w:hint="default" w:cs="Times New Roman"/>
                <w:color w:val="auto"/>
                <w:szCs w:val="24"/>
              </w:rPr>
              <w:t>，</w:t>
            </w:r>
            <w:r>
              <w:rPr>
                <w:rFonts w:hint="eastAsia" w:cs="Times New Roman"/>
                <w:color w:val="auto"/>
                <w:szCs w:val="24"/>
              </w:rPr>
              <w:t>总</w:t>
            </w:r>
            <w:r>
              <w:rPr>
                <w:rFonts w:hint="default" w:cs="Times New Roman"/>
                <w:color w:val="auto"/>
                <w:szCs w:val="24"/>
              </w:rPr>
              <w:t>面积约</w:t>
            </w:r>
            <w:r>
              <w:rPr>
                <w:rFonts w:hint="eastAsia" w:cs="Times New Roman"/>
                <w:color w:val="auto"/>
                <w:szCs w:val="24"/>
                <w:lang w:val="en-US" w:eastAsia="zh-CN"/>
              </w:rPr>
              <w:t>4.5</w:t>
            </w:r>
            <w:r>
              <w:rPr>
                <w:rFonts w:hint="default" w:cs="Times New Roman"/>
                <w:color w:val="auto"/>
                <w:szCs w:val="24"/>
              </w:rPr>
              <w:t>m</w:t>
            </w:r>
            <w:r>
              <w:rPr>
                <w:rFonts w:hint="default" w:cs="Times New Roman"/>
                <w:color w:val="auto"/>
                <w:szCs w:val="24"/>
                <w:vertAlign w:val="superscript"/>
              </w:rPr>
              <w:t>3</w:t>
            </w:r>
            <w:r>
              <w:rPr>
                <w:rFonts w:hint="default" w:cs="Times New Roman"/>
                <w:color w:val="auto"/>
                <w:szCs w:val="24"/>
              </w:rPr>
              <w:t>，用于储存</w:t>
            </w:r>
            <w:r>
              <w:rPr>
                <w:rFonts w:hint="eastAsia" w:cs="Times New Roman"/>
                <w:color w:val="auto"/>
                <w:szCs w:val="24"/>
              </w:rPr>
              <w:t>废活性炭、</w:t>
            </w:r>
            <w:r>
              <w:rPr>
                <w:rFonts w:hint="eastAsia" w:cs="Times New Roman"/>
                <w:color w:val="auto"/>
                <w:szCs w:val="24"/>
                <w:lang w:val="en-US" w:eastAsia="zh-CN"/>
              </w:rPr>
              <w:t>实验室废液、实验室废物</w:t>
            </w:r>
            <w:r>
              <w:rPr>
                <w:rFonts w:hint="eastAsia" w:cs="Times New Roman"/>
                <w:color w:val="auto"/>
                <w:szCs w:val="24"/>
              </w:rPr>
              <w:t>等危险废物</w:t>
            </w:r>
            <w:r>
              <w:rPr>
                <w:rFonts w:hint="default" w:cs="Times New Roman"/>
                <w:color w:val="auto"/>
                <w:szCs w:val="24"/>
              </w:rPr>
              <w:t>，危险废物暂存场所应按照《危险废物贮存污染控制标准》(GB18597-2023)中要求，设置防腐防渗等措施。</w:t>
            </w:r>
          </w:p>
          <w:p w14:paraId="2F693CB1">
            <w:pPr>
              <w:keepNext w:val="0"/>
              <w:keepLines w:val="0"/>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危废暂存场所应严格落实“四防”(防风、防雨、防晒、防渗漏)控制措施，危废暂存间储存液态危废量较少，设备用储存桶，各危险废物暂存过程中对区域地表水影响较小，对环境空气产生的影响较小，事故状态下的危险废物经收集后可得到有效处置，对地下水和土壤不会造成明显的不利影响。</w:t>
            </w:r>
          </w:p>
          <w:p w14:paraId="58D2AA76">
            <w:pPr>
              <w:keepNext w:val="0"/>
              <w:keepLines w:val="0"/>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II、运输过程的环境影响分析</w:t>
            </w:r>
          </w:p>
          <w:p w14:paraId="1C30F07E">
            <w:pPr>
              <w:keepNext w:val="0"/>
              <w:keepLines w:val="0"/>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本项目危废收集时置于密闭桶内，确保车间转移至危废仓库时不会发生散落、泄漏等状况。</w:t>
            </w:r>
          </w:p>
          <w:p w14:paraId="77AE75E7">
            <w:pPr>
              <w:keepNext w:val="0"/>
              <w:keepLines w:val="0"/>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III、委托处置的环境可行分析</w:t>
            </w:r>
          </w:p>
          <w:p w14:paraId="12BFAE68">
            <w:pPr>
              <w:keepNext w:val="0"/>
              <w:keepLines w:val="0"/>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针对于本项目的危险废物，根据《国家危险废物名录》</w:t>
            </w:r>
            <w:r>
              <w:rPr>
                <w:rFonts w:hint="eastAsia" w:cs="Times New Roman"/>
                <w:color w:val="auto"/>
                <w:szCs w:val="24"/>
              </w:rPr>
              <w:t>(2025年版)</w:t>
            </w:r>
            <w:r>
              <w:rPr>
                <w:rFonts w:hint="default" w:cs="Times New Roman"/>
                <w:color w:val="auto"/>
                <w:szCs w:val="24"/>
              </w:rPr>
              <w:t>，本项目的</w:t>
            </w:r>
            <w:r>
              <w:rPr>
                <w:rFonts w:hint="eastAsia" w:cs="Times New Roman"/>
                <w:color w:val="auto"/>
                <w:szCs w:val="24"/>
              </w:rPr>
              <w:t>废活性炭、</w:t>
            </w:r>
            <w:r>
              <w:rPr>
                <w:rFonts w:hint="eastAsia" w:cs="Times New Roman"/>
                <w:color w:val="auto"/>
                <w:szCs w:val="24"/>
                <w:lang w:val="en-US" w:eastAsia="zh-CN"/>
              </w:rPr>
              <w:t>实验室废液、实验室废物</w:t>
            </w:r>
            <w:r>
              <w:rPr>
                <w:rFonts w:hint="eastAsia" w:cs="Times New Roman"/>
                <w:color w:val="auto"/>
                <w:szCs w:val="24"/>
              </w:rPr>
              <w:t>等</w:t>
            </w:r>
            <w:r>
              <w:rPr>
                <w:rFonts w:hint="default" w:cs="Times New Roman"/>
                <w:color w:val="auto"/>
                <w:szCs w:val="24"/>
              </w:rPr>
              <w:t>危险废物，收集后暂存于危废库暂存，定期交由有危废处置资质的单位代为处理。</w:t>
            </w:r>
          </w:p>
          <w:p w14:paraId="300318DE">
            <w:pPr>
              <w:keepNext w:val="0"/>
              <w:keepLines w:val="0"/>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B、污染防治措施</w:t>
            </w:r>
          </w:p>
          <w:p w14:paraId="095E327A">
            <w:pPr>
              <w:keepNext w:val="0"/>
              <w:keepLines w:val="0"/>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I、贮存场所(设施)</w:t>
            </w:r>
          </w:p>
          <w:p w14:paraId="0C91820A">
            <w:pPr>
              <w:keepNext w:val="0"/>
              <w:keepLines w:val="0"/>
              <w:suppressLineNumbers w:val="0"/>
              <w:spacing w:before="0" w:beforeAutospacing="0" w:after="0" w:afterAutospacing="0"/>
              <w:ind w:left="0" w:right="0" w:firstLine="480"/>
              <w:rPr>
                <w:rFonts w:hint="default"/>
                <w:color w:val="auto"/>
              </w:rPr>
            </w:pPr>
            <w:r>
              <w:rPr>
                <w:rFonts w:hint="default"/>
                <w:color w:val="auto"/>
              </w:rPr>
              <w:t>本项目危废暂存场所基本情况见下表。</w:t>
            </w:r>
          </w:p>
          <w:p w14:paraId="09D1A014">
            <w:pPr>
              <w:keepNext w:val="0"/>
              <w:keepLines w:val="0"/>
              <w:suppressLineNumbers w:val="0"/>
              <w:spacing w:before="0" w:beforeAutospacing="0" w:after="0" w:afterAutospacing="0"/>
              <w:ind w:left="0" w:right="0" w:firstLine="0" w:firstLineChars="0"/>
              <w:jc w:val="center"/>
              <w:rPr>
                <w:rFonts w:hint="default" w:eastAsia="黑体" w:cs="Times New Roman"/>
                <w:bCs/>
                <w:color w:val="auto"/>
                <w:szCs w:val="24"/>
              </w:rPr>
            </w:pPr>
            <w:r>
              <w:rPr>
                <w:rFonts w:hint="default" w:eastAsia="黑体" w:cs="Times New Roman"/>
                <w:bCs/>
                <w:color w:val="auto"/>
                <w:szCs w:val="24"/>
              </w:rPr>
              <w:t>表4-</w:t>
            </w:r>
            <w:r>
              <w:rPr>
                <w:rFonts w:hint="eastAsia" w:eastAsia="黑体" w:cs="Times New Roman"/>
                <w:bCs/>
                <w:color w:val="auto"/>
                <w:szCs w:val="24"/>
              </w:rPr>
              <w:t>1</w:t>
            </w:r>
            <w:r>
              <w:rPr>
                <w:rFonts w:hint="eastAsia" w:eastAsia="黑体" w:cs="Times New Roman"/>
                <w:bCs/>
                <w:color w:val="auto"/>
                <w:szCs w:val="24"/>
                <w:lang w:val="en-US" w:eastAsia="zh-CN"/>
              </w:rPr>
              <w:t>4</w:t>
            </w:r>
            <w:r>
              <w:rPr>
                <w:rFonts w:hint="default" w:eastAsia="黑体" w:cs="Times New Roman"/>
                <w:bCs/>
                <w:color w:val="auto"/>
                <w:szCs w:val="24"/>
              </w:rPr>
              <w:t xml:space="preserve">  </w:t>
            </w:r>
            <w:r>
              <w:rPr>
                <w:rFonts w:hint="eastAsia" w:eastAsia="黑体" w:cs="Times New Roman"/>
                <w:bCs/>
                <w:color w:val="auto"/>
                <w:szCs w:val="24"/>
              </w:rPr>
              <w:t>本</w:t>
            </w:r>
            <w:r>
              <w:rPr>
                <w:rFonts w:hint="default" w:eastAsia="黑体" w:cs="Times New Roman"/>
                <w:bCs/>
                <w:color w:val="auto"/>
                <w:szCs w:val="24"/>
              </w:rPr>
              <w:t>项目</w:t>
            </w:r>
            <w:r>
              <w:rPr>
                <w:rFonts w:hint="eastAsia" w:eastAsia="黑体" w:cs="Times New Roman"/>
                <w:bCs/>
                <w:color w:val="auto"/>
                <w:szCs w:val="24"/>
              </w:rPr>
              <w:t>设置</w:t>
            </w:r>
            <w:r>
              <w:rPr>
                <w:rFonts w:hint="default" w:eastAsia="黑体" w:cs="Times New Roman"/>
                <w:bCs/>
                <w:color w:val="auto"/>
                <w:szCs w:val="24"/>
              </w:rPr>
              <w:t>危险废物贮存场所(设施)基本情况表</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
              <w:gridCol w:w="671"/>
              <w:gridCol w:w="1161"/>
              <w:gridCol w:w="707"/>
              <w:gridCol w:w="1096"/>
              <w:gridCol w:w="689"/>
              <w:gridCol w:w="727"/>
              <w:gridCol w:w="743"/>
              <w:gridCol w:w="752"/>
              <w:gridCol w:w="764"/>
            </w:tblGrid>
            <w:tr w14:paraId="212E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3" w:type="pct"/>
                  <w:vAlign w:val="center"/>
                </w:tcPr>
                <w:p w14:paraId="6CEA2DD7">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序号</w:t>
                  </w:r>
                </w:p>
              </w:tc>
              <w:tc>
                <w:tcPr>
                  <w:tcW w:w="429" w:type="pct"/>
                  <w:vAlign w:val="center"/>
                </w:tcPr>
                <w:p w14:paraId="530DE8D1">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贮存场所名称</w:t>
                  </w:r>
                </w:p>
              </w:tc>
              <w:tc>
                <w:tcPr>
                  <w:tcW w:w="742" w:type="pct"/>
                  <w:vAlign w:val="center"/>
                </w:tcPr>
                <w:p w14:paraId="62C430D3">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危险废物名称</w:t>
                  </w:r>
                </w:p>
              </w:tc>
              <w:tc>
                <w:tcPr>
                  <w:tcW w:w="452" w:type="pct"/>
                  <w:vAlign w:val="center"/>
                </w:tcPr>
                <w:p w14:paraId="2CB8EE8E">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危废</w:t>
                  </w:r>
                </w:p>
                <w:p w14:paraId="0B8232C0">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类别</w:t>
                  </w:r>
                </w:p>
              </w:tc>
              <w:tc>
                <w:tcPr>
                  <w:tcW w:w="701" w:type="pct"/>
                  <w:vAlign w:val="center"/>
                </w:tcPr>
                <w:p w14:paraId="76AA9340">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废物代码</w:t>
                  </w:r>
                </w:p>
              </w:tc>
              <w:tc>
                <w:tcPr>
                  <w:tcW w:w="440" w:type="pct"/>
                  <w:vAlign w:val="center"/>
                </w:tcPr>
                <w:p w14:paraId="279F90D6">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位置</w:t>
                  </w:r>
                </w:p>
              </w:tc>
              <w:tc>
                <w:tcPr>
                  <w:tcW w:w="465" w:type="pct"/>
                  <w:vAlign w:val="center"/>
                </w:tcPr>
                <w:p w14:paraId="33552894">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面积</w:t>
                  </w:r>
                </w:p>
              </w:tc>
              <w:tc>
                <w:tcPr>
                  <w:tcW w:w="475" w:type="pct"/>
                  <w:vAlign w:val="center"/>
                </w:tcPr>
                <w:p w14:paraId="130C5D7E">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贮存</w:t>
                  </w:r>
                </w:p>
                <w:p w14:paraId="613A0584">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方式</w:t>
                  </w:r>
                </w:p>
              </w:tc>
              <w:tc>
                <w:tcPr>
                  <w:tcW w:w="481" w:type="pct"/>
                  <w:vAlign w:val="center"/>
                </w:tcPr>
                <w:p w14:paraId="56740438">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贮存</w:t>
                  </w:r>
                </w:p>
                <w:p w14:paraId="2B338607">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能力</w:t>
                  </w:r>
                </w:p>
              </w:tc>
              <w:tc>
                <w:tcPr>
                  <w:tcW w:w="488" w:type="pct"/>
                  <w:vAlign w:val="center"/>
                </w:tcPr>
                <w:p w14:paraId="44861CA3">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贮存</w:t>
                  </w:r>
                </w:p>
                <w:p w14:paraId="38692709">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周期</w:t>
                  </w:r>
                </w:p>
              </w:tc>
            </w:tr>
            <w:tr w14:paraId="5B1C3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3" w:type="pct"/>
                  <w:vAlign w:val="center"/>
                </w:tcPr>
                <w:p w14:paraId="11FE01B3">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1</w:t>
                  </w:r>
                </w:p>
              </w:tc>
              <w:tc>
                <w:tcPr>
                  <w:tcW w:w="429" w:type="pct"/>
                  <w:vMerge w:val="restart"/>
                  <w:vAlign w:val="center"/>
                </w:tcPr>
                <w:p w14:paraId="297CA61C">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危废暂存库</w:t>
                  </w:r>
                </w:p>
              </w:tc>
              <w:tc>
                <w:tcPr>
                  <w:tcW w:w="742" w:type="pct"/>
                  <w:vAlign w:val="center"/>
                </w:tcPr>
                <w:p w14:paraId="71DAEA61">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eastAsia" w:cs="Times New Roman"/>
                      <w:color w:val="auto"/>
                      <w:sz w:val="18"/>
                      <w:szCs w:val="18"/>
                    </w:rPr>
                    <w:t>不合格品</w:t>
                  </w:r>
                </w:p>
              </w:tc>
              <w:tc>
                <w:tcPr>
                  <w:tcW w:w="452" w:type="pct"/>
                  <w:vAlign w:val="center"/>
                </w:tcPr>
                <w:p w14:paraId="60C923B3">
                  <w:pPr>
                    <w:keepNext w:val="0"/>
                    <w:keepLines w:val="0"/>
                    <w:suppressLineNumbers w:val="0"/>
                    <w:spacing w:before="0" w:beforeAutospacing="0" w:after="0" w:afterAutospacing="0" w:line="240" w:lineRule="auto"/>
                    <w:ind w:left="0" w:right="0" w:firstLine="0" w:firstLineChars="0"/>
                    <w:jc w:val="center"/>
                    <w:rPr>
                      <w:rFonts w:hint="default" w:eastAsia="宋体" w:cs="Times New Roman"/>
                      <w:color w:val="auto"/>
                      <w:kern w:val="0"/>
                      <w:sz w:val="18"/>
                      <w:szCs w:val="18"/>
                      <w:lang w:val="en-US" w:eastAsia="zh-CN"/>
                    </w:rPr>
                  </w:pPr>
                  <w:r>
                    <w:rPr>
                      <w:rFonts w:hint="eastAsia" w:cs="Times New Roman"/>
                      <w:color w:val="auto"/>
                      <w:kern w:val="0"/>
                      <w:sz w:val="18"/>
                      <w:szCs w:val="18"/>
                      <w:lang w:val="en-US" w:eastAsia="zh-CN"/>
                    </w:rPr>
                    <w:t>HW01</w:t>
                  </w:r>
                </w:p>
              </w:tc>
              <w:tc>
                <w:tcPr>
                  <w:tcW w:w="701" w:type="pct"/>
                  <w:vAlign w:val="center"/>
                </w:tcPr>
                <w:p w14:paraId="7BFF2B11">
                  <w:pPr>
                    <w:keepNext w:val="0"/>
                    <w:keepLines w:val="0"/>
                    <w:suppressLineNumbers w:val="0"/>
                    <w:spacing w:before="0" w:beforeAutospacing="0" w:after="0" w:afterAutospacing="0" w:line="240" w:lineRule="auto"/>
                    <w:ind w:left="0" w:right="0" w:firstLine="0" w:firstLineChars="0"/>
                    <w:jc w:val="center"/>
                    <w:rPr>
                      <w:rFonts w:hint="default" w:eastAsia="宋体" w:cs="Times New Roman"/>
                      <w:color w:val="auto"/>
                      <w:kern w:val="0"/>
                      <w:sz w:val="18"/>
                      <w:szCs w:val="18"/>
                      <w:lang w:val="en-US" w:eastAsia="zh-CN"/>
                    </w:rPr>
                  </w:pPr>
                  <w:r>
                    <w:rPr>
                      <w:rFonts w:hint="eastAsia" w:cs="Times New Roman"/>
                      <w:color w:val="auto"/>
                      <w:kern w:val="0"/>
                      <w:sz w:val="18"/>
                      <w:szCs w:val="18"/>
                      <w:lang w:val="en-US" w:eastAsia="zh-CN"/>
                    </w:rPr>
                    <w:t>831-003-01</w:t>
                  </w:r>
                </w:p>
              </w:tc>
              <w:tc>
                <w:tcPr>
                  <w:tcW w:w="440" w:type="pct"/>
                  <w:vMerge w:val="restart"/>
                  <w:vAlign w:val="center"/>
                </w:tcPr>
                <w:p w14:paraId="18380196">
                  <w:pPr>
                    <w:keepNext w:val="0"/>
                    <w:keepLines w:val="0"/>
                    <w:suppressLineNumbers w:val="0"/>
                    <w:spacing w:before="0" w:beforeAutospacing="0" w:after="0" w:afterAutospacing="0" w:line="240" w:lineRule="auto"/>
                    <w:ind w:left="0" w:right="0" w:firstLine="0" w:firstLineChars="0"/>
                    <w:jc w:val="center"/>
                    <w:rPr>
                      <w:rFonts w:hint="default" w:eastAsia="宋体" w:cs="Times New Roman"/>
                      <w:color w:val="auto"/>
                      <w:kern w:val="0"/>
                      <w:sz w:val="18"/>
                      <w:szCs w:val="18"/>
                      <w:lang w:val="en-US" w:eastAsia="zh-CN"/>
                    </w:rPr>
                  </w:pPr>
                  <w:r>
                    <w:rPr>
                      <w:rFonts w:hint="eastAsia" w:cs="Times New Roman"/>
                      <w:color w:val="auto"/>
                      <w:kern w:val="0"/>
                      <w:sz w:val="18"/>
                      <w:szCs w:val="18"/>
                      <w:lang w:val="en-US" w:eastAsia="zh-CN"/>
                    </w:rPr>
                    <w:t>租赁厂房3F</w:t>
                  </w:r>
                </w:p>
              </w:tc>
              <w:tc>
                <w:tcPr>
                  <w:tcW w:w="465" w:type="pct"/>
                  <w:vMerge w:val="restart"/>
                  <w:vAlign w:val="center"/>
                </w:tcPr>
                <w:p w14:paraId="2E769410">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eastAsia" w:cs="Times New Roman"/>
                      <w:color w:val="auto"/>
                      <w:kern w:val="0"/>
                      <w:sz w:val="18"/>
                      <w:szCs w:val="18"/>
                      <w:lang w:val="en-US" w:eastAsia="zh-CN"/>
                    </w:rPr>
                    <w:t>4.5</w:t>
                  </w:r>
                  <w:r>
                    <w:rPr>
                      <w:rFonts w:hint="default" w:cs="Times New Roman"/>
                      <w:color w:val="auto"/>
                      <w:kern w:val="0"/>
                      <w:sz w:val="18"/>
                      <w:szCs w:val="18"/>
                    </w:rPr>
                    <w:t>m</w:t>
                  </w:r>
                  <w:r>
                    <w:rPr>
                      <w:rFonts w:hint="default" w:cs="Times New Roman"/>
                      <w:color w:val="auto"/>
                      <w:kern w:val="0"/>
                      <w:sz w:val="18"/>
                      <w:szCs w:val="18"/>
                      <w:vertAlign w:val="superscript"/>
                    </w:rPr>
                    <w:t>2</w:t>
                  </w:r>
                </w:p>
              </w:tc>
              <w:tc>
                <w:tcPr>
                  <w:tcW w:w="475" w:type="pct"/>
                  <w:vAlign w:val="center"/>
                </w:tcPr>
                <w:p w14:paraId="20313B14">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桶装</w:t>
                  </w:r>
                </w:p>
              </w:tc>
              <w:tc>
                <w:tcPr>
                  <w:tcW w:w="481" w:type="pct"/>
                  <w:vMerge w:val="restart"/>
                  <w:vAlign w:val="center"/>
                </w:tcPr>
                <w:p w14:paraId="0E0C616A">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eastAsia" w:cs="Times New Roman"/>
                      <w:color w:val="auto"/>
                      <w:kern w:val="0"/>
                      <w:sz w:val="18"/>
                      <w:szCs w:val="18"/>
                      <w:lang w:val="en-US" w:eastAsia="zh-CN"/>
                    </w:rPr>
                    <w:t>10</w:t>
                  </w:r>
                  <w:r>
                    <w:rPr>
                      <w:rFonts w:hint="default" w:cs="Times New Roman"/>
                      <w:color w:val="auto"/>
                      <w:kern w:val="0"/>
                      <w:sz w:val="18"/>
                      <w:szCs w:val="18"/>
                    </w:rPr>
                    <w:t>t</w:t>
                  </w:r>
                </w:p>
              </w:tc>
              <w:tc>
                <w:tcPr>
                  <w:tcW w:w="488" w:type="pct"/>
                  <w:vMerge w:val="restart"/>
                  <w:vAlign w:val="center"/>
                </w:tcPr>
                <w:p w14:paraId="34A4AD8F">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eastAsia" w:cs="Times New Roman"/>
                      <w:color w:val="auto"/>
                      <w:kern w:val="0"/>
                      <w:sz w:val="18"/>
                      <w:szCs w:val="18"/>
                    </w:rPr>
                    <w:t>3个月</w:t>
                  </w:r>
                </w:p>
              </w:tc>
            </w:tr>
            <w:tr w14:paraId="69EC0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323" w:type="pct"/>
                  <w:vAlign w:val="center"/>
                </w:tcPr>
                <w:p w14:paraId="43C17382">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eastAsia" w:cs="Times New Roman"/>
                      <w:color w:val="auto"/>
                      <w:kern w:val="0"/>
                      <w:sz w:val="18"/>
                      <w:szCs w:val="18"/>
                    </w:rPr>
                    <w:t>2</w:t>
                  </w:r>
                </w:p>
              </w:tc>
              <w:tc>
                <w:tcPr>
                  <w:tcW w:w="429" w:type="pct"/>
                  <w:vMerge w:val="continue"/>
                  <w:vAlign w:val="center"/>
                </w:tcPr>
                <w:p w14:paraId="113C900D">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742" w:type="pct"/>
                  <w:shd w:val="clear" w:color="auto" w:fill="auto"/>
                  <w:vAlign w:val="center"/>
                </w:tcPr>
                <w:p w14:paraId="54FA659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auto"/>
                      <w:sz w:val="18"/>
                      <w:szCs w:val="18"/>
                    </w:rPr>
                  </w:pPr>
                  <w:r>
                    <w:rPr>
                      <w:rFonts w:hint="default" w:cs="Times New Roman"/>
                      <w:color w:val="auto"/>
                      <w:sz w:val="18"/>
                      <w:szCs w:val="18"/>
                      <w:lang w:val="en-US" w:eastAsia="zh-CN"/>
                    </w:rPr>
                    <w:t>实验室废物</w:t>
                  </w:r>
                </w:p>
              </w:tc>
              <w:tc>
                <w:tcPr>
                  <w:tcW w:w="452" w:type="pct"/>
                  <w:shd w:val="clear" w:color="auto" w:fill="auto"/>
                  <w:vAlign w:val="center"/>
                </w:tcPr>
                <w:p w14:paraId="74AAA8C1">
                  <w:pPr>
                    <w:keepNext w:val="0"/>
                    <w:keepLines w:val="0"/>
                    <w:suppressLineNumbers w:val="0"/>
                    <w:spacing w:before="0" w:beforeAutospacing="0" w:after="0" w:afterAutospacing="0" w:line="240" w:lineRule="auto"/>
                    <w:ind w:left="0" w:leftChars="0" w:right="0" w:rightChars="0" w:firstLine="0" w:firstLineChars="0"/>
                    <w:jc w:val="center"/>
                    <w:rPr>
                      <w:rFonts w:hint="default" w:cs="Times New Roman"/>
                      <w:color w:val="auto"/>
                      <w:sz w:val="18"/>
                      <w:szCs w:val="18"/>
                    </w:rPr>
                  </w:pPr>
                  <w:r>
                    <w:rPr>
                      <w:rFonts w:hint="eastAsia" w:cs="Times New Roman"/>
                      <w:color w:val="auto"/>
                      <w:kern w:val="0"/>
                      <w:sz w:val="18"/>
                      <w:szCs w:val="18"/>
                      <w:lang w:val="en-US" w:eastAsia="zh-CN"/>
                    </w:rPr>
                    <w:t>HW01</w:t>
                  </w:r>
                </w:p>
              </w:tc>
              <w:tc>
                <w:tcPr>
                  <w:tcW w:w="701" w:type="pct"/>
                  <w:shd w:val="clear" w:color="auto" w:fill="auto"/>
                  <w:vAlign w:val="center"/>
                </w:tcPr>
                <w:p w14:paraId="33CB5805">
                  <w:pPr>
                    <w:keepNext w:val="0"/>
                    <w:keepLines w:val="0"/>
                    <w:suppressLineNumbers w:val="0"/>
                    <w:spacing w:before="0" w:beforeAutospacing="0" w:after="0" w:afterAutospacing="0" w:line="240" w:lineRule="auto"/>
                    <w:ind w:left="0" w:leftChars="0" w:right="0" w:rightChars="0" w:firstLine="0" w:firstLineChars="0"/>
                    <w:jc w:val="center"/>
                    <w:rPr>
                      <w:rFonts w:hint="default" w:cs="Times New Roman"/>
                      <w:color w:val="auto"/>
                      <w:sz w:val="18"/>
                      <w:szCs w:val="18"/>
                    </w:rPr>
                  </w:pPr>
                  <w:r>
                    <w:rPr>
                      <w:rFonts w:hint="eastAsia" w:cs="Times New Roman"/>
                      <w:color w:val="auto"/>
                      <w:kern w:val="0"/>
                      <w:sz w:val="18"/>
                      <w:szCs w:val="18"/>
                      <w:lang w:val="en-US" w:eastAsia="zh-CN"/>
                    </w:rPr>
                    <w:t>831-003-01</w:t>
                  </w:r>
                </w:p>
              </w:tc>
              <w:tc>
                <w:tcPr>
                  <w:tcW w:w="440" w:type="pct"/>
                  <w:vMerge w:val="continue"/>
                  <w:vAlign w:val="center"/>
                </w:tcPr>
                <w:p w14:paraId="014536DA">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65" w:type="pct"/>
                  <w:vMerge w:val="continue"/>
                  <w:vAlign w:val="center"/>
                </w:tcPr>
                <w:p w14:paraId="154E29D1">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75" w:type="pct"/>
                  <w:vAlign w:val="center"/>
                </w:tcPr>
                <w:p w14:paraId="41848A67">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桶装</w:t>
                  </w:r>
                </w:p>
              </w:tc>
              <w:tc>
                <w:tcPr>
                  <w:tcW w:w="481" w:type="pct"/>
                  <w:vMerge w:val="continue"/>
                  <w:vAlign w:val="center"/>
                </w:tcPr>
                <w:p w14:paraId="4C37E1EB">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88" w:type="pct"/>
                  <w:vMerge w:val="continue"/>
                  <w:vAlign w:val="center"/>
                </w:tcPr>
                <w:p w14:paraId="140985B5">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r>
            <w:tr w14:paraId="7FB0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3" w:type="pct"/>
                  <w:vAlign w:val="center"/>
                </w:tcPr>
                <w:p w14:paraId="3FE664F1">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eastAsia" w:cs="Times New Roman"/>
                      <w:color w:val="auto"/>
                      <w:kern w:val="0"/>
                      <w:sz w:val="18"/>
                      <w:szCs w:val="18"/>
                    </w:rPr>
                    <w:t>3</w:t>
                  </w:r>
                </w:p>
              </w:tc>
              <w:tc>
                <w:tcPr>
                  <w:tcW w:w="429" w:type="pct"/>
                  <w:vMerge w:val="continue"/>
                  <w:vAlign w:val="center"/>
                </w:tcPr>
                <w:p w14:paraId="7237B967">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742" w:type="pct"/>
                  <w:shd w:val="clear" w:color="auto" w:fill="auto"/>
                  <w:vAlign w:val="center"/>
                </w:tcPr>
                <w:p w14:paraId="7C31C41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auto"/>
                      <w:sz w:val="18"/>
                      <w:szCs w:val="18"/>
                    </w:rPr>
                  </w:pPr>
                  <w:r>
                    <w:rPr>
                      <w:rFonts w:hint="default" w:cs="Times New Roman"/>
                      <w:color w:val="auto"/>
                      <w:sz w:val="18"/>
                      <w:szCs w:val="18"/>
                      <w:lang w:val="en-US" w:eastAsia="zh-CN"/>
                    </w:rPr>
                    <w:t>实验室废液</w:t>
                  </w:r>
                </w:p>
              </w:tc>
              <w:tc>
                <w:tcPr>
                  <w:tcW w:w="452" w:type="pct"/>
                  <w:shd w:val="clear" w:color="auto" w:fill="auto"/>
                  <w:vAlign w:val="center"/>
                </w:tcPr>
                <w:p w14:paraId="5FE199B5">
                  <w:pPr>
                    <w:keepNext w:val="0"/>
                    <w:keepLines w:val="0"/>
                    <w:suppressLineNumbers w:val="0"/>
                    <w:spacing w:before="0" w:beforeAutospacing="0" w:after="0" w:afterAutospacing="0" w:line="240" w:lineRule="auto"/>
                    <w:ind w:left="0" w:right="0" w:firstLine="0" w:firstLineChars="0"/>
                    <w:jc w:val="center"/>
                    <w:rPr>
                      <w:rFonts w:hint="default" w:eastAsia="宋体" w:cs="Times New Roman"/>
                      <w:color w:val="auto"/>
                      <w:sz w:val="18"/>
                      <w:szCs w:val="18"/>
                      <w:lang w:val="en-US" w:eastAsia="zh-CN"/>
                    </w:rPr>
                  </w:pPr>
                  <w:r>
                    <w:rPr>
                      <w:rFonts w:hint="eastAsia" w:cs="Times New Roman"/>
                      <w:color w:val="auto"/>
                      <w:sz w:val="18"/>
                      <w:szCs w:val="18"/>
                      <w:lang w:val="en-US" w:eastAsia="zh-CN"/>
                    </w:rPr>
                    <w:t>HW49</w:t>
                  </w:r>
                </w:p>
              </w:tc>
              <w:tc>
                <w:tcPr>
                  <w:tcW w:w="701" w:type="pct"/>
                  <w:shd w:val="clear" w:color="auto" w:fill="auto"/>
                  <w:vAlign w:val="center"/>
                </w:tcPr>
                <w:p w14:paraId="0C8CD322">
                  <w:pPr>
                    <w:keepNext w:val="0"/>
                    <w:keepLines w:val="0"/>
                    <w:suppressLineNumbers w:val="0"/>
                    <w:spacing w:before="0" w:beforeAutospacing="0" w:after="0" w:afterAutospacing="0" w:line="240" w:lineRule="auto"/>
                    <w:ind w:left="0" w:right="0" w:firstLine="0" w:firstLineChars="0"/>
                    <w:jc w:val="center"/>
                    <w:rPr>
                      <w:rFonts w:hint="default" w:eastAsia="宋体" w:cs="Times New Roman"/>
                      <w:color w:val="auto"/>
                      <w:sz w:val="18"/>
                      <w:szCs w:val="18"/>
                      <w:lang w:val="en-US" w:eastAsia="zh-CN"/>
                    </w:rPr>
                  </w:pPr>
                  <w:r>
                    <w:rPr>
                      <w:rFonts w:hint="eastAsia" w:cs="Times New Roman"/>
                      <w:color w:val="auto"/>
                      <w:sz w:val="18"/>
                      <w:szCs w:val="18"/>
                      <w:lang w:val="en-US" w:eastAsia="zh-CN"/>
                    </w:rPr>
                    <w:t>900-047-49</w:t>
                  </w:r>
                </w:p>
              </w:tc>
              <w:tc>
                <w:tcPr>
                  <w:tcW w:w="440" w:type="pct"/>
                  <w:vMerge w:val="continue"/>
                  <w:vAlign w:val="center"/>
                </w:tcPr>
                <w:p w14:paraId="233CF049">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65" w:type="pct"/>
                  <w:vMerge w:val="continue"/>
                  <w:vAlign w:val="center"/>
                </w:tcPr>
                <w:p w14:paraId="2ABCA1D0">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75" w:type="pct"/>
                  <w:vAlign w:val="center"/>
                </w:tcPr>
                <w:p w14:paraId="3919B7EE">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r>
                    <w:rPr>
                      <w:rFonts w:hint="default" w:cs="Times New Roman"/>
                      <w:color w:val="auto"/>
                      <w:kern w:val="0"/>
                      <w:sz w:val="18"/>
                      <w:szCs w:val="18"/>
                    </w:rPr>
                    <w:t>桶装</w:t>
                  </w:r>
                </w:p>
              </w:tc>
              <w:tc>
                <w:tcPr>
                  <w:tcW w:w="481" w:type="pct"/>
                  <w:vMerge w:val="continue"/>
                  <w:vAlign w:val="center"/>
                </w:tcPr>
                <w:p w14:paraId="7F4A1E50">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88" w:type="pct"/>
                  <w:vMerge w:val="continue"/>
                  <w:vAlign w:val="center"/>
                </w:tcPr>
                <w:p w14:paraId="2CF6F822">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r>
            <w:tr w14:paraId="67E3E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3" w:type="pct"/>
                  <w:vAlign w:val="center"/>
                </w:tcPr>
                <w:p w14:paraId="72A915B4">
                  <w:pPr>
                    <w:keepNext w:val="0"/>
                    <w:keepLines w:val="0"/>
                    <w:suppressLineNumbers w:val="0"/>
                    <w:spacing w:before="0" w:beforeAutospacing="0" w:after="0" w:afterAutospacing="0" w:line="240" w:lineRule="auto"/>
                    <w:ind w:left="0" w:right="0" w:firstLine="0" w:firstLineChars="0"/>
                    <w:jc w:val="center"/>
                    <w:rPr>
                      <w:rFonts w:hint="eastAsia" w:eastAsia="宋体" w:cs="Times New Roman"/>
                      <w:color w:val="auto"/>
                      <w:kern w:val="0"/>
                      <w:sz w:val="18"/>
                      <w:szCs w:val="18"/>
                      <w:lang w:val="en-US" w:eastAsia="zh-CN"/>
                    </w:rPr>
                  </w:pPr>
                  <w:r>
                    <w:rPr>
                      <w:rFonts w:hint="eastAsia" w:cs="Times New Roman"/>
                      <w:color w:val="auto"/>
                      <w:kern w:val="0"/>
                      <w:sz w:val="18"/>
                      <w:szCs w:val="18"/>
                      <w:lang w:val="en-US" w:eastAsia="zh-CN"/>
                    </w:rPr>
                    <w:t>4</w:t>
                  </w:r>
                </w:p>
              </w:tc>
              <w:tc>
                <w:tcPr>
                  <w:tcW w:w="429" w:type="pct"/>
                  <w:vMerge w:val="continue"/>
                  <w:vAlign w:val="center"/>
                </w:tcPr>
                <w:p w14:paraId="05E369D4">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742" w:type="pct"/>
                  <w:shd w:val="clear" w:color="auto" w:fill="auto"/>
                  <w:vAlign w:val="center"/>
                </w:tcPr>
                <w:p w14:paraId="7BC4F95C">
                  <w:pPr>
                    <w:keepNext w:val="0"/>
                    <w:keepLines w:val="0"/>
                    <w:suppressLineNumbers w:val="0"/>
                    <w:spacing w:before="0" w:beforeAutospacing="0" w:after="0" w:afterAutospacing="0" w:line="240" w:lineRule="auto"/>
                    <w:ind w:left="0" w:right="0" w:firstLine="0" w:firstLineChars="0"/>
                    <w:jc w:val="center"/>
                    <w:rPr>
                      <w:rFonts w:hint="default" w:eastAsia="宋体" w:cs="Times New Roman"/>
                      <w:color w:val="auto"/>
                      <w:sz w:val="18"/>
                      <w:szCs w:val="18"/>
                      <w:lang w:val="en-US" w:eastAsia="zh-CN"/>
                    </w:rPr>
                  </w:pPr>
                  <w:r>
                    <w:rPr>
                      <w:rFonts w:hint="eastAsia" w:cs="Times New Roman"/>
                      <w:color w:val="auto"/>
                      <w:sz w:val="18"/>
                      <w:szCs w:val="18"/>
                      <w:lang w:val="en-US" w:eastAsia="zh-CN"/>
                    </w:rPr>
                    <w:t>废一次性耗材</w:t>
                  </w:r>
                </w:p>
              </w:tc>
              <w:tc>
                <w:tcPr>
                  <w:tcW w:w="452" w:type="pct"/>
                  <w:shd w:val="clear" w:color="auto" w:fill="auto"/>
                  <w:vAlign w:val="center"/>
                </w:tcPr>
                <w:p w14:paraId="174090ED">
                  <w:pPr>
                    <w:keepNext w:val="0"/>
                    <w:keepLines w:val="0"/>
                    <w:suppressLineNumbers w:val="0"/>
                    <w:spacing w:before="0" w:beforeAutospacing="0" w:after="0" w:afterAutospacing="0" w:line="240" w:lineRule="auto"/>
                    <w:ind w:left="0" w:right="0" w:firstLine="0" w:firstLineChars="0"/>
                    <w:jc w:val="center"/>
                    <w:rPr>
                      <w:rFonts w:hint="default" w:eastAsia="宋体" w:cs="Times New Roman"/>
                      <w:color w:val="auto"/>
                      <w:sz w:val="18"/>
                      <w:szCs w:val="18"/>
                      <w:lang w:val="en-US" w:eastAsia="zh-CN"/>
                    </w:rPr>
                  </w:pPr>
                  <w:r>
                    <w:rPr>
                      <w:rFonts w:hint="eastAsia" w:cs="Times New Roman"/>
                      <w:color w:val="auto"/>
                      <w:sz w:val="18"/>
                      <w:szCs w:val="18"/>
                      <w:lang w:val="en-US" w:eastAsia="zh-CN"/>
                    </w:rPr>
                    <w:t>HW49</w:t>
                  </w:r>
                </w:p>
              </w:tc>
              <w:tc>
                <w:tcPr>
                  <w:tcW w:w="701" w:type="pct"/>
                  <w:shd w:val="clear" w:color="auto" w:fill="auto"/>
                  <w:vAlign w:val="center"/>
                </w:tcPr>
                <w:p w14:paraId="0DB4EB24">
                  <w:pPr>
                    <w:keepNext w:val="0"/>
                    <w:keepLines w:val="0"/>
                    <w:suppressLineNumbers w:val="0"/>
                    <w:spacing w:before="0" w:beforeAutospacing="0" w:after="0" w:afterAutospacing="0" w:line="240" w:lineRule="auto"/>
                    <w:ind w:left="0" w:right="0" w:firstLine="0" w:firstLineChars="0"/>
                    <w:jc w:val="center"/>
                    <w:rPr>
                      <w:rFonts w:hint="default" w:eastAsia="宋体" w:cs="Times New Roman"/>
                      <w:color w:val="auto"/>
                      <w:sz w:val="18"/>
                      <w:szCs w:val="18"/>
                      <w:lang w:val="en-US" w:eastAsia="zh-CN"/>
                    </w:rPr>
                  </w:pPr>
                  <w:r>
                    <w:rPr>
                      <w:rFonts w:hint="eastAsia" w:cs="Times New Roman"/>
                      <w:color w:val="auto"/>
                      <w:sz w:val="18"/>
                      <w:szCs w:val="18"/>
                      <w:lang w:val="en-US" w:eastAsia="zh-CN"/>
                    </w:rPr>
                    <w:t>900-047-49</w:t>
                  </w:r>
                </w:p>
              </w:tc>
              <w:tc>
                <w:tcPr>
                  <w:tcW w:w="440" w:type="pct"/>
                  <w:vMerge w:val="continue"/>
                  <w:vAlign w:val="center"/>
                </w:tcPr>
                <w:p w14:paraId="49B0D91D">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65" w:type="pct"/>
                  <w:vMerge w:val="continue"/>
                  <w:vAlign w:val="center"/>
                </w:tcPr>
                <w:p w14:paraId="57BE2365">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75" w:type="pct"/>
                  <w:vAlign w:val="center"/>
                </w:tcPr>
                <w:p w14:paraId="2ED1E40A">
                  <w:pPr>
                    <w:keepNext w:val="0"/>
                    <w:keepLines w:val="0"/>
                    <w:suppressLineNumbers w:val="0"/>
                    <w:spacing w:before="0" w:beforeAutospacing="0" w:after="0" w:afterAutospacing="0" w:line="240" w:lineRule="auto"/>
                    <w:ind w:left="0" w:right="0" w:firstLine="0" w:firstLineChars="0"/>
                    <w:jc w:val="center"/>
                    <w:rPr>
                      <w:rFonts w:hint="default" w:eastAsia="宋体" w:cs="Times New Roman"/>
                      <w:color w:val="auto"/>
                      <w:kern w:val="0"/>
                      <w:sz w:val="18"/>
                      <w:szCs w:val="18"/>
                      <w:lang w:val="en-US" w:eastAsia="zh-CN"/>
                    </w:rPr>
                  </w:pPr>
                  <w:r>
                    <w:rPr>
                      <w:rFonts w:hint="eastAsia" w:cs="Times New Roman"/>
                      <w:color w:val="auto"/>
                      <w:kern w:val="0"/>
                      <w:sz w:val="18"/>
                      <w:szCs w:val="18"/>
                      <w:lang w:val="en-US" w:eastAsia="zh-CN"/>
                    </w:rPr>
                    <w:t>桶装</w:t>
                  </w:r>
                </w:p>
              </w:tc>
              <w:tc>
                <w:tcPr>
                  <w:tcW w:w="481" w:type="pct"/>
                  <w:vMerge w:val="continue"/>
                  <w:vAlign w:val="center"/>
                </w:tcPr>
                <w:p w14:paraId="0DDC334E">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88" w:type="pct"/>
                  <w:vMerge w:val="continue"/>
                  <w:vAlign w:val="center"/>
                </w:tcPr>
                <w:p w14:paraId="22DC58A7">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r>
            <w:tr w14:paraId="143D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3" w:type="pct"/>
                  <w:vAlign w:val="center"/>
                </w:tcPr>
                <w:p w14:paraId="57E38198">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5</w:t>
                  </w:r>
                </w:p>
              </w:tc>
              <w:tc>
                <w:tcPr>
                  <w:tcW w:w="429" w:type="pct"/>
                  <w:vMerge w:val="continue"/>
                  <w:vAlign w:val="center"/>
                </w:tcPr>
                <w:p w14:paraId="03234BA4">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742" w:type="pct"/>
                  <w:shd w:val="clear" w:color="auto" w:fill="auto"/>
                  <w:vAlign w:val="center"/>
                </w:tcPr>
                <w:p w14:paraId="32770D45">
                  <w:pPr>
                    <w:keepNext w:val="0"/>
                    <w:keepLines w:val="0"/>
                    <w:suppressLineNumbers w:val="0"/>
                    <w:spacing w:before="0" w:beforeAutospacing="0" w:after="0" w:afterAutospacing="0" w:line="240" w:lineRule="auto"/>
                    <w:ind w:left="0" w:right="0" w:firstLine="0" w:firstLineChars="0"/>
                    <w:jc w:val="center"/>
                    <w:rPr>
                      <w:rFonts w:hint="eastAsia" w:cs="Times New Roman"/>
                      <w:color w:val="auto"/>
                      <w:sz w:val="18"/>
                      <w:szCs w:val="18"/>
                      <w:lang w:val="en-US" w:eastAsia="zh-CN"/>
                    </w:rPr>
                  </w:pPr>
                  <w:r>
                    <w:rPr>
                      <w:rFonts w:hint="default" w:cs="Times New Roman"/>
                      <w:color w:val="000000"/>
                      <w:sz w:val="18"/>
                      <w:szCs w:val="18"/>
                      <w:lang w:val="en-US" w:eastAsia="zh-CN"/>
                    </w:rPr>
                    <w:t>废原料包装物</w:t>
                  </w:r>
                </w:p>
              </w:tc>
              <w:tc>
                <w:tcPr>
                  <w:tcW w:w="452" w:type="pct"/>
                  <w:shd w:val="clear" w:color="auto" w:fill="auto"/>
                  <w:vAlign w:val="center"/>
                </w:tcPr>
                <w:p w14:paraId="119A6EE8">
                  <w:pPr>
                    <w:keepNext w:val="0"/>
                    <w:keepLines w:val="0"/>
                    <w:suppressLineNumbers w:val="0"/>
                    <w:spacing w:before="0" w:beforeAutospacing="0" w:after="0" w:afterAutospacing="0" w:line="240" w:lineRule="auto"/>
                    <w:ind w:left="0" w:leftChars="0" w:right="0" w:rightChars="0" w:firstLine="0" w:firstLineChars="0"/>
                    <w:jc w:val="center"/>
                    <w:rPr>
                      <w:rFonts w:hint="eastAsia" w:cs="Times New Roman"/>
                      <w:color w:val="auto"/>
                      <w:sz w:val="18"/>
                      <w:szCs w:val="18"/>
                      <w:lang w:val="en-US" w:eastAsia="zh-CN"/>
                    </w:rPr>
                  </w:pPr>
                  <w:r>
                    <w:rPr>
                      <w:rFonts w:hint="eastAsia" w:cs="Times New Roman"/>
                      <w:color w:val="auto"/>
                      <w:sz w:val="18"/>
                      <w:szCs w:val="18"/>
                      <w:lang w:val="en-US" w:eastAsia="zh-CN"/>
                    </w:rPr>
                    <w:t>HW49</w:t>
                  </w:r>
                </w:p>
              </w:tc>
              <w:tc>
                <w:tcPr>
                  <w:tcW w:w="701" w:type="pct"/>
                  <w:shd w:val="clear" w:color="auto" w:fill="auto"/>
                  <w:vAlign w:val="center"/>
                </w:tcPr>
                <w:p w14:paraId="00ED40BD">
                  <w:pPr>
                    <w:keepNext w:val="0"/>
                    <w:keepLines w:val="0"/>
                    <w:suppressLineNumbers w:val="0"/>
                    <w:spacing w:before="0" w:beforeAutospacing="0" w:after="0" w:afterAutospacing="0" w:line="240" w:lineRule="auto"/>
                    <w:ind w:left="0" w:leftChars="0" w:right="0" w:rightChars="0" w:firstLine="0" w:firstLineChars="0"/>
                    <w:jc w:val="center"/>
                    <w:rPr>
                      <w:rFonts w:hint="eastAsia" w:cs="Times New Roman"/>
                      <w:color w:val="auto"/>
                      <w:sz w:val="18"/>
                      <w:szCs w:val="18"/>
                      <w:lang w:val="en-US" w:eastAsia="zh-CN"/>
                    </w:rPr>
                  </w:pPr>
                  <w:r>
                    <w:rPr>
                      <w:rFonts w:hint="eastAsia" w:cs="Times New Roman"/>
                      <w:color w:val="auto"/>
                      <w:sz w:val="18"/>
                      <w:szCs w:val="18"/>
                      <w:lang w:val="en-US" w:eastAsia="zh-CN"/>
                    </w:rPr>
                    <w:t>900-041-49</w:t>
                  </w:r>
                </w:p>
              </w:tc>
              <w:tc>
                <w:tcPr>
                  <w:tcW w:w="440" w:type="pct"/>
                  <w:vMerge w:val="continue"/>
                  <w:vAlign w:val="center"/>
                </w:tcPr>
                <w:p w14:paraId="146C4170">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65" w:type="pct"/>
                  <w:vMerge w:val="continue"/>
                  <w:vAlign w:val="center"/>
                </w:tcPr>
                <w:p w14:paraId="26C5C6FB">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75" w:type="pct"/>
                  <w:vAlign w:val="center"/>
                </w:tcPr>
                <w:p w14:paraId="270540D5">
                  <w:pPr>
                    <w:keepNext w:val="0"/>
                    <w:keepLines w:val="0"/>
                    <w:suppressLineNumbers w:val="0"/>
                    <w:spacing w:before="0" w:beforeAutospacing="0" w:after="0" w:afterAutospacing="0" w:line="240" w:lineRule="auto"/>
                    <w:ind w:left="0" w:right="0" w:firstLine="0" w:firstLineChars="0"/>
                    <w:jc w:val="center"/>
                    <w:rPr>
                      <w:rFonts w:hint="eastAsia" w:cs="Times New Roman"/>
                      <w:color w:val="auto"/>
                      <w:kern w:val="0"/>
                      <w:sz w:val="18"/>
                      <w:szCs w:val="18"/>
                      <w:lang w:val="en-US" w:eastAsia="zh-CN"/>
                    </w:rPr>
                  </w:pPr>
                  <w:r>
                    <w:rPr>
                      <w:rFonts w:hint="eastAsia" w:cs="Times New Roman"/>
                      <w:color w:val="auto"/>
                      <w:kern w:val="0"/>
                      <w:sz w:val="18"/>
                      <w:szCs w:val="18"/>
                      <w:lang w:val="en-US" w:eastAsia="zh-CN"/>
                    </w:rPr>
                    <w:t>桶装</w:t>
                  </w:r>
                </w:p>
              </w:tc>
              <w:tc>
                <w:tcPr>
                  <w:tcW w:w="481" w:type="pct"/>
                  <w:vMerge w:val="continue"/>
                  <w:vAlign w:val="center"/>
                </w:tcPr>
                <w:p w14:paraId="70ED957D">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88" w:type="pct"/>
                  <w:vMerge w:val="continue"/>
                  <w:vAlign w:val="center"/>
                </w:tcPr>
                <w:p w14:paraId="6FA8088A">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r>
            <w:tr w14:paraId="00EC7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3" w:type="pct"/>
                  <w:vAlign w:val="center"/>
                </w:tcPr>
                <w:p w14:paraId="6156D667">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6</w:t>
                  </w:r>
                </w:p>
              </w:tc>
              <w:tc>
                <w:tcPr>
                  <w:tcW w:w="429" w:type="pct"/>
                  <w:vMerge w:val="continue"/>
                  <w:vAlign w:val="center"/>
                </w:tcPr>
                <w:p w14:paraId="46F76C43">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742" w:type="pct"/>
                  <w:shd w:val="clear" w:color="auto" w:fill="auto"/>
                  <w:vAlign w:val="center"/>
                </w:tcPr>
                <w:p w14:paraId="531F2E9F">
                  <w:pPr>
                    <w:keepNext w:val="0"/>
                    <w:keepLines w:val="0"/>
                    <w:suppressLineNumbers w:val="0"/>
                    <w:spacing w:before="0" w:beforeAutospacing="0" w:after="0" w:afterAutospacing="0" w:line="240" w:lineRule="auto"/>
                    <w:ind w:left="0" w:right="0" w:firstLine="0" w:firstLineChars="0"/>
                    <w:jc w:val="center"/>
                    <w:rPr>
                      <w:rFonts w:hint="eastAsia" w:cs="Times New Roman"/>
                      <w:color w:val="auto"/>
                      <w:sz w:val="18"/>
                      <w:szCs w:val="18"/>
                      <w:lang w:val="en-US" w:eastAsia="zh-CN"/>
                    </w:rPr>
                  </w:pPr>
                  <w:r>
                    <w:rPr>
                      <w:rFonts w:hint="eastAsia" w:cs="Times New Roman"/>
                      <w:color w:val="000000"/>
                      <w:sz w:val="18"/>
                      <w:szCs w:val="18"/>
                      <w:lang w:val="en-US" w:eastAsia="zh-CN"/>
                    </w:rPr>
                    <w:t>废</w:t>
                  </w:r>
                  <w:r>
                    <w:rPr>
                      <w:rFonts w:hint="default" w:cs="Times New Roman"/>
                      <w:color w:val="000000"/>
                      <w:sz w:val="18"/>
                      <w:szCs w:val="18"/>
                      <w:lang w:val="en-US" w:eastAsia="zh-CN"/>
                    </w:rPr>
                    <w:t>活性炭</w:t>
                  </w:r>
                </w:p>
              </w:tc>
              <w:tc>
                <w:tcPr>
                  <w:tcW w:w="452" w:type="pct"/>
                  <w:shd w:val="clear" w:color="auto" w:fill="auto"/>
                  <w:vAlign w:val="center"/>
                </w:tcPr>
                <w:p w14:paraId="27E5A7C1">
                  <w:pPr>
                    <w:keepNext w:val="0"/>
                    <w:keepLines w:val="0"/>
                    <w:suppressLineNumbers w:val="0"/>
                    <w:spacing w:before="0" w:beforeAutospacing="0" w:after="0" w:afterAutospacing="0" w:line="240" w:lineRule="auto"/>
                    <w:ind w:left="0" w:right="0" w:firstLine="0" w:firstLineChars="0"/>
                    <w:jc w:val="center"/>
                    <w:rPr>
                      <w:rFonts w:hint="eastAsia" w:cs="Times New Roman"/>
                      <w:color w:val="auto"/>
                      <w:sz w:val="18"/>
                      <w:szCs w:val="18"/>
                      <w:lang w:val="en-US" w:eastAsia="zh-CN"/>
                    </w:rPr>
                  </w:pPr>
                  <w:r>
                    <w:rPr>
                      <w:rFonts w:hint="eastAsia" w:cs="Times New Roman"/>
                      <w:color w:val="auto"/>
                      <w:sz w:val="18"/>
                      <w:szCs w:val="18"/>
                      <w:lang w:val="en-US" w:eastAsia="zh-CN"/>
                    </w:rPr>
                    <w:t>HW49</w:t>
                  </w:r>
                </w:p>
              </w:tc>
              <w:tc>
                <w:tcPr>
                  <w:tcW w:w="701" w:type="pct"/>
                  <w:shd w:val="clear" w:color="auto" w:fill="auto"/>
                  <w:vAlign w:val="center"/>
                </w:tcPr>
                <w:p w14:paraId="3DF6DD6D">
                  <w:pPr>
                    <w:keepNext w:val="0"/>
                    <w:keepLines w:val="0"/>
                    <w:suppressLineNumbers w:val="0"/>
                    <w:spacing w:before="0" w:beforeAutospacing="0" w:after="0" w:afterAutospacing="0" w:line="240" w:lineRule="auto"/>
                    <w:ind w:left="0" w:right="0" w:firstLine="0" w:firstLineChars="0"/>
                    <w:jc w:val="center"/>
                    <w:rPr>
                      <w:rFonts w:hint="eastAsia" w:cs="Times New Roman"/>
                      <w:color w:val="auto"/>
                      <w:sz w:val="18"/>
                      <w:szCs w:val="18"/>
                      <w:lang w:val="en-US" w:eastAsia="zh-CN"/>
                    </w:rPr>
                  </w:pPr>
                  <w:r>
                    <w:rPr>
                      <w:rFonts w:hint="default"/>
                      <w:bCs/>
                      <w:color w:val="000000"/>
                      <w:sz w:val="18"/>
                      <w:szCs w:val="18"/>
                    </w:rPr>
                    <w:t>900-0</w:t>
                  </w:r>
                  <w:r>
                    <w:rPr>
                      <w:rFonts w:hint="eastAsia"/>
                      <w:bCs/>
                      <w:color w:val="000000"/>
                      <w:sz w:val="18"/>
                      <w:szCs w:val="18"/>
                      <w:lang w:val="en-US" w:eastAsia="zh-CN"/>
                    </w:rPr>
                    <w:t>39</w:t>
                  </w:r>
                  <w:r>
                    <w:rPr>
                      <w:rFonts w:hint="default"/>
                      <w:bCs/>
                      <w:color w:val="000000"/>
                      <w:sz w:val="18"/>
                      <w:szCs w:val="18"/>
                    </w:rPr>
                    <w:t>-49</w:t>
                  </w:r>
                </w:p>
              </w:tc>
              <w:tc>
                <w:tcPr>
                  <w:tcW w:w="440" w:type="pct"/>
                  <w:vMerge w:val="continue"/>
                  <w:vAlign w:val="center"/>
                </w:tcPr>
                <w:p w14:paraId="2963988F">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65" w:type="pct"/>
                  <w:vMerge w:val="continue"/>
                  <w:vAlign w:val="center"/>
                </w:tcPr>
                <w:p w14:paraId="1DADE3F2">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75" w:type="pct"/>
                  <w:vAlign w:val="center"/>
                </w:tcPr>
                <w:p w14:paraId="155EDA11">
                  <w:pPr>
                    <w:keepNext w:val="0"/>
                    <w:keepLines w:val="0"/>
                    <w:suppressLineNumbers w:val="0"/>
                    <w:spacing w:before="0" w:beforeAutospacing="0" w:after="0" w:afterAutospacing="0" w:line="240" w:lineRule="auto"/>
                    <w:ind w:left="0" w:right="0" w:firstLine="0" w:firstLineChars="0"/>
                    <w:jc w:val="center"/>
                    <w:rPr>
                      <w:rFonts w:hint="eastAsia" w:cs="Times New Roman"/>
                      <w:color w:val="auto"/>
                      <w:kern w:val="0"/>
                      <w:sz w:val="18"/>
                      <w:szCs w:val="18"/>
                      <w:lang w:val="en-US" w:eastAsia="zh-CN"/>
                    </w:rPr>
                  </w:pPr>
                  <w:r>
                    <w:rPr>
                      <w:rFonts w:hint="eastAsia" w:cs="Times New Roman"/>
                      <w:color w:val="auto"/>
                      <w:kern w:val="0"/>
                      <w:sz w:val="18"/>
                      <w:szCs w:val="18"/>
                      <w:lang w:val="en-US" w:eastAsia="zh-CN"/>
                    </w:rPr>
                    <w:t>桶装</w:t>
                  </w:r>
                </w:p>
              </w:tc>
              <w:tc>
                <w:tcPr>
                  <w:tcW w:w="481" w:type="pct"/>
                  <w:vMerge w:val="continue"/>
                  <w:vAlign w:val="center"/>
                </w:tcPr>
                <w:p w14:paraId="3DC9254F">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88" w:type="pct"/>
                  <w:vMerge w:val="continue"/>
                  <w:vAlign w:val="center"/>
                </w:tcPr>
                <w:p w14:paraId="5B13FA4E">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r>
            <w:tr w14:paraId="2A4D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3" w:type="pct"/>
                  <w:vAlign w:val="center"/>
                </w:tcPr>
                <w:p w14:paraId="0434F38A">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7</w:t>
                  </w:r>
                </w:p>
              </w:tc>
              <w:tc>
                <w:tcPr>
                  <w:tcW w:w="429" w:type="pct"/>
                  <w:vMerge w:val="continue"/>
                  <w:vAlign w:val="center"/>
                </w:tcPr>
                <w:p w14:paraId="0ED0215A">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742" w:type="pct"/>
                  <w:shd w:val="clear" w:color="auto" w:fill="auto"/>
                  <w:vAlign w:val="center"/>
                </w:tcPr>
                <w:p w14:paraId="741732F2">
                  <w:pPr>
                    <w:keepNext w:val="0"/>
                    <w:keepLines w:val="0"/>
                    <w:suppressLineNumbers w:val="0"/>
                    <w:spacing w:before="0" w:beforeAutospacing="0" w:after="0" w:afterAutospacing="0" w:line="240" w:lineRule="auto"/>
                    <w:ind w:left="0" w:right="0" w:firstLine="0" w:firstLineChars="0"/>
                    <w:jc w:val="center"/>
                    <w:rPr>
                      <w:rFonts w:hint="eastAsia" w:cs="Times New Roman"/>
                      <w:color w:val="000000"/>
                      <w:sz w:val="18"/>
                      <w:szCs w:val="18"/>
                      <w:lang w:val="en-US" w:eastAsia="zh-CN"/>
                    </w:rPr>
                  </w:pPr>
                  <w:r>
                    <w:rPr>
                      <w:rFonts w:hint="default" w:cs="Times New Roman"/>
                      <w:color w:val="000000"/>
                      <w:sz w:val="18"/>
                      <w:szCs w:val="18"/>
                      <w:lang w:val="en-US" w:eastAsia="zh-CN"/>
                    </w:rPr>
                    <w:t>废</w:t>
                  </w:r>
                  <w:r>
                    <w:rPr>
                      <w:rFonts w:hint="eastAsia" w:cs="Times New Roman"/>
                      <w:color w:val="000000"/>
                      <w:sz w:val="18"/>
                      <w:szCs w:val="18"/>
                      <w:lang w:val="en-US" w:eastAsia="zh-CN"/>
                    </w:rPr>
                    <w:t>样本</w:t>
                  </w:r>
                </w:p>
              </w:tc>
              <w:tc>
                <w:tcPr>
                  <w:tcW w:w="452" w:type="pct"/>
                  <w:shd w:val="clear" w:color="auto" w:fill="auto"/>
                  <w:vAlign w:val="center"/>
                </w:tcPr>
                <w:p w14:paraId="2503F103">
                  <w:pPr>
                    <w:keepNext w:val="0"/>
                    <w:keepLines w:val="0"/>
                    <w:suppressLineNumbers w:val="0"/>
                    <w:spacing w:before="0" w:beforeAutospacing="0" w:after="0" w:afterAutospacing="0" w:line="240" w:lineRule="auto"/>
                    <w:ind w:left="0" w:right="0" w:firstLine="0" w:firstLineChars="0"/>
                    <w:jc w:val="center"/>
                    <w:rPr>
                      <w:rFonts w:hint="eastAsia" w:cs="Times New Roman"/>
                      <w:color w:val="auto"/>
                      <w:sz w:val="18"/>
                      <w:szCs w:val="18"/>
                      <w:lang w:val="en-US" w:eastAsia="zh-CN"/>
                    </w:rPr>
                  </w:pPr>
                  <w:r>
                    <w:rPr>
                      <w:rFonts w:hint="eastAsia"/>
                      <w:kern w:val="0"/>
                      <w:sz w:val="18"/>
                      <w:szCs w:val="18"/>
                      <w:lang w:val="en-US" w:eastAsia="zh-CN"/>
                    </w:rPr>
                    <w:t>HW01</w:t>
                  </w:r>
                </w:p>
              </w:tc>
              <w:tc>
                <w:tcPr>
                  <w:tcW w:w="701" w:type="pct"/>
                  <w:shd w:val="clear" w:color="auto" w:fill="auto"/>
                  <w:vAlign w:val="center"/>
                </w:tcPr>
                <w:p w14:paraId="3277865B">
                  <w:pPr>
                    <w:keepNext w:val="0"/>
                    <w:keepLines w:val="0"/>
                    <w:suppressLineNumbers w:val="0"/>
                    <w:spacing w:before="0" w:beforeAutospacing="0" w:after="0" w:afterAutospacing="0" w:line="240" w:lineRule="auto"/>
                    <w:ind w:left="0" w:right="0" w:firstLine="0" w:firstLineChars="0"/>
                    <w:jc w:val="center"/>
                    <w:rPr>
                      <w:rFonts w:hint="default"/>
                      <w:bCs/>
                      <w:color w:val="000000"/>
                      <w:sz w:val="18"/>
                      <w:szCs w:val="18"/>
                    </w:rPr>
                  </w:pPr>
                  <w:r>
                    <w:rPr>
                      <w:rFonts w:hint="eastAsia"/>
                      <w:kern w:val="0"/>
                      <w:sz w:val="18"/>
                      <w:szCs w:val="18"/>
                      <w:lang w:val="en-US" w:eastAsia="zh-CN"/>
                    </w:rPr>
                    <w:t>841-001-01</w:t>
                  </w:r>
                </w:p>
              </w:tc>
              <w:tc>
                <w:tcPr>
                  <w:tcW w:w="440" w:type="pct"/>
                  <w:vMerge w:val="continue"/>
                  <w:vAlign w:val="center"/>
                </w:tcPr>
                <w:p w14:paraId="6A146EBD">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65" w:type="pct"/>
                  <w:vMerge w:val="continue"/>
                  <w:vAlign w:val="center"/>
                </w:tcPr>
                <w:p w14:paraId="3537A796">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75" w:type="pct"/>
                  <w:vAlign w:val="center"/>
                </w:tcPr>
                <w:p w14:paraId="38086052">
                  <w:pPr>
                    <w:keepNext w:val="0"/>
                    <w:keepLines w:val="0"/>
                    <w:suppressLineNumbers w:val="0"/>
                    <w:spacing w:before="0" w:beforeAutospacing="0" w:after="0" w:afterAutospacing="0" w:line="240" w:lineRule="auto"/>
                    <w:ind w:left="0" w:right="0" w:firstLine="0" w:firstLineChars="0"/>
                    <w:jc w:val="center"/>
                    <w:rPr>
                      <w:rFonts w:hint="eastAsia" w:cs="Times New Roman"/>
                      <w:color w:val="auto"/>
                      <w:kern w:val="0"/>
                      <w:sz w:val="18"/>
                      <w:szCs w:val="18"/>
                      <w:lang w:val="en-US" w:eastAsia="zh-CN"/>
                    </w:rPr>
                  </w:pPr>
                  <w:r>
                    <w:rPr>
                      <w:rFonts w:hint="eastAsia" w:cs="Times New Roman"/>
                      <w:color w:val="auto"/>
                      <w:kern w:val="0"/>
                      <w:sz w:val="18"/>
                      <w:szCs w:val="18"/>
                      <w:lang w:val="en-US" w:eastAsia="zh-CN"/>
                    </w:rPr>
                    <w:t>桶装</w:t>
                  </w:r>
                </w:p>
              </w:tc>
              <w:tc>
                <w:tcPr>
                  <w:tcW w:w="481" w:type="pct"/>
                  <w:vMerge w:val="continue"/>
                  <w:vAlign w:val="center"/>
                </w:tcPr>
                <w:p w14:paraId="326F2C53">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88" w:type="pct"/>
                  <w:vMerge w:val="continue"/>
                  <w:vAlign w:val="center"/>
                </w:tcPr>
                <w:p w14:paraId="0886556A">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r>
            <w:tr w14:paraId="0ACE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3" w:type="pct"/>
                  <w:vAlign w:val="center"/>
                </w:tcPr>
                <w:p w14:paraId="07477FC8">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8</w:t>
                  </w:r>
                </w:p>
              </w:tc>
              <w:tc>
                <w:tcPr>
                  <w:tcW w:w="429" w:type="pct"/>
                  <w:vMerge w:val="continue"/>
                  <w:vAlign w:val="center"/>
                </w:tcPr>
                <w:p w14:paraId="46F5A826">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742" w:type="pct"/>
                  <w:shd w:val="clear" w:color="auto" w:fill="auto"/>
                  <w:vAlign w:val="center"/>
                </w:tcPr>
                <w:p w14:paraId="171BAC29">
                  <w:pPr>
                    <w:keepNext w:val="0"/>
                    <w:keepLines w:val="0"/>
                    <w:suppressLineNumbers w:val="0"/>
                    <w:spacing w:before="0" w:beforeAutospacing="0" w:after="0" w:afterAutospacing="0" w:line="240" w:lineRule="auto"/>
                    <w:ind w:left="0" w:right="0" w:firstLine="0" w:firstLineChars="0"/>
                    <w:jc w:val="center"/>
                    <w:rPr>
                      <w:rFonts w:hint="default" w:cs="Times New Roman"/>
                      <w:color w:val="000000"/>
                      <w:sz w:val="18"/>
                      <w:szCs w:val="18"/>
                      <w:lang w:val="en-US" w:eastAsia="zh-CN"/>
                    </w:rPr>
                  </w:pPr>
                  <w:r>
                    <w:rPr>
                      <w:rFonts w:hint="default" w:cs="Times New Roman"/>
                      <w:color w:val="000000"/>
                      <w:sz w:val="18"/>
                      <w:szCs w:val="18"/>
                      <w:lang w:val="en-US" w:eastAsia="zh-CN"/>
                    </w:rPr>
                    <w:t>废过滤介质</w:t>
                  </w:r>
                </w:p>
              </w:tc>
              <w:tc>
                <w:tcPr>
                  <w:tcW w:w="452" w:type="pct"/>
                  <w:shd w:val="clear" w:color="auto" w:fill="auto"/>
                  <w:vAlign w:val="center"/>
                </w:tcPr>
                <w:p w14:paraId="4C3752A2">
                  <w:pPr>
                    <w:keepNext w:val="0"/>
                    <w:keepLines w:val="0"/>
                    <w:suppressLineNumbers w:val="0"/>
                    <w:spacing w:before="0" w:beforeAutospacing="0" w:after="0" w:afterAutospacing="0" w:line="240" w:lineRule="auto"/>
                    <w:ind w:left="0" w:leftChars="0" w:right="0" w:rightChars="0" w:firstLine="0" w:firstLineChars="0"/>
                    <w:jc w:val="center"/>
                    <w:rPr>
                      <w:rFonts w:hint="eastAsia" w:cs="Times New Roman"/>
                      <w:color w:val="auto"/>
                      <w:sz w:val="18"/>
                      <w:szCs w:val="18"/>
                      <w:lang w:val="en-US" w:eastAsia="zh-CN"/>
                    </w:rPr>
                  </w:pPr>
                  <w:r>
                    <w:rPr>
                      <w:rFonts w:hint="eastAsia" w:cs="Times New Roman"/>
                      <w:color w:val="auto"/>
                      <w:sz w:val="18"/>
                      <w:szCs w:val="18"/>
                      <w:lang w:val="en-US" w:eastAsia="zh-CN"/>
                    </w:rPr>
                    <w:t>HW49</w:t>
                  </w:r>
                </w:p>
              </w:tc>
              <w:tc>
                <w:tcPr>
                  <w:tcW w:w="701" w:type="pct"/>
                  <w:shd w:val="clear" w:color="auto" w:fill="auto"/>
                  <w:vAlign w:val="center"/>
                </w:tcPr>
                <w:p w14:paraId="3FE95824">
                  <w:pPr>
                    <w:keepNext w:val="0"/>
                    <w:keepLines w:val="0"/>
                    <w:suppressLineNumbers w:val="0"/>
                    <w:spacing w:before="0" w:beforeAutospacing="0" w:after="0" w:afterAutospacing="0" w:line="240" w:lineRule="auto"/>
                    <w:ind w:left="0" w:leftChars="0" w:right="0" w:rightChars="0" w:firstLine="0" w:firstLineChars="0"/>
                    <w:jc w:val="center"/>
                    <w:rPr>
                      <w:rFonts w:hint="default"/>
                      <w:bCs/>
                      <w:color w:val="000000"/>
                      <w:sz w:val="18"/>
                      <w:szCs w:val="18"/>
                    </w:rPr>
                  </w:pPr>
                  <w:r>
                    <w:rPr>
                      <w:rFonts w:hint="eastAsia" w:cs="Times New Roman"/>
                      <w:color w:val="auto"/>
                      <w:sz w:val="18"/>
                      <w:szCs w:val="18"/>
                      <w:lang w:val="en-US" w:eastAsia="zh-CN"/>
                    </w:rPr>
                    <w:t>900-041-49</w:t>
                  </w:r>
                </w:p>
              </w:tc>
              <w:tc>
                <w:tcPr>
                  <w:tcW w:w="440" w:type="pct"/>
                  <w:vMerge w:val="continue"/>
                  <w:vAlign w:val="center"/>
                </w:tcPr>
                <w:p w14:paraId="1E39EF6A">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65" w:type="pct"/>
                  <w:vMerge w:val="continue"/>
                  <w:vAlign w:val="center"/>
                </w:tcPr>
                <w:p w14:paraId="36D1E3B5">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75" w:type="pct"/>
                  <w:vAlign w:val="center"/>
                </w:tcPr>
                <w:p w14:paraId="0C87AB68">
                  <w:pPr>
                    <w:keepNext w:val="0"/>
                    <w:keepLines w:val="0"/>
                    <w:suppressLineNumbers w:val="0"/>
                    <w:spacing w:before="0" w:beforeAutospacing="0" w:after="0" w:afterAutospacing="0" w:line="240" w:lineRule="auto"/>
                    <w:ind w:left="0" w:right="0" w:firstLine="0" w:firstLineChars="0"/>
                    <w:jc w:val="center"/>
                    <w:rPr>
                      <w:rFonts w:hint="eastAsia" w:cs="Times New Roman"/>
                      <w:color w:val="auto"/>
                      <w:kern w:val="0"/>
                      <w:sz w:val="18"/>
                      <w:szCs w:val="18"/>
                      <w:lang w:val="en-US" w:eastAsia="zh-CN"/>
                    </w:rPr>
                  </w:pPr>
                  <w:r>
                    <w:rPr>
                      <w:rFonts w:hint="eastAsia" w:cs="Times New Roman"/>
                      <w:color w:val="auto"/>
                      <w:kern w:val="0"/>
                      <w:sz w:val="18"/>
                      <w:szCs w:val="18"/>
                      <w:lang w:val="en-US" w:eastAsia="zh-CN"/>
                    </w:rPr>
                    <w:t>桶装</w:t>
                  </w:r>
                </w:p>
              </w:tc>
              <w:tc>
                <w:tcPr>
                  <w:tcW w:w="481" w:type="pct"/>
                  <w:vMerge w:val="continue"/>
                  <w:vAlign w:val="center"/>
                </w:tcPr>
                <w:p w14:paraId="43041377">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88" w:type="pct"/>
                  <w:vMerge w:val="continue"/>
                  <w:vAlign w:val="center"/>
                </w:tcPr>
                <w:p w14:paraId="560805C3">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r>
            <w:tr w14:paraId="3B25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3" w:type="pct"/>
                  <w:vAlign w:val="center"/>
                </w:tcPr>
                <w:p w14:paraId="35BC105E">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9</w:t>
                  </w:r>
                </w:p>
              </w:tc>
              <w:tc>
                <w:tcPr>
                  <w:tcW w:w="429" w:type="pct"/>
                  <w:vMerge w:val="continue"/>
                  <w:vAlign w:val="center"/>
                </w:tcPr>
                <w:p w14:paraId="45507D51">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742" w:type="pct"/>
                  <w:shd w:val="clear" w:color="auto" w:fill="auto"/>
                  <w:vAlign w:val="center"/>
                </w:tcPr>
                <w:p w14:paraId="262A356F">
                  <w:pPr>
                    <w:keepNext w:val="0"/>
                    <w:keepLines w:val="0"/>
                    <w:suppressLineNumbers w:val="0"/>
                    <w:spacing w:before="0" w:beforeAutospacing="0" w:after="0" w:afterAutospacing="0" w:line="240" w:lineRule="auto"/>
                    <w:ind w:left="0" w:right="0" w:firstLine="0" w:firstLineChars="0"/>
                    <w:jc w:val="center"/>
                    <w:rPr>
                      <w:rFonts w:hint="default" w:cs="Times New Roman"/>
                      <w:color w:val="000000"/>
                      <w:sz w:val="18"/>
                      <w:szCs w:val="18"/>
                      <w:lang w:val="en-US" w:eastAsia="zh-CN"/>
                    </w:rPr>
                  </w:pPr>
                  <w:r>
                    <w:rPr>
                      <w:rFonts w:hint="eastAsia" w:cs="Times New Roman"/>
                      <w:color w:val="000000"/>
                      <w:sz w:val="18"/>
                      <w:szCs w:val="18"/>
                      <w:lang w:val="en-US" w:eastAsia="zh-CN"/>
                    </w:rPr>
                    <w:t>废灯管</w:t>
                  </w:r>
                </w:p>
              </w:tc>
              <w:tc>
                <w:tcPr>
                  <w:tcW w:w="452" w:type="pct"/>
                  <w:shd w:val="clear" w:color="auto" w:fill="auto"/>
                  <w:vAlign w:val="center"/>
                </w:tcPr>
                <w:p w14:paraId="1BD5FDA4">
                  <w:pPr>
                    <w:keepNext w:val="0"/>
                    <w:keepLines w:val="0"/>
                    <w:suppressLineNumbers w:val="0"/>
                    <w:spacing w:before="0" w:beforeAutospacing="0" w:after="0" w:afterAutospacing="0" w:line="240" w:lineRule="auto"/>
                    <w:ind w:left="0" w:leftChars="0" w:right="0" w:rightChars="0" w:firstLine="0" w:firstLineChars="0"/>
                    <w:jc w:val="center"/>
                    <w:rPr>
                      <w:rFonts w:hint="default" w:cs="Times New Roman"/>
                      <w:color w:val="auto"/>
                      <w:sz w:val="18"/>
                      <w:szCs w:val="18"/>
                      <w:lang w:val="en-US" w:eastAsia="zh-CN"/>
                    </w:rPr>
                  </w:pPr>
                  <w:r>
                    <w:rPr>
                      <w:rFonts w:hint="eastAsia" w:cs="Times New Roman"/>
                      <w:color w:val="auto"/>
                      <w:sz w:val="18"/>
                      <w:szCs w:val="18"/>
                      <w:lang w:val="en-US" w:eastAsia="zh-CN"/>
                    </w:rPr>
                    <w:t>HW29</w:t>
                  </w:r>
                </w:p>
              </w:tc>
              <w:tc>
                <w:tcPr>
                  <w:tcW w:w="701" w:type="pct"/>
                  <w:shd w:val="clear" w:color="auto" w:fill="auto"/>
                  <w:vAlign w:val="center"/>
                </w:tcPr>
                <w:p w14:paraId="56603FA7">
                  <w:pPr>
                    <w:keepNext w:val="0"/>
                    <w:keepLines w:val="0"/>
                    <w:suppressLineNumbers w:val="0"/>
                    <w:spacing w:before="0" w:beforeAutospacing="0" w:after="0" w:afterAutospacing="0" w:line="240" w:lineRule="auto"/>
                    <w:ind w:left="0" w:leftChars="0" w:right="0" w:rightChars="0" w:firstLine="0" w:firstLineChars="0"/>
                    <w:jc w:val="center"/>
                    <w:rPr>
                      <w:rFonts w:hint="default" w:cs="Times New Roman"/>
                      <w:color w:val="auto"/>
                      <w:sz w:val="18"/>
                      <w:szCs w:val="18"/>
                      <w:lang w:val="en-US" w:eastAsia="zh-CN"/>
                    </w:rPr>
                  </w:pPr>
                  <w:r>
                    <w:rPr>
                      <w:rFonts w:hint="eastAsia" w:cs="Times New Roman"/>
                      <w:color w:val="auto"/>
                      <w:sz w:val="18"/>
                      <w:szCs w:val="18"/>
                      <w:lang w:val="en-US" w:eastAsia="zh-CN"/>
                    </w:rPr>
                    <w:t>900-023-29</w:t>
                  </w:r>
                </w:p>
              </w:tc>
              <w:tc>
                <w:tcPr>
                  <w:tcW w:w="440" w:type="pct"/>
                  <w:vMerge w:val="continue"/>
                  <w:vAlign w:val="center"/>
                </w:tcPr>
                <w:p w14:paraId="2FEF08B5">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65" w:type="pct"/>
                  <w:vMerge w:val="continue"/>
                  <w:vAlign w:val="center"/>
                </w:tcPr>
                <w:p w14:paraId="63DF62B1">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75" w:type="pct"/>
                  <w:vAlign w:val="center"/>
                </w:tcPr>
                <w:p w14:paraId="582BD222">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lang w:val="en-US" w:eastAsia="zh-CN"/>
                    </w:rPr>
                  </w:pPr>
                  <w:r>
                    <w:rPr>
                      <w:rFonts w:hint="eastAsia" w:cs="Times New Roman"/>
                      <w:color w:val="auto"/>
                      <w:kern w:val="0"/>
                      <w:sz w:val="18"/>
                      <w:szCs w:val="18"/>
                      <w:lang w:val="en-US" w:eastAsia="zh-CN"/>
                    </w:rPr>
                    <w:t>/</w:t>
                  </w:r>
                </w:p>
              </w:tc>
              <w:tc>
                <w:tcPr>
                  <w:tcW w:w="481" w:type="pct"/>
                  <w:vMerge w:val="continue"/>
                  <w:vAlign w:val="center"/>
                </w:tcPr>
                <w:p w14:paraId="4848E284">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c>
                <w:tcPr>
                  <w:tcW w:w="488" w:type="pct"/>
                  <w:vMerge w:val="continue"/>
                  <w:vAlign w:val="center"/>
                </w:tcPr>
                <w:p w14:paraId="768F2C9B">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kern w:val="0"/>
                      <w:sz w:val="18"/>
                      <w:szCs w:val="18"/>
                    </w:rPr>
                  </w:pPr>
                </w:p>
              </w:tc>
            </w:tr>
            <w:tr w14:paraId="7B6EE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10"/>
                  <w:vAlign w:val="center"/>
                </w:tcPr>
                <w:p w14:paraId="79889785">
                  <w:pPr>
                    <w:keepNext w:val="0"/>
                    <w:keepLines w:val="0"/>
                    <w:suppressLineNumbers w:val="0"/>
                    <w:spacing w:before="0" w:beforeAutospacing="0" w:after="0" w:afterAutospacing="0" w:line="240" w:lineRule="auto"/>
                    <w:ind w:left="0" w:right="0" w:firstLine="0" w:firstLineChars="0"/>
                    <w:jc w:val="both"/>
                    <w:rPr>
                      <w:rFonts w:hint="default" w:eastAsia="宋体" w:cs="Times New Roman"/>
                      <w:color w:val="auto"/>
                      <w:kern w:val="0"/>
                      <w:sz w:val="18"/>
                      <w:szCs w:val="18"/>
                      <w:lang w:val="en-US" w:eastAsia="zh-CN"/>
                    </w:rPr>
                  </w:pPr>
                  <w:r>
                    <w:rPr>
                      <w:rFonts w:hint="eastAsia" w:cs="Times New Roman"/>
                      <w:color w:val="auto"/>
                      <w:kern w:val="0"/>
                      <w:sz w:val="18"/>
                      <w:szCs w:val="18"/>
                      <w:lang w:val="en-US" w:eastAsia="zh-CN"/>
                    </w:rPr>
                    <w:t>备注：实验室废物及废液需灭活灭菌处理后，委托处置。</w:t>
                  </w:r>
                </w:p>
              </w:tc>
            </w:tr>
          </w:tbl>
          <w:p w14:paraId="1296B729">
            <w:pPr>
              <w:pStyle w:val="2"/>
              <w:keepNext w:val="0"/>
              <w:keepLines w:val="0"/>
              <w:suppressLineNumbers w:val="0"/>
              <w:spacing w:before="0" w:beforeAutospacing="0" w:after="0" w:afterAutospacing="0" w:line="240" w:lineRule="auto"/>
              <w:ind w:left="0" w:right="0" w:firstLine="0" w:firstLineChars="0"/>
              <w:rPr>
                <w:rFonts w:hint="default"/>
                <w:color w:val="auto"/>
                <w:sz w:val="18"/>
                <w:szCs w:val="18"/>
              </w:rPr>
            </w:pPr>
          </w:p>
          <w:p w14:paraId="3372B6B1">
            <w:pPr>
              <w:keepNext w:val="0"/>
              <w:keepLines w:val="0"/>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危废库设置要求</w:t>
            </w:r>
            <w:r>
              <w:rPr>
                <w:rFonts w:hint="eastAsia" w:cs="Times New Roman"/>
                <w:color w:val="auto"/>
                <w:szCs w:val="24"/>
              </w:rPr>
              <w:t>：</w:t>
            </w:r>
          </w:p>
          <w:p w14:paraId="391B1F79">
            <w:pPr>
              <w:keepNext w:val="0"/>
              <w:keepLines w:val="0"/>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根据《危险废物贮存污染控制标准》(GB18597-2023)，建设单位对危险固废暂存场所应做到以下几点</w:t>
            </w:r>
            <w:r>
              <w:rPr>
                <w:rFonts w:hint="eastAsia" w:cs="Times New Roman"/>
                <w:color w:val="auto"/>
                <w:szCs w:val="24"/>
              </w:rPr>
              <w:t>：</w:t>
            </w:r>
          </w:p>
          <w:p w14:paraId="5142817E">
            <w:pPr>
              <w:keepNext w:val="0"/>
              <w:keepLines w:val="0"/>
              <w:suppressLineNumbers w:val="0"/>
              <w:spacing w:before="0" w:beforeAutospacing="0" w:after="0" w:afterAutospacing="0"/>
              <w:ind w:left="0" w:right="0" w:firstLine="480"/>
              <w:rPr>
                <w:rFonts w:hint="default" w:cs="Times New Roman"/>
                <w:color w:val="auto"/>
                <w:szCs w:val="24"/>
              </w:rPr>
            </w:pPr>
            <w:r>
              <w:rPr>
                <w:rFonts w:hint="eastAsia" w:ascii="宋体" w:hAnsi="宋体" w:cs="宋体"/>
                <w:color w:val="auto"/>
                <w:szCs w:val="24"/>
              </w:rPr>
              <w:t>①</w:t>
            </w:r>
            <w:r>
              <w:rPr>
                <w:rFonts w:hint="eastAsia" w:cs="Times New Roman"/>
                <w:color w:val="auto"/>
                <w:szCs w:val="24"/>
              </w:rPr>
              <w:t>贮存危险废物应根据危险废物的类别、形态、物理化学性质和污染防治要求进行分类贮存，且应避免危险废物与不相容的物质或材料接触</w:t>
            </w:r>
            <w:r>
              <w:rPr>
                <w:rFonts w:hint="default" w:cs="Times New Roman"/>
                <w:color w:val="auto"/>
                <w:szCs w:val="24"/>
              </w:rPr>
              <w:t>。</w:t>
            </w:r>
          </w:p>
          <w:p w14:paraId="6192E9A8">
            <w:pPr>
              <w:keepNext w:val="0"/>
              <w:keepLines w:val="0"/>
              <w:suppressLineNumbers w:val="0"/>
              <w:spacing w:before="0" w:beforeAutospacing="0" w:after="0" w:afterAutospacing="0"/>
              <w:ind w:left="0" w:right="0" w:firstLine="480"/>
              <w:rPr>
                <w:rFonts w:hint="default" w:cs="Times New Roman"/>
                <w:color w:val="auto"/>
                <w:szCs w:val="24"/>
              </w:rPr>
            </w:pPr>
            <w:r>
              <w:rPr>
                <w:rFonts w:hint="eastAsia" w:ascii="宋体" w:hAnsi="宋体" w:cs="宋体"/>
                <w:color w:val="auto"/>
                <w:szCs w:val="24"/>
              </w:rPr>
              <w:t>②</w:t>
            </w:r>
            <w:r>
              <w:rPr>
                <w:rFonts w:hint="eastAsia" w:cs="Times New Roman"/>
                <w:color w:val="auto"/>
                <w:szCs w:val="24"/>
              </w:rPr>
              <w:t>贮存危险废物应根据危险废物的形态、物理化学性质、包装形式和污染物迁移途径，采取措施减少渗滤液及其衍生废物、渗漏的液态废物〈简称渗漏液）、粉尘、</w:t>
            </w:r>
            <w:r>
              <w:rPr>
                <w:rFonts w:hint="default" w:cs="Times New Roman"/>
                <w:color w:val="auto"/>
                <w:szCs w:val="24"/>
              </w:rPr>
              <w:t>酸雾、有毒有害大气污染物和刺激性气味气体等污染物的产生，防止其污染环境。</w:t>
            </w:r>
          </w:p>
          <w:p w14:paraId="310FCEAA">
            <w:pPr>
              <w:keepNext w:val="0"/>
              <w:keepLines w:val="0"/>
              <w:suppressLineNumbers w:val="0"/>
              <w:spacing w:before="0" w:beforeAutospacing="0" w:after="0" w:afterAutospacing="0"/>
              <w:ind w:left="0" w:right="0" w:firstLine="480"/>
              <w:rPr>
                <w:rFonts w:hint="default" w:cs="Times New Roman"/>
                <w:color w:val="auto"/>
                <w:szCs w:val="24"/>
              </w:rPr>
            </w:pPr>
            <w:r>
              <w:rPr>
                <w:rFonts w:hint="eastAsia" w:ascii="宋体" w:hAnsi="宋体" w:cs="宋体"/>
                <w:color w:val="auto"/>
                <w:szCs w:val="24"/>
              </w:rPr>
              <w:t>③</w:t>
            </w:r>
            <w:r>
              <w:rPr>
                <w:rFonts w:hint="eastAsia" w:cs="Times New Roman"/>
                <w:color w:val="auto"/>
                <w:szCs w:val="24"/>
              </w:rPr>
              <w:t>危险废物贮存过程产生的液态废物和固态废物应分类收集，按其环境管理要求妥善处理。</w:t>
            </w:r>
          </w:p>
          <w:p w14:paraId="6A1A2A42">
            <w:pPr>
              <w:keepNext w:val="0"/>
              <w:keepLines w:val="0"/>
              <w:suppressLineNumbers w:val="0"/>
              <w:spacing w:before="0" w:beforeAutospacing="0" w:after="0" w:afterAutospacing="0"/>
              <w:ind w:left="0" w:right="0" w:firstLine="480"/>
              <w:rPr>
                <w:rFonts w:hint="default" w:cs="Times New Roman"/>
                <w:color w:val="auto"/>
                <w:szCs w:val="24"/>
              </w:rPr>
            </w:pPr>
            <w:r>
              <w:rPr>
                <w:rFonts w:hint="eastAsia" w:ascii="宋体" w:hAnsi="宋体" w:cs="宋体"/>
                <w:color w:val="auto"/>
                <w:szCs w:val="24"/>
              </w:rPr>
              <w:t>④</w:t>
            </w:r>
            <w:r>
              <w:rPr>
                <w:rFonts w:hint="eastAsia" w:cs="Times New Roman"/>
                <w:color w:val="auto"/>
                <w:szCs w:val="24"/>
              </w:rPr>
              <w:t>贮存设施或场所、容器和包装物应按《危险废物识别标志设置技术规范》</w:t>
            </w:r>
            <w:r>
              <w:rPr>
                <w:rFonts w:hint="default" w:cs="Times New Roman"/>
                <w:color w:val="auto"/>
                <w:szCs w:val="24"/>
              </w:rPr>
              <w:t>(HJ 1276-2022)的要求设置危险废物贮存设施或场所标志、危险废物贮存分区标志和危险废物标签等危险废物识别标志。</w:t>
            </w:r>
          </w:p>
          <w:p w14:paraId="6CCFE70D">
            <w:pPr>
              <w:keepNext w:val="0"/>
              <w:keepLines w:val="0"/>
              <w:suppressLineNumbers w:val="0"/>
              <w:spacing w:before="0" w:beforeAutospacing="0" w:after="0" w:afterAutospacing="0"/>
              <w:ind w:left="0" w:right="0" w:firstLine="480"/>
              <w:rPr>
                <w:rFonts w:hint="default" w:cs="Times New Roman"/>
                <w:color w:val="auto"/>
                <w:szCs w:val="24"/>
              </w:rPr>
            </w:pPr>
            <w:r>
              <w:rPr>
                <w:rFonts w:hint="eastAsia" w:ascii="宋体" w:hAnsi="宋体" w:cs="宋体"/>
                <w:color w:val="auto"/>
                <w:szCs w:val="24"/>
              </w:rPr>
              <w:t>⑤</w:t>
            </w:r>
            <w:r>
              <w:rPr>
                <w:rFonts w:hint="eastAsia" w:cs="Times New Roman"/>
                <w:color w:val="auto"/>
                <w:szCs w:val="24"/>
              </w:rPr>
              <w:t>危险废物环境重点监管单位，应采用电子地磅、电子标签、电子管理台账等技术手段对危险废物贮存过程进行信息化管理，确保数据完整、真实、准确；采用视频监控的应确保监控画面清晰，视频记录保存时间至少为</w:t>
            </w:r>
            <w:r>
              <w:rPr>
                <w:rFonts w:hint="default" w:cs="Times New Roman"/>
                <w:color w:val="auto"/>
                <w:szCs w:val="24"/>
              </w:rPr>
              <w:t>3个月。</w:t>
            </w:r>
          </w:p>
          <w:p w14:paraId="2B76887E">
            <w:pPr>
              <w:keepNext w:val="0"/>
              <w:keepLines w:val="0"/>
              <w:suppressLineNumbers w:val="0"/>
              <w:spacing w:before="0" w:beforeAutospacing="0" w:after="0" w:afterAutospacing="0"/>
              <w:ind w:left="0" w:right="0" w:firstLine="480"/>
              <w:rPr>
                <w:rFonts w:hint="default" w:cs="Times New Roman"/>
                <w:color w:val="auto"/>
                <w:szCs w:val="24"/>
              </w:rPr>
            </w:pPr>
            <w:r>
              <w:rPr>
                <w:rFonts w:hint="eastAsia" w:ascii="宋体" w:hAnsi="宋体" w:cs="宋体"/>
                <w:color w:val="auto"/>
                <w:szCs w:val="24"/>
              </w:rPr>
              <w:t>⑥</w:t>
            </w:r>
            <w:r>
              <w:rPr>
                <w:rFonts w:hint="eastAsia" w:cs="Times New Roman"/>
                <w:color w:val="auto"/>
                <w:szCs w:val="24"/>
              </w:rPr>
              <w:t>贮存设施退役时，所有者或运营者应依法履行环境保护责任，退役前应妥善处理处置贮存设施内剩余的危险废物，并对贮存设施进行清理，消除污染</w:t>
            </w:r>
            <w:r>
              <w:rPr>
                <w:rFonts w:hint="default" w:cs="Times New Roman"/>
                <w:color w:val="auto"/>
                <w:szCs w:val="24"/>
              </w:rPr>
              <w:t>;还应依据土壤污染防治相关法律法规履行场地环境风险防控责任。</w:t>
            </w:r>
          </w:p>
          <w:p w14:paraId="74A86D6D">
            <w:pPr>
              <w:keepNext w:val="0"/>
              <w:keepLines w:val="0"/>
              <w:suppressLineNumbers w:val="0"/>
              <w:spacing w:before="0" w:beforeAutospacing="0" w:after="0" w:afterAutospacing="0"/>
              <w:ind w:left="0" w:right="0" w:firstLine="480"/>
              <w:rPr>
                <w:rFonts w:hint="default" w:cs="Times New Roman"/>
                <w:color w:val="auto"/>
                <w:szCs w:val="24"/>
              </w:rPr>
            </w:pPr>
            <w:r>
              <w:rPr>
                <w:rFonts w:hint="eastAsia" w:ascii="宋体" w:hAnsi="宋体" w:cs="宋体"/>
                <w:color w:val="auto"/>
                <w:szCs w:val="24"/>
              </w:rPr>
              <w:t>⑦</w:t>
            </w:r>
            <w:r>
              <w:rPr>
                <w:rFonts w:hint="eastAsia" w:cs="Times New Roman"/>
                <w:color w:val="auto"/>
                <w:szCs w:val="24"/>
              </w:rPr>
              <w:t>在常温常压下易爆、易燃及排出有毒气体的危险废物应进行预处理，使之稳定后贮存，否则应按易爆、易燃危险品贮存</w:t>
            </w:r>
            <w:r>
              <w:rPr>
                <w:rFonts w:hint="default" w:cs="Times New Roman"/>
                <w:color w:val="auto"/>
                <w:szCs w:val="24"/>
              </w:rPr>
              <w:t>。</w:t>
            </w:r>
          </w:p>
          <w:p w14:paraId="4FB2936D">
            <w:pPr>
              <w:keepNext w:val="0"/>
              <w:keepLines w:val="0"/>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II运输过程的污染防治措施</w:t>
            </w:r>
          </w:p>
          <w:p w14:paraId="30767B2A">
            <w:pPr>
              <w:keepNext w:val="0"/>
              <w:keepLines w:val="0"/>
              <w:suppressLineNumbers w:val="0"/>
              <w:spacing w:before="0" w:beforeAutospacing="0" w:after="0" w:afterAutospacing="0"/>
              <w:ind w:left="0" w:right="0" w:firstLine="480"/>
              <w:rPr>
                <w:rFonts w:hint="default" w:cs="Times New Roman"/>
                <w:color w:val="auto"/>
                <w:szCs w:val="24"/>
              </w:rPr>
            </w:pPr>
            <w:r>
              <w:rPr>
                <w:rFonts w:hint="eastAsia" w:cs="Times New Roman"/>
                <w:color w:val="auto"/>
                <w:szCs w:val="24"/>
              </w:rPr>
              <w:t>根据</w:t>
            </w:r>
            <w:r>
              <w:rPr>
                <w:rFonts w:hint="default" w:cs="Times New Roman"/>
                <w:color w:val="auto"/>
                <w:szCs w:val="24"/>
              </w:rPr>
              <w:t>《危险废物转移管理办法》</w:t>
            </w:r>
            <w:r>
              <w:rPr>
                <w:rFonts w:hint="eastAsia" w:cs="Times New Roman"/>
                <w:color w:val="auto"/>
                <w:szCs w:val="24"/>
              </w:rPr>
              <w:t>《浙江省工业固体废物电子转移联单管理办法（试行）》有关规定，</w:t>
            </w:r>
            <w:r>
              <w:rPr>
                <w:rFonts w:hint="default" w:cs="Times New Roman"/>
                <w:color w:val="auto"/>
                <w:szCs w:val="24"/>
              </w:rPr>
              <w:t>本项目危险废物委托资质单位进行运输，在运输过程中要采用专用的车辆，密闭运输，严格禁止“跑、冒、滴、漏”，杜绝在运输过程中造成环境的二次污染。</w:t>
            </w:r>
          </w:p>
          <w:p w14:paraId="2D554FAA">
            <w:pPr>
              <w:keepNext w:val="0"/>
              <w:keepLines w:val="0"/>
              <w:suppressLineNumbers w:val="0"/>
              <w:spacing w:before="0" w:beforeAutospacing="0" w:after="0" w:afterAutospacing="0"/>
              <w:ind w:left="0" w:right="0" w:firstLine="480"/>
              <w:rPr>
                <w:rFonts w:hint="default"/>
                <w:color w:val="auto"/>
              </w:rPr>
            </w:pPr>
            <w:r>
              <w:rPr>
                <w:rFonts w:hint="eastAsia" w:ascii="宋体" w:hAnsi="宋体" w:cs="宋体"/>
                <w:color w:val="auto"/>
                <w:szCs w:val="24"/>
              </w:rPr>
              <w:t>①</w:t>
            </w:r>
            <w:r>
              <w:rPr>
                <w:rFonts w:hint="eastAsia"/>
                <w:color w:val="auto"/>
              </w:rPr>
              <w:t>转移危险废物的，应当执行危险废物转移联单制度；</w:t>
            </w:r>
          </w:p>
          <w:p w14:paraId="64B172E0">
            <w:pPr>
              <w:keepNext w:val="0"/>
              <w:keepLines w:val="0"/>
              <w:suppressLineNumbers w:val="0"/>
              <w:spacing w:before="0" w:beforeAutospacing="0" w:after="0" w:afterAutospacing="0"/>
              <w:ind w:left="0" w:right="0" w:firstLine="480"/>
              <w:rPr>
                <w:rFonts w:hint="eastAsia" w:ascii="宋体" w:hAnsi="宋体" w:cs="宋体"/>
                <w:color w:val="auto"/>
                <w:szCs w:val="24"/>
              </w:rPr>
            </w:pPr>
            <w:r>
              <w:rPr>
                <w:rFonts w:hint="eastAsia" w:ascii="宋体" w:hAnsi="宋体" w:cs="宋体"/>
                <w:color w:val="auto"/>
                <w:szCs w:val="24"/>
              </w:rPr>
              <w:t>②转移危险废物的，应当通过国家危险废物信息管理系统（以下简称信息系统）填写、运行危险废物电子转移联单，并依照国家有关规定公开危险废物转移相关污染环境防治信息；</w:t>
            </w:r>
          </w:p>
          <w:p w14:paraId="16ABAAD3">
            <w:pPr>
              <w:keepNext w:val="0"/>
              <w:keepLines w:val="0"/>
              <w:suppressLineNumbers w:val="0"/>
              <w:spacing w:before="0" w:beforeAutospacing="0" w:after="0" w:afterAutospacing="0"/>
              <w:ind w:left="0" w:right="0" w:firstLine="480"/>
              <w:rPr>
                <w:rFonts w:hint="default"/>
                <w:color w:val="auto"/>
              </w:rPr>
            </w:pPr>
            <w:r>
              <w:rPr>
                <w:rFonts w:hint="eastAsia"/>
                <w:color w:val="auto"/>
              </w:rPr>
              <w:t>③运输危险废物的，应当遵守国家有关危险货物运输管理的规定。</w:t>
            </w:r>
          </w:p>
          <w:p w14:paraId="08843056">
            <w:pPr>
              <w:keepNext w:val="0"/>
              <w:keepLines w:val="0"/>
              <w:suppressLineNumbers w:val="0"/>
              <w:spacing w:before="0" w:beforeAutospacing="0" w:after="0" w:afterAutospacing="0"/>
              <w:ind w:left="0" w:right="0" w:firstLine="480"/>
              <w:rPr>
                <w:rFonts w:hint="default"/>
                <w:color w:val="auto"/>
              </w:rPr>
            </w:pPr>
            <w:r>
              <w:rPr>
                <w:rFonts w:hint="eastAsia"/>
                <w:color w:val="auto"/>
              </w:rPr>
              <w:t>建设单位在危险废物转移过程中，还应履行以下义务：</w:t>
            </w:r>
          </w:p>
          <w:p w14:paraId="2E8B2B86">
            <w:pPr>
              <w:keepNext w:val="0"/>
              <w:keepLines w:val="0"/>
              <w:suppressLineNumbers w:val="0"/>
              <w:spacing w:before="0" w:beforeAutospacing="0" w:after="0" w:afterAutospacing="0"/>
              <w:ind w:left="0" w:right="0" w:firstLine="480"/>
              <w:rPr>
                <w:rFonts w:hint="default"/>
                <w:color w:val="auto"/>
              </w:rPr>
            </w:pPr>
            <w:r>
              <w:rPr>
                <w:rFonts w:hint="eastAsia" w:ascii="宋体" w:hAnsi="宋体" w:cs="宋体"/>
                <w:color w:val="auto"/>
                <w:szCs w:val="24"/>
              </w:rPr>
              <w:t>①</w:t>
            </w:r>
            <w:r>
              <w:rPr>
                <w:rFonts w:hint="default"/>
                <w:color w:val="auto"/>
              </w:rPr>
              <w:t>对承运人或者接受人的主体资格和技术能力进行核实，依法签订书面合同，并在合同中约定运输、贮存、利用、处置危险废物的污染防治要求及相关责任</w:t>
            </w:r>
            <w:r>
              <w:rPr>
                <w:rFonts w:hint="eastAsia"/>
                <w:color w:val="auto"/>
              </w:rPr>
              <w:t>；</w:t>
            </w:r>
          </w:p>
          <w:p w14:paraId="0405CB7F">
            <w:pPr>
              <w:keepNext w:val="0"/>
              <w:keepLines w:val="0"/>
              <w:suppressLineNumbers w:val="0"/>
              <w:spacing w:before="0" w:beforeAutospacing="0" w:after="0" w:afterAutospacing="0"/>
              <w:ind w:left="0" w:right="0" w:firstLine="480"/>
              <w:rPr>
                <w:rFonts w:hint="default"/>
                <w:color w:val="auto"/>
              </w:rPr>
            </w:pPr>
            <w:r>
              <w:rPr>
                <w:rFonts w:hint="eastAsia"/>
                <w:color w:val="auto"/>
              </w:rPr>
              <w:t>②</w:t>
            </w:r>
            <w:r>
              <w:rPr>
                <w:rFonts w:hint="default"/>
                <w:color w:val="auto"/>
              </w:rPr>
              <w:t>制定危险废物管理计划，明确拟转移危险废物的种类、重量（数量）和流向等信息</w:t>
            </w:r>
            <w:r>
              <w:rPr>
                <w:rFonts w:hint="eastAsia"/>
                <w:color w:val="auto"/>
              </w:rPr>
              <w:t>；</w:t>
            </w:r>
          </w:p>
          <w:p w14:paraId="16D90821">
            <w:pPr>
              <w:keepNext w:val="0"/>
              <w:keepLines w:val="0"/>
              <w:suppressLineNumbers w:val="0"/>
              <w:spacing w:before="0" w:beforeAutospacing="0" w:after="0" w:afterAutospacing="0"/>
              <w:ind w:left="0" w:right="0" w:firstLine="480"/>
              <w:rPr>
                <w:rFonts w:hint="default"/>
                <w:color w:val="auto"/>
              </w:rPr>
            </w:pPr>
            <w:r>
              <w:rPr>
                <w:rFonts w:hint="eastAsia"/>
                <w:color w:val="auto"/>
              </w:rPr>
              <w:t>③</w:t>
            </w:r>
            <w:r>
              <w:rPr>
                <w:rFonts w:hint="default"/>
                <w:color w:val="auto"/>
              </w:rPr>
              <w:t>建立危险废物管理台账，对转移的危险废物进行计量称重，如实记录、妥善保管转移危险废物的种类、重量（数量）和接受人等相关信息</w:t>
            </w:r>
            <w:r>
              <w:rPr>
                <w:rFonts w:hint="eastAsia"/>
                <w:color w:val="auto"/>
              </w:rPr>
              <w:t>；</w:t>
            </w:r>
          </w:p>
          <w:p w14:paraId="6BEA27AB">
            <w:pPr>
              <w:keepNext w:val="0"/>
              <w:keepLines w:val="0"/>
              <w:suppressLineNumbers w:val="0"/>
              <w:spacing w:before="0" w:beforeAutospacing="0" w:after="0" w:afterAutospacing="0"/>
              <w:ind w:left="0" w:right="0" w:firstLine="480"/>
              <w:rPr>
                <w:rFonts w:hint="default"/>
                <w:color w:val="auto"/>
              </w:rPr>
            </w:pPr>
            <w:r>
              <w:rPr>
                <w:rFonts w:hint="eastAsia"/>
                <w:color w:val="auto"/>
              </w:rPr>
              <w:t>④</w:t>
            </w:r>
            <w:r>
              <w:rPr>
                <w:rFonts w:hint="default"/>
                <w:color w:val="auto"/>
              </w:rPr>
              <w:t>填写、运行危险废物转移联单，在危险废物转移联单中如实填写移出人、承运人、接受人信息，转移危险废物的种类、重量（数量）、危险特性等信息，以及突发环境事件的防范措施等</w:t>
            </w:r>
            <w:r>
              <w:rPr>
                <w:rFonts w:hint="eastAsia"/>
                <w:color w:val="auto"/>
              </w:rPr>
              <w:t>；</w:t>
            </w:r>
          </w:p>
          <w:p w14:paraId="4396EE45">
            <w:pPr>
              <w:keepNext w:val="0"/>
              <w:keepLines w:val="0"/>
              <w:suppressLineNumbers w:val="0"/>
              <w:spacing w:before="0" w:beforeAutospacing="0" w:after="0" w:afterAutospacing="0"/>
              <w:ind w:left="0" w:right="0" w:firstLine="480"/>
              <w:rPr>
                <w:rFonts w:hint="default"/>
                <w:color w:val="FF0000"/>
              </w:rPr>
            </w:pPr>
            <w:r>
              <w:rPr>
                <w:rFonts w:hint="eastAsia"/>
                <w:color w:val="auto"/>
              </w:rPr>
              <w:t>⑤</w:t>
            </w:r>
            <w:r>
              <w:rPr>
                <w:rFonts w:hint="default"/>
                <w:color w:val="auto"/>
              </w:rPr>
              <w:t>及时核实接受人贮存、利用或者处置相关危险废物情况</w:t>
            </w:r>
            <w:r>
              <w:rPr>
                <w:rFonts w:hint="eastAsia"/>
                <w:color w:val="auto"/>
              </w:rPr>
              <w:t>。</w:t>
            </w:r>
          </w:p>
          <w:p w14:paraId="01651BD4">
            <w:pPr>
              <w:keepNext w:val="0"/>
              <w:keepLines w:val="0"/>
              <w:suppressLineNumbers w:val="0"/>
              <w:spacing w:before="0" w:beforeAutospacing="0" w:after="0" w:afterAutospacing="0"/>
              <w:ind w:left="0" w:right="0" w:firstLine="480"/>
              <w:rPr>
                <w:rFonts w:hint="default" w:cs="Times New Roman"/>
                <w:color w:val="auto"/>
                <w:szCs w:val="24"/>
              </w:rPr>
            </w:pPr>
            <w:r>
              <w:rPr>
                <w:rFonts w:hint="default" w:cs="Times New Roman"/>
                <w:color w:val="auto"/>
                <w:szCs w:val="24"/>
              </w:rPr>
              <w:t>(3)环境管理要求</w:t>
            </w:r>
          </w:p>
          <w:p w14:paraId="1DCABFFA">
            <w:pPr>
              <w:keepNext w:val="0"/>
              <w:keepLines w:val="0"/>
              <w:suppressLineNumbers w:val="0"/>
              <w:spacing w:before="0" w:beforeAutospacing="0" w:after="0" w:afterAutospacing="0"/>
              <w:ind w:left="0" w:right="0" w:firstLine="480"/>
              <w:rPr>
                <w:rStyle w:val="24"/>
                <w:rFonts w:hint="default"/>
                <w:color w:val="auto"/>
              </w:rPr>
            </w:pPr>
            <w:r>
              <w:rPr>
                <w:rStyle w:val="24"/>
                <w:rFonts w:hint="default"/>
                <w:color w:val="auto"/>
              </w:rPr>
              <w:t>①</w:t>
            </w:r>
            <w:r>
              <w:rPr>
                <w:rStyle w:val="24"/>
                <w:rFonts w:hint="eastAsia"/>
                <w:color w:val="auto"/>
              </w:rPr>
              <w:t>一般固体废物</w:t>
            </w:r>
          </w:p>
          <w:p w14:paraId="6E6D9E36">
            <w:pPr>
              <w:keepNext w:val="0"/>
              <w:keepLines w:val="0"/>
              <w:suppressLineNumbers w:val="0"/>
              <w:spacing w:before="0" w:beforeAutospacing="0" w:after="0" w:afterAutospacing="0"/>
              <w:ind w:left="0" w:right="0" w:firstLine="480"/>
              <w:rPr>
                <w:rStyle w:val="24"/>
                <w:rFonts w:hint="default"/>
                <w:color w:val="auto"/>
              </w:rPr>
            </w:pPr>
            <w:r>
              <w:rPr>
                <w:rStyle w:val="24"/>
                <w:rFonts w:hint="default"/>
                <w:color w:val="auto"/>
              </w:rPr>
              <w:t>质谱流式细胞分析仪不合格品</w:t>
            </w:r>
            <w:r>
              <w:rPr>
                <w:rStyle w:val="24"/>
                <w:rFonts w:hint="eastAsia"/>
                <w:color w:val="auto"/>
                <w:lang w:eastAsia="zh-CN"/>
              </w:rPr>
              <w:t>、纯水制备</w:t>
            </w:r>
            <w:r>
              <w:rPr>
                <w:rStyle w:val="24"/>
                <w:rFonts w:hint="eastAsia"/>
                <w:color w:val="auto"/>
                <w:lang w:val="en-US" w:eastAsia="zh-CN"/>
              </w:rPr>
              <w:t>废</w:t>
            </w:r>
            <w:r>
              <w:rPr>
                <w:rStyle w:val="24"/>
                <w:rFonts w:hint="eastAsia"/>
                <w:color w:val="auto"/>
                <w:lang w:eastAsia="zh-CN"/>
              </w:rPr>
              <w:t>活性炭、废反渗透膜</w:t>
            </w:r>
            <w:r>
              <w:rPr>
                <w:rStyle w:val="24"/>
                <w:rFonts w:hint="default"/>
                <w:color w:val="auto"/>
              </w:rPr>
              <w:t>等一般固废必须按照一般固废要求贮存与运输，及时收集，妥善堆放、专人管理。厂内设置一般固废暂存场所，分类收集暂存，禁止和生活垃圾混入，同时应进行防雨防流失处理，建设单位应建立检查维护制度、检查维护制度，应将入场的一般工业固体废物的种类和数量以及下列资料，详细记录在案，长期保存，供随时查阅；贮存、处置场的环境保护图形标志，应按GB15562.2规定进行检查和维护。</w:t>
            </w:r>
          </w:p>
          <w:p w14:paraId="4BB50148">
            <w:pPr>
              <w:keepNext w:val="0"/>
              <w:keepLines w:val="0"/>
              <w:suppressLineNumbers w:val="0"/>
              <w:spacing w:before="0" w:beforeAutospacing="0" w:after="0" w:afterAutospacing="0"/>
              <w:ind w:left="0" w:right="0" w:firstLine="480"/>
              <w:rPr>
                <w:rStyle w:val="24"/>
                <w:rFonts w:hint="default"/>
                <w:color w:val="auto"/>
              </w:rPr>
            </w:pPr>
            <w:r>
              <w:rPr>
                <w:rStyle w:val="24"/>
                <w:rFonts w:hint="default"/>
                <w:color w:val="auto"/>
              </w:rPr>
              <w:t>②</w:t>
            </w:r>
            <w:r>
              <w:rPr>
                <w:rStyle w:val="24"/>
                <w:rFonts w:hint="eastAsia"/>
                <w:color w:val="auto"/>
              </w:rPr>
              <w:t>危险废物</w:t>
            </w:r>
          </w:p>
          <w:p w14:paraId="549F3403">
            <w:pPr>
              <w:keepNext w:val="0"/>
              <w:keepLines w:val="0"/>
              <w:suppressLineNumbers w:val="0"/>
              <w:spacing w:before="0" w:beforeAutospacing="0" w:after="0" w:afterAutospacing="0"/>
              <w:ind w:left="0" w:right="0" w:firstLine="480"/>
              <w:rPr>
                <w:rFonts w:hint="default"/>
                <w:color w:val="auto"/>
              </w:rPr>
            </w:pPr>
            <w:r>
              <w:rPr>
                <w:rFonts w:hint="default"/>
                <w:color w:val="auto"/>
              </w:rPr>
              <w:t>配套诊断试剂不合格品</w:t>
            </w:r>
            <w:r>
              <w:rPr>
                <w:rFonts w:hint="eastAsia"/>
                <w:color w:val="auto"/>
                <w:lang w:eastAsia="zh-CN"/>
              </w:rPr>
              <w:t>、</w:t>
            </w:r>
            <w:r>
              <w:rPr>
                <w:rFonts w:hint="default"/>
                <w:color w:val="auto"/>
              </w:rPr>
              <w:t>实验室废物</w:t>
            </w:r>
            <w:r>
              <w:rPr>
                <w:rFonts w:hint="eastAsia"/>
                <w:color w:val="auto"/>
                <w:lang w:eastAsia="zh-CN"/>
              </w:rPr>
              <w:t>、</w:t>
            </w:r>
            <w:r>
              <w:rPr>
                <w:rFonts w:hint="default"/>
                <w:color w:val="auto"/>
              </w:rPr>
              <w:t>实验室废液</w:t>
            </w:r>
            <w:r>
              <w:rPr>
                <w:rFonts w:hint="eastAsia"/>
                <w:color w:val="auto"/>
                <w:lang w:eastAsia="zh-CN"/>
              </w:rPr>
              <w:t>、</w:t>
            </w:r>
            <w:r>
              <w:rPr>
                <w:rFonts w:hint="default"/>
                <w:color w:val="auto"/>
              </w:rPr>
              <w:t>金属类诊断试剂废物</w:t>
            </w:r>
            <w:r>
              <w:rPr>
                <w:rFonts w:hint="eastAsia"/>
                <w:color w:val="auto"/>
                <w:lang w:eastAsia="zh-CN"/>
              </w:rPr>
              <w:t>、</w:t>
            </w:r>
            <w:r>
              <w:rPr>
                <w:rFonts w:hint="default"/>
                <w:color w:val="auto"/>
              </w:rPr>
              <w:t>废原料包装物</w:t>
            </w:r>
            <w:r>
              <w:rPr>
                <w:rFonts w:hint="eastAsia"/>
                <w:color w:val="auto"/>
                <w:lang w:eastAsia="zh-CN"/>
              </w:rPr>
              <w:t>、</w:t>
            </w:r>
            <w:r>
              <w:rPr>
                <w:rFonts w:hint="default"/>
                <w:color w:val="auto"/>
              </w:rPr>
              <w:t>废气处理活性炭等必须按照危险废物要求贮存与运输，及时收集，妥善堆放、专人管理。厂内必须设置独立危废暂存间，危废暂存间的设置及危险废物在厂内暂存时必须按照《危险废物贮存污染控制标准》（GB18597-2023）的要求执行，具体要求如下：</w:t>
            </w:r>
          </w:p>
          <w:p w14:paraId="50B8C897">
            <w:pPr>
              <w:keepNext w:val="0"/>
              <w:keepLines w:val="0"/>
              <w:suppressLineNumbers w:val="0"/>
              <w:spacing w:before="0" w:beforeAutospacing="0" w:after="0" w:afterAutospacing="0"/>
              <w:ind w:left="0" w:right="0" w:firstLine="480"/>
              <w:rPr>
                <w:rFonts w:hint="default" w:eastAsia="宋体"/>
                <w:color w:val="auto"/>
                <w:lang w:val="en-US" w:eastAsia="zh-CN"/>
              </w:rPr>
            </w:pPr>
            <w:r>
              <w:rPr>
                <w:rFonts w:hint="eastAsia"/>
                <w:color w:val="auto"/>
              </w:rPr>
              <w:t>A、</w:t>
            </w:r>
            <w:r>
              <w:rPr>
                <w:rFonts w:hint="default"/>
                <w:color w:val="auto"/>
              </w:rPr>
              <w:t>暂存场所内地面和裙脚需进行防腐、防渗、防漏处理，可根据废物特征选择合适的防腐防渗措施，如可采用环氧地坪进行防腐防渗处理等，防腐防渗措施应包括 地面和裙脚，裙角高度为0.2m。同时在地面四周设置导流槽，导流槽应通过阀门连接事故应急系统。</w:t>
            </w:r>
          </w:p>
          <w:p w14:paraId="41240FD6">
            <w:pPr>
              <w:keepNext w:val="0"/>
              <w:keepLines w:val="0"/>
              <w:suppressLineNumbers w:val="0"/>
              <w:spacing w:before="0" w:beforeAutospacing="0" w:after="0" w:afterAutospacing="0"/>
              <w:ind w:left="0" w:right="0" w:firstLine="480"/>
              <w:rPr>
                <w:rFonts w:hint="eastAsia" w:eastAsia="宋体"/>
                <w:color w:val="auto"/>
                <w:lang w:val="en-US" w:eastAsia="zh-CN"/>
              </w:rPr>
            </w:pPr>
            <w:r>
              <w:rPr>
                <w:rFonts w:hint="eastAsia"/>
                <w:color w:val="auto"/>
              </w:rPr>
              <w:t>B、</w:t>
            </w:r>
            <w:r>
              <w:rPr>
                <w:rFonts w:hint="default"/>
                <w:color w:val="auto"/>
              </w:rPr>
              <w:t>场所需设置门和锁，各类危险废物需根据种类和数量合理分区堆放，每个分区之间建议设置挡墙间隔，同时危废名称、管理制度等各类标识标牌上墙（具体按照GB15562.2等标准要求实施）</w:t>
            </w:r>
          </w:p>
          <w:p w14:paraId="0F5A32BB">
            <w:pPr>
              <w:keepNext w:val="0"/>
              <w:keepLines w:val="0"/>
              <w:suppressLineNumbers w:val="0"/>
              <w:spacing w:before="0" w:beforeAutospacing="0" w:after="0" w:afterAutospacing="0"/>
              <w:ind w:left="0" w:right="0" w:firstLine="480"/>
              <w:rPr>
                <w:rFonts w:hint="default"/>
                <w:color w:val="auto"/>
              </w:rPr>
            </w:pPr>
            <w:r>
              <w:rPr>
                <w:rFonts w:hint="eastAsia"/>
                <w:color w:val="auto"/>
              </w:rPr>
              <w:t>C、</w:t>
            </w:r>
            <w:r>
              <w:rPr>
                <w:rFonts w:hint="default"/>
                <w:color w:val="auto"/>
              </w:rPr>
              <w:t>安排专人要求做好危险废物的管理、贮存、交接、外运等登记工作，对危险废物进行申报登记，制定定期外运制度，并对危险废物的流向和最终处置进行跟踪，严格执行转移联单制（建立信息台账，危险废物的记录和货单在危险废物接收后继续 保留至少5年），确保固废得到有效处置，危险废物运输过程中严格执行相关安全要求，禁止在转移过程中将危险废物排放至环境中，危险废物贮存期限原则上不得超过一年；同时制定相应的检查维护制度、管理人员岗位制度等，进一步加强管理。</w:t>
            </w:r>
          </w:p>
          <w:p w14:paraId="742825D1">
            <w:pPr>
              <w:keepNext w:val="0"/>
              <w:keepLines w:val="0"/>
              <w:suppressLineNumbers w:val="0"/>
              <w:spacing w:before="0" w:beforeAutospacing="0" w:after="0" w:afterAutospacing="0"/>
              <w:ind w:left="0" w:right="0" w:firstLine="480"/>
              <w:rPr>
                <w:rFonts w:hint="default"/>
                <w:color w:val="auto"/>
              </w:rPr>
            </w:pPr>
            <w:r>
              <w:rPr>
                <w:rFonts w:hint="eastAsia"/>
                <w:color w:val="auto"/>
              </w:rPr>
              <w:t>五、地下水</w:t>
            </w:r>
          </w:p>
          <w:p w14:paraId="365A6F46">
            <w:pPr>
              <w:keepNext w:val="0"/>
              <w:keepLines w:val="0"/>
              <w:suppressLineNumbers w:val="0"/>
              <w:spacing w:before="0" w:beforeAutospacing="0" w:after="0" w:afterAutospacing="0"/>
              <w:ind w:left="0" w:right="0" w:firstLine="480"/>
              <w:rPr>
                <w:rFonts w:hint="default" w:cs="Times New Roman"/>
                <w:color w:val="auto"/>
              </w:rPr>
            </w:pPr>
            <w:r>
              <w:rPr>
                <w:rFonts w:hint="default" w:cs="Times New Roman"/>
                <w:color w:val="auto"/>
              </w:rPr>
              <w:t>(1)</w:t>
            </w:r>
            <w:r>
              <w:rPr>
                <w:rFonts w:hint="eastAsia" w:cs="Times New Roman"/>
                <w:color w:val="auto"/>
              </w:rPr>
              <w:t xml:space="preserve"> </w:t>
            </w:r>
            <w:r>
              <w:rPr>
                <w:rFonts w:hint="default" w:cs="Times New Roman"/>
                <w:color w:val="auto"/>
              </w:rPr>
              <w:t>地下水环境影响分析</w:t>
            </w:r>
          </w:p>
          <w:p w14:paraId="27291F55">
            <w:pPr>
              <w:keepNext w:val="0"/>
              <w:keepLines w:val="0"/>
              <w:suppressLineNumbers w:val="0"/>
              <w:spacing w:before="0" w:beforeAutospacing="0" w:after="0" w:afterAutospacing="0"/>
              <w:ind w:left="0" w:right="0" w:firstLine="480"/>
              <w:rPr>
                <w:rFonts w:hint="default" w:cs="Times New Roman"/>
                <w:color w:val="auto"/>
              </w:rPr>
            </w:pPr>
            <w:r>
              <w:rPr>
                <w:rFonts w:hint="default" w:cs="Times New Roman"/>
                <w:color w:val="auto"/>
              </w:rPr>
              <w:t>拟建项目按照规范和要求对危废库采取有效的防雨、防渗漏、防溢流措施，并加强对固体废物和危险化学品的管理，运营期正常状况下项目不会对地下水造成较大的不利影响。</w:t>
            </w:r>
          </w:p>
          <w:p w14:paraId="704A5F23">
            <w:pPr>
              <w:keepNext w:val="0"/>
              <w:keepLines w:val="0"/>
              <w:suppressLineNumbers w:val="0"/>
              <w:spacing w:before="0" w:beforeAutospacing="0" w:after="0" w:afterAutospacing="0"/>
              <w:ind w:left="0" w:right="0" w:firstLine="480"/>
              <w:rPr>
                <w:rFonts w:hint="default" w:cs="Times New Roman"/>
                <w:color w:val="auto"/>
              </w:rPr>
            </w:pPr>
            <w:r>
              <w:rPr>
                <w:rFonts w:hint="default" w:cs="Times New Roman"/>
                <w:color w:val="auto"/>
              </w:rPr>
              <w:t>但在非正常状况或事故状态下，如危险废物管理不善或危险废物暂存场所发生泄漏等情况下，污染物会渗入地下对地下水造成影响。</w:t>
            </w:r>
          </w:p>
          <w:p w14:paraId="3C1BBDEA">
            <w:pPr>
              <w:keepNext w:val="0"/>
              <w:keepLines w:val="0"/>
              <w:suppressLineNumbers w:val="0"/>
              <w:spacing w:before="0" w:beforeAutospacing="0" w:after="0" w:afterAutospacing="0"/>
              <w:ind w:left="0" w:right="0" w:firstLine="480"/>
              <w:rPr>
                <w:rFonts w:hint="default" w:cs="Times New Roman"/>
                <w:color w:val="auto"/>
              </w:rPr>
            </w:pPr>
            <w:r>
              <w:rPr>
                <w:rFonts w:hint="default" w:cs="Times New Roman"/>
                <w:color w:val="auto"/>
              </w:rPr>
              <w:t>(2)</w:t>
            </w:r>
            <w:r>
              <w:rPr>
                <w:rFonts w:hint="eastAsia" w:cs="Times New Roman"/>
                <w:color w:val="auto"/>
              </w:rPr>
              <w:t xml:space="preserve"> </w:t>
            </w:r>
            <w:r>
              <w:rPr>
                <w:rFonts w:hint="default" w:cs="Times New Roman"/>
                <w:color w:val="auto"/>
              </w:rPr>
              <w:t>地下水环境保护措施</w:t>
            </w:r>
          </w:p>
          <w:p w14:paraId="40992052">
            <w:pPr>
              <w:keepNext w:val="0"/>
              <w:keepLines w:val="0"/>
              <w:suppressLineNumbers w:val="0"/>
              <w:spacing w:before="0" w:beforeAutospacing="0" w:after="0" w:afterAutospacing="0"/>
              <w:ind w:left="0" w:right="0" w:firstLine="480"/>
              <w:rPr>
                <w:rFonts w:hint="default" w:cs="Times New Roman"/>
                <w:color w:val="auto"/>
              </w:rPr>
            </w:pPr>
            <w:r>
              <w:rPr>
                <w:rFonts w:hint="default" w:cs="Times New Roman"/>
                <w:color w:val="auto"/>
              </w:rPr>
              <w:t>针对可能发生的地下水污染，项目营运期地下水污染防治措施应按照“源头控制、分区防治、污染监控、应急响应”相结合的原则，从污染物的产生、入渗、扩散、应急响应全方位进行防控。</w:t>
            </w:r>
          </w:p>
          <w:p w14:paraId="6D28491C">
            <w:pPr>
              <w:keepNext w:val="0"/>
              <w:keepLines w:val="0"/>
              <w:suppressLineNumbers w:val="0"/>
              <w:spacing w:before="0" w:beforeAutospacing="0" w:after="0" w:afterAutospacing="0"/>
              <w:ind w:left="0" w:right="0" w:firstLine="480"/>
              <w:rPr>
                <w:rFonts w:hint="default" w:cs="Times New Roman"/>
                <w:color w:val="auto"/>
              </w:rPr>
            </w:pPr>
            <w:r>
              <w:rPr>
                <w:rFonts w:hint="eastAsia" w:cs="Times New Roman"/>
                <w:color w:val="auto"/>
              </w:rPr>
              <w:t>一、</w:t>
            </w:r>
            <w:r>
              <w:rPr>
                <w:rFonts w:hint="default" w:cs="Times New Roman"/>
                <w:color w:val="auto"/>
              </w:rPr>
              <w:t>源头控制</w:t>
            </w:r>
          </w:p>
          <w:p w14:paraId="4F90D69C">
            <w:pPr>
              <w:keepNext w:val="0"/>
              <w:keepLines w:val="0"/>
              <w:suppressLineNumbers w:val="0"/>
              <w:spacing w:before="0" w:beforeAutospacing="0" w:after="0" w:afterAutospacing="0"/>
              <w:ind w:left="0" w:right="0" w:firstLine="480"/>
              <w:rPr>
                <w:rFonts w:hint="default" w:cs="Times New Roman"/>
                <w:color w:val="auto"/>
              </w:rPr>
            </w:pPr>
            <w:r>
              <w:rPr>
                <w:rFonts w:hint="default" w:cs="Times New Roman"/>
                <w:color w:val="auto"/>
              </w:rPr>
              <w:t>项目实施期间应从以下几个角度开展地下水的源头控制：</w:t>
            </w:r>
          </w:p>
          <w:p w14:paraId="15B6BE5E">
            <w:pPr>
              <w:keepNext w:val="0"/>
              <w:keepLines w:val="0"/>
              <w:suppressLineNumbers w:val="0"/>
              <w:spacing w:before="0" w:beforeAutospacing="0" w:after="0" w:afterAutospacing="0"/>
              <w:ind w:left="0" w:right="0" w:firstLine="480"/>
              <w:rPr>
                <w:rFonts w:hint="default" w:cs="Times New Roman"/>
                <w:color w:val="auto"/>
              </w:rPr>
            </w:pPr>
            <w:r>
              <w:rPr>
                <w:rFonts w:hint="default" w:cs="Times New Roman"/>
                <w:color w:val="auto"/>
              </w:rPr>
              <w:fldChar w:fldCharType="begin"/>
            </w:r>
            <w:r>
              <w:rPr>
                <w:rFonts w:hint="default" w:cs="Times New Roman"/>
                <w:color w:val="auto"/>
              </w:rPr>
              <w:instrText xml:space="preserve"> = 1 \* GB3 </w:instrText>
            </w:r>
            <w:r>
              <w:rPr>
                <w:rFonts w:hint="default" w:cs="Times New Roman"/>
                <w:color w:val="auto"/>
              </w:rPr>
              <w:fldChar w:fldCharType="separate"/>
            </w:r>
            <w:r>
              <w:rPr>
                <w:rFonts w:hint="eastAsia" w:ascii="宋体" w:hAnsi="宋体" w:cs="宋体"/>
                <w:color w:val="auto"/>
              </w:rPr>
              <w:t>①</w:t>
            </w:r>
            <w:r>
              <w:rPr>
                <w:rFonts w:hint="default" w:cs="Times New Roman"/>
                <w:color w:val="auto"/>
              </w:rPr>
              <w:fldChar w:fldCharType="end"/>
            </w:r>
            <w:r>
              <w:rPr>
                <w:rFonts w:hint="default" w:cs="Times New Roman"/>
                <w:color w:val="auto"/>
              </w:rPr>
              <w:t>优先选择先进、成熟、可靠的工艺技术和较清洁的原辅材料</w:t>
            </w:r>
            <w:r>
              <w:rPr>
                <w:rFonts w:hint="eastAsia" w:cs="Times New Roman"/>
                <w:color w:val="auto"/>
              </w:rPr>
              <w:t>，</w:t>
            </w:r>
            <w:r>
              <w:rPr>
                <w:rFonts w:hint="default" w:cs="Times New Roman"/>
                <w:color w:val="auto"/>
              </w:rPr>
              <w:t>并对产生的各类废物进行合理的回用和治理，尽可能从源头上减少污染物的产生和排放。</w:t>
            </w:r>
          </w:p>
          <w:p w14:paraId="46A8EBA6">
            <w:pPr>
              <w:keepNext w:val="0"/>
              <w:keepLines w:val="0"/>
              <w:suppressLineNumbers w:val="0"/>
              <w:spacing w:before="0" w:beforeAutospacing="0" w:after="0" w:afterAutospacing="0"/>
              <w:ind w:left="0" w:right="0" w:firstLine="480"/>
              <w:rPr>
                <w:rFonts w:hint="default" w:cs="Times New Roman"/>
                <w:color w:val="auto"/>
              </w:rPr>
            </w:pPr>
            <w:r>
              <w:rPr>
                <w:rFonts w:hint="default" w:cs="Times New Roman"/>
                <w:color w:val="auto"/>
              </w:rPr>
              <w:fldChar w:fldCharType="begin"/>
            </w:r>
            <w:r>
              <w:rPr>
                <w:rFonts w:hint="default" w:cs="Times New Roman"/>
                <w:color w:val="auto"/>
              </w:rPr>
              <w:instrText xml:space="preserve"> = 2 \* GB3 </w:instrText>
            </w:r>
            <w:r>
              <w:rPr>
                <w:rFonts w:hint="default" w:cs="Times New Roman"/>
                <w:color w:val="auto"/>
              </w:rPr>
              <w:fldChar w:fldCharType="separate"/>
            </w:r>
            <w:r>
              <w:rPr>
                <w:rFonts w:hint="eastAsia" w:ascii="宋体" w:hAnsi="宋体" w:cs="宋体"/>
                <w:color w:val="auto"/>
              </w:rPr>
              <w:t>②</w:t>
            </w:r>
            <w:r>
              <w:rPr>
                <w:rFonts w:hint="default" w:cs="Times New Roman"/>
                <w:color w:val="auto"/>
              </w:rPr>
              <w:fldChar w:fldCharType="end"/>
            </w:r>
            <w:r>
              <w:rPr>
                <w:rFonts w:hint="default" w:cs="Times New Roman"/>
                <w:color w:val="auto"/>
              </w:rPr>
              <w:t>严格按照国家相关规范要求，对工艺、管道、设备、仓库、污水储存和处理构筑物采取相应措施，防止和降低污染物的跑、冒、滴、漏，将污染物泄漏的环境风险降到最低程度。</w:t>
            </w:r>
          </w:p>
          <w:p w14:paraId="6F0DC5A0">
            <w:pPr>
              <w:keepNext w:val="0"/>
              <w:keepLines w:val="0"/>
              <w:suppressLineNumbers w:val="0"/>
              <w:spacing w:before="0" w:beforeAutospacing="0" w:after="0" w:afterAutospacing="0"/>
              <w:ind w:left="0" w:right="0" w:firstLine="480"/>
              <w:rPr>
                <w:rFonts w:hint="default" w:cs="Times New Roman"/>
                <w:color w:val="auto"/>
              </w:rPr>
            </w:pPr>
            <w:r>
              <w:rPr>
                <w:rFonts w:hint="default" w:cs="Times New Roman"/>
                <w:color w:val="auto"/>
              </w:rPr>
              <w:fldChar w:fldCharType="begin"/>
            </w:r>
            <w:r>
              <w:rPr>
                <w:rFonts w:hint="default" w:cs="Times New Roman"/>
                <w:color w:val="auto"/>
              </w:rPr>
              <w:instrText xml:space="preserve"> = 3 \* GB3 </w:instrText>
            </w:r>
            <w:r>
              <w:rPr>
                <w:rFonts w:hint="default" w:cs="Times New Roman"/>
                <w:color w:val="auto"/>
              </w:rPr>
              <w:fldChar w:fldCharType="separate"/>
            </w:r>
            <w:r>
              <w:rPr>
                <w:rFonts w:hint="eastAsia" w:ascii="宋体" w:hAnsi="宋体" w:cs="宋体"/>
                <w:color w:val="auto"/>
              </w:rPr>
              <w:t>③</w:t>
            </w:r>
            <w:r>
              <w:rPr>
                <w:rFonts w:hint="default" w:cs="Times New Roman"/>
                <w:color w:val="auto"/>
              </w:rPr>
              <w:fldChar w:fldCharType="end"/>
            </w:r>
            <w:r>
              <w:rPr>
                <w:rFonts w:hint="default" w:cs="Times New Roman"/>
                <w:color w:val="auto"/>
              </w:rPr>
              <w:t>危险废物临时存放场所要按照国家相关规范要求，采取严格的防泄漏、防溢流、防腐蚀等措施，严格危险化学品和危险废物的管理。</w:t>
            </w:r>
          </w:p>
          <w:p w14:paraId="236A061B">
            <w:pPr>
              <w:keepNext w:val="0"/>
              <w:keepLines w:val="0"/>
              <w:suppressLineNumbers w:val="0"/>
              <w:spacing w:before="0" w:beforeAutospacing="0" w:after="0" w:afterAutospacing="0"/>
              <w:ind w:left="0" w:right="0" w:firstLine="480"/>
              <w:rPr>
                <w:rFonts w:hint="default" w:cs="Times New Roman"/>
                <w:color w:val="auto"/>
              </w:rPr>
            </w:pPr>
            <w:r>
              <w:rPr>
                <w:rFonts w:hint="default" w:cs="Times New Roman"/>
                <w:color w:val="auto"/>
              </w:rPr>
              <w:fldChar w:fldCharType="begin"/>
            </w:r>
            <w:r>
              <w:rPr>
                <w:rFonts w:hint="default" w:cs="Times New Roman"/>
                <w:color w:val="auto"/>
              </w:rPr>
              <w:instrText xml:space="preserve"> = 4 \* GB3 </w:instrText>
            </w:r>
            <w:r>
              <w:rPr>
                <w:rFonts w:hint="default" w:cs="Times New Roman"/>
                <w:color w:val="auto"/>
              </w:rPr>
              <w:fldChar w:fldCharType="separate"/>
            </w:r>
            <w:r>
              <w:rPr>
                <w:rFonts w:hint="eastAsia" w:ascii="宋体" w:hAnsi="宋体" w:cs="宋体"/>
                <w:color w:val="auto"/>
              </w:rPr>
              <w:t>④</w:t>
            </w:r>
            <w:r>
              <w:rPr>
                <w:rFonts w:hint="default" w:cs="Times New Roman"/>
                <w:color w:val="auto"/>
              </w:rPr>
              <w:fldChar w:fldCharType="end"/>
            </w:r>
            <w:r>
              <w:rPr>
                <w:rFonts w:hint="default" w:cs="Times New Roman"/>
                <w:color w:val="auto"/>
              </w:rPr>
              <w:t>对可能泄漏有害介质和污染物的设备和管道铺设尽量采用“可视化”原则，即管道尽可能地上铺设，做到污染物“早发现、早处理”，以减少由于埋地管道泄漏而可能造成的地下水污染。</w:t>
            </w:r>
          </w:p>
          <w:p w14:paraId="4F49D0EA">
            <w:pPr>
              <w:keepNext w:val="0"/>
              <w:keepLines w:val="0"/>
              <w:suppressLineNumbers w:val="0"/>
              <w:spacing w:before="0" w:beforeAutospacing="0" w:after="0" w:afterAutospacing="0"/>
              <w:ind w:left="0" w:right="0" w:firstLine="480"/>
              <w:rPr>
                <w:rFonts w:hint="default" w:cs="Times New Roman"/>
                <w:color w:val="auto"/>
              </w:rPr>
            </w:pPr>
            <w:r>
              <w:rPr>
                <w:rFonts w:hint="eastAsia" w:cs="Times New Roman"/>
                <w:color w:val="auto"/>
              </w:rPr>
              <w:t>二、</w:t>
            </w:r>
            <w:r>
              <w:rPr>
                <w:rFonts w:hint="default" w:cs="Times New Roman"/>
                <w:color w:val="auto"/>
              </w:rPr>
              <w:t>分区</w:t>
            </w:r>
            <w:r>
              <w:rPr>
                <w:rFonts w:hint="eastAsia" w:cs="Times New Roman"/>
                <w:color w:val="auto"/>
              </w:rPr>
              <w:t>防渗</w:t>
            </w:r>
            <w:r>
              <w:rPr>
                <w:rFonts w:hint="default" w:cs="Times New Roman"/>
                <w:color w:val="auto"/>
              </w:rPr>
              <w:t>措施</w:t>
            </w:r>
          </w:p>
          <w:p w14:paraId="5E2869D9">
            <w:pPr>
              <w:keepNext w:val="0"/>
              <w:keepLines w:val="0"/>
              <w:suppressLineNumbers w:val="0"/>
              <w:spacing w:before="0" w:beforeAutospacing="0" w:after="0" w:afterAutospacing="0"/>
              <w:ind w:left="0" w:right="0" w:firstLine="480"/>
              <w:rPr>
                <w:rFonts w:hint="default" w:cs="Times New Roman"/>
                <w:color w:val="auto"/>
              </w:rPr>
            </w:pPr>
            <w:r>
              <w:rPr>
                <w:rFonts w:hint="eastAsia" w:cs="Times New Roman"/>
                <w:color w:val="auto"/>
              </w:rPr>
              <w:t>本项目已按照不同防渗要求进行分区防渗</w:t>
            </w:r>
            <w:r>
              <w:rPr>
                <w:rFonts w:hint="default" w:cs="Times New Roman"/>
                <w:color w:val="auto"/>
              </w:rPr>
              <w:t>。</w:t>
            </w:r>
            <w:r>
              <w:rPr>
                <w:rFonts w:hint="eastAsia" w:cs="Times New Roman"/>
                <w:color w:val="auto"/>
              </w:rPr>
              <w:t>其中危废库</w:t>
            </w:r>
            <w:r>
              <w:rPr>
                <w:rFonts w:hint="eastAsia" w:cs="Times New Roman"/>
                <w:color w:val="auto"/>
                <w:lang w:eastAsia="zh-CN"/>
              </w:rPr>
              <w:t>、</w:t>
            </w:r>
            <w:r>
              <w:rPr>
                <w:rFonts w:hint="eastAsia" w:cs="Times New Roman"/>
                <w:color w:val="auto"/>
                <w:lang w:val="en-US" w:eastAsia="zh-CN"/>
              </w:rPr>
              <w:t>配液间、检测前处理等区域等</w:t>
            </w:r>
            <w:r>
              <w:rPr>
                <w:rFonts w:hint="eastAsia" w:cs="Times New Roman"/>
                <w:color w:val="auto"/>
              </w:rPr>
              <w:t>采用重点防渗措施，包装区、原料暂存区、成品暂存区等采用一般防渗措施，办公室采用简单防渗措施，相关措施技术指标如下：</w:t>
            </w:r>
          </w:p>
          <w:p w14:paraId="3EE65504">
            <w:pPr>
              <w:keepNext w:val="0"/>
              <w:keepLines w:val="0"/>
              <w:suppressLineNumbers w:val="0"/>
              <w:autoSpaceDE w:val="0"/>
              <w:autoSpaceDN w:val="0"/>
              <w:spacing w:before="0" w:beforeAutospacing="0" w:after="0" w:afterAutospacing="0"/>
              <w:ind w:left="0" w:right="0" w:firstLine="482"/>
              <w:rPr>
                <w:rFonts w:hint="default" w:cs="Times New Roman"/>
                <w:color w:val="auto"/>
              </w:rPr>
            </w:pPr>
            <w:r>
              <w:rPr>
                <w:rFonts w:hint="default" w:cs="Times New Roman"/>
                <w:b/>
                <w:bCs/>
                <w:color w:val="auto"/>
                <w:kern w:val="24"/>
              </w:rPr>
              <w:t>重点防渗区：</w:t>
            </w:r>
            <w:r>
              <w:rPr>
                <w:rFonts w:hint="default" w:cs="Times New Roman"/>
                <w:color w:val="auto"/>
                <w:kern w:val="24"/>
              </w:rPr>
              <w:t>防渗技术要求等效黏土防渗层Mb≥6.0m，K≤≤10</w:t>
            </w:r>
            <w:r>
              <w:rPr>
                <w:rFonts w:hint="default" w:cs="Times New Roman"/>
                <w:color w:val="auto"/>
                <w:kern w:val="24"/>
                <w:vertAlign w:val="superscript"/>
              </w:rPr>
              <w:t>-7</w:t>
            </w:r>
            <w:r>
              <w:rPr>
                <w:rFonts w:hint="default" w:cs="Times New Roman"/>
                <w:color w:val="auto"/>
                <w:kern w:val="24"/>
              </w:rPr>
              <w:t>cm/s</w:t>
            </w:r>
            <w:r>
              <w:rPr>
                <w:rFonts w:hint="default" w:cs="Times New Roman"/>
                <w:color w:val="auto"/>
              </w:rPr>
              <w:t>。其中危废暂存区间还需要满足《危险废物贮存污染控制标准》（GB18597-2023）中防渗要求：</w:t>
            </w:r>
            <w:r>
              <w:rPr>
                <w:rFonts w:hint="eastAsia" w:cs="Times New Roman"/>
                <w:color w:val="auto"/>
              </w:rPr>
              <w:t>表面防渗材料应与所接触的物料或污染物相容，可采用抗渗混凝土、高密度聚乙烯膜、钠基膨润土防水毯或其他防渗性能等效的材料。贮存的危险废物直接接触地面的，还应进行基础防渗，防渗层为至少</w:t>
            </w:r>
            <w:r>
              <w:rPr>
                <w:rFonts w:hint="default" w:cs="Times New Roman"/>
                <w:color w:val="auto"/>
              </w:rPr>
              <w:t>1m厚黏土层（渗透系数不大于10</w:t>
            </w:r>
            <w:r>
              <w:rPr>
                <w:rFonts w:hint="default" w:cs="Times New Roman"/>
                <w:color w:val="auto"/>
                <w:vertAlign w:val="superscript"/>
              </w:rPr>
              <w:t>-7</w:t>
            </w:r>
            <w:r>
              <w:rPr>
                <w:rFonts w:hint="default" w:cs="Times New Roman"/>
                <w:color w:val="auto"/>
              </w:rPr>
              <w:t>cm/s)，或至少2mm厚高密度聚乙烯膜等人工防渗材料（渗透系数不大于10</w:t>
            </w:r>
            <w:r>
              <w:rPr>
                <w:rFonts w:hint="default" w:cs="Times New Roman"/>
                <w:color w:val="auto"/>
                <w:vertAlign w:val="superscript"/>
              </w:rPr>
              <w:t>-10</w:t>
            </w:r>
            <w:r>
              <w:rPr>
                <w:rFonts w:hint="default" w:cs="Times New Roman"/>
                <w:color w:val="auto"/>
              </w:rPr>
              <w:t>cm/s)，或其他防渗性能等效的材料。</w:t>
            </w:r>
          </w:p>
          <w:p w14:paraId="5DFDE902">
            <w:pPr>
              <w:keepNext w:val="0"/>
              <w:keepLines w:val="0"/>
              <w:suppressLineNumbers w:val="0"/>
              <w:spacing w:before="0" w:beforeAutospacing="0" w:after="0" w:afterAutospacing="0"/>
              <w:ind w:left="0" w:right="0" w:firstLine="482"/>
              <w:rPr>
                <w:rFonts w:hint="default"/>
                <w:color w:val="auto"/>
              </w:rPr>
            </w:pPr>
            <w:r>
              <w:rPr>
                <w:rFonts w:hint="default" w:cs="Times New Roman"/>
                <w:b/>
                <w:bCs/>
                <w:color w:val="auto"/>
                <w:kern w:val="24"/>
              </w:rPr>
              <w:t>一般防渗区：</w:t>
            </w:r>
            <w:r>
              <w:rPr>
                <w:rFonts w:hint="default" w:cs="Times New Roman"/>
                <w:color w:val="auto"/>
                <w:kern w:val="24"/>
              </w:rPr>
              <w:t>防渗技术</w:t>
            </w:r>
            <w:r>
              <w:rPr>
                <w:rFonts w:hint="default" w:cs="Times New Roman"/>
                <w:color w:val="auto"/>
              </w:rPr>
              <w:t>要求等效黏土防渗层Mb≥1.5m，K≤≤10</w:t>
            </w:r>
            <w:r>
              <w:rPr>
                <w:rFonts w:hint="default" w:cs="Times New Roman"/>
                <w:color w:val="auto"/>
                <w:vertAlign w:val="superscript"/>
              </w:rPr>
              <w:t>-7</w:t>
            </w:r>
            <w:r>
              <w:rPr>
                <w:rFonts w:hint="default" w:cs="Times New Roman"/>
                <w:color w:val="auto"/>
              </w:rPr>
              <w:t>cm/s。</w:t>
            </w:r>
          </w:p>
          <w:p w14:paraId="4EA840E0">
            <w:pPr>
              <w:keepNext w:val="0"/>
              <w:keepLines w:val="0"/>
              <w:suppressLineNumbers w:val="0"/>
              <w:autoSpaceDE w:val="0"/>
              <w:autoSpaceDN w:val="0"/>
              <w:spacing w:before="0" w:beforeAutospacing="0" w:after="0" w:afterAutospacing="0"/>
              <w:ind w:left="0" w:right="0" w:firstLine="482"/>
              <w:rPr>
                <w:rFonts w:hint="default"/>
                <w:color w:val="auto"/>
              </w:rPr>
            </w:pPr>
            <w:r>
              <w:rPr>
                <w:rFonts w:hint="default" w:cs="Times New Roman"/>
                <w:b/>
                <w:bCs/>
                <w:color w:val="auto"/>
                <w:kern w:val="24"/>
              </w:rPr>
              <w:t>简单防渗区：</w:t>
            </w:r>
            <w:r>
              <w:rPr>
                <w:rFonts w:hint="default" w:cs="Times New Roman"/>
                <w:color w:val="auto"/>
              </w:rPr>
              <w:t>地面硬化。</w:t>
            </w:r>
          </w:p>
          <w:p w14:paraId="5AB21E13">
            <w:pPr>
              <w:keepNext w:val="0"/>
              <w:keepLines w:val="0"/>
              <w:suppressLineNumbers w:val="0"/>
              <w:spacing w:before="0" w:beforeAutospacing="0" w:after="0" w:afterAutospacing="0"/>
              <w:ind w:left="0" w:right="0" w:firstLine="0" w:firstLineChars="0"/>
              <w:jc w:val="center"/>
              <w:rPr>
                <w:rFonts w:hint="default" w:eastAsia="黑体" w:cs="Times New Roman"/>
                <w:bCs/>
                <w:color w:val="auto"/>
                <w:szCs w:val="24"/>
              </w:rPr>
            </w:pPr>
            <w:r>
              <w:rPr>
                <w:rFonts w:hint="default" w:eastAsia="黑体" w:cs="Times New Roman"/>
                <w:bCs/>
                <w:color w:val="auto"/>
                <w:szCs w:val="24"/>
              </w:rPr>
              <w:t>表4-</w:t>
            </w:r>
            <w:r>
              <w:rPr>
                <w:rFonts w:hint="eastAsia" w:eastAsia="黑体" w:cs="Times New Roman"/>
                <w:bCs/>
                <w:color w:val="auto"/>
                <w:szCs w:val="24"/>
                <w:lang w:val="en-US" w:eastAsia="zh-CN"/>
              </w:rPr>
              <w:t>15</w:t>
            </w:r>
            <w:r>
              <w:rPr>
                <w:rFonts w:hint="default" w:eastAsia="黑体" w:cs="Times New Roman"/>
                <w:bCs/>
                <w:color w:val="auto"/>
                <w:szCs w:val="24"/>
              </w:rPr>
              <w:t xml:space="preserve">  </w:t>
            </w:r>
            <w:r>
              <w:rPr>
                <w:rFonts w:hint="eastAsia" w:eastAsia="黑体" w:cs="Times New Roman"/>
                <w:bCs/>
                <w:color w:val="auto"/>
                <w:szCs w:val="24"/>
              </w:rPr>
              <w:t>本</w:t>
            </w:r>
            <w:r>
              <w:rPr>
                <w:rFonts w:hint="default" w:eastAsia="黑体" w:cs="Times New Roman"/>
                <w:bCs/>
                <w:color w:val="auto"/>
                <w:szCs w:val="24"/>
              </w:rPr>
              <w:t>项目</w:t>
            </w:r>
            <w:r>
              <w:rPr>
                <w:rFonts w:hint="eastAsia" w:eastAsia="黑体" w:cs="Times New Roman"/>
                <w:bCs/>
                <w:color w:val="auto"/>
                <w:szCs w:val="24"/>
              </w:rPr>
              <w:t>分区防渗情况一览表</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1984"/>
              <w:gridCol w:w="1198"/>
              <w:gridCol w:w="1140"/>
              <w:gridCol w:w="2866"/>
            </w:tblGrid>
            <w:tr w14:paraId="14F46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05E81DCB">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default" w:cs="Times New Roman"/>
                      <w:color w:val="auto"/>
                      <w:sz w:val="18"/>
                      <w:szCs w:val="18"/>
                    </w:rPr>
                    <w:t>序号</w:t>
                  </w:r>
                </w:p>
              </w:tc>
              <w:tc>
                <w:tcPr>
                  <w:tcW w:w="1269" w:type="pct"/>
                  <w:shd w:val="clear" w:color="auto" w:fill="auto"/>
                  <w:vAlign w:val="center"/>
                </w:tcPr>
                <w:p w14:paraId="599DF301">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default" w:cs="Times New Roman"/>
                      <w:color w:val="auto"/>
                      <w:sz w:val="18"/>
                      <w:szCs w:val="18"/>
                    </w:rPr>
                    <w:t>单元名称</w:t>
                  </w:r>
                </w:p>
              </w:tc>
              <w:tc>
                <w:tcPr>
                  <w:tcW w:w="766" w:type="pct"/>
                  <w:shd w:val="clear" w:color="auto" w:fill="auto"/>
                  <w:vAlign w:val="center"/>
                </w:tcPr>
                <w:p w14:paraId="16EEF3F8">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default" w:cs="Times New Roman"/>
                      <w:color w:val="auto"/>
                      <w:sz w:val="18"/>
                      <w:szCs w:val="18"/>
                    </w:rPr>
                    <w:t>污染控制难易程度</w:t>
                  </w:r>
                </w:p>
              </w:tc>
              <w:tc>
                <w:tcPr>
                  <w:tcW w:w="729" w:type="pct"/>
                  <w:shd w:val="clear" w:color="auto" w:fill="auto"/>
                  <w:vAlign w:val="center"/>
                </w:tcPr>
                <w:p w14:paraId="1E733AA9">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default" w:cs="Times New Roman"/>
                      <w:color w:val="auto"/>
                      <w:sz w:val="18"/>
                      <w:szCs w:val="18"/>
                    </w:rPr>
                    <w:t>类别</w:t>
                  </w:r>
                </w:p>
              </w:tc>
              <w:tc>
                <w:tcPr>
                  <w:tcW w:w="1833" w:type="pct"/>
                  <w:shd w:val="clear" w:color="auto" w:fill="auto"/>
                  <w:vAlign w:val="center"/>
                </w:tcPr>
                <w:p w14:paraId="544D2FA3">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default" w:cs="Times New Roman"/>
                      <w:color w:val="auto"/>
                      <w:sz w:val="18"/>
                      <w:szCs w:val="18"/>
                    </w:rPr>
                    <w:t>防渗系数要求</w:t>
                  </w:r>
                </w:p>
              </w:tc>
            </w:tr>
            <w:tr w14:paraId="5A511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2205E5BA">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eastAsia" w:cs="Times New Roman"/>
                      <w:color w:val="auto"/>
                      <w:sz w:val="18"/>
                      <w:szCs w:val="18"/>
                    </w:rPr>
                    <w:t>1</w:t>
                  </w:r>
                </w:p>
              </w:tc>
              <w:tc>
                <w:tcPr>
                  <w:tcW w:w="1269" w:type="pct"/>
                  <w:shd w:val="clear" w:color="auto" w:fill="auto"/>
                  <w:vAlign w:val="center"/>
                </w:tcPr>
                <w:p w14:paraId="72068C10">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eastAsia" w:cs="Times New Roman"/>
                      <w:color w:val="auto"/>
                      <w:sz w:val="18"/>
                      <w:szCs w:val="18"/>
                      <w:lang w:val="en-US" w:eastAsia="zh-CN"/>
                    </w:rPr>
                    <w:t>其他区域</w:t>
                  </w:r>
                </w:p>
              </w:tc>
              <w:tc>
                <w:tcPr>
                  <w:tcW w:w="766" w:type="pct"/>
                  <w:shd w:val="clear" w:color="auto" w:fill="auto"/>
                  <w:vAlign w:val="center"/>
                </w:tcPr>
                <w:p w14:paraId="12657C7F">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default" w:cs="Times New Roman"/>
                      <w:color w:val="auto"/>
                      <w:sz w:val="18"/>
                      <w:szCs w:val="18"/>
                    </w:rPr>
                    <w:t>易</w:t>
                  </w:r>
                </w:p>
              </w:tc>
              <w:tc>
                <w:tcPr>
                  <w:tcW w:w="729" w:type="pct"/>
                  <w:shd w:val="clear" w:color="auto" w:fill="auto"/>
                  <w:vAlign w:val="center"/>
                </w:tcPr>
                <w:p w14:paraId="286A7B90">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default" w:cs="Times New Roman"/>
                      <w:color w:val="auto"/>
                      <w:sz w:val="18"/>
                      <w:szCs w:val="18"/>
                    </w:rPr>
                    <w:t>一般防渗</w:t>
                  </w:r>
                </w:p>
              </w:tc>
              <w:tc>
                <w:tcPr>
                  <w:tcW w:w="1833" w:type="pct"/>
                  <w:shd w:val="clear" w:color="auto" w:fill="auto"/>
                  <w:vAlign w:val="center"/>
                </w:tcPr>
                <w:p w14:paraId="231FEFB6">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default" w:cs="Times New Roman"/>
                      <w:color w:val="auto"/>
                      <w:sz w:val="18"/>
                      <w:szCs w:val="18"/>
                    </w:rPr>
                    <w:t>等效黏土防渗层Mb</w:t>
                  </w:r>
                  <w:r>
                    <w:rPr>
                      <w:rFonts w:hint="eastAsia" w:ascii="宋体" w:hAnsi="宋体" w:cs="宋体"/>
                      <w:color w:val="auto"/>
                      <w:sz w:val="18"/>
                      <w:szCs w:val="18"/>
                    </w:rPr>
                    <w:t>≧</w:t>
                  </w:r>
                  <w:r>
                    <w:rPr>
                      <w:rFonts w:hint="default" w:cs="Times New Roman"/>
                      <w:color w:val="auto"/>
                      <w:sz w:val="18"/>
                      <w:szCs w:val="18"/>
                    </w:rPr>
                    <w:t>1.5m，K</w:t>
                  </w:r>
                  <w:r>
                    <w:rPr>
                      <w:rFonts w:hint="eastAsia" w:ascii="宋体" w:hAnsi="宋体" w:cs="宋体"/>
                      <w:color w:val="auto"/>
                      <w:sz w:val="18"/>
                      <w:szCs w:val="18"/>
                    </w:rPr>
                    <w:t>≦</w:t>
                  </w:r>
                  <w:r>
                    <w:rPr>
                      <w:rFonts w:hint="default" w:cs="Times New Roman"/>
                      <w:color w:val="auto"/>
                      <w:sz w:val="18"/>
                      <w:szCs w:val="18"/>
                    </w:rPr>
                    <w:t>1*10</w:t>
                  </w:r>
                  <w:r>
                    <w:rPr>
                      <w:rFonts w:hint="default" w:cs="Times New Roman"/>
                      <w:color w:val="auto"/>
                      <w:sz w:val="18"/>
                      <w:szCs w:val="18"/>
                      <w:vertAlign w:val="superscript"/>
                    </w:rPr>
                    <w:t>-7</w:t>
                  </w:r>
                  <w:r>
                    <w:rPr>
                      <w:rFonts w:hint="default" w:cs="Times New Roman"/>
                      <w:color w:val="auto"/>
                      <w:sz w:val="18"/>
                      <w:szCs w:val="18"/>
                    </w:rPr>
                    <w:t>cm/s，或参照GB16889执行</w:t>
                  </w:r>
                </w:p>
              </w:tc>
            </w:tr>
            <w:tr w14:paraId="1D9A1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0316C622">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eastAsia" w:cs="Times New Roman"/>
                      <w:color w:val="auto"/>
                      <w:sz w:val="18"/>
                      <w:szCs w:val="18"/>
                    </w:rPr>
                    <w:t>2</w:t>
                  </w:r>
                </w:p>
              </w:tc>
              <w:tc>
                <w:tcPr>
                  <w:tcW w:w="1269" w:type="pct"/>
                  <w:shd w:val="clear" w:color="auto" w:fill="auto"/>
                  <w:vAlign w:val="center"/>
                </w:tcPr>
                <w:p w14:paraId="21D090BA">
                  <w:pPr>
                    <w:keepNext w:val="0"/>
                    <w:keepLines w:val="0"/>
                    <w:suppressLineNumbers w:val="0"/>
                    <w:spacing w:before="0" w:beforeAutospacing="0" w:after="0" w:afterAutospacing="0" w:line="240" w:lineRule="auto"/>
                    <w:ind w:left="0" w:right="0" w:firstLine="0" w:firstLineChars="0"/>
                    <w:jc w:val="center"/>
                    <w:rPr>
                      <w:rFonts w:hint="eastAsia" w:eastAsia="宋体" w:cs="Times New Roman"/>
                      <w:color w:val="auto"/>
                      <w:sz w:val="18"/>
                      <w:szCs w:val="18"/>
                      <w:lang w:val="en-US" w:eastAsia="zh-CN"/>
                    </w:rPr>
                  </w:pPr>
                  <w:r>
                    <w:rPr>
                      <w:rFonts w:hint="default" w:cs="Times New Roman"/>
                      <w:color w:val="auto"/>
                      <w:sz w:val="18"/>
                      <w:szCs w:val="18"/>
                    </w:rPr>
                    <w:t>办公</w:t>
                  </w:r>
                  <w:r>
                    <w:rPr>
                      <w:rFonts w:hint="eastAsia" w:cs="Times New Roman"/>
                      <w:color w:val="auto"/>
                      <w:sz w:val="18"/>
                      <w:szCs w:val="18"/>
                      <w:lang w:val="en-US" w:eastAsia="zh-CN"/>
                    </w:rPr>
                    <w:t>区</w:t>
                  </w:r>
                </w:p>
              </w:tc>
              <w:tc>
                <w:tcPr>
                  <w:tcW w:w="766" w:type="pct"/>
                  <w:shd w:val="clear" w:color="auto" w:fill="auto"/>
                  <w:vAlign w:val="center"/>
                </w:tcPr>
                <w:p w14:paraId="3B80B918">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default" w:cs="Times New Roman"/>
                      <w:color w:val="auto"/>
                      <w:sz w:val="18"/>
                      <w:szCs w:val="18"/>
                    </w:rPr>
                    <w:t>易</w:t>
                  </w:r>
                </w:p>
              </w:tc>
              <w:tc>
                <w:tcPr>
                  <w:tcW w:w="729" w:type="pct"/>
                  <w:shd w:val="clear" w:color="auto" w:fill="auto"/>
                  <w:vAlign w:val="center"/>
                </w:tcPr>
                <w:p w14:paraId="0FA82088">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default" w:cs="Times New Roman"/>
                      <w:color w:val="auto"/>
                      <w:sz w:val="18"/>
                      <w:szCs w:val="18"/>
                    </w:rPr>
                    <w:t>简单防渗</w:t>
                  </w:r>
                </w:p>
              </w:tc>
              <w:tc>
                <w:tcPr>
                  <w:tcW w:w="1833" w:type="pct"/>
                  <w:shd w:val="clear" w:color="auto" w:fill="auto"/>
                  <w:vAlign w:val="center"/>
                </w:tcPr>
                <w:p w14:paraId="719BA964">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default" w:cs="Times New Roman"/>
                      <w:color w:val="auto"/>
                      <w:sz w:val="18"/>
                      <w:szCs w:val="18"/>
                    </w:rPr>
                    <w:t>＜10</w:t>
                  </w:r>
                  <w:r>
                    <w:rPr>
                      <w:rFonts w:hint="default" w:cs="Times New Roman"/>
                      <w:color w:val="auto"/>
                      <w:sz w:val="18"/>
                      <w:szCs w:val="18"/>
                      <w:vertAlign w:val="superscript"/>
                    </w:rPr>
                    <w:t>-5</w:t>
                  </w:r>
                  <w:r>
                    <w:rPr>
                      <w:rFonts w:hint="default" w:cs="Times New Roman"/>
                      <w:color w:val="auto"/>
                      <w:sz w:val="18"/>
                      <w:szCs w:val="18"/>
                    </w:rPr>
                    <w:t>cm/s</w:t>
                  </w:r>
                </w:p>
              </w:tc>
            </w:tr>
            <w:tr w14:paraId="6DF16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shd w:val="clear" w:color="auto" w:fill="auto"/>
                  <w:vAlign w:val="center"/>
                </w:tcPr>
                <w:p w14:paraId="0DDC45D2">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eastAsia" w:cs="Times New Roman"/>
                      <w:color w:val="auto"/>
                      <w:sz w:val="18"/>
                      <w:szCs w:val="18"/>
                    </w:rPr>
                    <w:t>3</w:t>
                  </w:r>
                </w:p>
              </w:tc>
              <w:tc>
                <w:tcPr>
                  <w:tcW w:w="1269" w:type="pct"/>
                  <w:shd w:val="clear" w:color="auto" w:fill="auto"/>
                  <w:vAlign w:val="center"/>
                </w:tcPr>
                <w:p w14:paraId="6ADA7B31">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eastAsia" w:cs="Times New Roman"/>
                      <w:color w:val="auto"/>
                      <w:sz w:val="18"/>
                      <w:szCs w:val="18"/>
                      <w:lang w:val="en-US" w:eastAsia="zh-CN"/>
                    </w:rPr>
                    <w:t>危废暂存间、实验室</w:t>
                  </w:r>
                  <w:r>
                    <w:rPr>
                      <w:rFonts w:hint="eastAsia" w:cs="Times New Roman"/>
                      <w:color w:val="auto"/>
                      <w:sz w:val="18"/>
                      <w:szCs w:val="18"/>
                    </w:rPr>
                    <w:t>等</w:t>
                  </w:r>
                </w:p>
              </w:tc>
              <w:tc>
                <w:tcPr>
                  <w:tcW w:w="766" w:type="pct"/>
                  <w:shd w:val="clear" w:color="auto" w:fill="auto"/>
                  <w:vAlign w:val="center"/>
                </w:tcPr>
                <w:p w14:paraId="397D17CB">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eastAsia" w:cs="Times New Roman"/>
                      <w:color w:val="auto"/>
                      <w:sz w:val="18"/>
                      <w:szCs w:val="18"/>
                    </w:rPr>
                    <w:t>难</w:t>
                  </w:r>
                </w:p>
              </w:tc>
              <w:tc>
                <w:tcPr>
                  <w:tcW w:w="729" w:type="pct"/>
                  <w:shd w:val="clear" w:color="auto" w:fill="auto"/>
                  <w:vAlign w:val="center"/>
                </w:tcPr>
                <w:p w14:paraId="5C2220C0">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eastAsia" w:cs="Times New Roman"/>
                      <w:color w:val="auto"/>
                      <w:sz w:val="18"/>
                      <w:szCs w:val="18"/>
                    </w:rPr>
                    <w:t>重点防渗</w:t>
                  </w:r>
                </w:p>
              </w:tc>
              <w:tc>
                <w:tcPr>
                  <w:tcW w:w="1833" w:type="pct"/>
                  <w:shd w:val="clear" w:color="auto" w:fill="auto"/>
                  <w:vAlign w:val="center"/>
                </w:tcPr>
                <w:p w14:paraId="3A1C3D5C">
                  <w:pPr>
                    <w:keepNext w:val="0"/>
                    <w:keepLines w:val="0"/>
                    <w:suppressLineNumbers w:val="0"/>
                    <w:spacing w:before="0" w:beforeAutospacing="0" w:after="0" w:afterAutospacing="0" w:line="240" w:lineRule="auto"/>
                    <w:ind w:left="0" w:right="0" w:firstLine="0" w:firstLineChars="0"/>
                    <w:jc w:val="center"/>
                    <w:rPr>
                      <w:rFonts w:hint="default" w:cs="Times New Roman"/>
                      <w:color w:val="auto"/>
                      <w:sz w:val="18"/>
                      <w:szCs w:val="18"/>
                    </w:rPr>
                  </w:pPr>
                  <w:r>
                    <w:rPr>
                      <w:rFonts w:hint="eastAsia" w:cs="Times New Roman"/>
                      <w:color w:val="auto"/>
                      <w:sz w:val="18"/>
                      <w:szCs w:val="18"/>
                    </w:rPr>
                    <w:t>等效黏土防渗层 Mb≥6.0m，K≤≤10</w:t>
                  </w:r>
                  <w:r>
                    <w:rPr>
                      <w:rFonts w:hint="eastAsia" w:cs="Times New Roman"/>
                      <w:color w:val="auto"/>
                      <w:sz w:val="18"/>
                      <w:szCs w:val="18"/>
                      <w:vertAlign w:val="superscript"/>
                    </w:rPr>
                    <w:t>-7</w:t>
                  </w:r>
                  <w:r>
                    <w:rPr>
                      <w:rFonts w:hint="eastAsia" w:cs="Times New Roman"/>
                      <w:color w:val="auto"/>
                      <w:sz w:val="18"/>
                      <w:szCs w:val="18"/>
                    </w:rPr>
                    <w:t>cm/s、GB18597相关要求</w:t>
                  </w:r>
                </w:p>
              </w:tc>
            </w:tr>
          </w:tbl>
          <w:p w14:paraId="4014733E">
            <w:pPr>
              <w:pStyle w:val="2"/>
              <w:keepNext w:val="0"/>
              <w:keepLines w:val="0"/>
              <w:suppressLineNumbers w:val="0"/>
              <w:spacing w:before="0" w:beforeAutospacing="0" w:after="0" w:afterAutospacing="0" w:line="240" w:lineRule="auto"/>
              <w:ind w:left="0" w:right="0" w:firstLine="0" w:firstLineChars="0"/>
              <w:rPr>
                <w:rFonts w:hint="default"/>
                <w:color w:val="auto"/>
                <w:sz w:val="18"/>
                <w:szCs w:val="18"/>
              </w:rPr>
            </w:pPr>
          </w:p>
          <w:p w14:paraId="23133404">
            <w:pPr>
              <w:keepNext w:val="0"/>
              <w:keepLines w:val="0"/>
              <w:suppressLineNumbers w:val="0"/>
              <w:spacing w:before="0" w:beforeAutospacing="0" w:after="0" w:afterAutospacing="0"/>
              <w:ind w:left="0" w:right="0" w:firstLine="480"/>
              <w:rPr>
                <w:rFonts w:hint="default"/>
                <w:color w:val="auto"/>
              </w:rPr>
            </w:pPr>
            <w:r>
              <w:rPr>
                <w:rFonts w:hint="eastAsia"/>
                <w:color w:val="auto"/>
              </w:rPr>
              <w:t>六、土壤</w:t>
            </w:r>
          </w:p>
          <w:p w14:paraId="1424CD96">
            <w:pPr>
              <w:keepNext w:val="0"/>
              <w:keepLines w:val="0"/>
              <w:suppressLineNumbers w:val="0"/>
              <w:spacing w:before="0" w:beforeAutospacing="0" w:after="0" w:afterAutospacing="0"/>
              <w:ind w:left="0" w:right="0" w:firstLine="480"/>
              <w:rPr>
                <w:rFonts w:hint="default"/>
                <w:color w:val="auto"/>
              </w:rPr>
            </w:pPr>
            <w:r>
              <w:rPr>
                <w:rFonts w:hint="default"/>
                <w:color w:val="auto"/>
              </w:rPr>
              <w:t>(1)</w:t>
            </w:r>
            <w:r>
              <w:rPr>
                <w:rFonts w:hint="eastAsia"/>
                <w:color w:val="auto"/>
              </w:rPr>
              <w:t xml:space="preserve"> </w:t>
            </w:r>
            <w:r>
              <w:rPr>
                <w:rFonts w:hint="default"/>
                <w:color w:val="auto"/>
              </w:rPr>
              <w:t>土壤环境影响分析</w:t>
            </w:r>
          </w:p>
          <w:p w14:paraId="34FF5052">
            <w:pPr>
              <w:keepNext w:val="0"/>
              <w:keepLines w:val="0"/>
              <w:suppressLineNumbers w:val="0"/>
              <w:spacing w:before="0" w:beforeAutospacing="0" w:after="0" w:afterAutospacing="0"/>
              <w:ind w:left="0" w:right="0" w:firstLine="480"/>
              <w:rPr>
                <w:rFonts w:hint="default"/>
                <w:color w:val="auto"/>
              </w:rPr>
            </w:pPr>
            <w:r>
              <w:rPr>
                <w:rFonts w:hint="default"/>
                <w:color w:val="auto"/>
              </w:rPr>
              <w:t>拟建项目运营期产生的各类危险废物采用相应包装容器密闭暂存于危险废物暂存库，各类危险废物等能得到妥善处置，不外排，因此不会受到雨水淋溶或风力作用而进入外环境。</w:t>
            </w:r>
          </w:p>
          <w:p w14:paraId="6E966FD8">
            <w:pPr>
              <w:keepNext w:val="0"/>
              <w:keepLines w:val="0"/>
              <w:suppressLineNumbers w:val="0"/>
              <w:spacing w:before="0" w:beforeAutospacing="0" w:after="0" w:afterAutospacing="0"/>
              <w:ind w:left="0" w:right="0" w:firstLine="480"/>
              <w:rPr>
                <w:rFonts w:hint="default"/>
                <w:color w:val="auto"/>
              </w:rPr>
            </w:pPr>
            <w:r>
              <w:rPr>
                <w:rFonts w:hint="default"/>
                <w:color w:val="auto"/>
              </w:rPr>
              <w:t>(2)</w:t>
            </w:r>
            <w:r>
              <w:rPr>
                <w:rFonts w:hint="eastAsia"/>
                <w:color w:val="auto"/>
              </w:rPr>
              <w:t xml:space="preserve"> </w:t>
            </w:r>
            <w:r>
              <w:rPr>
                <w:rFonts w:hint="default"/>
                <w:color w:val="auto"/>
              </w:rPr>
              <w:t>土壤环境保护措施</w:t>
            </w:r>
          </w:p>
          <w:p w14:paraId="6CD09C39">
            <w:pPr>
              <w:keepNext w:val="0"/>
              <w:keepLines w:val="0"/>
              <w:suppressLineNumbers w:val="0"/>
              <w:spacing w:before="0" w:beforeAutospacing="0" w:after="0" w:afterAutospacing="0"/>
              <w:ind w:left="0" w:right="0" w:firstLine="480"/>
              <w:rPr>
                <w:rFonts w:hint="default"/>
                <w:color w:val="auto"/>
              </w:rPr>
            </w:pPr>
            <w:r>
              <w:rPr>
                <w:rFonts w:hint="eastAsia"/>
                <w:color w:val="auto"/>
              </w:rPr>
              <w:t>一、</w:t>
            </w:r>
            <w:r>
              <w:rPr>
                <w:rFonts w:hint="default"/>
                <w:color w:val="auto"/>
              </w:rPr>
              <w:t>源头控制措施</w:t>
            </w:r>
          </w:p>
          <w:p w14:paraId="1D62D4A0">
            <w:pPr>
              <w:keepNext w:val="0"/>
              <w:keepLines w:val="0"/>
              <w:suppressLineNumbers w:val="0"/>
              <w:spacing w:before="0" w:beforeAutospacing="0" w:after="0" w:afterAutospacing="0"/>
              <w:ind w:left="0" w:right="0" w:firstLine="480"/>
              <w:rPr>
                <w:rFonts w:hint="default"/>
                <w:color w:val="auto"/>
              </w:rPr>
            </w:pPr>
            <w:r>
              <w:rPr>
                <w:rFonts w:hint="default"/>
                <w:color w:val="auto"/>
              </w:rPr>
              <w:fldChar w:fldCharType="begin"/>
            </w:r>
            <w:r>
              <w:rPr>
                <w:rFonts w:hint="default"/>
                <w:color w:val="auto"/>
              </w:rPr>
              <w:instrText xml:space="preserve"> = 1 \* GB3 </w:instrText>
            </w:r>
            <w:r>
              <w:rPr>
                <w:rFonts w:hint="default"/>
                <w:color w:val="auto"/>
              </w:rPr>
              <w:fldChar w:fldCharType="separate"/>
            </w:r>
            <w:r>
              <w:rPr>
                <w:rFonts w:hint="eastAsia"/>
                <w:color w:val="auto"/>
              </w:rPr>
              <w:t>①</w:t>
            </w:r>
            <w:r>
              <w:rPr>
                <w:rFonts w:hint="default"/>
                <w:color w:val="auto"/>
              </w:rPr>
              <w:fldChar w:fldCharType="end"/>
            </w:r>
            <w:r>
              <w:rPr>
                <w:rFonts w:hint="default"/>
                <w:color w:val="auto"/>
              </w:rPr>
              <w:t>项目应选择新技术、新工艺，尽可能从源头上减少污染物的产生和排放；</w:t>
            </w:r>
          </w:p>
          <w:p w14:paraId="5A9B916C">
            <w:pPr>
              <w:keepNext w:val="0"/>
              <w:keepLines w:val="0"/>
              <w:suppressLineNumbers w:val="0"/>
              <w:spacing w:before="0" w:beforeAutospacing="0" w:after="0" w:afterAutospacing="0"/>
              <w:ind w:left="0" w:right="0" w:firstLine="480"/>
              <w:rPr>
                <w:rFonts w:hint="default"/>
                <w:color w:val="auto"/>
              </w:rPr>
            </w:pPr>
            <w:r>
              <w:rPr>
                <w:rFonts w:hint="default"/>
                <w:color w:val="auto"/>
              </w:rPr>
              <w:fldChar w:fldCharType="begin"/>
            </w:r>
            <w:r>
              <w:rPr>
                <w:rFonts w:hint="default"/>
                <w:color w:val="auto"/>
              </w:rPr>
              <w:instrText xml:space="preserve"> = 2 \* GB3 </w:instrText>
            </w:r>
            <w:r>
              <w:rPr>
                <w:rFonts w:hint="default"/>
                <w:color w:val="auto"/>
              </w:rPr>
              <w:fldChar w:fldCharType="separate"/>
            </w:r>
            <w:r>
              <w:rPr>
                <w:rFonts w:hint="eastAsia"/>
                <w:color w:val="auto"/>
              </w:rPr>
              <w:t>②</w:t>
            </w:r>
            <w:r>
              <w:rPr>
                <w:rFonts w:hint="default"/>
                <w:color w:val="auto"/>
              </w:rPr>
              <w:fldChar w:fldCharType="end"/>
            </w:r>
            <w:r>
              <w:rPr>
                <w:rFonts w:hint="default"/>
                <w:color w:val="auto"/>
              </w:rPr>
              <w:t>企业在废水收集处理和治理过程中应从严要求，管道尽量采用材质较好的管道，从源头控制废水下渗污染土壤。</w:t>
            </w:r>
          </w:p>
          <w:p w14:paraId="22122198">
            <w:pPr>
              <w:keepNext w:val="0"/>
              <w:keepLines w:val="0"/>
              <w:suppressLineNumbers w:val="0"/>
              <w:spacing w:before="0" w:beforeAutospacing="0" w:after="0" w:afterAutospacing="0"/>
              <w:ind w:left="0" w:right="0" w:firstLine="480"/>
              <w:rPr>
                <w:rFonts w:hint="default"/>
                <w:color w:val="auto"/>
              </w:rPr>
            </w:pPr>
            <w:r>
              <w:rPr>
                <w:rFonts w:hint="eastAsia"/>
                <w:color w:val="auto"/>
              </w:rPr>
              <w:t>二、</w:t>
            </w:r>
            <w:r>
              <w:rPr>
                <w:rFonts w:hint="default"/>
                <w:color w:val="auto"/>
              </w:rPr>
              <w:t>过程防控措施</w:t>
            </w:r>
          </w:p>
          <w:p w14:paraId="50B60694">
            <w:pPr>
              <w:keepNext w:val="0"/>
              <w:keepLines w:val="0"/>
              <w:suppressLineNumbers w:val="0"/>
              <w:spacing w:before="0" w:beforeAutospacing="0" w:after="0" w:afterAutospacing="0"/>
              <w:ind w:left="0" w:right="0" w:firstLine="480"/>
              <w:rPr>
                <w:rFonts w:hint="default"/>
                <w:color w:val="auto"/>
              </w:rPr>
            </w:pPr>
            <w:r>
              <w:rPr>
                <w:rFonts w:hint="default"/>
                <w:color w:val="auto"/>
              </w:rPr>
              <w:fldChar w:fldCharType="begin"/>
            </w:r>
            <w:r>
              <w:rPr>
                <w:rFonts w:hint="default"/>
                <w:color w:val="auto"/>
              </w:rPr>
              <w:instrText xml:space="preserve"> = 1 \* GB3 </w:instrText>
            </w:r>
            <w:r>
              <w:rPr>
                <w:rFonts w:hint="default"/>
                <w:color w:val="auto"/>
              </w:rPr>
              <w:fldChar w:fldCharType="separate"/>
            </w:r>
            <w:r>
              <w:rPr>
                <w:rFonts w:hint="eastAsia"/>
                <w:color w:val="auto"/>
              </w:rPr>
              <w:t>①</w:t>
            </w:r>
            <w:r>
              <w:rPr>
                <w:rFonts w:hint="default"/>
                <w:color w:val="auto"/>
              </w:rPr>
              <w:fldChar w:fldCharType="end"/>
            </w:r>
            <w:r>
              <w:rPr>
                <w:rFonts w:hint="default"/>
                <w:color w:val="auto"/>
              </w:rPr>
              <w:t>厂区内应加大绿化措施，种植具有较强吸附能力的植物为主；</w:t>
            </w:r>
          </w:p>
          <w:p w14:paraId="2A1F8827">
            <w:pPr>
              <w:keepNext w:val="0"/>
              <w:keepLines w:val="0"/>
              <w:suppressLineNumbers w:val="0"/>
              <w:spacing w:before="0" w:beforeAutospacing="0" w:after="0" w:afterAutospacing="0"/>
              <w:ind w:left="0" w:right="0" w:firstLine="480"/>
              <w:rPr>
                <w:rFonts w:hint="default"/>
                <w:color w:val="auto"/>
              </w:rPr>
            </w:pPr>
            <w:r>
              <w:rPr>
                <w:rFonts w:hint="default"/>
                <w:color w:val="auto"/>
              </w:rPr>
              <w:fldChar w:fldCharType="begin"/>
            </w:r>
            <w:r>
              <w:rPr>
                <w:rFonts w:hint="default"/>
                <w:color w:val="auto"/>
              </w:rPr>
              <w:instrText xml:space="preserve"> = 2 \* GB3 </w:instrText>
            </w:r>
            <w:r>
              <w:rPr>
                <w:rFonts w:hint="default"/>
                <w:color w:val="auto"/>
              </w:rPr>
              <w:fldChar w:fldCharType="separate"/>
            </w:r>
            <w:r>
              <w:rPr>
                <w:rFonts w:hint="eastAsia"/>
                <w:color w:val="auto"/>
              </w:rPr>
              <w:t>②</w:t>
            </w:r>
            <w:r>
              <w:rPr>
                <w:rFonts w:hint="default"/>
                <w:color w:val="auto"/>
              </w:rPr>
              <w:fldChar w:fldCharType="end"/>
            </w:r>
            <w:r>
              <w:rPr>
                <w:rFonts w:hint="default"/>
                <w:color w:val="auto"/>
              </w:rPr>
              <w:t>根据地形特点，优化地面布局，以防止土壤环境污染；</w:t>
            </w:r>
          </w:p>
          <w:p w14:paraId="183C0EC8">
            <w:pPr>
              <w:keepNext w:val="0"/>
              <w:keepLines w:val="0"/>
              <w:suppressLineNumbers w:val="0"/>
              <w:spacing w:before="0" w:beforeAutospacing="0" w:after="0" w:afterAutospacing="0"/>
              <w:ind w:left="0" w:right="0" w:firstLine="480"/>
              <w:rPr>
                <w:rFonts w:hint="default"/>
                <w:color w:val="auto"/>
              </w:rPr>
            </w:pPr>
            <w:r>
              <w:rPr>
                <w:rFonts w:hint="default"/>
                <w:color w:val="auto"/>
              </w:rPr>
              <w:fldChar w:fldCharType="begin"/>
            </w:r>
            <w:r>
              <w:rPr>
                <w:rFonts w:hint="default"/>
                <w:color w:val="auto"/>
              </w:rPr>
              <w:instrText xml:space="preserve"> = 3 \* GB3 </w:instrText>
            </w:r>
            <w:r>
              <w:rPr>
                <w:rFonts w:hint="default"/>
                <w:color w:val="auto"/>
              </w:rPr>
              <w:fldChar w:fldCharType="separate"/>
            </w:r>
            <w:r>
              <w:rPr>
                <w:rFonts w:hint="eastAsia"/>
                <w:color w:val="auto"/>
              </w:rPr>
              <w:t>③</w:t>
            </w:r>
            <w:r>
              <w:rPr>
                <w:rFonts w:hint="default"/>
                <w:color w:val="auto"/>
              </w:rPr>
              <w:fldChar w:fldCharType="end"/>
            </w:r>
            <w:r>
              <w:rPr>
                <w:rFonts w:hint="default"/>
                <w:color w:val="auto"/>
              </w:rPr>
              <w:t>严格按照国家相关规范要求，对工艺、管道、设备、仓库和处理构筑物采取相应防腐、防渗措施，防止废水渗漏到地下污染土壤。</w:t>
            </w:r>
          </w:p>
          <w:p w14:paraId="61C83884">
            <w:pPr>
              <w:keepNext w:val="0"/>
              <w:keepLines w:val="0"/>
              <w:suppressLineNumbers w:val="0"/>
              <w:spacing w:before="0" w:beforeAutospacing="0" w:after="0" w:afterAutospacing="0"/>
              <w:ind w:left="0" w:right="0" w:firstLine="480"/>
              <w:rPr>
                <w:rFonts w:hint="default"/>
                <w:color w:val="auto"/>
              </w:rPr>
            </w:pPr>
            <w:r>
              <w:rPr>
                <w:rFonts w:hint="default"/>
                <w:color w:val="auto"/>
              </w:rPr>
              <w:fldChar w:fldCharType="begin"/>
            </w:r>
            <w:r>
              <w:rPr>
                <w:rFonts w:hint="default"/>
                <w:color w:val="auto"/>
              </w:rPr>
              <w:instrText xml:space="preserve"> = 4 \* GB3 </w:instrText>
            </w:r>
            <w:r>
              <w:rPr>
                <w:rFonts w:hint="default"/>
                <w:color w:val="auto"/>
              </w:rPr>
              <w:fldChar w:fldCharType="separate"/>
            </w:r>
            <w:r>
              <w:rPr>
                <w:rFonts w:hint="eastAsia"/>
                <w:color w:val="auto"/>
              </w:rPr>
              <w:t>④</w:t>
            </w:r>
            <w:r>
              <w:rPr>
                <w:rFonts w:hint="default"/>
                <w:color w:val="auto"/>
              </w:rPr>
              <w:fldChar w:fldCharType="end"/>
            </w:r>
            <w:r>
              <w:rPr>
                <w:rFonts w:hint="default"/>
                <w:color w:val="auto"/>
              </w:rPr>
              <w:t>危险废物临时存放场所要按照国家相关规范要求，采取严格的防泄漏、防溢流、防腐蚀、防雨淋等措施，严防污染物下渗到土壤中污染土壤。</w:t>
            </w:r>
          </w:p>
          <w:p w14:paraId="658CAF59">
            <w:pPr>
              <w:keepNext w:val="0"/>
              <w:keepLines w:val="0"/>
              <w:suppressLineNumbers w:val="0"/>
              <w:spacing w:before="0" w:beforeAutospacing="0" w:after="0" w:afterAutospacing="0"/>
              <w:ind w:left="0" w:right="0" w:firstLine="480"/>
              <w:rPr>
                <w:rFonts w:hint="default"/>
                <w:color w:val="auto"/>
              </w:rPr>
            </w:pPr>
            <w:r>
              <w:rPr>
                <w:rFonts w:hint="default"/>
                <w:color w:val="auto"/>
              </w:rPr>
              <w:fldChar w:fldCharType="begin"/>
            </w:r>
            <w:r>
              <w:rPr>
                <w:rFonts w:hint="default"/>
                <w:color w:val="auto"/>
              </w:rPr>
              <w:instrText xml:space="preserve"> = 5 \* GB3 </w:instrText>
            </w:r>
            <w:r>
              <w:rPr>
                <w:rFonts w:hint="default"/>
                <w:color w:val="auto"/>
              </w:rPr>
              <w:fldChar w:fldCharType="separate"/>
            </w:r>
            <w:r>
              <w:rPr>
                <w:rFonts w:hint="eastAsia"/>
                <w:color w:val="auto"/>
              </w:rPr>
              <w:t>⑤</w:t>
            </w:r>
            <w:r>
              <w:rPr>
                <w:rFonts w:hint="default"/>
                <w:color w:val="auto"/>
              </w:rPr>
              <w:fldChar w:fldCharType="end"/>
            </w:r>
            <w:r>
              <w:rPr>
                <w:rFonts w:hint="default"/>
                <w:color w:val="auto"/>
              </w:rPr>
              <w:t>固废不得露天堆放，危险废物暂存库需设置防雨措施，防治雨水冲刷过程将有毒有害污染物带入土壤中而污染环境。</w:t>
            </w:r>
          </w:p>
          <w:p w14:paraId="47C78EB4">
            <w:pPr>
              <w:keepNext w:val="0"/>
              <w:keepLines w:val="0"/>
              <w:suppressLineNumbers w:val="0"/>
              <w:spacing w:before="0" w:beforeAutospacing="0" w:after="0" w:afterAutospacing="0"/>
              <w:ind w:left="0" w:right="0" w:firstLine="480"/>
              <w:rPr>
                <w:rFonts w:hint="default"/>
                <w:color w:val="auto"/>
              </w:rPr>
            </w:pPr>
            <w:r>
              <w:rPr>
                <w:rFonts w:hint="eastAsia"/>
                <w:color w:val="auto"/>
              </w:rPr>
              <w:t>七</w:t>
            </w:r>
            <w:r>
              <w:rPr>
                <w:rFonts w:hint="default"/>
                <w:color w:val="auto"/>
              </w:rPr>
              <w:t>、生态环境</w:t>
            </w:r>
          </w:p>
          <w:p w14:paraId="0C9A720D">
            <w:pPr>
              <w:keepNext w:val="0"/>
              <w:keepLines w:val="0"/>
              <w:suppressLineNumbers w:val="0"/>
              <w:spacing w:before="0" w:beforeAutospacing="0" w:after="0" w:afterAutospacing="0"/>
              <w:ind w:left="0" w:right="0" w:firstLine="480"/>
              <w:rPr>
                <w:rFonts w:hint="default"/>
                <w:color w:val="auto"/>
              </w:rPr>
            </w:pPr>
            <w:r>
              <w:rPr>
                <w:rFonts w:hint="default"/>
                <w:color w:val="auto"/>
              </w:rPr>
              <w:t>本项目位于</w:t>
            </w:r>
            <w:r>
              <w:rPr>
                <w:rFonts w:hint="eastAsia"/>
                <w:color w:val="auto"/>
              </w:rPr>
              <w:t>浙江省杭州市</w:t>
            </w:r>
            <w:r>
              <w:rPr>
                <w:rFonts w:hint="eastAsia"/>
                <w:color w:val="auto"/>
                <w:lang w:eastAsia="zh-CN"/>
              </w:rPr>
              <w:t>余杭区五常街道绮颐弄10号1幢301室</w:t>
            </w:r>
            <w:r>
              <w:rPr>
                <w:rFonts w:hint="default"/>
                <w:color w:val="auto"/>
              </w:rPr>
              <w:t>，用地范围内无生态环境保护目标。</w:t>
            </w:r>
          </w:p>
          <w:p w14:paraId="05186ADA">
            <w:pPr>
              <w:keepNext w:val="0"/>
              <w:keepLines w:val="0"/>
              <w:suppressLineNumbers w:val="0"/>
              <w:spacing w:before="0" w:beforeAutospacing="0" w:after="0" w:afterAutospacing="0"/>
              <w:ind w:left="0" w:right="0" w:firstLine="480"/>
              <w:rPr>
                <w:rFonts w:hint="default"/>
                <w:color w:val="auto"/>
              </w:rPr>
            </w:pPr>
            <w:r>
              <w:rPr>
                <w:rFonts w:hint="eastAsia"/>
                <w:color w:val="auto"/>
              </w:rPr>
              <w:t>八、环境风险</w:t>
            </w:r>
          </w:p>
          <w:p w14:paraId="35BEE886">
            <w:pPr>
              <w:keepNext w:val="0"/>
              <w:keepLines w:val="0"/>
              <w:suppressLineNumbers w:val="0"/>
              <w:spacing w:before="0" w:beforeAutospacing="0" w:after="0" w:afterAutospacing="0"/>
              <w:ind w:left="0" w:right="0" w:firstLine="480"/>
              <w:rPr>
                <w:rFonts w:hint="default"/>
                <w:color w:val="auto"/>
              </w:rPr>
            </w:pPr>
            <w:r>
              <w:rPr>
                <w:rFonts w:hint="default"/>
                <w:color w:val="auto"/>
              </w:rPr>
              <w:t>环境风险评价的目的是分析和预测项目存在的潜在危险、有害因素，项目建设和运行期间可能发生的突发性事件或事故，引起有毒有害和易燃易爆等物质泄漏及所造成的人身安全与环境影响和损害程度，提出合理可行的防范、应急与减缓措施，以使建设项目事故率、损失和环境影响达到可接受水平。</w:t>
            </w:r>
          </w:p>
          <w:p w14:paraId="160AA3F0">
            <w:pPr>
              <w:keepNext w:val="0"/>
              <w:keepLines w:val="0"/>
              <w:numPr>
                <w:ilvl w:val="0"/>
                <w:numId w:val="10"/>
              </w:numPr>
              <w:suppressLineNumbers w:val="0"/>
              <w:spacing w:before="0" w:beforeAutospacing="0" w:after="0" w:afterAutospacing="0"/>
              <w:ind w:left="0" w:right="0" w:firstLine="480"/>
              <w:rPr>
                <w:rFonts w:hint="default"/>
                <w:color w:val="auto"/>
              </w:rPr>
            </w:pPr>
            <w:r>
              <w:rPr>
                <w:rFonts w:hint="default"/>
                <w:color w:val="auto"/>
              </w:rPr>
              <w:t>危险物质</w:t>
            </w:r>
          </w:p>
          <w:p w14:paraId="23F8C0B8">
            <w:pPr>
              <w:keepNext w:val="0"/>
              <w:keepLines w:val="0"/>
              <w:suppressLineNumbers w:val="0"/>
              <w:spacing w:before="0" w:beforeAutospacing="0" w:after="0" w:afterAutospacing="0"/>
              <w:ind w:left="0" w:right="0" w:firstLine="480"/>
              <w:rPr>
                <w:rFonts w:hint="default"/>
                <w:color w:val="auto"/>
              </w:rPr>
            </w:pPr>
            <w:r>
              <w:rPr>
                <w:rFonts w:hint="eastAsia"/>
                <w:color w:val="auto"/>
                <w:lang w:val="en-US" w:eastAsia="zh-CN"/>
              </w:rPr>
              <w:t>HCl缓冲液</w:t>
            </w:r>
            <w:r>
              <w:rPr>
                <w:rFonts w:hint="default"/>
                <w:color w:val="auto"/>
              </w:rPr>
              <w:t>、磷酸</w:t>
            </w:r>
            <w:r>
              <w:rPr>
                <w:rFonts w:hint="eastAsia"/>
                <w:color w:val="auto"/>
                <w:lang w:val="en-US" w:eastAsia="zh-CN"/>
              </w:rPr>
              <w:t>缓冲液</w:t>
            </w:r>
            <w:r>
              <w:rPr>
                <w:rFonts w:hint="default"/>
                <w:color w:val="auto"/>
              </w:rPr>
              <w:t>属于《建设项目环境风险评价技术导则》（HJ169-2018）附录B突发环境事件风险物质，危险废物属于《浙江省企业环境风险评估技术指南》中的环境风险物质，Q值如下。</w:t>
            </w:r>
          </w:p>
          <w:p w14:paraId="1DF4AF6E">
            <w:pPr>
              <w:pStyle w:val="2"/>
              <w:keepNext w:val="0"/>
              <w:keepLines w:val="0"/>
              <w:suppressLineNumbers w:val="0"/>
              <w:spacing w:before="0" w:beforeAutospacing="0" w:after="0" w:afterAutospacing="0"/>
              <w:ind w:left="0" w:right="0" w:firstLine="0" w:firstLineChars="0"/>
              <w:jc w:val="center"/>
              <w:rPr>
                <w:rFonts w:hint="default" w:eastAsia="黑体" w:cs="Times New Roman"/>
                <w:bCs/>
                <w:color w:val="auto"/>
                <w:szCs w:val="24"/>
              </w:rPr>
            </w:pPr>
            <w:r>
              <w:rPr>
                <w:rFonts w:hint="default" w:eastAsia="黑体" w:cs="Times New Roman"/>
                <w:bCs/>
                <w:color w:val="auto"/>
                <w:szCs w:val="24"/>
              </w:rPr>
              <w:t>表4-</w:t>
            </w:r>
            <w:r>
              <w:rPr>
                <w:rFonts w:hint="eastAsia" w:eastAsia="黑体" w:cs="Times New Roman"/>
                <w:bCs/>
                <w:color w:val="auto"/>
                <w:szCs w:val="24"/>
                <w:lang w:val="en-US" w:eastAsia="zh-CN"/>
              </w:rPr>
              <w:t>16</w:t>
            </w:r>
            <w:r>
              <w:rPr>
                <w:rFonts w:hint="default" w:eastAsia="黑体" w:cs="Times New Roman"/>
                <w:bCs/>
                <w:color w:val="auto"/>
                <w:szCs w:val="24"/>
              </w:rPr>
              <w:t xml:space="preserve">  </w:t>
            </w:r>
            <w:r>
              <w:rPr>
                <w:rFonts w:hint="eastAsia" w:eastAsia="黑体" w:cs="Times New Roman"/>
                <w:bCs/>
                <w:color w:val="auto"/>
                <w:szCs w:val="24"/>
              </w:rPr>
              <w:t>全厂</w:t>
            </w:r>
            <w:r>
              <w:rPr>
                <w:rFonts w:hint="default" w:eastAsia="黑体" w:cs="Times New Roman"/>
                <w:bCs/>
                <w:color w:val="auto"/>
                <w:szCs w:val="24"/>
              </w:rPr>
              <w:t>Q值确定表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679"/>
              <w:gridCol w:w="1284"/>
              <w:gridCol w:w="1404"/>
              <w:gridCol w:w="1260"/>
              <w:gridCol w:w="1485"/>
            </w:tblGrid>
            <w:tr w14:paraId="1565F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4" w:type="dxa"/>
                  <w:vAlign w:val="center"/>
                </w:tcPr>
                <w:p w14:paraId="5070F33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序号</w:t>
                  </w:r>
                </w:p>
              </w:tc>
              <w:tc>
                <w:tcPr>
                  <w:tcW w:w="1679" w:type="dxa"/>
                  <w:vAlign w:val="center"/>
                </w:tcPr>
                <w:p w14:paraId="4DE695D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化学品名称</w:t>
                  </w:r>
                </w:p>
              </w:tc>
              <w:tc>
                <w:tcPr>
                  <w:tcW w:w="1284" w:type="dxa"/>
                  <w:vAlign w:val="center"/>
                </w:tcPr>
                <w:p w14:paraId="079175D2">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CAS号</w:t>
                  </w:r>
                </w:p>
              </w:tc>
              <w:tc>
                <w:tcPr>
                  <w:tcW w:w="1404" w:type="dxa"/>
                  <w:vAlign w:val="center"/>
                </w:tcPr>
                <w:p w14:paraId="0B2D1E2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储存量qn/t</w:t>
                  </w:r>
                </w:p>
              </w:tc>
              <w:tc>
                <w:tcPr>
                  <w:tcW w:w="1260" w:type="dxa"/>
                  <w:vAlign w:val="center"/>
                </w:tcPr>
                <w:p w14:paraId="5356775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临界量Qn/t</w:t>
                  </w:r>
                </w:p>
              </w:tc>
              <w:tc>
                <w:tcPr>
                  <w:tcW w:w="1485" w:type="dxa"/>
                  <w:vAlign w:val="center"/>
                </w:tcPr>
                <w:p w14:paraId="6F37409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折算后Q值</w:t>
                  </w:r>
                </w:p>
              </w:tc>
            </w:tr>
            <w:tr w14:paraId="47334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4" w:type="dxa"/>
                  <w:vAlign w:val="center"/>
                </w:tcPr>
                <w:p w14:paraId="6D445B3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1679" w:type="dxa"/>
                  <w:vAlign w:val="center"/>
                </w:tcPr>
                <w:p w14:paraId="4EEF38D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z w:val="18"/>
                      <w:szCs w:val="18"/>
                      <w:lang w:eastAsia="zh-CN"/>
                    </w:rPr>
                  </w:pPr>
                  <w:r>
                    <w:rPr>
                      <w:rFonts w:hint="eastAsia" w:cs="Times New Roman"/>
                      <w:color w:val="auto"/>
                      <w:sz w:val="18"/>
                      <w:szCs w:val="18"/>
                      <w:lang w:val="en-US" w:eastAsia="zh-CN"/>
                    </w:rPr>
                    <w:t>磷酸</w:t>
                  </w:r>
                </w:p>
              </w:tc>
              <w:tc>
                <w:tcPr>
                  <w:tcW w:w="1284" w:type="dxa"/>
                  <w:vAlign w:val="center"/>
                </w:tcPr>
                <w:p w14:paraId="1B2EA8C1">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7664-38-2</w:t>
                  </w:r>
                </w:p>
              </w:tc>
              <w:tc>
                <w:tcPr>
                  <w:tcW w:w="1404" w:type="dxa"/>
                  <w:vAlign w:val="center"/>
                </w:tcPr>
                <w:p w14:paraId="2B89E281">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rPr>
                    <w:t>0.</w:t>
                  </w:r>
                  <w:r>
                    <w:rPr>
                      <w:rFonts w:hint="eastAsia" w:cs="Times New Roman"/>
                      <w:color w:val="auto"/>
                      <w:sz w:val="18"/>
                      <w:szCs w:val="18"/>
                      <w:lang w:val="en-US" w:eastAsia="zh-CN"/>
                    </w:rPr>
                    <w:t>005</w:t>
                  </w:r>
                </w:p>
              </w:tc>
              <w:tc>
                <w:tcPr>
                  <w:tcW w:w="1260" w:type="dxa"/>
                  <w:vAlign w:val="center"/>
                </w:tcPr>
                <w:p w14:paraId="6B64C2A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10</w:t>
                  </w:r>
                </w:p>
              </w:tc>
              <w:tc>
                <w:tcPr>
                  <w:tcW w:w="1485" w:type="dxa"/>
                  <w:vAlign w:val="center"/>
                </w:tcPr>
                <w:p w14:paraId="40EAD7F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lang w:val="en-US"/>
                    </w:rPr>
                  </w:pPr>
                  <w:r>
                    <w:rPr>
                      <w:rFonts w:hint="eastAsia" w:ascii="Times New Roman" w:hAnsi="Times New Roman" w:eastAsia="宋体" w:cs="Times New Roman"/>
                      <w:color w:val="auto"/>
                      <w:sz w:val="18"/>
                      <w:szCs w:val="18"/>
                      <w:lang w:val="en-US" w:eastAsia="zh-CN"/>
                    </w:rPr>
                    <w:t>0.0</w:t>
                  </w:r>
                  <w:r>
                    <w:rPr>
                      <w:rFonts w:hint="eastAsia" w:cs="Times New Roman"/>
                      <w:color w:val="auto"/>
                      <w:sz w:val="18"/>
                      <w:szCs w:val="18"/>
                      <w:lang w:val="en-US" w:eastAsia="zh-CN"/>
                    </w:rPr>
                    <w:t>005</w:t>
                  </w:r>
                </w:p>
              </w:tc>
            </w:tr>
            <w:tr w14:paraId="6115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4" w:type="dxa"/>
                  <w:vAlign w:val="center"/>
                </w:tcPr>
                <w:p w14:paraId="1BB94E7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w:t>
                  </w:r>
                </w:p>
              </w:tc>
              <w:tc>
                <w:tcPr>
                  <w:tcW w:w="1679" w:type="dxa"/>
                  <w:vAlign w:val="center"/>
                </w:tcPr>
                <w:p w14:paraId="1EC6AF79">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危险废物</w:t>
                  </w:r>
                </w:p>
              </w:tc>
              <w:tc>
                <w:tcPr>
                  <w:tcW w:w="1284" w:type="dxa"/>
                  <w:vAlign w:val="center"/>
                </w:tcPr>
                <w:p w14:paraId="24C6804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w:t>
                  </w:r>
                </w:p>
              </w:tc>
              <w:tc>
                <w:tcPr>
                  <w:tcW w:w="1404" w:type="dxa"/>
                  <w:vAlign w:val="center"/>
                </w:tcPr>
                <w:p w14:paraId="47D9B81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3.16</w:t>
                  </w:r>
                </w:p>
              </w:tc>
              <w:tc>
                <w:tcPr>
                  <w:tcW w:w="1260" w:type="dxa"/>
                  <w:vAlign w:val="center"/>
                </w:tcPr>
                <w:p w14:paraId="0F78E75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50</w:t>
                  </w:r>
                </w:p>
              </w:tc>
              <w:tc>
                <w:tcPr>
                  <w:tcW w:w="1485" w:type="dxa"/>
                  <w:vAlign w:val="center"/>
                </w:tcPr>
                <w:p w14:paraId="61A66F9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lang w:val="en-US"/>
                    </w:rPr>
                  </w:pPr>
                  <w:r>
                    <w:rPr>
                      <w:rFonts w:hint="eastAsia" w:ascii="Times New Roman" w:hAnsi="Times New Roman" w:eastAsia="宋体" w:cs="Times New Roman"/>
                      <w:color w:val="auto"/>
                      <w:sz w:val="18"/>
                      <w:szCs w:val="18"/>
                      <w:lang w:val="en-US" w:eastAsia="zh-CN"/>
                    </w:rPr>
                    <w:t>0.0</w:t>
                  </w:r>
                  <w:r>
                    <w:rPr>
                      <w:rFonts w:hint="eastAsia" w:cs="Times New Roman"/>
                      <w:color w:val="auto"/>
                      <w:sz w:val="18"/>
                      <w:szCs w:val="18"/>
                      <w:lang w:val="en-US" w:eastAsia="zh-CN"/>
                    </w:rPr>
                    <w:t>632</w:t>
                  </w:r>
                </w:p>
              </w:tc>
            </w:tr>
            <w:tr w14:paraId="3FCE6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4" w:type="dxa"/>
                  <w:vAlign w:val="center"/>
                </w:tcPr>
                <w:p w14:paraId="1849A3B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3</w:t>
                  </w:r>
                </w:p>
              </w:tc>
              <w:tc>
                <w:tcPr>
                  <w:tcW w:w="1679" w:type="dxa"/>
                  <w:vAlign w:val="center"/>
                </w:tcPr>
                <w:p w14:paraId="517FBC4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z w:val="18"/>
                      <w:szCs w:val="18"/>
                      <w:lang w:eastAsia="zh-CN"/>
                    </w:rPr>
                  </w:pPr>
                  <w:r>
                    <w:rPr>
                      <w:rFonts w:hint="eastAsia" w:cs="Times New Roman"/>
                      <w:color w:val="auto"/>
                      <w:sz w:val="18"/>
                      <w:szCs w:val="18"/>
                      <w:lang w:val="en-US" w:eastAsia="zh-CN"/>
                    </w:rPr>
                    <w:t>盐酸（折算为37%）</w:t>
                  </w:r>
                </w:p>
              </w:tc>
              <w:tc>
                <w:tcPr>
                  <w:tcW w:w="1284" w:type="dxa"/>
                  <w:vAlign w:val="center"/>
                </w:tcPr>
                <w:p w14:paraId="3355DBB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7647-01-0</w:t>
                  </w:r>
                </w:p>
              </w:tc>
              <w:tc>
                <w:tcPr>
                  <w:tcW w:w="1404" w:type="dxa"/>
                  <w:vAlign w:val="center"/>
                </w:tcPr>
                <w:p w14:paraId="3F3462B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0.001</w:t>
                  </w:r>
                </w:p>
              </w:tc>
              <w:tc>
                <w:tcPr>
                  <w:tcW w:w="1260" w:type="dxa"/>
                  <w:vAlign w:val="center"/>
                </w:tcPr>
                <w:p w14:paraId="79181FE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7.5</w:t>
                  </w:r>
                </w:p>
              </w:tc>
              <w:tc>
                <w:tcPr>
                  <w:tcW w:w="1485" w:type="dxa"/>
                  <w:vAlign w:val="center"/>
                </w:tcPr>
                <w:p w14:paraId="1B1CEA6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lang w:val="en-US"/>
                    </w:rPr>
                  </w:pPr>
                  <w:r>
                    <w:rPr>
                      <w:rFonts w:hint="eastAsia" w:ascii="Times New Roman" w:hAnsi="Times New Roman" w:eastAsia="宋体" w:cs="Times New Roman"/>
                      <w:color w:val="auto"/>
                      <w:sz w:val="18"/>
                      <w:szCs w:val="18"/>
                      <w:lang w:val="en-US" w:eastAsia="zh-CN"/>
                    </w:rPr>
                    <w:t>0.0000</w:t>
                  </w:r>
                  <w:r>
                    <w:rPr>
                      <w:rFonts w:hint="eastAsia" w:cs="Times New Roman"/>
                      <w:color w:val="auto"/>
                      <w:sz w:val="18"/>
                      <w:szCs w:val="18"/>
                      <w:lang w:val="en-US" w:eastAsia="zh-CN"/>
                    </w:rPr>
                    <w:t>13</w:t>
                  </w:r>
                </w:p>
              </w:tc>
            </w:tr>
            <w:tr w14:paraId="255C8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31" w:type="dxa"/>
                  <w:gridSpan w:val="5"/>
                  <w:vAlign w:val="center"/>
                </w:tcPr>
                <w:p w14:paraId="591990D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项目Q值∑</w:t>
                  </w:r>
                </w:p>
              </w:tc>
              <w:tc>
                <w:tcPr>
                  <w:tcW w:w="1485" w:type="dxa"/>
                  <w:vAlign w:val="center"/>
                </w:tcPr>
                <w:p w14:paraId="46B7CAE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0.063</w:t>
                  </w:r>
                </w:p>
              </w:tc>
            </w:tr>
            <w:tr w14:paraId="5AFA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816" w:type="dxa"/>
                  <w:gridSpan w:val="6"/>
                  <w:vAlign w:val="center"/>
                </w:tcPr>
                <w:p w14:paraId="5899C822">
                  <w:pPr>
                    <w:keepNext w:val="0"/>
                    <w:keepLines w:val="0"/>
                    <w:suppressLineNumbers w:val="0"/>
                    <w:spacing w:before="0" w:beforeAutospacing="0" w:after="0" w:afterAutospacing="0" w:line="240" w:lineRule="auto"/>
                    <w:ind w:left="0" w:right="0" w:firstLine="0" w:firstLineChars="0"/>
                    <w:jc w:val="left"/>
                    <w:rPr>
                      <w:rFonts w:hint="default" w:eastAsia="宋体"/>
                      <w:color w:val="auto"/>
                    </w:rPr>
                  </w:pPr>
                  <w:r>
                    <w:rPr>
                      <w:rFonts w:hint="eastAsia" w:ascii="宋体" w:hAnsi="宋体" w:cs="宋体"/>
                      <w:color w:val="auto"/>
                      <w:sz w:val="18"/>
                      <w:szCs w:val="18"/>
                    </w:rPr>
                    <w:t>备注：</w:t>
                  </w:r>
                  <w:r>
                    <w:rPr>
                      <w:rFonts w:hint="eastAsia" w:cs="Times New Roman"/>
                      <w:color w:val="auto"/>
                      <w:sz w:val="18"/>
                      <w:szCs w:val="18"/>
                    </w:rPr>
                    <w:t>参照《浙江省企业环境风险评估技术指南（修订版）》，将储存的危险废物作为环境风险物质考虑，本次计算按照全厂危险废物暂存3个月情况核算。</w:t>
                  </w:r>
                </w:p>
              </w:tc>
            </w:tr>
          </w:tbl>
          <w:p w14:paraId="675F12E7">
            <w:pPr>
              <w:pStyle w:val="2"/>
              <w:keepNext w:val="0"/>
              <w:keepLines w:val="0"/>
              <w:suppressLineNumbers w:val="0"/>
              <w:spacing w:before="0" w:beforeAutospacing="0" w:after="0" w:afterAutospacing="0" w:line="240" w:lineRule="auto"/>
              <w:ind w:left="0" w:right="0" w:firstLine="0" w:firstLineChars="0"/>
              <w:rPr>
                <w:rFonts w:hint="default"/>
                <w:color w:val="auto"/>
                <w:sz w:val="18"/>
                <w:szCs w:val="18"/>
              </w:rPr>
            </w:pPr>
          </w:p>
          <w:p w14:paraId="768FAC4B">
            <w:pPr>
              <w:keepNext w:val="0"/>
              <w:keepLines w:val="0"/>
              <w:suppressLineNumbers w:val="0"/>
              <w:spacing w:before="0" w:beforeAutospacing="0" w:after="0" w:afterAutospacing="0"/>
              <w:ind w:left="0" w:right="0" w:firstLine="480"/>
              <w:rPr>
                <w:rFonts w:hint="default"/>
                <w:color w:val="auto"/>
              </w:rPr>
            </w:pPr>
            <w:r>
              <w:rPr>
                <w:rFonts w:hint="default"/>
                <w:color w:val="auto"/>
              </w:rPr>
              <w:t>结合风险物质调查及识别过程结果，本项目建成后全厂危险物质数量与临界量比值Q值为0.</w:t>
            </w:r>
            <w:r>
              <w:rPr>
                <w:rFonts w:hint="eastAsia"/>
                <w:color w:val="auto"/>
                <w:lang w:val="en-US" w:eastAsia="zh-CN"/>
              </w:rPr>
              <w:t>063</w:t>
            </w:r>
            <w:r>
              <w:rPr>
                <w:rFonts w:hint="default"/>
                <w:color w:val="auto"/>
              </w:rPr>
              <w:t>，Q＜1</w:t>
            </w:r>
            <w:r>
              <w:rPr>
                <w:rFonts w:hint="eastAsia"/>
                <w:color w:val="auto"/>
              </w:rPr>
              <w:t>，该项目环境风险潜势为</w:t>
            </w:r>
            <w:r>
              <w:rPr>
                <w:rFonts w:hint="eastAsia"/>
                <w:color w:val="auto"/>
                <w:lang w:val="en-US" w:eastAsia="zh-CN"/>
              </w:rPr>
              <w:t xml:space="preserve"> </w:t>
            </w:r>
            <w:r>
              <w:rPr>
                <w:rFonts w:hint="default" w:cs="Times New Roman"/>
                <w:color w:val="auto"/>
              </w:rPr>
              <w:t>Ⅰ</w:t>
            </w:r>
            <w:r>
              <w:rPr>
                <w:rFonts w:hint="eastAsia"/>
                <w:color w:val="auto"/>
              </w:rPr>
              <w:t>。</w:t>
            </w:r>
          </w:p>
          <w:p w14:paraId="79B097B9">
            <w:pPr>
              <w:keepNext w:val="0"/>
              <w:keepLines w:val="0"/>
              <w:numPr>
                <w:ilvl w:val="0"/>
                <w:numId w:val="10"/>
              </w:numPr>
              <w:suppressLineNumbers w:val="0"/>
              <w:spacing w:before="0" w:beforeAutospacing="0" w:after="0" w:afterAutospacing="0"/>
              <w:ind w:left="0" w:right="0" w:firstLine="480"/>
              <w:rPr>
                <w:rFonts w:hint="default"/>
                <w:color w:val="auto"/>
              </w:rPr>
            </w:pPr>
            <w:r>
              <w:rPr>
                <w:rFonts w:hint="default"/>
                <w:color w:val="auto"/>
              </w:rPr>
              <w:t>危险物质及风险源分布情况</w:t>
            </w:r>
          </w:p>
          <w:p w14:paraId="57CB7657">
            <w:pPr>
              <w:keepNext w:val="0"/>
              <w:keepLines w:val="0"/>
              <w:suppressLineNumbers w:val="0"/>
              <w:spacing w:before="0" w:beforeAutospacing="0" w:after="0" w:afterAutospacing="0"/>
              <w:ind w:left="0" w:right="0" w:firstLine="480"/>
              <w:rPr>
                <w:rFonts w:hint="default"/>
                <w:color w:val="auto"/>
              </w:rPr>
            </w:pPr>
            <w:r>
              <w:rPr>
                <w:rFonts w:hint="default"/>
                <w:color w:val="auto"/>
              </w:rPr>
              <w:t>本项目危险物质主要为厂区暂存的危险废物</w:t>
            </w:r>
            <w:r>
              <w:rPr>
                <w:rFonts w:hint="eastAsia"/>
                <w:color w:val="auto"/>
                <w:lang w:val="en-US" w:eastAsia="zh-CN"/>
              </w:rPr>
              <w:t>及危化品库中暂存少量原辅材料</w:t>
            </w:r>
            <w:r>
              <w:rPr>
                <w:rFonts w:hint="default"/>
                <w:color w:val="auto"/>
              </w:rPr>
              <w:t>。</w:t>
            </w:r>
          </w:p>
          <w:p w14:paraId="2AC13567">
            <w:pPr>
              <w:keepNext w:val="0"/>
              <w:keepLines w:val="0"/>
              <w:numPr>
                <w:ilvl w:val="0"/>
                <w:numId w:val="10"/>
              </w:numPr>
              <w:suppressLineNumbers w:val="0"/>
              <w:spacing w:before="0" w:beforeAutospacing="0" w:after="0" w:afterAutospacing="0"/>
              <w:ind w:left="0" w:right="0" w:firstLine="480"/>
              <w:rPr>
                <w:rFonts w:hint="default"/>
                <w:color w:val="auto"/>
              </w:rPr>
            </w:pPr>
            <w:r>
              <w:rPr>
                <w:rFonts w:hint="default"/>
                <w:color w:val="auto"/>
              </w:rPr>
              <w:t>可能影响途径</w:t>
            </w:r>
          </w:p>
          <w:p w14:paraId="332E85D5">
            <w:pPr>
              <w:keepNext w:val="0"/>
              <w:keepLines w:val="0"/>
              <w:suppressLineNumbers w:val="0"/>
              <w:spacing w:before="0" w:beforeAutospacing="0" w:after="0" w:afterAutospacing="0"/>
              <w:ind w:left="0" w:right="0" w:firstLine="480"/>
              <w:rPr>
                <w:rFonts w:hint="default"/>
                <w:color w:val="auto"/>
                <w:lang w:val="zh-CN"/>
              </w:rPr>
            </w:pPr>
            <w:r>
              <w:rPr>
                <w:rFonts w:hint="default"/>
                <w:color w:val="auto"/>
                <w:lang w:val="zh-CN"/>
              </w:rPr>
              <w:t>环境风险识别结果应包括危险单元、风险源、主要危险物质、环境风险类型、环境影响途径、可能受影响的环境敏感目标。</w:t>
            </w:r>
          </w:p>
          <w:p w14:paraId="4085FEE6">
            <w:pPr>
              <w:keepNext w:val="0"/>
              <w:keepLines w:val="0"/>
              <w:suppressLineNumbers w:val="0"/>
              <w:spacing w:before="0" w:beforeAutospacing="0" w:after="0" w:afterAutospacing="0"/>
              <w:ind w:left="0" w:right="0" w:firstLine="480"/>
              <w:rPr>
                <w:rFonts w:hint="default"/>
                <w:color w:val="auto"/>
                <w:lang w:val="zh-CN"/>
              </w:rPr>
            </w:pPr>
            <w:r>
              <w:rPr>
                <w:rFonts w:hint="default"/>
                <w:color w:val="auto"/>
                <w:lang w:val="zh-CN"/>
              </w:rPr>
              <w:t>综上所述，通过物质危险性识别、生产系统危险性识别和环境风险类型识别，汇总拟建项目环境风险识别结果见下表所示。</w:t>
            </w:r>
          </w:p>
          <w:p w14:paraId="030295E9">
            <w:pPr>
              <w:pStyle w:val="2"/>
              <w:keepNext w:val="0"/>
              <w:keepLines w:val="0"/>
              <w:suppressLineNumbers w:val="0"/>
              <w:spacing w:before="0" w:beforeAutospacing="0" w:after="0" w:afterAutospacing="0"/>
              <w:ind w:left="0" w:right="0" w:firstLine="0" w:firstLineChars="0"/>
              <w:jc w:val="center"/>
              <w:rPr>
                <w:rFonts w:hint="default"/>
                <w:color w:val="auto"/>
              </w:rPr>
            </w:pPr>
            <w:r>
              <w:rPr>
                <w:rFonts w:hint="default" w:eastAsia="黑体" w:cs="Times New Roman"/>
                <w:bCs/>
                <w:color w:val="auto"/>
                <w:szCs w:val="24"/>
              </w:rPr>
              <w:t>表4-</w:t>
            </w:r>
            <w:r>
              <w:rPr>
                <w:rFonts w:hint="eastAsia" w:eastAsia="黑体" w:cs="Times New Roman"/>
                <w:bCs/>
                <w:color w:val="auto"/>
                <w:szCs w:val="24"/>
                <w:lang w:val="en-US" w:eastAsia="zh-CN"/>
              </w:rPr>
              <w:t>17</w:t>
            </w:r>
            <w:r>
              <w:rPr>
                <w:rFonts w:hint="default" w:eastAsia="黑体" w:cs="Times New Roman"/>
                <w:bCs/>
                <w:color w:val="auto"/>
                <w:szCs w:val="24"/>
              </w:rPr>
              <w:t xml:space="preserve">  </w:t>
            </w:r>
            <w:r>
              <w:rPr>
                <w:rFonts w:hint="eastAsia" w:eastAsia="黑体" w:cs="Times New Roman"/>
                <w:bCs/>
                <w:color w:val="auto"/>
                <w:szCs w:val="24"/>
              </w:rPr>
              <w:t>风险源分布情况及可能影响途径</w:t>
            </w:r>
          </w:p>
          <w:tbl>
            <w:tblPr>
              <w:tblStyle w:val="22"/>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6"/>
              <w:gridCol w:w="995"/>
              <w:gridCol w:w="1028"/>
              <w:gridCol w:w="1645"/>
              <w:gridCol w:w="1246"/>
              <w:gridCol w:w="1145"/>
              <w:gridCol w:w="1343"/>
            </w:tblGrid>
            <w:tr w14:paraId="16A6E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266" w:type="pct"/>
                  <w:vAlign w:val="center"/>
                </w:tcPr>
                <w:p w14:paraId="304892CE">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9"/>
                      <w:sz w:val="18"/>
                      <w:szCs w:val="18"/>
                    </w:rPr>
                    <w:t>序号</w:t>
                  </w:r>
                </w:p>
              </w:tc>
              <w:tc>
                <w:tcPr>
                  <w:tcW w:w="636" w:type="pct"/>
                  <w:vAlign w:val="center"/>
                </w:tcPr>
                <w:p w14:paraId="36F145EC">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6"/>
                      <w:sz w:val="18"/>
                      <w:szCs w:val="18"/>
                    </w:rPr>
                    <w:t>危险单位</w:t>
                  </w:r>
                </w:p>
              </w:tc>
              <w:tc>
                <w:tcPr>
                  <w:tcW w:w="657" w:type="pct"/>
                  <w:vAlign w:val="center"/>
                </w:tcPr>
                <w:p w14:paraId="7F4B4051">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6"/>
                      <w:sz w:val="18"/>
                      <w:szCs w:val="18"/>
                    </w:rPr>
                    <w:t>风险源</w:t>
                  </w:r>
                </w:p>
              </w:tc>
              <w:tc>
                <w:tcPr>
                  <w:tcW w:w="1051" w:type="pct"/>
                  <w:vAlign w:val="center"/>
                </w:tcPr>
                <w:p w14:paraId="1986B773">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7"/>
                      <w:sz w:val="18"/>
                      <w:szCs w:val="18"/>
                    </w:rPr>
                    <w:t>主要风险物质</w:t>
                  </w:r>
                </w:p>
              </w:tc>
              <w:tc>
                <w:tcPr>
                  <w:tcW w:w="796" w:type="pct"/>
                  <w:vAlign w:val="center"/>
                </w:tcPr>
                <w:p w14:paraId="3B75595D">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8"/>
                      <w:sz w:val="18"/>
                      <w:szCs w:val="18"/>
                    </w:rPr>
                    <w:t>环境风险类</w:t>
                  </w:r>
                  <w:r>
                    <w:rPr>
                      <w:rFonts w:ascii="Times New Roman" w:hAnsi="Times New Roman" w:cs="Times New Roman"/>
                      <w:color w:val="auto"/>
                      <w:sz w:val="18"/>
                      <w:szCs w:val="18"/>
                    </w:rPr>
                    <w:t>型</w:t>
                  </w:r>
                </w:p>
              </w:tc>
              <w:tc>
                <w:tcPr>
                  <w:tcW w:w="732" w:type="pct"/>
                  <w:vAlign w:val="center"/>
                </w:tcPr>
                <w:p w14:paraId="04E3D711">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8"/>
                      <w:sz w:val="18"/>
                      <w:szCs w:val="18"/>
                    </w:rPr>
                    <w:t>环境影响途</w:t>
                  </w:r>
                  <w:r>
                    <w:rPr>
                      <w:rFonts w:ascii="Times New Roman" w:hAnsi="Times New Roman" w:cs="Times New Roman"/>
                      <w:color w:val="auto"/>
                      <w:sz w:val="18"/>
                      <w:szCs w:val="18"/>
                    </w:rPr>
                    <w:t>径</w:t>
                  </w:r>
                </w:p>
              </w:tc>
              <w:tc>
                <w:tcPr>
                  <w:tcW w:w="858" w:type="pct"/>
                  <w:vAlign w:val="center"/>
                </w:tcPr>
                <w:p w14:paraId="7BC4BE91">
                  <w:pPr>
                    <w:pStyle w:val="25"/>
                    <w:spacing w:line="240" w:lineRule="auto"/>
                    <w:ind w:firstLine="0" w:firstLineChars="0"/>
                    <w:jc w:val="center"/>
                    <w:rPr>
                      <w:rFonts w:ascii="Times New Roman" w:hAnsi="Times New Roman" w:cs="Times New Roman"/>
                      <w:color w:val="auto"/>
                      <w:sz w:val="18"/>
                      <w:szCs w:val="18"/>
                      <w:lang w:eastAsia="zh-CN"/>
                    </w:rPr>
                  </w:pPr>
                  <w:r>
                    <w:rPr>
                      <w:rFonts w:ascii="Times New Roman" w:hAnsi="Times New Roman" w:cs="Times New Roman"/>
                      <w:color w:val="auto"/>
                      <w:spacing w:val="7"/>
                      <w:sz w:val="18"/>
                      <w:szCs w:val="18"/>
                      <w:lang w:eastAsia="zh-CN"/>
                    </w:rPr>
                    <w:t>可能受影响的</w:t>
                  </w:r>
                  <w:r>
                    <w:rPr>
                      <w:rFonts w:ascii="Times New Roman" w:hAnsi="Times New Roman" w:cs="Times New Roman"/>
                      <w:color w:val="auto"/>
                      <w:spacing w:val="8"/>
                      <w:sz w:val="18"/>
                      <w:szCs w:val="18"/>
                      <w:lang w:eastAsia="zh-CN"/>
                    </w:rPr>
                    <w:t>环境敏感目标</w:t>
                  </w:r>
                </w:p>
              </w:tc>
            </w:tr>
            <w:tr w14:paraId="01199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266" w:type="pct"/>
                  <w:vMerge w:val="restart"/>
                  <w:tcBorders>
                    <w:bottom w:val="nil"/>
                  </w:tcBorders>
                  <w:vAlign w:val="center"/>
                </w:tcPr>
                <w:p w14:paraId="3A1C6F01">
                  <w:pPr>
                    <w:spacing w:line="240" w:lineRule="auto"/>
                    <w:ind w:firstLine="0" w:firstLineChars="0"/>
                    <w:jc w:val="center"/>
                    <w:rPr>
                      <w:rFonts w:cs="Times New Roman"/>
                      <w:color w:val="auto"/>
                      <w:sz w:val="18"/>
                      <w:szCs w:val="18"/>
                    </w:rPr>
                  </w:pPr>
                  <w:r>
                    <w:rPr>
                      <w:rFonts w:cs="Times New Roman"/>
                      <w:color w:val="auto"/>
                      <w:sz w:val="18"/>
                      <w:szCs w:val="18"/>
                    </w:rPr>
                    <w:t>1</w:t>
                  </w:r>
                </w:p>
              </w:tc>
              <w:tc>
                <w:tcPr>
                  <w:tcW w:w="636" w:type="pct"/>
                  <w:vMerge w:val="restart"/>
                  <w:tcBorders>
                    <w:bottom w:val="nil"/>
                  </w:tcBorders>
                  <w:vAlign w:val="center"/>
                </w:tcPr>
                <w:p w14:paraId="7C2274B2">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6"/>
                      <w:sz w:val="18"/>
                      <w:szCs w:val="18"/>
                    </w:rPr>
                    <w:t>危废暂存</w:t>
                  </w:r>
                  <w:r>
                    <w:rPr>
                      <w:rFonts w:ascii="Times New Roman" w:hAnsi="Times New Roman" w:cs="Times New Roman"/>
                      <w:color w:val="auto"/>
                      <w:sz w:val="18"/>
                      <w:szCs w:val="18"/>
                    </w:rPr>
                    <w:t>间</w:t>
                  </w:r>
                </w:p>
              </w:tc>
              <w:tc>
                <w:tcPr>
                  <w:tcW w:w="657" w:type="pct"/>
                  <w:vMerge w:val="restart"/>
                  <w:tcBorders>
                    <w:bottom w:val="nil"/>
                  </w:tcBorders>
                  <w:vAlign w:val="center"/>
                </w:tcPr>
                <w:p w14:paraId="2505795D">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6"/>
                      <w:sz w:val="18"/>
                      <w:szCs w:val="18"/>
                    </w:rPr>
                    <w:t>危险废物</w:t>
                  </w:r>
                </w:p>
              </w:tc>
              <w:tc>
                <w:tcPr>
                  <w:tcW w:w="1051" w:type="pct"/>
                  <w:vMerge w:val="restart"/>
                  <w:tcBorders>
                    <w:bottom w:val="nil"/>
                  </w:tcBorders>
                  <w:vAlign w:val="center"/>
                </w:tcPr>
                <w:p w14:paraId="39F0A0E8">
                  <w:pPr>
                    <w:pStyle w:val="25"/>
                    <w:spacing w:line="240" w:lineRule="auto"/>
                    <w:ind w:firstLine="0" w:firstLineChars="0"/>
                    <w:jc w:val="center"/>
                    <w:rPr>
                      <w:rFonts w:hint="default" w:ascii="Times New Roman" w:hAnsi="Times New Roman" w:cs="Times New Roman"/>
                      <w:color w:val="auto"/>
                      <w:sz w:val="18"/>
                      <w:szCs w:val="18"/>
                      <w:lang w:val="en-US"/>
                    </w:rPr>
                  </w:pPr>
                  <w:r>
                    <w:rPr>
                      <w:rFonts w:hint="eastAsia" w:ascii="Times New Roman" w:hAnsi="Times New Roman" w:cs="Times New Roman"/>
                      <w:color w:val="auto"/>
                      <w:spacing w:val="8"/>
                      <w:sz w:val="18"/>
                      <w:szCs w:val="18"/>
                      <w:lang w:val="en-US" w:eastAsia="zh-CN"/>
                    </w:rPr>
                    <w:t>实验废液、实验废物、</w:t>
                  </w:r>
                  <w:r>
                    <w:rPr>
                      <w:rFonts w:ascii="Times New Roman" w:hAnsi="Times New Roman" w:cs="Times New Roman"/>
                      <w:color w:val="auto"/>
                      <w:spacing w:val="5"/>
                      <w:sz w:val="18"/>
                      <w:szCs w:val="18"/>
                      <w:lang w:eastAsia="zh-CN"/>
                    </w:rPr>
                    <w:t>废活性炭</w:t>
                  </w:r>
                  <w:r>
                    <w:rPr>
                      <w:rFonts w:hint="eastAsia" w:ascii="Times New Roman" w:hAnsi="Times New Roman" w:cs="Times New Roman"/>
                      <w:color w:val="auto"/>
                      <w:spacing w:val="5"/>
                      <w:sz w:val="18"/>
                      <w:szCs w:val="18"/>
                      <w:lang w:val="en-US" w:eastAsia="zh-CN"/>
                    </w:rPr>
                    <w:t>等</w:t>
                  </w:r>
                </w:p>
              </w:tc>
              <w:tc>
                <w:tcPr>
                  <w:tcW w:w="796" w:type="pct"/>
                  <w:vMerge w:val="restart"/>
                  <w:tcBorders>
                    <w:bottom w:val="nil"/>
                  </w:tcBorders>
                  <w:vAlign w:val="center"/>
                </w:tcPr>
                <w:p w14:paraId="4EDA2606">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3"/>
                      <w:sz w:val="18"/>
                      <w:szCs w:val="18"/>
                    </w:rPr>
                    <w:t>泄露</w:t>
                  </w:r>
                </w:p>
              </w:tc>
              <w:tc>
                <w:tcPr>
                  <w:tcW w:w="732" w:type="pct"/>
                  <w:vAlign w:val="center"/>
                </w:tcPr>
                <w:p w14:paraId="5CF8F35D">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7"/>
                      <w:sz w:val="18"/>
                      <w:szCs w:val="18"/>
                    </w:rPr>
                    <w:t>地表径流</w:t>
                  </w:r>
                </w:p>
              </w:tc>
              <w:tc>
                <w:tcPr>
                  <w:tcW w:w="858" w:type="pct"/>
                  <w:vAlign w:val="center"/>
                </w:tcPr>
                <w:p w14:paraId="2B0C218F">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4"/>
                      <w:sz w:val="18"/>
                      <w:szCs w:val="18"/>
                    </w:rPr>
                    <w:t>附近地表水</w:t>
                  </w:r>
                </w:p>
              </w:tc>
            </w:tr>
            <w:tr w14:paraId="2ADE4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266" w:type="pct"/>
                  <w:vMerge w:val="continue"/>
                  <w:tcBorders>
                    <w:top w:val="nil"/>
                  </w:tcBorders>
                  <w:vAlign w:val="center"/>
                </w:tcPr>
                <w:p w14:paraId="34F076BE">
                  <w:pPr>
                    <w:spacing w:line="240" w:lineRule="auto"/>
                    <w:ind w:firstLine="0" w:firstLineChars="0"/>
                    <w:jc w:val="center"/>
                    <w:rPr>
                      <w:rFonts w:cs="Times New Roman"/>
                      <w:color w:val="auto"/>
                      <w:sz w:val="18"/>
                      <w:szCs w:val="18"/>
                    </w:rPr>
                  </w:pPr>
                </w:p>
              </w:tc>
              <w:tc>
                <w:tcPr>
                  <w:tcW w:w="636" w:type="pct"/>
                  <w:vMerge w:val="continue"/>
                  <w:tcBorders>
                    <w:top w:val="nil"/>
                  </w:tcBorders>
                  <w:vAlign w:val="center"/>
                </w:tcPr>
                <w:p w14:paraId="2DFD740C">
                  <w:pPr>
                    <w:spacing w:line="240" w:lineRule="auto"/>
                    <w:ind w:firstLine="0" w:firstLineChars="0"/>
                    <w:jc w:val="center"/>
                    <w:rPr>
                      <w:rFonts w:cs="Times New Roman"/>
                      <w:color w:val="auto"/>
                      <w:sz w:val="18"/>
                      <w:szCs w:val="18"/>
                    </w:rPr>
                  </w:pPr>
                </w:p>
              </w:tc>
              <w:tc>
                <w:tcPr>
                  <w:tcW w:w="657" w:type="pct"/>
                  <w:vMerge w:val="continue"/>
                  <w:tcBorders>
                    <w:top w:val="nil"/>
                  </w:tcBorders>
                  <w:vAlign w:val="center"/>
                </w:tcPr>
                <w:p w14:paraId="02B60F32">
                  <w:pPr>
                    <w:spacing w:line="240" w:lineRule="auto"/>
                    <w:ind w:firstLine="0" w:firstLineChars="0"/>
                    <w:jc w:val="center"/>
                    <w:rPr>
                      <w:rFonts w:cs="Times New Roman"/>
                      <w:color w:val="auto"/>
                      <w:sz w:val="18"/>
                      <w:szCs w:val="18"/>
                    </w:rPr>
                  </w:pPr>
                </w:p>
              </w:tc>
              <w:tc>
                <w:tcPr>
                  <w:tcW w:w="1051" w:type="pct"/>
                  <w:vMerge w:val="continue"/>
                  <w:tcBorders>
                    <w:top w:val="nil"/>
                  </w:tcBorders>
                  <w:vAlign w:val="center"/>
                </w:tcPr>
                <w:p w14:paraId="176014C1">
                  <w:pPr>
                    <w:spacing w:line="240" w:lineRule="auto"/>
                    <w:ind w:firstLine="0" w:firstLineChars="0"/>
                    <w:jc w:val="center"/>
                    <w:rPr>
                      <w:rFonts w:cs="Times New Roman"/>
                      <w:color w:val="auto"/>
                      <w:sz w:val="18"/>
                      <w:szCs w:val="18"/>
                    </w:rPr>
                  </w:pPr>
                </w:p>
              </w:tc>
              <w:tc>
                <w:tcPr>
                  <w:tcW w:w="796" w:type="pct"/>
                  <w:vMerge w:val="continue"/>
                  <w:tcBorders>
                    <w:top w:val="nil"/>
                  </w:tcBorders>
                  <w:vAlign w:val="center"/>
                </w:tcPr>
                <w:p w14:paraId="683EC0B2">
                  <w:pPr>
                    <w:spacing w:line="240" w:lineRule="auto"/>
                    <w:ind w:firstLine="0" w:firstLineChars="0"/>
                    <w:jc w:val="center"/>
                    <w:rPr>
                      <w:rFonts w:cs="Times New Roman"/>
                      <w:color w:val="auto"/>
                      <w:sz w:val="18"/>
                      <w:szCs w:val="18"/>
                    </w:rPr>
                  </w:pPr>
                </w:p>
              </w:tc>
              <w:tc>
                <w:tcPr>
                  <w:tcW w:w="732" w:type="pct"/>
                  <w:vAlign w:val="center"/>
                </w:tcPr>
                <w:p w14:paraId="39EE7348">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7"/>
                      <w:sz w:val="18"/>
                      <w:szCs w:val="18"/>
                    </w:rPr>
                    <w:t>土壤渗漏</w:t>
                  </w:r>
                </w:p>
              </w:tc>
              <w:tc>
                <w:tcPr>
                  <w:tcW w:w="858" w:type="pct"/>
                  <w:vAlign w:val="center"/>
                </w:tcPr>
                <w:p w14:paraId="0E0E72E0">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5"/>
                      <w:sz w:val="18"/>
                      <w:szCs w:val="18"/>
                    </w:rPr>
                    <w:t>附近土壤、地</w:t>
                  </w:r>
                  <w:r>
                    <w:rPr>
                      <w:rFonts w:ascii="Times New Roman" w:hAnsi="Times New Roman" w:cs="Times New Roman"/>
                      <w:color w:val="auto"/>
                      <w:spacing w:val="1"/>
                      <w:sz w:val="18"/>
                      <w:szCs w:val="18"/>
                    </w:rPr>
                    <w:t>下水</w:t>
                  </w:r>
                </w:p>
              </w:tc>
            </w:tr>
            <w:tr w14:paraId="06BF7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266" w:type="pct"/>
                  <w:vMerge w:val="restart"/>
                  <w:tcBorders>
                    <w:bottom w:val="nil"/>
                  </w:tcBorders>
                  <w:vAlign w:val="center"/>
                </w:tcPr>
                <w:p w14:paraId="2E0E8E8B">
                  <w:pPr>
                    <w:spacing w:line="240" w:lineRule="auto"/>
                    <w:ind w:firstLine="0" w:firstLineChars="0"/>
                    <w:jc w:val="center"/>
                    <w:rPr>
                      <w:rFonts w:cs="Times New Roman"/>
                      <w:color w:val="auto"/>
                      <w:sz w:val="18"/>
                      <w:szCs w:val="18"/>
                    </w:rPr>
                  </w:pPr>
                  <w:r>
                    <w:rPr>
                      <w:rFonts w:cs="Times New Roman"/>
                      <w:color w:val="auto"/>
                      <w:sz w:val="18"/>
                      <w:szCs w:val="18"/>
                    </w:rPr>
                    <w:t>2</w:t>
                  </w:r>
                </w:p>
              </w:tc>
              <w:tc>
                <w:tcPr>
                  <w:tcW w:w="636" w:type="pct"/>
                  <w:vMerge w:val="restart"/>
                  <w:tcBorders>
                    <w:bottom w:val="nil"/>
                  </w:tcBorders>
                  <w:vAlign w:val="center"/>
                </w:tcPr>
                <w:p w14:paraId="4685DB4C">
                  <w:pPr>
                    <w:pStyle w:val="25"/>
                    <w:spacing w:line="240" w:lineRule="auto"/>
                    <w:ind w:firstLine="0" w:firstLineChars="0"/>
                    <w:jc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危化品库、仓库等</w:t>
                  </w:r>
                </w:p>
              </w:tc>
              <w:tc>
                <w:tcPr>
                  <w:tcW w:w="657" w:type="pct"/>
                  <w:vMerge w:val="restart"/>
                  <w:tcBorders>
                    <w:bottom w:val="nil"/>
                  </w:tcBorders>
                  <w:vAlign w:val="center"/>
                </w:tcPr>
                <w:p w14:paraId="09DB7280">
                  <w:pPr>
                    <w:pStyle w:val="25"/>
                    <w:spacing w:line="240" w:lineRule="auto"/>
                    <w:ind w:firstLine="0" w:firstLineChars="0"/>
                    <w:jc w:val="center"/>
                    <w:rPr>
                      <w:rFonts w:hint="eastAsia" w:ascii="Times New Roman" w:hAnsi="Times New Roman" w:eastAsia="宋体" w:cs="Times New Roman"/>
                      <w:color w:val="auto"/>
                      <w:sz w:val="18"/>
                      <w:szCs w:val="18"/>
                      <w:lang w:val="en-US" w:eastAsia="zh-CN"/>
                    </w:rPr>
                  </w:pPr>
                  <w:r>
                    <w:rPr>
                      <w:rFonts w:ascii="Times New Roman" w:hAnsi="Times New Roman" w:cs="Times New Roman"/>
                      <w:color w:val="auto"/>
                      <w:spacing w:val="-11"/>
                      <w:sz w:val="18"/>
                      <w:szCs w:val="18"/>
                    </w:rPr>
                    <w:t>磷酸</w:t>
                  </w:r>
                  <w:r>
                    <w:rPr>
                      <w:rFonts w:hint="eastAsia" w:ascii="Times New Roman" w:hAnsi="Times New Roman" w:cs="Times New Roman"/>
                      <w:color w:val="auto"/>
                      <w:spacing w:val="-11"/>
                      <w:sz w:val="18"/>
                      <w:szCs w:val="18"/>
                      <w:lang w:val="en-US" w:eastAsia="zh-CN"/>
                    </w:rPr>
                    <w:t>缓冲液</w:t>
                  </w:r>
                  <w:r>
                    <w:rPr>
                      <w:rFonts w:ascii="Times New Roman" w:hAnsi="Times New Roman" w:cs="Times New Roman"/>
                      <w:color w:val="auto"/>
                      <w:spacing w:val="-11"/>
                      <w:sz w:val="18"/>
                      <w:szCs w:val="18"/>
                    </w:rPr>
                    <w:t>、各类</w:t>
                  </w:r>
                  <w:r>
                    <w:rPr>
                      <w:rFonts w:hint="eastAsia" w:ascii="Times New Roman" w:hAnsi="Times New Roman" w:cs="Times New Roman"/>
                      <w:color w:val="auto"/>
                      <w:spacing w:val="-11"/>
                      <w:sz w:val="18"/>
                      <w:szCs w:val="18"/>
                      <w:lang w:val="en-US" w:eastAsia="zh-CN"/>
                    </w:rPr>
                    <w:t>试剂</w:t>
                  </w:r>
                </w:p>
              </w:tc>
              <w:tc>
                <w:tcPr>
                  <w:tcW w:w="1051" w:type="pct"/>
                  <w:vMerge w:val="restart"/>
                  <w:tcBorders>
                    <w:bottom w:val="nil"/>
                  </w:tcBorders>
                  <w:vAlign w:val="center"/>
                </w:tcPr>
                <w:p w14:paraId="660B061F">
                  <w:pPr>
                    <w:pStyle w:val="25"/>
                    <w:spacing w:line="240" w:lineRule="auto"/>
                    <w:ind w:firstLine="0" w:firstLineChars="0"/>
                    <w:jc w:val="center"/>
                    <w:rPr>
                      <w:rFonts w:hint="eastAsia" w:ascii="Times New Roman" w:hAnsi="Times New Roman" w:eastAsia="宋体" w:cs="Times New Roman"/>
                      <w:color w:val="auto"/>
                      <w:sz w:val="18"/>
                      <w:szCs w:val="18"/>
                      <w:lang w:eastAsia="zh-CN"/>
                    </w:rPr>
                  </w:pPr>
                  <w:r>
                    <w:rPr>
                      <w:rFonts w:ascii="Times New Roman" w:hAnsi="Times New Roman" w:cs="Times New Roman"/>
                      <w:color w:val="auto"/>
                      <w:spacing w:val="6"/>
                      <w:sz w:val="18"/>
                      <w:szCs w:val="18"/>
                    </w:rPr>
                    <w:t>磷酸、各类</w:t>
                  </w:r>
                  <w:r>
                    <w:rPr>
                      <w:rFonts w:hint="eastAsia" w:ascii="Times New Roman" w:hAnsi="Times New Roman" w:cs="Times New Roman"/>
                      <w:color w:val="auto"/>
                      <w:spacing w:val="6"/>
                      <w:sz w:val="18"/>
                      <w:szCs w:val="18"/>
                      <w:lang w:val="en-US" w:eastAsia="zh-CN"/>
                    </w:rPr>
                    <w:t>试剂</w:t>
                  </w:r>
                </w:p>
              </w:tc>
              <w:tc>
                <w:tcPr>
                  <w:tcW w:w="796" w:type="pct"/>
                  <w:vMerge w:val="restart"/>
                  <w:tcBorders>
                    <w:bottom w:val="nil"/>
                  </w:tcBorders>
                  <w:vAlign w:val="center"/>
                </w:tcPr>
                <w:p w14:paraId="24EF99E8">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2"/>
                      <w:sz w:val="18"/>
                      <w:szCs w:val="18"/>
                    </w:rPr>
                    <w:t>泄漏、火灾、</w:t>
                  </w:r>
                  <w:r>
                    <w:rPr>
                      <w:rFonts w:ascii="Times New Roman" w:hAnsi="Times New Roman" w:cs="Times New Roman"/>
                      <w:color w:val="auto"/>
                      <w:spacing w:val="6"/>
                      <w:sz w:val="18"/>
                      <w:szCs w:val="18"/>
                    </w:rPr>
                    <w:t>爆炸</w:t>
                  </w:r>
                </w:p>
              </w:tc>
              <w:tc>
                <w:tcPr>
                  <w:tcW w:w="732" w:type="pct"/>
                  <w:vAlign w:val="center"/>
                </w:tcPr>
                <w:p w14:paraId="547EF547">
                  <w:pPr>
                    <w:pStyle w:val="25"/>
                    <w:spacing w:line="240" w:lineRule="auto"/>
                    <w:ind w:firstLine="0" w:firstLineChars="0"/>
                    <w:jc w:val="center"/>
                    <w:outlineLvl w:val="2"/>
                    <w:rPr>
                      <w:rFonts w:ascii="Times New Roman" w:hAnsi="Times New Roman" w:cs="Times New Roman"/>
                      <w:color w:val="auto"/>
                      <w:sz w:val="18"/>
                      <w:szCs w:val="18"/>
                    </w:rPr>
                  </w:pPr>
                  <w:r>
                    <w:rPr>
                      <w:rFonts w:ascii="Times New Roman" w:hAnsi="Times New Roman" w:cs="Times New Roman"/>
                      <w:color w:val="auto"/>
                      <w:spacing w:val="7"/>
                      <w:sz w:val="18"/>
                      <w:szCs w:val="18"/>
                    </w:rPr>
                    <w:t>地表径流</w:t>
                  </w:r>
                </w:p>
              </w:tc>
              <w:tc>
                <w:tcPr>
                  <w:tcW w:w="858" w:type="pct"/>
                  <w:vAlign w:val="center"/>
                </w:tcPr>
                <w:p w14:paraId="4DDBD313">
                  <w:pPr>
                    <w:pStyle w:val="25"/>
                    <w:spacing w:line="240" w:lineRule="auto"/>
                    <w:ind w:firstLine="0" w:firstLineChars="0"/>
                    <w:jc w:val="center"/>
                    <w:outlineLvl w:val="2"/>
                    <w:rPr>
                      <w:rFonts w:ascii="Times New Roman" w:hAnsi="Times New Roman" w:cs="Times New Roman"/>
                      <w:color w:val="auto"/>
                      <w:sz w:val="18"/>
                      <w:szCs w:val="18"/>
                    </w:rPr>
                  </w:pPr>
                  <w:r>
                    <w:rPr>
                      <w:rFonts w:ascii="Times New Roman" w:hAnsi="Times New Roman" w:cs="Times New Roman"/>
                      <w:color w:val="auto"/>
                      <w:spacing w:val="4"/>
                      <w:sz w:val="18"/>
                      <w:szCs w:val="18"/>
                    </w:rPr>
                    <w:t>附近地表水</w:t>
                  </w:r>
                </w:p>
              </w:tc>
            </w:tr>
            <w:tr w14:paraId="4E0A37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266" w:type="pct"/>
                  <w:vMerge w:val="continue"/>
                  <w:tcBorders>
                    <w:top w:val="nil"/>
                    <w:bottom w:val="nil"/>
                  </w:tcBorders>
                  <w:vAlign w:val="center"/>
                </w:tcPr>
                <w:p w14:paraId="1AB1BE2E">
                  <w:pPr>
                    <w:spacing w:line="240" w:lineRule="auto"/>
                    <w:ind w:firstLine="0" w:firstLineChars="0"/>
                    <w:jc w:val="center"/>
                    <w:rPr>
                      <w:rFonts w:cs="Times New Roman"/>
                      <w:color w:val="auto"/>
                      <w:sz w:val="18"/>
                      <w:szCs w:val="18"/>
                    </w:rPr>
                  </w:pPr>
                </w:p>
              </w:tc>
              <w:tc>
                <w:tcPr>
                  <w:tcW w:w="636" w:type="pct"/>
                  <w:vMerge w:val="continue"/>
                  <w:tcBorders>
                    <w:top w:val="nil"/>
                    <w:bottom w:val="nil"/>
                  </w:tcBorders>
                  <w:vAlign w:val="center"/>
                </w:tcPr>
                <w:p w14:paraId="3873F082">
                  <w:pPr>
                    <w:spacing w:line="240" w:lineRule="auto"/>
                    <w:ind w:firstLine="0" w:firstLineChars="0"/>
                    <w:jc w:val="center"/>
                    <w:rPr>
                      <w:rFonts w:cs="Times New Roman"/>
                      <w:color w:val="auto"/>
                      <w:sz w:val="18"/>
                      <w:szCs w:val="18"/>
                    </w:rPr>
                  </w:pPr>
                </w:p>
              </w:tc>
              <w:tc>
                <w:tcPr>
                  <w:tcW w:w="657" w:type="pct"/>
                  <w:vMerge w:val="continue"/>
                  <w:tcBorders>
                    <w:top w:val="nil"/>
                    <w:bottom w:val="nil"/>
                  </w:tcBorders>
                  <w:vAlign w:val="center"/>
                </w:tcPr>
                <w:p w14:paraId="28A76306">
                  <w:pPr>
                    <w:spacing w:line="240" w:lineRule="auto"/>
                    <w:ind w:firstLine="0" w:firstLineChars="0"/>
                    <w:jc w:val="center"/>
                    <w:rPr>
                      <w:rFonts w:cs="Times New Roman"/>
                      <w:color w:val="auto"/>
                      <w:sz w:val="18"/>
                      <w:szCs w:val="18"/>
                    </w:rPr>
                  </w:pPr>
                </w:p>
              </w:tc>
              <w:tc>
                <w:tcPr>
                  <w:tcW w:w="1051" w:type="pct"/>
                  <w:vMerge w:val="continue"/>
                  <w:tcBorders>
                    <w:top w:val="nil"/>
                    <w:bottom w:val="nil"/>
                  </w:tcBorders>
                  <w:vAlign w:val="center"/>
                </w:tcPr>
                <w:p w14:paraId="4EEF465C">
                  <w:pPr>
                    <w:spacing w:line="240" w:lineRule="auto"/>
                    <w:ind w:firstLine="0" w:firstLineChars="0"/>
                    <w:jc w:val="center"/>
                    <w:rPr>
                      <w:rFonts w:cs="Times New Roman"/>
                      <w:color w:val="auto"/>
                      <w:sz w:val="18"/>
                      <w:szCs w:val="18"/>
                    </w:rPr>
                  </w:pPr>
                </w:p>
              </w:tc>
              <w:tc>
                <w:tcPr>
                  <w:tcW w:w="796" w:type="pct"/>
                  <w:vMerge w:val="continue"/>
                  <w:tcBorders>
                    <w:top w:val="nil"/>
                    <w:bottom w:val="nil"/>
                  </w:tcBorders>
                  <w:vAlign w:val="center"/>
                </w:tcPr>
                <w:p w14:paraId="76A27B71">
                  <w:pPr>
                    <w:spacing w:line="240" w:lineRule="auto"/>
                    <w:ind w:firstLine="0" w:firstLineChars="0"/>
                    <w:jc w:val="center"/>
                    <w:rPr>
                      <w:rFonts w:cs="Times New Roman"/>
                      <w:color w:val="auto"/>
                      <w:sz w:val="18"/>
                      <w:szCs w:val="18"/>
                    </w:rPr>
                  </w:pPr>
                </w:p>
              </w:tc>
              <w:tc>
                <w:tcPr>
                  <w:tcW w:w="732" w:type="pct"/>
                  <w:vAlign w:val="center"/>
                </w:tcPr>
                <w:p w14:paraId="551B3708">
                  <w:pPr>
                    <w:pStyle w:val="25"/>
                    <w:spacing w:line="240" w:lineRule="auto"/>
                    <w:ind w:firstLine="0" w:firstLineChars="0"/>
                    <w:jc w:val="center"/>
                    <w:outlineLvl w:val="2"/>
                    <w:rPr>
                      <w:rFonts w:ascii="Times New Roman" w:hAnsi="Times New Roman" w:cs="Times New Roman"/>
                      <w:color w:val="auto"/>
                      <w:sz w:val="18"/>
                      <w:szCs w:val="18"/>
                    </w:rPr>
                  </w:pPr>
                  <w:r>
                    <w:rPr>
                      <w:rFonts w:ascii="Times New Roman" w:hAnsi="Times New Roman" w:cs="Times New Roman"/>
                      <w:color w:val="auto"/>
                      <w:spacing w:val="7"/>
                      <w:sz w:val="18"/>
                      <w:szCs w:val="18"/>
                    </w:rPr>
                    <w:t>有机物挥发</w:t>
                  </w:r>
                </w:p>
              </w:tc>
              <w:tc>
                <w:tcPr>
                  <w:tcW w:w="858" w:type="pct"/>
                  <w:vAlign w:val="center"/>
                </w:tcPr>
                <w:p w14:paraId="379B21AF">
                  <w:pPr>
                    <w:pStyle w:val="25"/>
                    <w:spacing w:line="240" w:lineRule="auto"/>
                    <w:ind w:firstLine="0" w:firstLineChars="0"/>
                    <w:jc w:val="center"/>
                    <w:outlineLvl w:val="2"/>
                    <w:rPr>
                      <w:rFonts w:ascii="Times New Roman" w:hAnsi="Times New Roman" w:cs="Times New Roman"/>
                      <w:color w:val="auto"/>
                      <w:sz w:val="18"/>
                      <w:szCs w:val="18"/>
                    </w:rPr>
                  </w:pPr>
                  <w:r>
                    <w:rPr>
                      <w:rFonts w:ascii="Times New Roman" w:hAnsi="Times New Roman" w:cs="Times New Roman"/>
                      <w:color w:val="auto"/>
                      <w:spacing w:val="8"/>
                      <w:sz w:val="18"/>
                      <w:szCs w:val="18"/>
                    </w:rPr>
                    <w:t>周边大气环境</w:t>
                  </w:r>
                </w:p>
              </w:tc>
            </w:tr>
            <w:tr w14:paraId="0D9FE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266" w:type="pct"/>
                  <w:vMerge w:val="continue"/>
                  <w:tcBorders>
                    <w:top w:val="nil"/>
                  </w:tcBorders>
                  <w:vAlign w:val="center"/>
                </w:tcPr>
                <w:p w14:paraId="7E63797F">
                  <w:pPr>
                    <w:spacing w:line="240" w:lineRule="auto"/>
                    <w:ind w:firstLine="0" w:firstLineChars="0"/>
                    <w:jc w:val="center"/>
                    <w:rPr>
                      <w:rFonts w:cs="Times New Roman"/>
                      <w:color w:val="auto"/>
                      <w:sz w:val="18"/>
                      <w:szCs w:val="18"/>
                    </w:rPr>
                  </w:pPr>
                </w:p>
              </w:tc>
              <w:tc>
                <w:tcPr>
                  <w:tcW w:w="636" w:type="pct"/>
                  <w:vMerge w:val="continue"/>
                  <w:tcBorders>
                    <w:top w:val="nil"/>
                  </w:tcBorders>
                  <w:vAlign w:val="center"/>
                </w:tcPr>
                <w:p w14:paraId="4D711DAB">
                  <w:pPr>
                    <w:spacing w:line="240" w:lineRule="auto"/>
                    <w:ind w:firstLine="0" w:firstLineChars="0"/>
                    <w:jc w:val="center"/>
                    <w:rPr>
                      <w:rFonts w:cs="Times New Roman"/>
                      <w:color w:val="auto"/>
                      <w:sz w:val="18"/>
                      <w:szCs w:val="18"/>
                    </w:rPr>
                  </w:pPr>
                </w:p>
              </w:tc>
              <w:tc>
                <w:tcPr>
                  <w:tcW w:w="657" w:type="pct"/>
                  <w:vMerge w:val="continue"/>
                  <w:tcBorders>
                    <w:top w:val="nil"/>
                  </w:tcBorders>
                  <w:vAlign w:val="center"/>
                </w:tcPr>
                <w:p w14:paraId="6F0BE93A">
                  <w:pPr>
                    <w:spacing w:line="240" w:lineRule="auto"/>
                    <w:ind w:firstLine="0" w:firstLineChars="0"/>
                    <w:jc w:val="center"/>
                    <w:rPr>
                      <w:rFonts w:cs="Times New Roman"/>
                      <w:color w:val="auto"/>
                      <w:sz w:val="18"/>
                      <w:szCs w:val="18"/>
                    </w:rPr>
                  </w:pPr>
                </w:p>
              </w:tc>
              <w:tc>
                <w:tcPr>
                  <w:tcW w:w="1051" w:type="pct"/>
                  <w:vMerge w:val="continue"/>
                  <w:tcBorders>
                    <w:top w:val="nil"/>
                  </w:tcBorders>
                  <w:vAlign w:val="center"/>
                </w:tcPr>
                <w:p w14:paraId="4092B888">
                  <w:pPr>
                    <w:spacing w:line="240" w:lineRule="auto"/>
                    <w:ind w:firstLine="0" w:firstLineChars="0"/>
                    <w:jc w:val="center"/>
                    <w:rPr>
                      <w:rFonts w:cs="Times New Roman"/>
                      <w:color w:val="auto"/>
                      <w:sz w:val="18"/>
                      <w:szCs w:val="18"/>
                    </w:rPr>
                  </w:pPr>
                </w:p>
              </w:tc>
              <w:tc>
                <w:tcPr>
                  <w:tcW w:w="796" w:type="pct"/>
                  <w:vMerge w:val="continue"/>
                  <w:tcBorders>
                    <w:top w:val="nil"/>
                  </w:tcBorders>
                  <w:vAlign w:val="center"/>
                </w:tcPr>
                <w:p w14:paraId="0B77420B">
                  <w:pPr>
                    <w:spacing w:line="240" w:lineRule="auto"/>
                    <w:ind w:firstLine="0" w:firstLineChars="0"/>
                    <w:jc w:val="center"/>
                    <w:rPr>
                      <w:rFonts w:cs="Times New Roman"/>
                      <w:color w:val="auto"/>
                      <w:sz w:val="18"/>
                      <w:szCs w:val="18"/>
                    </w:rPr>
                  </w:pPr>
                </w:p>
              </w:tc>
              <w:tc>
                <w:tcPr>
                  <w:tcW w:w="732" w:type="pct"/>
                  <w:vAlign w:val="center"/>
                </w:tcPr>
                <w:p w14:paraId="46B9D64F">
                  <w:pPr>
                    <w:pStyle w:val="25"/>
                    <w:spacing w:line="240" w:lineRule="auto"/>
                    <w:ind w:firstLine="0" w:firstLineChars="0"/>
                    <w:jc w:val="center"/>
                    <w:outlineLvl w:val="2"/>
                    <w:rPr>
                      <w:rFonts w:ascii="Times New Roman" w:hAnsi="Times New Roman" w:cs="Times New Roman"/>
                      <w:color w:val="auto"/>
                      <w:sz w:val="18"/>
                      <w:szCs w:val="18"/>
                    </w:rPr>
                  </w:pPr>
                  <w:r>
                    <w:rPr>
                      <w:rFonts w:ascii="Times New Roman" w:hAnsi="Times New Roman" w:cs="Times New Roman"/>
                      <w:color w:val="auto"/>
                      <w:spacing w:val="7"/>
                      <w:sz w:val="18"/>
                      <w:szCs w:val="18"/>
                    </w:rPr>
                    <w:t>土壤渗漏</w:t>
                  </w:r>
                </w:p>
              </w:tc>
              <w:tc>
                <w:tcPr>
                  <w:tcW w:w="858" w:type="pct"/>
                  <w:vAlign w:val="center"/>
                </w:tcPr>
                <w:p w14:paraId="614B87B1">
                  <w:pPr>
                    <w:pStyle w:val="25"/>
                    <w:spacing w:line="240" w:lineRule="auto"/>
                    <w:ind w:firstLine="0" w:firstLineChars="0"/>
                    <w:jc w:val="center"/>
                    <w:outlineLvl w:val="2"/>
                    <w:rPr>
                      <w:rFonts w:ascii="Times New Roman" w:hAnsi="Times New Roman" w:cs="Times New Roman"/>
                      <w:color w:val="auto"/>
                      <w:sz w:val="18"/>
                      <w:szCs w:val="18"/>
                    </w:rPr>
                  </w:pPr>
                  <w:r>
                    <w:rPr>
                      <w:rFonts w:ascii="Times New Roman" w:hAnsi="Times New Roman" w:cs="Times New Roman"/>
                      <w:color w:val="auto"/>
                      <w:spacing w:val="5"/>
                      <w:sz w:val="18"/>
                      <w:szCs w:val="18"/>
                    </w:rPr>
                    <w:t>附近土壤、地</w:t>
                  </w:r>
                  <w:r>
                    <w:rPr>
                      <w:rFonts w:ascii="Times New Roman" w:hAnsi="Times New Roman" w:cs="Times New Roman"/>
                      <w:color w:val="auto"/>
                      <w:spacing w:val="1"/>
                      <w:sz w:val="18"/>
                      <w:szCs w:val="18"/>
                    </w:rPr>
                    <w:t>下水</w:t>
                  </w:r>
                </w:p>
              </w:tc>
            </w:tr>
            <w:tr w14:paraId="69D5C2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266" w:type="pct"/>
                  <w:vAlign w:val="center"/>
                </w:tcPr>
                <w:p w14:paraId="3F07D1C7">
                  <w:pPr>
                    <w:spacing w:line="240" w:lineRule="auto"/>
                    <w:ind w:firstLine="0" w:firstLineChars="0"/>
                    <w:jc w:val="center"/>
                    <w:rPr>
                      <w:rFonts w:cs="Times New Roman"/>
                      <w:color w:val="auto"/>
                      <w:sz w:val="18"/>
                      <w:szCs w:val="18"/>
                    </w:rPr>
                  </w:pPr>
                  <w:r>
                    <w:rPr>
                      <w:rFonts w:cs="Times New Roman"/>
                      <w:color w:val="auto"/>
                      <w:sz w:val="18"/>
                      <w:szCs w:val="18"/>
                    </w:rPr>
                    <w:t>3</w:t>
                  </w:r>
                </w:p>
              </w:tc>
              <w:tc>
                <w:tcPr>
                  <w:tcW w:w="636" w:type="pct"/>
                  <w:vAlign w:val="center"/>
                </w:tcPr>
                <w:p w14:paraId="6607A74F">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7"/>
                      <w:sz w:val="18"/>
                      <w:szCs w:val="18"/>
                    </w:rPr>
                    <w:t>废气处理</w:t>
                  </w:r>
                  <w:r>
                    <w:rPr>
                      <w:rFonts w:ascii="Times New Roman" w:hAnsi="Times New Roman" w:cs="Times New Roman"/>
                      <w:color w:val="auto"/>
                      <w:spacing w:val="4"/>
                      <w:sz w:val="18"/>
                      <w:szCs w:val="18"/>
                    </w:rPr>
                    <w:t>装置</w:t>
                  </w:r>
                </w:p>
              </w:tc>
              <w:tc>
                <w:tcPr>
                  <w:tcW w:w="657" w:type="pct"/>
                  <w:vAlign w:val="center"/>
                </w:tcPr>
                <w:p w14:paraId="3113294A">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5"/>
                      <w:sz w:val="18"/>
                      <w:szCs w:val="18"/>
                    </w:rPr>
                    <w:t>废气</w:t>
                  </w:r>
                </w:p>
              </w:tc>
              <w:tc>
                <w:tcPr>
                  <w:tcW w:w="1051" w:type="pct"/>
                  <w:vAlign w:val="center"/>
                </w:tcPr>
                <w:p w14:paraId="5494898A">
                  <w:pPr>
                    <w:pStyle w:val="25"/>
                    <w:spacing w:line="240" w:lineRule="auto"/>
                    <w:ind w:firstLine="0" w:firstLineChars="0"/>
                    <w:jc w:val="center"/>
                    <w:rPr>
                      <w:rFonts w:ascii="Times New Roman" w:hAnsi="Times New Roman" w:cs="Times New Roman"/>
                      <w:color w:val="auto"/>
                      <w:sz w:val="18"/>
                      <w:szCs w:val="18"/>
                      <w:lang w:eastAsia="zh-CN"/>
                    </w:rPr>
                  </w:pPr>
                  <w:r>
                    <w:rPr>
                      <w:rFonts w:hint="eastAsia" w:ascii="Times New Roman" w:hAnsi="Times New Roman" w:cs="Times New Roman"/>
                      <w:color w:val="auto"/>
                      <w:spacing w:val="5"/>
                      <w:sz w:val="18"/>
                      <w:szCs w:val="18"/>
                      <w:lang w:val="en-US" w:eastAsia="zh-CN"/>
                    </w:rPr>
                    <w:t>HCl、</w:t>
                  </w:r>
                  <w:r>
                    <w:rPr>
                      <w:rFonts w:ascii="Times New Roman" w:hAnsi="Times New Roman" w:cs="Times New Roman"/>
                      <w:color w:val="auto"/>
                      <w:spacing w:val="7"/>
                      <w:sz w:val="18"/>
                      <w:szCs w:val="18"/>
                      <w:lang w:eastAsia="zh-CN"/>
                    </w:rPr>
                    <w:t>恶臭等</w:t>
                  </w:r>
                </w:p>
              </w:tc>
              <w:tc>
                <w:tcPr>
                  <w:tcW w:w="796" w:type="pct"/>
                  <w:vAlign w:val="center"/>
                </w:tcPr>
                <w:p w14:paraId="5BE6721B">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7"/>
                      <w:sz w:val="18"/>
                      <w:szCs w:val="18"/>
                    </w:rPr>
                    <w:t>事故排放</w:t>
                  </w:r>
                </w:p>
              </w:tc>
              <w:tc>
                <w:tcPr>
                  <w:tcW w:w="732" w:type="pct"/>
                  <w:vAlign w:val="center"/>
                </w:tcPr>
                <w:p w14:paraId="2CBE2CAB">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7"/>
                      <w:sz w:val="18"/>
                      <w:szCs w:val="18"/>
                    </w:rPr>
                    <w:t>废气挥发</w:t>
                  </w:r>
                </w:p>
              </w:tc>
              <w:tc>
                <w:tcPr>
                  <w:tcW w:w="858" w:type="pct"/>
                  <w:vAlign w:val="center"/>
                </w:tcPr>
                <w:p w14:paraId="36F32E11">
                  <w:pPr>
                    <w:pStyle w:val="25"/>
                    <w:spacing w:line="240" w:lineRule="auto"/>
                    <w:ind w:firstLine="0" w:firstLineChars="0"/>
                    <w:jc w:val="center"/>
                    <w:rPr>
                      <w:rFonts w:ascii="Times New Roman" w:hAnsi="Times New Roman" w:cs="Times New Roman"/>
                      <w:color w:val="auto"/>
                      <w:sz w:val="18"/>
                      <w:szCs w:val="18"/>
                      <w:lang w:eastAsia="zh-CN"/>
                    </w:rPr>
                  </w:pPr>
                  <w:r>
                    <w:rPr>
                      <w:rFonts w:ascii="Times New Roman" w:hAnsi="Times New Roman" w:cs="Times New Roman"/>
                      <w:color w:val="auto"/>
                      <w:spacing w:val="7"/>
                      <w:sz w:val="18"/>
                      <w:szCs w:val="18"/>
                      <w:lang w:eastAsia="zh-CN"/>
                    </w:rPr>
                    <w:t>污染周围大气并造成周边污</w:t>
                  </w:r>
                  <w:r>
                    <w:rPr>
                      <w:rFonts w:ascii="Times New Roman" w:hAnsi="Times New Roman" w:cs="Times New Roman"/>
                      <w:color w:val="auto"/>
                      <w:spacing w:val="6"/>
                      <w:sz w:val="18"/>
                      <w:szCs w:val="18"/>
                      <w:lang w:eastAsia="zh-CN"/>
                    </w:rPr>
                    <w:t>染物超标</w:t>
                  </w:r>
                </w:p>
              </w:tc>
            </w:tr>
            <w:tr w14:paraId="431BC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266" w:type="pct"/>
                  <w:vMerge w:val="restart"/>
                  <w:tcBorders>
                    <w:bottom w:val="nil"/>
                  </w:tcBorders>
                  <w:vAlign w:val="center"/>
                </w:tcPr>
                <w:p w14:paraId="39CCEF5C">
                  <w:pPr>
                    <w:spacing w:line="240" w:lineRule="auto"/>
                    <w:ind w:firstLine="0" w:firstLineChars="0"/>
                    <w:jc w:val="center"/>
                    <w:rPr>
                      <w:rFonts w:cs="Times New Roman"/>
                      <w:color w:val="auto"/>
                      <w:sz w:val="18"/>
                      <w:szCs w:val="18"/>
                    </w:rPr>
                  </w:pPr>
                  <w:r>
                    <w:rPr>
                      <w:rFonts w:cs="Times New Roman"/>
                      <w:color w:val="auto"/>
                      <w:spacing w:val="1"/>
                      <w:sz w:val="18"/>
                      <w:szCs w:val="18"/>
                    </w:rPr>
                    <w:t>4</w:t>
                  </w:r>
                </w:p>
              </w:tc>
              <w:tc>
                <w:tcPr>
                  <w:tcW w:w="636" w:type="pct"/>
                  <w:vMerge w:val="restart"/>
                  <w:tcBorders>
                    <w:bottom w:val="nil"/>
                  </w:tcBorders>
                  <w:vAlign w:val="center"/>
                </w:tcPr>
                <w:p w14:paraId="27D61922">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7"/>
                      <w:sz w:val="18"/>
                      <w:szCs w:val="18"/>
                    </w:rPr>
                    <w:t>废水处理</w:t>
                  </w:r>
                  <w:r>
                    <w:rPr>
                      <w:rFonts w:ascii="Times New Roman" w:hAnsi="Times New Roman" w:cs="Times New Roman"/>
                      <w:color w:val="auto"/>
                      <w:spacing w:val="3"/>
                      <w:sz w:val="18"/>
                      <w:szCs w:val="18"/>
                    </w:rPr>
                    <w:t>设施</w:t>
                  </w:r>
                </w:p>
              </w:tc>
              <w:tc>
                <w:tcPr>
                  <w:tcW w:w="657" w:type="pct"/>
                  <w:vMerge w:val="restart"/>
                  <w:tcBorders>
                    <w:bottom w:val="nil"/>
                  </w:tcBorders>
                  <w:vAlign w:val="center"/>
                </w:tcPr>
                <w:p w14:paraId="0B348B3B">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5"/>
                      <w:sz w:val="18"/>
                      <w:szCs w:val="18"/>
                    </w:rPr>
                    <w:t>废水</w:t>
                  </w:r>
                </w:p>
              </w:tc>
              <w:tc>
                <w:tcPr>
                  <w:tcW w:w="1051" w:type="pct"/>
                  <w:vMerge w:val="restart"/>
                  <w:tcBorders>
                    <w:bottom w:val="nil"/>
                  </w:tcBorders>
                  <w:vAlign w:val="center"/>
                </w:tcPr>
                <w:p w14:paraId="745BE516">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z w:val="18"/>
                      <w:szCs w:val="18"/>
                    </w:rPr>
                    <w:t>COD</w:t>
                  </w:r>
                  <w:r>
                    <w:rPr>
                      <w:rFonts w:ascii="Times New Roman" w:hAnsi="Times New Roman" w:cs="Times New Roman"/>
                      <w:color w:val="auto"/>
                      <w:spacing w:val="2"/>
                      <w:sz w:val="18"/>
                      <w:szCs w:val="18"/>
                    </w:rPr>
                    <w:t>、</w:t>
                  </w:r>
                  <w:r>
                    <w:rPr>
                      <w:rFonts w:ascii="Times New Roman" w:hAnsi="Times New Roman" w:cs="Times New Roman"/>
                      <w:color w:val="auto"/>
                      <w:sz w:val="18"/>
                      <w:szCs w:val="18"/>
                    </w:rPr>
                    <w:t>NH</w:t>
                  </w:r>
                  <w:r>
                    <w:rPr>
                      <w:rFonts w:ascii="Times New Roman" w:hAnsi="Times New Roman" w:cs="Times New Roman"/>
                      <w:color w:val="auto"/>
                      <w:spacing w:val="2"/>
                      <w:sz w:val="18"/>
                      <w:szCs w:val="18"/>
                      <w:vertAlign w:val="subscript"/>
                    </w:rPr>
                    <w:t>3</w:t>
                  </w:r>
                  <w:r>
                    <w:rPr>
                      <w:rFonts w:ascii="Times New Roman" w:hAnsi="Times New Roman" w:cs="Times New Roman"/>
                      <w:color w:val="auto"/>
                      <w:spacing w:val="2"/>
                      <w:sz w:val="18"/>
                      <w:szCs w:val="18"/>
                    </w:rPr>
                    <w:t>-N</w:t>
                  </w:r>
                </w:p>
              </w:tc>
              <w:tc>
                <w:tcPr>
                  <w:tcW w:w="796" w:type="pct"/>
                  <w:vMerge w:val="restart"/>
                  <w:tcBorders>
                    <w:bottom w:val="nil"/>
                  </w:tcBorders>
                  <w:vAlign w:val="center"/>
                </w:tcPr>
                <w:p w14:paraId="11DA7B86">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1"/>
                      <w:sz w:val="18"/>
                      <w:szCs w:val="18"/>
                    </w:rPr>
                    <w:t>事故排放、泄</w:t>
                  </w:r>
                  <w:r>
                    <w:rPr>
                      <w:rFonts w:ascii="Times New Roman" w:hAnsi="Times New Roman" w:cs="Times New Roman"/>
                      <w:color w:val="auto"/>
                      <w:sz w:val="18"/>
                      <w:szCs w:val="18"/>
                    </w:rPr>
                    <w:t>漏</w:t>
                  </w:r>
                </w:p>
              </w:tc>
              <w:tc>
                <w:tcPr>
                  <w:tcW w:w="732" w:type="pct"/>
                  <w:vAlign w:val="center"/>
                </w:tcPr>
                <w:p w14:paraId="534E7CF0">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7"/>
                      <w:sz w:val="18"/>
                      <w:szCs w:val="18"/>
                    </w:rPr>
                    <w:t>地表径流</w:t>
                  </w:r>
                </w:p>
              </w:tc>
              <w:tc>
                <w:tcPr>
                  <w:tcW w:w="858" w:type="pct"/>
                  <w:vAlign w:val="center"/>
                </w:tcPr>
                <w:p w14:paraId="2E562838">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4"/>
                      <w:sz w:val="18"/>
                      <w:szCs w:val="18"/>
                    </w:rPr>
                    <w:t>附近地表水</w:t>
                  </w:r>
                </w:p>
              </w:tc>
            </w:tr>
            <w:tr w14:paraId="12734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266" w:type="pct"/>
                  <w:vMerge w:val="continue"/>
                  <w:tcBorders>
                    <w:top w:val="nil"/>
                  </w:tcBorders>
                  <w:vAlign w:val="center"/>
                </w:tcPr>
                <w:p w14:paraId="7A6BD8E8">
                  <w:pPr>
                    <w:spacing w:line="240" w:lineRule="auto"/>
                    <w:ind w:firstLine="0" w:firstLineChars="0"/>
                    <w:jc w:val="center"/>
                    <w:rPr>
                      <w:rFonts w:cs="Times New Roman"/>
                      <w:color w:val="auto"/>
                      <w:sz w:val="18"/>
                      <w:szCs w:val="18"/>
                    </w:rPr>
                  </w:pPr>
                </w:p>
              </w:tc>
              <w:tc>
                <w:tcPr>
                  <w:tcW w:w="636" w:type="pct"/>
                  <w:vMerge w:val="continue"/>
                  <w:tcBorders>
                    <w:top w:val="nil"/>
                  </w:tcBorders>
                  <w:vAlign w:val="center"/>
                </w:tcPr>
                <w:p w14:paraId="35D69276">
                  <w:pPr>
                    <w:spacing w:line="240" w:lineRule="auto"/>
                    <w:ind w:firstLine="0" w:firstLineChars="0"/>
                    <w:jc w:val="center"/>
                    <w:rPr>
                      <w:rFonts w:cs="Times New Roman"/>
                      <w:color w:val="auto"/>
                      <w:sz w:val="18"/>
                      <w:szCs w:val="18"/>
                    </w:rPr>
                  </w:pPr>
                </w:p>
              </w:tc>
              <w:tc>
                <w:tcPr>
                  <w:tcW w:w="657" w:type="pct"/>
                  <w:vMerge w:val="continue"/>
                  <w:tcBorders>
                    <w:top w:val="nil"/>
                  </w:tcBorders>
                  <w:vAlign w:val="center"/>
                </w:tcPr>
                <w:p w14:paraId="38DD8BFA">
                  <w:pPr>
                    <w:spacing w:line="240" w:lineRule="auto"/>
                    <w:ind w:firstLine="0" w:firstLineChars="0"/>
                    <w:jc w:val="center"/>
                    <w:rPr>
                      <w:rFonts w:cs="Times New Roman"/>
                      <w:color w:val="auto"/>
                      <w:sz w:val="18"/>
                      <w:szCs w:val="18"/>
                    </w:rPr>
                  </w:pPr>
                </w:p>
              </w:tc>
              <w:tc>
                <w:tcPr>
                  <w:tcW w:w="1051" w:type="pct"/>
                  <w:vMerge w:val="continue"/>
                  <w:tcBorders>
                    <w:top w:val="nil"/>
                  </w:tcBorders>
                  <w:vAlign w:val="center"/>
                </w:tcPr>
                <w:p w14:paraId="19F1081E">
                  <w:pPr>
                    <w:spacing w:line="240" w:lineRule="auto"/>
                    <w:ind w:firstLine="0" w:firstLineChars="0"/>
                    <w:jc w:val="center"/>
                    <w:rPr>
                      <w:rFonts w:cs="Times New Roman"/>
                      <w:color w:val="auto"/>
                      <w:sz w:val="18"/>
                      <w:szCs w:val="18"/>
                    </w:rPr>
                  </w:pPr>
                </w:p>
              </w:tc>
              <w:tc>
                <w:tcPr>
                  <w:tcW w:w="796" w:type="pct"/>
                  <w:vMerge w:val="continue"/>
                  <w:tcBorders>
                    <w:top w:val="nil"/>
                  </w:tcBorders>
                  <w:vAlign w:val="center"/>
                </w:tcPr>
                <w:p w14:paraId="64AB743F">
                  <w:pPr>
                    <w:spacing w:line="240" w:lineRule="auto"/>
                    <w:ind w:firstLine="0" w:firstLineChars="0"/>
                    <w:jc w:val="center"/>
                    <w:rPr>
                      <w:rFonts w:cs="Times New Roman"/>
                      <w:color w:val="auto"/>
                      <w:sz w:val="18"/>
                      <w:szCs w:val="18"/>
                    </w:rPr>
                  </w:pPr>
                </w:p>
              </w:tc>
              <w:tc>
                <w:tcPr>
                  <w:tcW w:w="732" w:type="pct"/>
                  <w:vAlign w:val="center"/>
                </w:tcPr>
                <w:p w14:paraId="06F92222">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7"/>
                      <w:sz w:val="18"/>
                      <w:szCs w:val="18"/>
                    </w:rPr>
                    <w:t>土壤渗漏</w:t>
                  </w:r>
                </w:p>
              </w:tc>
              <w:tc>
                <w:tcPr>
                  <w:tcW w:w="858" w:type="pct"/>
                  <w:vAlign w:val="center"/>
                </w:tcPr>
                <w:p w14:paraId="558BD2A2">
                  <w:pPr>
                    <w:pStyle w:val="25"/>
                    <w:spacing w:line="240" w:lineRule="auto"/>
                    <w:ind w:firstLine="0" w:firstLineChars="0"/>
                    <w:jc w:val="center"/>
                    <w:rPr>
                      <w:rFonts w:ascii="Times New Roman" w:hAnsi="Times New Roman" w:cs="Times New Roman"/>
                      <w:color w:val="auto"/>
                      <w:sz w:val="18"/>
                      <w:szCs w:val="18"/>
                    </w:rPr>
                  </w:pPr>
                  <w:r>
                    <w:rPr>
                      <w:rFonts w:ascii="Times New Roman" w:hAnsi="Times New Roman" w:cs="Times New Roman"/>
                      <w:color w:val="auto"/>
                      <w:spacing w:val="5"/>
                      <w:sz w:val="18"/>
                      <w:szCs w:val="18"/>
                    </w:rPr>
                    <w:t>附近土壤、地</w:t>
                  </w:r>
                  <w:r>
                    <w:rPr>
                      <w:rFonts w:ascii="Times New Roman" w:hAnsi="Times New Roman" w:cs="Times New Roman"/>
                      <w:color w:val="auto"/>
                      <w:spacing w:val="1"/>
                      <w:sz w:val="18"/>
                      <w:szCs w:val="18"/>
                    </w:rPr>
                    <w:t>下水</w:t>
                  </w:r>
                </w:p>
              </w:tc>
            </w:tr>
          </w:tbl>
          <w:p w14:paraId="4A297251">
            <w:pPr>
              <w:pStyle w:val="2"/>
              <w:keepNext w:val="0"/>
              <w:keepLines w:val="0"/>
              <w:suppressLineNumbers w:val="0"/>
              <w:spacing w:before="0" w:beforeAutospacing="0" w:after="0" w:afterAutospacing="0" w:line="240" w:lineRule="auto"/>
              <w:ind w:left="0" w:right="0" w:firstLine="0" w:firstLineChars="0"/>
              <w:rPr>
                <w:rFonts w:hint="default"/>
                <w:color w:val="auto"/>
                <w:sz w:val="18"/>
                <w:szCs w:val="18"/>
              </w:rPr>
            </w:pPr>
          </w:p>
          <w:p w14:paraId="24CFA799">
            <w:pPr>
              <w:keepNext w:val="0"/>
              <w:keepLines w:val="0"/>
              <w:numPr>
                <w:ilvl w:val="0"/>
                <w:numId w:val="10"/>
              </w:numPr>
              <w:suppressLineNumbers w:val="0"/>
              <w:spacing w:before="0" w:beforeAutospacing="0" w:after="0" w:afterAutospacing="0"/>
              <w:ind w:left="0" w:right="0" w:firstLine="480"/>
              <w:rPr>
                <w:rFonts w:hint="default"/>
                <w:color w:val="auto"/>
              </w:rPr>
            </w:pPr>
            <w:r>
              <w:rPr>
                <w:rFonts w:hint="eastAsia"/>
                <w:color w:val="auto"/>
              </w:rPr>
              <w:t>风险防范措施</w:t>
            </w:r>
          </w:p>
          <w:p w14:paraId="484BF23B">
            <w:pPr>
              <w:keepNext w:val="0"/>
              <w:keepLines w:val="0"/>
              <w:suppressLineNumbers w:val="0"/>
              <w:spacing w:before="0" w:beforeAutospacing="0" w:after="0" w:afterAutospacing="0"/>
              <w:ind w:left="0" w:right="0" w:firstLine="480"/>
              <w:rPr>
                <w:rFonts w:hint="default"/>
                <w:color w:val="auto"/>
              </w:rPr>
            </w:pPr>
            <w:r>
              <w:rPr>
                <w:rFonts w:hint="default"/>
                <w:color w:val="auto"/>
              </w:rPr>
              <w:t>①制定完善的生产操作规程，最大限度预防事故发生。</w:t>
            </w:r>
          </w:p>
          <w:p w14:paraId="297FADD0">
            <w:pPr>
              <w:keepNext w:val="0"/>
              <w:keepLines w:val="0"/>
              <w:suppressLineNumbers w:val="0"/>
              <w:spacing w:before="0" w:beforeAutospacing="0" w:after="0" w:afterAutospacing="0"/>
              <w:ind w:left="0" w:right="0" w:firstLine="480"/>
              <w:rPr>
                <w:rFonts w:hint="default"/>
                <w:color w:val="auto"/>
              </w:rPr>
            </w:pPr>
            <w:r>
              <w:rPr>
                <w:rFonts w:hint="default"/>
                <w:color w:val="auto"/>
              </w:rPr>
              <w:t>②严格执行企业的各项安全管理制度；组织专门人员每天多次进行周期性巡回检查，有跑冒滴漏或其他异常现象的应及时检修，必要时按照“生产服从安全”原则停车检修，严禁生产线带病生产。</w:t>
            </w:r>
          </w:p>
          <w:p w14:paraId="373A4A97">
            <w:pPr>
              <w:keepNext w:val="0"/>
              <w:keepLines w:val="0"/>
              <w:suppressLineNumbers w:val="0"/>
              <w:spacing w:before="0" w:beforeAutospacing="0" w:after="0" w:afterAutospacing="0"/>
              <w:ind w:left="0" w:right="0" w:firstLine="480"/>
              <w:rPr>
                <w:rFonts w:hint="eastAsia" w:eastAsia="宋体"/>
                <w:color w:val="auto"/>
                <w:lang w:val="en-US" w:eastAsia="zh-CN"/>
              </w:rPr>
            </w:pPr>
            <w:r>
              <w:rPr>
                <w:rFonts w:hint="default"/>
                <w:color w:val="auto"/>
              </w:rPr>
              <w:t>③加强操作工人培训，通过测试和考核后持证上岗；制定操作规程卡片张贴在显要地方；安排生产负责人定期、不定期监督检查，对于违规操作进行及时更正，并进行相应处罚。</w:t>
            </w:r>
          </w:p>
          <w:p w14:paraId="6B0DC778">
            <w:pPr>
              <w:keepNext w:val="0"/>
              <w:keepLines w:val="0"/>
              <w:suppressLineNumbers w:val="0"/>
              <w:spacing w:before="0" w:beforeAutospacing="0" w:after="0" w:afterAutospacing="0"/>
              <w:ind w:left="0" w:right="0" w:firstLine="480"/>
              <w:rPr>
                <w:rFonts w:hint="default"/>
                <w:color w:val="auto"/>
              </w:rPr>
            </w:pPr>
            <w:r>
              <w:rPr>
                <w:rFonts w:hint="default"/>
                <w:color w:val="auto"/>
              </w:rPr>
              <w:t>④车间地面、危废暂存间等区域进行必要的防渗处理。</w:t>
            </w:r>
          </w:p>
          <w:p w14:paraId="2553A716">
            <w:pPr>
              <w:keepNext w:val="0"/>
              <w:keepLines w:val="0"/>
              <w:suppressLineNumbers w:val="0"/>
              <w:spacing w:before="0" w:beforeAutospacing="0" w:after="0" w:afterAutospacing="0"/>
              <w:ind w:left="0" w:right="0" w:firstLine="480"/>
              <w:rPr>
                <w:rFonts w:hint="default"/>
                <w:color w:val="auto"/>
              </w:rPr>
            </w:pPr>
            <w:r>
              <w:rPr>
                <w:rFonts w:hint="default"/>
                <w:color w:val="auto"/>
              </w:rPr>
              <w:t>⑤</w:t>
            </w:r>
            <w:r>
              <w:rPr>
                <w:rFonts w:hint="eastAsia"/>
                <w:color w:val="auto"/>
                <w:lang w:val="en-US" w:eastAsia="zh-CN"/>
              </w:rPr>
              <w:t>危废暂存间、危化品库</w:t>
            </w:r>
            <w:r>
              <w:rPr>
                <w:rFonts w:hint="default"/>
                <w:color w:val="auto"/>
              </w:rPr>
              <w:t>应进行防渗处理，并设置</w:t>
            </w:r>
            <w:r>
              <w:rPr>
                <w:rFonts w:hint="eastAsia"/>
                <w:color w:val="auto"/>
                <w:lang w:val="en-US" w:eastAsia="zh-CN"/>
              </w:rPr>
              <w:t>托盘离地设施</w:t>
            </w:r>
            <w:r>
              <w:rPr>
                <w:rFonts w:hint="default"/>
                <w:color w:val="auto"/>
              </w:rPr>
              <w:t>；磷酸</w:t>
            </w:r>
            <w:r>
              <w:rPr>
                <w:rFonts w:hint="eastAsia"/>
                <w:color w:val="auto"/>
                <w:lang w:val="en-US" w:eastAsia="zh-CN"/>
              </w:rPr>
              <w:t>等危化品试剂</w:t>
            </w:r>
            <w:r>
              <w:rPr>
                <w:rFonts w:hint="default"/>
                <w:color w:val="auto"/>
              </w:rPr>
              <w:t>发生泄漏事故时事故废液不能直接排放到污水处理厂进行处理。发生泄漏后，首先要控制事故规模，对泄漏</w:t>
            </w:r>
            <w:r>
              <w:rPr>
                <w:rFonts w:hint="eastAsia"/>
                <w:color w:val="auto"/>
                <w:lang w:val="en-US" w:eastAsia="zh-CN"/>
              </w:rPr>
              <w:t>试剂</w:t>
            </w:r>
            <w:r>
              <w:rPr>
                <w:rFonts w:hint="default"/>
                <w:color w:val="auto"/>
              </w:rPr>
              <w:t>进行堵漏并将泄漏的物料转移到空</w:t>
            </w:r>
            <w:r>
              <w:rPr>
                <w:rFonts w:hint="eastAsia"/>
                <w:color w:val="auto"/>
                <w:lang w:val="en-US" w:eastAsia="zh-CN"/>
              </w:rPr>
              <w:t>桶</w:t>
            </w:r>
            <w:r>
              <w:rPr>
                <w:rFonts w:hint="default"/>
                <w:color w:val="auto"/>
              </w:rPr>
              <w:t>中以确保事故规模不进一步扩大。然后根据泄漏物料的性质，选择合适的</w:t>
            </w:r>
            <w:r>
              <w:rPr>
                <w:rFonts w:hint="eastAsia"/>
                <w:color w:val="auto"/>
                <w:lang w:val="en-US" w:eastAsia="zh-CN"/>
              </w:rPr>
              <w:t>方式</w:t>
            </w:r>
            <w:r>
              <w:rPr>
                <w:rFonts w:hint="default"/>
                <w:color w:val="auto"/>
              </w:rPr>
              <w:t>进行处理，处理后的废液</w:t>
            </w:r>
            <w:r>
              <w:rPr>
                <w:rFonts w:hint="eastAsia"/>
                <w:color w:val="auto"/>
                <w:lang w:val="en-US" w:eastAsia="zh-CN"/>
              </w:rPr>
              <w:t>委托有资质单位进行处置</w:t>
            </w:r>
            <w:r>
              <w:rPr>
                <w:rFonts w:hint="default"/>
                <w:color w:val="auto"/>
              </w:rPr>
              <w:t>，事故结束后，委托相关单位进行运输、处置，严禁泄漏废液不经处理直接外排。安排专人进行管理，配备消防栓和消防灭火器材等灭火装置，定期检查设备有效性，预留安全疏散通道，禁止员工在原辅料仓库等区域吸烟点火。</w:t>
            </w:r>
          </w:p>
          <w:p w14:paraId="19960A10">
            <w:pPr>
              <w:keepNext w:val="0"/>
              <w:keepLines w:val="0"/>
              <w:suppressLineNumbers w:val="0"/>
              <w:spacing w:before="0" w:beforeAutospacing="0" w:after="0" w:afterAutospacing="0"/>
              <w:ind w:left="0" w:right="0" w:firstLine="480"/>
              <w:rPr>
                <w:rFonts w:hint="default"/>
                <w:color w:val="auto"/>
              </w:rPr>
            </w:pPr>
            <w:r>
              <w:rPr>
                <w:rFonts w:hint="default"/>
                <w:color w:val="auto"/>
              </w:rPr>
              <w:t>⑥环保设施风险辨识和隐患排查要求：企业废气拟采用</w:t>
            </w:r>
            <w:r>
              <w:rPr>
                <w:rFonts w:hint="eastAsia"/>
                <w:color w:val="auto"/>
              </w:rPr>
              <w:t>活性炭吸附</w:t>
            </w:r>
            <w:r>
              <w:rPr>
                <w:rFonts w:hint="default"/>
                <w:color w:val="auto"/>
              </w:rPr>
              <w:t>装置等方式处理，</w:t>
            </w:r>
            <w:r>
              <w:rPr>
                <w:rFonts w:hint="eastAsia"/>
                <w:color w:val="auto"/>
                <w:lang w:val="en-US" w:eastAsia="zh-CN"/>
              </w:rPr>
              <w:t>原辅材料暂存区</w:t>
            </w:r>
            <w:r>
              <w:rPr>
                <w:rFonts w:hint="default"/>
                <w:color w:val="auto"/>
              </w:rPr>
              <w:t>存在发生火灾、爆炸事故、泄漏的安全风险，此类事故可能会导致较为严重的后果，企业应重点加强废气治理设施和废水治理设施的安全管理。</w:t>
            </w:r>
          </w:p>
          <w:p w14:paraId="7D2D25FA">
            <w:pPr>
              <w:keepNext w:val="0"/>
              <w:keepLines w:val="0"/>
              <w:suppressLineNumbers w:val="0"/>
              <w:spacing w:before="0" w:beforeAutospacing="0" w:after="0" w:afterAutospacing="0"/>
              <w:ind w:left="0" w:right="0" w:firstLine="480"/>
              <w:rPr>
                <w:rFonts w:hint="default"/>
                <w:color w:val="auto"/>
              </w:rPr>
            </w:pPr>
            <w:r>
              <w:rPr>
                <w:rFonts w:hint="default"/>
                <w:color w:val="auto"/>
              </w:rPr>
              <w:t>根据《关于加强工业企业环保设备设施设备安全生产工作的指导意见》(浙应急基础〔2022〕143号，浙江省应急管理厅，浙江省生态环境厅)，企业要把环保设施安全落实到生产经营工作全过程各方面，建立环保设施台账和维护管理制度，对环保设施操作、危险作业等相关岗位人员开展安全操作规程、风险管控、应急处置等专项安全培训教育。要依法依规开展环保设施安全风险辨识管控和隐患排查治理，定期进行安全可靠性鉴定，设置必要的安全监测监控系统和联锁保护，严格日常安全检查。要严格执行吊装、动火、登高、有限空间、检维修等危险作业审批制度，落实安全隔离措施，实施现场安全监护，配齐应急处置装备，确保环保设施安全、稳定、有效运行。</w:t>
            </w:r>
          </w:p>
          <w:p w14:paraId="26243C9A">
            <w:pPr>
              <w:keepNext w:val="0"/>
              <w:keepLines w:val="0"/>
              <w:suppressLineNumbers w:val="0"/>
              <w:spacing w:before="0" w:beforeAutospacing="0" w:after="0" w:afterAutospacing="0"/>
              <w:ind w:left="0" w:right="0" w:firstLine="480"/>
              <w:rPr>
                <w:rFonts w:hint="default"/>
                <w:color w:val="auto"/>
              </w:rPr>
            </w:pPr>
            <w:r>
              <w:rPr>
                <w:rFonts w:hint="default"/>
                <w:color w:val="auto"/>
              </w:rPr>
              <w:t>⑦为避免各类固废在暂存过程中有危险物料滴落、溢洒或产生渗滤液下渗污染土壤和地下水，产生的各种废物应采用容器进行收集。</w:t>
            </w:r>
          </w:p>
          <w:p w14:paraId="75FCAEF2">
            <w:pPr>
              <w:keepNext w:val="0"/>
              <w:keepLines w:val="0"/>
              <w:suppressLineNumbers w:val="0"/>
              <w:spacing w:before="0" w:beforeAutospacing="0" w:after="0" w:afterAutospacing="0"/>
              <w:ind w:left="0" w:right="0" w:firstLine="480"/>
              <w:rPr>
                <w:rFonts w:hint="default"/>
                <w:color w:val="auto"/>
              </w:rPr>
            </w:pPr>
            <w:r>
              <w:rPr>
                <w:rFonts w:hint="default"/>
                <w:color w:val="auto"/>
              </w:rPr>
              <w:t>⑧建立事故排放事先申报制度，未经批准不得排放，便于相关部门应急防范，防止出现超标排放。</w:t>
            </w:r>
          </w:p>
          <w:p w14:paraId="221EAB84">
            <w:pPr>
              <w:keepNext w:val="0"/>
              <w:keepLines w:val="0"/>
              <w:numPr>
                <w:ilvl w:val="0"/>
                <w:numId w:val="10"/>
              </w:numPr>
              <w:suppressLineNumbers w:val="0"/>
              <w:spacing w:before="0" w:beforeAutospacing="0" w:after="0" w:afterAutospacing="0"/>
              <w:ind w:left="0" w:right="0" w:firstLine="480"/>
              <w:rPr>
                <w:rFonts w:hint="default"/>
                <w:color w:val="auto"/>
              </w:rPr>
            </w:pPr>
            <w:r>
              <w:rPr>
                <w:rFonts w:hint="eastAsia"/>
                <w:color w:val="auto"/>
              </w:rPr>
              <w:t>风险结论</w:t>
            </w:r>
          </w:p>
          <w:p w14:paraId="20CC0183">
            <w:pPr>
              <w:keepNext w:val="0"/>
              <w:keepLines w:val="0"/>
              <w:suppressLineNumbers w:val="0"/>
              <w:spacing w:before="0" w:beforeAutospacing="0" w:after="0" w:afterAutospacing="0"/>
              <w:ind w:left="0" w:right="0" w:firstLine="480"/>
              <w:rPr>
                <w:rFonts w:hint="default"/>
                <w:color w:val="auto"/>
              </w:rPr>
            </w:pPr>
            <w:r>
              <w:rPr>
                <w:rFonts w:hint="default"/>
                <w:color w:val="auto"/>
              </w:rPr>
              <w:t>根据《中华人民共和国安全生产法》《危险化学品安全管理条例》等国家有关法律法规，要求项目建成后对厂区环保设备设施及危废仓库进行安全评估，判断工程系统发生事故的可能性极其严重程度，并有针对性地制定防范措施和控制危险的对策。</w:t>
            </w:r>
          </w:p>
          <w:p w14:paraId="742A7199">
            <w:pPr>
              <w:keepNext w:val="0"/>
              <w:keepLines w:val="0"/>
              <w:suppressLineNumbers w:val="0"/>
              <w:spacing w:before="0" w:beforeAutospacing="0" w:after="0" w:afterAutospacing="0"/>
              <w:ind w:left="0" w:right="0" w:firstLine="480"/>
              <w:rPr>
                <w:rFonts w:hint="default"/>
                <w:color w:val="auto"/>
              </w:rPr>
            </w:pPr>
            <w:r>
              <w:rPr>
                <w:rFonts w:hint="default"/>
                <w:color w:val="auto"/>
              </w:rPr>
              <w:t>本项目建设完成后，不可避免仍会存在一定的环境风险。对此，建设单位必须高度重视，做到风险防范警钟长鸣，环境安全管理常抓不懈；严格落实各项风险防范措施，不断完善风险管理体系</w:t>
            </w:r>
            <w:r>
              <w:rPr>
                <w:rFonts w:hint="eastAsia"/>
                <w:color w:val="auto"/>
                <w:lang w:eastAsia="zh-CN"/>
              </w:rPr>
              <w:t>，</w:t>
            </w:r>
            <w:r>
              <w:rPr>
                <w:rFonts w:hint="default"/>
                <w:color w:val="auto"/>
              </w:rPr>
              <w:t>有效降低风险事故发生概率、杜绝事故的发生隐患。</w:t>
            </w:r>
          </w:p>
        </w:tc>
      </w:tr>
    </w:tbl>
    <w:p w14:paraId="233426BD">
      <w:pPr>
        <w:pStyle w:val="2"/>
        <w:ind w:firstLine="0" w:firstLineChars="0"/>
        <w:sectPr>
          <w:pgSz w:w="11906" w:h="16838"/>
          <w:pgMar w:top="1440" w:right="1800" w:bottom="1440" w:left="1800" w:header="851" w:footer="992" w:gutter="0"/>
          <w:cols w:space="425" w:num="1"/>
          <w:docGrid w:type="lines" w:linePitch="312" w:charSpace="0"/>
        </w:sectPr>
      </w:pPr>
    </w:p>
    <w:p w14:paraId="72DB9BC9">
      <w:pPr>
        <w:pStyle w:val="3"/>
        <w:bidi w:val="0"/>
      </w:pPr>
      <w:r>
        <w:rPr>
          <w:rFonts w:hint="eastAsia"/>
        </w:rPr>
        <w:t>五、环境保护措施监督检查清单</w:t>
      </w:r>
      <w:bookmarkEnd w:id="9"/>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4"/>
        <w:gridCol w:w="1375"/>
        <w:gridCol w:w="1468"/>
        <w:gridCol w:w="2214"/>
        <w:gridCol w:w="2391"/>
      </w:tblGrid>
      <w:tr w14:paraId="2F15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restart"/>
            <w:tcBorders>
              <w:tl2br w:val="single" w:color="auto" w:sz="4" w:space="0"/>
            </w:tcBorders>
            <w:shd w:val="clear" w:color="auto" w:fill="auto"/>
            <w:vAlign w:val="center"/>
          </w:tcPr>
          <w:p w14:paraId="6DF4515F">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 xml:space="preserve">    </w:t>
            </w:r>
            <w:r>
              <w:rPr>
                <w:rFonts w:hint="eastAsia" w:cs="Times New Roman"/>
                <w:kern w:val="0"/>
                <w:sz w:val="21"/>
                <w:szCs w:val="21"/>
              </w:rPr>
              <w:t xml:space="preserve"> </w:t>
            </w:r>
            <w:r>
              <w:rPr>
                <w:rFonts w:hint="default" w:cs="Times New Roman"/>
                <w:kern w:val="0"/>
                <w:sz w:val="21"/>
                <w:szCs w:val="21"/>
              </w:rPr>
              <w:t>内容</w:t>
            </w:r>
          </w:p>
          <w:p w14:paraId="50E2A452">
            <w:pPr>
              <w:keepNext w:val="0"/>
              <w:keepLines w:val="0"/>
              <w:widowControl/>
              <w:suppressLineNumbers w:val="0"/>
              <w:spacing w:before="0" w:beforeAutospacing="0" w:after="0" w:afterAutospacing="0" w:line="240" w:lineRule="auto"/>
              <w:ind w:left="0" w:right="0" w:firstLine="0" w:firstLineChars="0"/>
              <w:rPr>
                <w:rFonts w:hint="default" w:cs="Times New Roman"/>
                <w:kern w:val="0"/>
                <w:sz w:val="21"/>
                <w:szCs w:val="21"/>
              </w:rPr>
            </w:pPr>
            <w:r>
              <w:rPr>
                <w:rFonts w:hint="default" w:cs="Times New Roman"/>
                <w:kern w:val="0"/>
                <w:sz w:val="21"/>
                <w:szCs w:val="21"/>
              </w:rPr>
              <w:t>要素</w:t>
            </w:r>
          </w:p>
        </w:tc>
        <w:tc>
          <w:tcPr>
            <w:tcW w:w="806" w:type="pct"/>
            <w:vMerge w:val="restart"/>
            <w:shd w:val="clear" w:color="auto" w:fill="auto"/>
            <w:vAlign w:val="center"/>
          </w:tcPr>
          <w:p w14:paraId="21C6AC8A">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排放口(编号、名称)/污染源</w:t>
            </w:r>
          </w:p>
        </w:tc>
        <w:tc>
          <w:tcPr>
            <w:tcW w:w="861" w:type="pct"/>
            <w:vMerge w:val="restart"/>
            <w:shd w:val="clear" w:color="auto" w:fill="auto"/>
            <w:vAlign w:val="center"/>
          </w:tcPr>
          <w:p w14:paraId="5DD6004D">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污染物项目</w:t>
            </w:r>
          </w:p>
        </w:tc>
        <w:tc>
          <w:tcPr>
            <w:tcW w:w="1298" w:type="pct"/>
            <w:vMerge w:val="restart"/>
            <w:shd w:val="clear" w:color="auto" w:fill="auto"/>
            <w:vAlign w:val="center"/>
          </w:tcPr>
          <w:p w14:paraId="75D65F76">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环境保护措施</w:t>
            </w:r>
          </w:p>
        </w:tc>
        <w:tc>
          <w:tcPr>
            <w:tcW w:w="1402" w:type="pct"/>
            <w:vMerge w:val="restart"/>
            <w:shd w:val="clear" w:color="auto" w:fill="auto"/>
            <w:vAlign w:val="center"/>
          </w:tcPr>
          <w:p w14:paraId="3C193BBC">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执行标准</w:t>
            </w:r>
          </w:p>
        </w:tc>
      </w:tr>
      <w:tr w14:paraId="4C5AF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continue"/>
            <w:vAlign w:val="center"/>
          </w:tcPr>
          <w:p w14:paraId="667D82E6">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806" w:type="pct"/>
            <w:vMerge w:val="continue"/>
            <w:vAlign w:val="center"/>
          </w:tcPr>
          <w:p w14:paraId="7813B01B">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861" w:type="pct"/>
            <w:vMerge w:val="continue"/>
            <w:vAlign w:val="center"/>
          </w:tcPr>
          <w:p w14:paraId="2657F3FF">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1298" w:type="pct"/>
            <w:vMerge w:val="continue"/>
            <w:vAlign w:val="center"/>
          </w:tcPr>
          <w:p w14:paraId="17383E9A">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1402" w:type="pct"/>
            <w:vMerge w:val="continue"/>
            <w:vAlign w:val="center"/>
          </w:tcPr>
          <w:p w14:paraId="63C65FED">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r>
      <w:tr w14:paraId="2938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restart"/>
            <w:vAlign w:val="center"/>
          </w:tcPr>
          <w:p w14:paraId="59343DAA">
            <w:pPr>
              <w:keepNext w:val="0"/>
              <w:keepLines w:val="0"/>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大气环境</w:t>
            </w:r>
          </w:p>
        </w:tc>
        <w:tc>
          <w:tcPr>
            <w:tcW w:w="806" w:type="pct"/>
            <w:vAlign w:val="center"/>
          </w:tcPr>
          <w:p w14:paraId="442E80CB">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eastAsia" w:cs="Times New Roman"/>
                <w:kern w:val="0"/>
                <w:sz w:val="21"/>
                <w:szCs w:val="21"/>
              </w:rPr>
              <w:t>DA001</w:t>
            </w:r>
          </w:p>
        </w:tc>
        <w:tc>
          <w:tcPr>
            <w:tcW w:w="861" w:type="pct"/>
            <w:vAlign w:val="center"/>
          </w:tcPr>
          <w:p w14:paraId="470FC403">
            <w:pPr>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kern w:val="0"/>
                <w:sz w:val="21"/>
                <w:szCs w:val="21"/>
                <w:lang w:val="en-US" w:eastAsia="zh-CN"/>
              </w:rPr>
            </w:pPr>
            <w:r>
              <w:rPr>
                <w:rFonts w:hint="eastAsia" w:cs="Times New Roman"/>
                <w:kern w:val="0"/>
                <w:sz w:val="21"/>
                <w:szCs w:val="21"/>
                <w:lang w:val="en-US" w:eastAsia="zh-CN"/>
              </w:rPr>
              <w:t>HCl、臭气浓度、NMHC</w:t>
            </w:r>
          </w:p>
        </w:tc>
        <w:tc>
          <w:tcPr>
            <w:tcW w:w="1298" w:type="pct"/>
            <w:vAlign w:val="center"/>
          </w:tcPr>
          <w:p w14:paraId="42DF7FE1">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eastAsia" w:cs="Times New Roman"/>
                <w:kern w:val="0"/>
                <w:sz w:val="21"/>
                <w:szCs w:val="21"/>
                <w:lang w:val="en-US" w:eastAsia="zh-CN"/>
              </w:rPr>
              <w:t>活性炭吸附装置</w:t>
            </w:r>
            <w:r>
              <w:rPr>
                <w:rFonts w:hint="eastAsia" w:cs="Times New Roman"/>
                <w:kern w:val="0"/>
                <w:sz w:val="21"/>
                <w:szCs w:val="21"/>
              </w:rPr>
              <w:t>+</w:t>
            </w:r>
            <w:r>
              <w:rPr>
                <w:rFonts w:hint="eastAsia" w:cs="Times New Roman"/>
                <w:kern w:val="0"/>
                <w:sz w:val="21"/>
                <w:szCs w:val="21"/>
                <w:lang w:val="en-US" w:eastAsia="zh-CN"/>
              </w:rPr>
              <w:t>不低于15</w:t>
            </w:r>
            <w:r>
              <w:rPr>
                <w:rFonts w:hint="eastAsia" w:cs="Times New Roman"/>
                <w:kern w:val="0"/>
                <w:sz w:val="21"/>
                <w:szCs w:val="21"/>
              </w:rPr>
              <w:t>m高排气筒排放</w:t>
            </w:r>
          </w:p>
        </w:tc>
        <w:tc>
          <w:tcPr>
            <w:tcW w:w="1402" w:type="pct"/>
            <w:vAlign w:val="center"/>
          </w:tcPr>
          <w:p w14:paraId="1339BDF2">
            <w:pPr>
              <w:keepNext w:val="0"/>
              <w:keepLines w:val="0"/>
              <w:suppressLineNumbers w:val="0"/>
              <w:spacing w:before="0" w:beforeAutospacing="0" w:after="0" w:afterAutospacing="0" w:line="240" w:lineRule="auto"/>
              <w:ind w:left="0" w:right="0" w:firstLine="0" w:firstLineChars="0"/>
              <w:jc w:val="center"/>
              <w:rPr>
                <w:rFonts w:hint="default" w:eastAsia="宋体" w:cs="Times New Roman"/>
                <w:kern w:val="0"/>
                <w:sz w:val="21"/>
                <w:szCs w:val="21"/>
                <w:lang w:val="en-US" w:eastAsia="zh-CN"/>
              </w:rPr>
            </w:pPr>
            <w:r>
              <w:rPr>
                <w:rFonts w:hint="eastAsia" w:cs="Times New Roman"/>
                <w:kern w:val="0"/>
                <w:sz w:val="21"/>
                <w:szCs w:val="21"/>
              </w:rPr>
              <w:t>《制药工业大气污染物排放标准》（DB33/310005-2021）</w:t>
            </w:r>
            <w:r>
              <w:rPr>
                <w:rFonts w:hint="default" w:cs="Times New Roman"/>
                <w:kern w:val="0"/>
                <w:sz w:val="21"/>
                <w:szCs w:val="21"/>
              </w:rPr>
              <w:t>中的标准</w:t>
            </w:r>
            <w:r>
              <w:rPr>
                <w:rFonts w:hint="eastAsia" w:cs="Times New Roman"/>
                <w:kern w:val="0"/>
                <w:sz w:val="21"/>
                <w:szCs w:val="21"/>
                <w:lang w:val="en-US" w:eastAsia="zh-CN"/>
              </w:rPr>
              <w:t>限值</w:t>
            </w:r>
          </w:p>
        </w:tc>
      </w:tr>
      <w:tr w14:paraId="14071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continue"/>
            <w:vAlign w:val="center"/>
          </w:tcPr>
          <w:p w14:paraId="1CF762D7">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806" w:type="pct"/>
            <w:vMerge w:val="restart"/>
            <w:shd w:val="clear" w:color="auto" w:fill="auto"/>
            <w:vAlign w:val="center"/>
          </w:tcPr>
          <w:p w14:paraId="59979983">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无组织</w:t>
            </w:r>
          </w:p>
        </w:tc>
        <w:tc>
          <w:tcPr>
            <w:tcW w:w="861" w:type="pct"/>
            <w:shd w:val="clear" w:color="auto" w:fill="auto"/>
            <w:vAlign w:val="center"/>
          </w:tcPr>
          <w:p w14:paraId="27E91467">
            <w:pPr>
              <w:keepNext w:val="0"/>
              <w:keepLines w:val="0"/>
              <w:widowControl/>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kern w:val="0"/>
                <w:sz w:val="21"/>
                <w:szCs w:val="21"/>
                <w:lang w:val="en-US" w:eastAsia="zh-CN" w:bidi="ar-SA"/>
              </w:rPr>
            </w:pPr>
            <w:r>
              <w:rPr>
                <w:rFonts w:hint="eastAsia" w:cs="Times New Roman"/>
                <w:kern w:val="0"/>
                <w:sz w:val="21"/>
                <w:szCs w:val="21"/>
                <w:lang w:val="en-US" w:eastAsia="zh-CN"/>
              </w:rPr>
              <w:t>HCl、</w:t>
            </w:r>
            <w:r>
              <w:rPr>
                <w:rFonts w:hint="eastAsia" w:cs="Times New Roman"/>
                <w:kern w:val="0"/>
                <w:sz w:val="21"/>
                <w:szCs w:val="21"/>
              </w:rPr>
              <w:t>臭气浓度</w:t>
            </w:r>
          </w:p>
        </w:tc>
        <w:tc>
          <w:tcPr>
            <w:tcW w:w="1298" w:type="pct"/>
            <w:vMerge w:val="restart"/>
            <w:shd w:val="clear" w:color="auto" w:fill="auto"/>
            <w:vAlign w:val="center"/>
          </w:tcPr>
          <w:p w14:paraId="33C076C8">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eastAsia" w:cs="Times New Roman"/>
                <w:kern w:val="0"/>
                <w:sz w:val="21"/>
                <w:szCs w:val="21"/>
              </w:rPr>
              <w:t>加强车间密闭，设置集中通排风</w:t>
            </w:r>
          </w:p>
        </w:tc>
        <w:tc>
          <w:tcPr>
            <w:tcW w:w="1402" w:type="pct"/>
            <w:shd w:val="clear" w:color="auto" w:fill="auto"/>
            <w:vAlign w:val="center"/>
          </w:tcPr>
          <w:p w14:paraId="7A52ECBE">
            <w:pPr>
              <w:keepNext w:val="0"/>
              <w:keepLines w:val="0"/>
              <w:widowControl/>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kern w:val="0"/>
                <w:sz w:val="21"/>
                <w:szCs w:val="21"/>
                <w:lang w:val="en-US" w:eastAsia="zh-CN" w:bidi="ar-SA"/>
              </w:rPr>
            </w:pPr>
            <w:r>
              <w:rPr>
                <w:rFonts w:hint="eastAsia" w:cs="Times New Roman"/>
                <w:kern w:val="0"/>
                <w:sz w:val="21"/>
                <w:szCs w:val="21"/>
              </w:rPr>
              <w:t>《制药工业大气污染物排放标准》（DB33/310005-2021）</w:t>
            </w:r>
            <w:r>
              <w:rPr>
                <w:rFonts w:hint="default" w:cs="Times New Roman"/>
                <w:kern w:val="0"/>
                <w:sz w:val="21"/>
                <w:szCs w:val="21"/>
              </w:rPr>
              <w:t>中的标准</w:t>
            </w:r>
            <w:r>
              <w:rPr>
                <w:rFonts w:hint="eastAsia" w:cs="Times New Roman"/>
                <w:kern w:val="0"/>
                <w:sz w:val="21"/>
                <w:szCs w:val="21"/>
                <w:lang w:val="en-US" w:eastAsia="zh-CN"/>
              </w:rPr>
              <w:t>限值</w:t>
            </w:r>
          </w:p>
        </w:tc>
      </w:tr>
      <w:tr w14:paraId="2741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continue"/>
            <w:vAlign w:val="center"/>
          </w:tcPr>
          <w:p w14:paraId="49563A54">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806" w:type="pct"/>
            <w:vMerge w:val="continue"/>
            <w:shd w:val="clear" w:color="auto" w:fill="auto"/>
            <w:vAlign w:val="center"/>
          </w:tcPr>
          <w:p w14:paraId="0EFBD25C">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861" w:type="pct"/>
            <w:shd w:val="clear" w:color="auto" w:fill="auto"/>
            <w:vAlign w:val="center"/>
          </w:tcPr>
          <w:p w14:paraId="1E6907C9">
            <w:pPr>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kern w:val="0"/>
                <w:sz w:val="21"/>
                <w:szCs w:val="21"/>
                <w:lang w:val="en-US" w:eastAsia="zh-CN" w:bidi="ar-SA"/>
              </w:rPr>
            </w:pPr>
            <w:r>
              <w:rPr>
                <w:rFonts w:hint="eastAsia" w:cs="Times New Roman"/>
                <w:kern w:val="0"/>
                <w:sz w:val="21"/>
                <w:szCs w:val="21"/>
                <w:lang w:val="en-US" w:eastAsia="zh-CN"/>
              </w:rPr>
              <w:t>NMHC</w:t>
            </w:r>
          </w:p>
        </w:tc>
        <w:tc>
          <w:tcPr>
            <w:tcW w:w="1298" w:type="pct"/>
            <w:vMerge w:val="continue"/>
            <w:shd w:val="clear" w:color="auto" w:fill="auto"/>
            <w:vAlign w:val="center"/>
          </w:tcPr>
          <w:p w14:paraId="25469AD3">
            <w:pPr>
              <w:keepNext w:val="0"/>
              <w:keepLines w:val="0"/>
              <w:widowControl/>
              <w:suppressLineNumbers w:val="0"/>
              <w:spacing w:before="0" w:beforeAutospacing="0" w:after="0" w:afterAutospacing="0" w:line="240" w:lineRule="auto"/>
              <w:ind w:left="0" w:right="0" w:firstLine="0" w:firstLineChars="0"/>
              <w:jc w:val="center"/>
              <w:rPr>
                <w:rFonts w:hint="eastAsia" w:cs="Times New Roman"/>
                <w:kern w:val="0"/>
                <w:sz w:val="21"/>
                <w:szCs w:val="21"/>
              </w:rPr>
            </w:pPr>
          </w:p>
        </w:tc>
        <w:tc>
          <w:tcPr>
            <w:tcW w:w="1402" w:type="pct"/>
            <w:shd w:val="clear" w:color="auto" w:fill="auto"/>
            <w:vAlign w:val="center"/>
          </w:tcPr>
          <w:p w14:paraId="52F76049">
            <w:pPr>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kern w:val="0"/>
                <w:sz w:val="21"/>
                <w:szCs w:val="21"/>
                <w:lang w:val="en-US" w:eastAsia="zh-CN" w:bidi="ar-SA"/>
              </w:rPr>
            </w:pPr>
            <w:r>
              <w:rPr>
                <w:rFonts w:hint="eastAsia" w:cs="Times New Roman"/>
                <w:kern w:val="0"/>
                <w:sz w:val="21"/>
                <w:szCs w:val="21"/>
              </w:rPr>
              <w:t>《大气污染物综合排放标准》（GB16297-1996）</w:t>
            </w:r>
            <w:r>
              <w:rPr>
                <w:rFonts w:hint="default" w:cs="Times New Roman"/>
                <w:kern w:val="0"/>
                <w:sz w:val="21"/>
                <w:szCs w:val="21"/>
              </w:rPr>
              <w:t>中的标准</w:t>
            </w:r>
            <w:r>
              <w:rPr>
                <w:rFonts w:hint="eastAsia" w:cs="Times New Roman"/>
                <w:kern w:val="0"/>
                <w:sz w:val="21"/>
                <w:szCs w:val="21"/>
                <w:lang w:val="en-US" w:eastAsia="zh-CN"/>
              </w:rPr>
              <w:t>限值</w:t>
            </w:r>
          </w:p>
        </w:tc>
      </w:tr>
      <w:tr w14:paraId="3B221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restart"/>
            <w:shd w:val="clear" w:color="auto" w:fill="auto"/>
            <w:vAlign w:val="center"/>
          </w:tcPr>
          <w:p w14:paraId="71DC7F4D">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地表水环境</w:t>
            </w:r>
          </w:p>
        </w:tc>
        <w:tc>
          <w:tcPr>
            <w:tcW w:w="806" w:type="pct"/>
            <w:vMerge w:val="restart"/>
            <w:shd w:val="clear" w:color="auto" w:fill="auto"/>
            <w:vAlign w:val="center"/>
          </w:tcPr>
          <w:p w14:paraId="5E8081A2">
            <w:pPr>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kern w:val="0"/>
                <w:sz w:val="21"/>
                <w:szCs w:val="21"/>
                <w:lang w:val="en-US" w:eastAsia="zh-CN"/>
              </w:rPr>
            </w:pPr>
            <w:r>
              <w:rPr>
                <w:rFonts w:hint="default" w:cs="Times New Roman"/>
                <w:kern w:val="0"/>
                <w:sz w:val="21"/>
                <w:szCs w:val="21"/>
              </w:rPr>
              <w:t>生活污水</w:t>
            </w:r>
          </w:p>
        </w:tc>
        <w:tc>
          <w:tcPr>
            <w:tcW w:w="861" w:type="pct"/>
            <w:shd w:val="clear" w:color="auto" w:fill="auto"/>
            <w:vAlign w:val="center"/>
          </w:tcPr>
          <w:p w14:paraId="07DDEECA">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eastAsia="等线" w:cs="Times New Roman"/>
                <w:kern w:val="0"/>
                <w:sz w:val="21"/>
                <w:szCs w:val="21"/>
              </w:rPr>
              <w:t>COD</w:t>
            </w:r>
          </w:p>
        </w:tc>
        <w:tc>
          <w:tcPr>
            <w:tcW w:w="1298" w:type="pct"/>
            <w:vMerge w:val="restart"/>
            <w:shd w:val="clear" w:color="auto" w:fill="auto"/>
            <w:vAlign w:val="center"/>
          </w:tcPr>
          <w:p w14:paraId="681E6AE3">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eastAsia" w:cs="Times New Roman"/>
                <w:kern w:val="0"/>
                <w:sz w:val="21"/>
                <w:szCs w:val="21"/>
              </w:rPr>
              <w:t>员工的生活污水经化粪池处理后纳入市政污水管网，经</w:t>
            </w:r>
            <w:r>
              <w:rPr>
                <w:rFonts w:hint="eastAsia" w:cs="Times New Roman"/>
                <w:kern w:val="0"/>
                <w:sz w:val="21"/>
                <w:szCs w:val="21"/>
                <w:lang w:val="en-US" w:eastAsia="zh-CN"/>
              </w:rPr>
              <w:t>余杭</w:t>
            </w:r>
            <w:r>
              <w:rPr>
                <w:rFonts w:hint="eastAsia" w:cs="Times New Roman"/>
                <w:kern w:val="0"/>
                <w:sz w:val="21"/>
                <w:szCs w:val="21"/>
              </w:rPr>
              <w:t>污水处理厂集中处理后外排。</w:t>
            </w:r>
          </w:p>
        </w:tc>
        <w:tc>
          <w:tcPr>
            <w:tcW w:w="1402" w:type="pct"/>
            <w:vMerge w:val="restart"/>
            <w:shd w:val="clear" w:color="auto" w:fill="auto"/>
            <w:vAlign w:val="center"/>
          </w:tcPr>
          <w:p w14:paraId="71F76672">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eastAsia" w:cs="Times New Roman"/>
                <w:kern w:val="0"/>
                <w:sz w:val="21"/>
                <w:szCs w:val="21"/>
              </w:rPr>
              <w:t>《污水综合排放标准》(GB8978-1996)表4中三级标准限值，其中氨氮执行《工业企业废水氮、磷污染物间接排放限值》（DB33/887-2013）中排放限值</w:t>
            </w:r>
          </w:p>
        </w:tc>
      </w:tr>
      <w:tr w14:paraId="39F88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continue"/>
            <w:vAlign w:val="center"/>
          </w:tcPr>
          <w:p w14:paraId="25E8AB27">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806" w:type="pct"/>
            <w:vMerge w:val="continue"/>
            <w:vAlign w:val="center"/>
          </w:tcPr>
          <w:p w14:paraId="69FABDC0">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861" w:type="pct"/>
            <w:shd w:val="clear" w:color="auto" w:fill="auto"/>
            <w:vAlign w:val="center"/>
          </w:tcPr>
          <w:p w14:paraId="534E4CA2">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eastAsia="等线" w:cs="Times New Roman"/>
                <w:kern w:val="0"/>
                <w:sz w:val="21"/>
                <w:szCs w:val="21"/>
              </w:rPr>
              <w:t>BOD</w:t>
            </w:r>
            <w:r>
              <w:rPr>
                <w:rFonts w:hint="default" w:eastAsia="等线" w:cs="Times New Roman"/>
                <w:kern w:val="0"/>
                <w:sz w:val="21"/>
                <w:szCs w:val="21"/>
                <w:vertAlign w:val="subscript"/>
              </w:rPr>
              <w:t>5</w:t>
            </w:r>
          </w:p>
        </w:tc>
        <w:tc>
          <w:tcPr>
            <w:tcW w:w="1298" w:type="pct"/>
            <w:vMerge w:val="continue"/>
            <w:vAlign w:val="center"/>
          </w:tcPr>
          <w:p w14:paraId="7DDED38A">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1402" w:type="pct"/>
            <w:vMerge w:val="continue"/>
            <w:vAlign w:val="center"/>
          </w:tcPr>
          <w:p w14:paraId="68665C87">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r>
      <w:tr w14:paraId="10A3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continue"/>
            <w:vAlign w:val="center"/>
          </w:tcPr>
          <w:p w14:paraId="0EC2A0C6">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806" w:type="pct"/>
            <w:vMerge w:val="continue"/>
            <w:vAlign w:val="center"/>
          </w:tcPr>
          <w:p w14:paraId="5B9E93A2">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861" w:type="pct"/>
            <w:shd w:val="clear" w:color="auto" w:fill="auto"/>
            <w:noWrap/>
            <w:vAlign w:val="center"/>
          </w:tcPr>
          <w:p w14:paraId="6D92A788">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eastAsia="等线" w:cs="Times New Roman"/>
                <w:kern w:val="0"/>
                <w:sz w:val="21"/>
                <w:szCs w:val="21"/>
              </w:rPr>
              <w:t>SS</w:t>
            </w:r>
          </w:p>
        </w:tc>
        <w:tc>
          <w:tcPr>
            <w:tcW w:w="1298" w:type="pct"/>
            <w:vMerge w:val="continue"/>
            <w:vAlign w:val="center"/>
          </w:tcPr>
          <w:p w14:paraId="2E320C03">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1402" w:type="pct"/>
            <w:vMerge w:val="continue"/>
            <w:vAlign w:val="center"/>
          </w:tcPr>
          <w:p w14:paraId="51038F74">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r>
      <w:tr w14:paraId="52B1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continue"/>
            <w:vAlign w:val="center"/>
          </w:tcPr>
          <w:p w14:paraId="293D9ED9">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806" w:type="pct"/>
            <w:vMerge w:val="continue"/>
            <w:vAlign w:val="center"/>
          </w:tcPr>
          <w:p w14:paraId="3C03A63E">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861" w:type="pct"/>
            <w:shd w:val="clear" w:color="auto" w:fill="auto"/>
            <w:noWrap/>
            <w:vAlign w:val="center"/>
          </w:tcPr>
          <w:p w14:paraId="730D64AF">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eastAsia="等线" w:cs="Times New Roman"/>
                <w:kern w:val="0"/>
                <w:sz w:val="21"/>
                <w:szCs w:val="21"/>
              </w:rPr>
              <w:t>NH</w:t>
            </w:r>
            <w:r>
              <w:rPr>
                <w:rFonts w:hint="default" w:eastAsia="等线" w:cs="Times New Roman"/>
                <w:kern w:val="0"/>
                <w:sz w:val="21"/>
                <w:szCs w:val="21"/>
                <w:vertAlign w:val="subscript"/>
              </w:rPr>
              <w:t>3</w:t>
            </w:r>
            <w:r>
              <w:rPr>
                <w:rFonts w:hint="default" w:eastAsia="等线" w:cs="Times New Roman"/>
                <w:kern w:val="0"/>
                <w:sz w:val="21"/>
                <w:szCs w:val="21"/>
              </w:rPr>
              <w:t>-N</w:t>
            </w:r>
          </w:p>
        </w:tc>
        <w:tc>
          <w:tcPr>
            <w:tcW w:w="1298" w:type="pct"/>
            <w:vMerge w:val="continue"/>
            <w:vAlign w:val="center"/>
          </w:tcPr>
          <w:p w14:paraId="63DC9318">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1402" w:type="pct"/>
            <w:vMerge w:val="continue"/>
            <w:vAlign w:val="center"/>
          </w:tcPr>
          <w:p w14:paraId="2003F3EF">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r>
      <w:tr w14:paraId="0E71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continue"/>
            <w:vAlign w:val="center"/>
          </w:tcPr>
          <w:p w14:paraId="0DFB8AAB">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806" w:type="pct"/>
            <w:vAlign w:val="center"/>
          </w:tcPr>
          <w:p w14:paraId="06037AC5">
            <w:pPr>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kern w:val="0"/>
                <w:sz w:val="21"/>
                <w:szCs w:val="21"/>
                <w:lang w:val="en-US" w:eastAsia="zh-CN"/>
              </w:rPr>
            </w:pPr>
            <w:r>
              <w:rPr>
                <w:rFonts w:hint="eastAsia" w:cs="Times New Roman"/>
                <w:kern w:val="0"/>
                <w:sz w:val="21"/>
                <w:szCs w:val="21"/>
                <w:lang w:val="en-US" w:eastAsia="zh-CN"/>
              </w:rPr>
              <w:t>清洗废水、灭菌废水、恒温水槽废水</w:t>
            </w:r>
          </w:p>
        </w:tc>
        <w:tc>
          <w:tcPr>
            <w:tcW w:w="861" w:type="pct"/>
            <w:shd w:val="clear" w:color="auto" w:fill="auto"/>
            <w:noWrap/>
            <w:vAlign w:val="center"/>
          </w:tcPr>
          <w:p w14:paraId="4E899754">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lang w:val="en-US" w:eastAsia="zh-CN"/>
              </w:rPr>
            </w:pPr>
            <w:r>
              <w:rPr>
                <w:rFonts w:hint="default" w:ascii="Times New Roman" w:hAnsi="Times New Roman" w:eastAsia="宋体" w:cs="Times New Roman"/>
                <w:kern w:val="0"/>
                <w:sz w:val="21"/>
                <w:szCs w:val="21"/>
              </w:rPr>
              <w:t>COD</w:t>
            </w:r>
            <w:r>
              <w:rPr>
                <w:rFonts w:hint="default" w:ascii="Times New Roman" w:hAnsi="Times New Roman" w:eastAsia="宋体" w:cs="Times New Roman"/>
                <w:kern w:val="0"/>
                <w:sz w:val="21"/>
                <w:szCs w:val="21"/>
                <w:lang w:eastAsia="zh-CN"/>
              </w:rPr>
              <w:t>、</w:t>
            </w:r>
            <w:r>
              <w:rPr>
                <w:rFonts w:hint="default" w:ascii="Times New Roman" w:hAnsi="Times New Roman" w:eastAsia="宋体" w:cs="Times New Roman"/>
                <w:kern w:val="0"/>
                <w:sz w:val="21"/>
                <w:szCs w:val="21"/>
              </w:rPr>
              <w:t>NH</w:t>
            </w:r>
            <w:r>
              <w:rPr>
                <w:rFonts w:hint="default" w:ascii="Times New Roman" w:hAnsi="Times New Roman" w:eastAsia="宋体" w:cs="Times New Roman"/>
                <w:kern w:val="0"/>
                <w:sz w:val="21"/>
                <w:szCs w:val="21"/>
                <w:vertAlign w:val="subscript"/>
              </w:rPr>
              <w:t>3</w:t>
            </w:r>
            <w:r>
              <w:rPr>
                <w:rFonts w:hint="default" w:ascii="Times New Roman" w:hAnsi="Times New Roman" w:eastAsia="宋体" w:cs="Times New Roman"/>
                <w:kern w:val="0"/>
                <w:sz w:val="21"/>
                <w:szCs w:val="21"/>
              </w:rPr>
              <w:t>-N</w:t>
            </w:r>
            <w:r>
              <w:rPr>
                <w:rFonts w:hint="default" w:ascii="Times New Roman" w:hAnsi="Times New Roman" w:eastAsia="宋体" w:cs="Times New Roman"/>
                <w:kern w:val="0"/>
                <w:sz w:val="21"/>
                <w:szCs w:val="21"/>
                <w:lang w:eastAsia="zh-CN"/>
              </w:rPr>
              <w:t>、</w:t>
            </w:r>
            <w:r>
              <w:rPr>
                <w:rFonts w:hint="default" w:ascii="Times New Roman" w:hAnsi="Times New Roman" w:eastAsia="宋体" w:cs="Times New Roman"/>
                <w:kern w:val="0"/>
                <w:sz w:val="21"/>
                <w:szCs w:val="21"/>
                <w:lang w:val="en-US" w:eastAsia="zh-CN"/>
              </w:rPr>
              <w:t>粪大肠杆菌、TP等</w:t>
            </w:r>
          </w:p>
        </w:tc>
        <w:tc>
          <w:tcPr>
            <w:tcW w:w="1298" w:type="pct"/>
            <w:vAlign w:val="center"/>
          </w:tcPr>
          <w:p w14:paraId="0F7F6176">
            <w:pPr>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kern w:val="0"/>
                <w:sz w:val="21"/>
                <w:szCs w:val="21"/>
                <w:lang w:val="en-US" w:eastAsia="zh-CN"/>
              </w:rPr>
            </w:pPr>
            <w:r>
              <w:rPr>
                <w:rFonts w:hint="eastAsia" w:cs="Times New Roman"/>
                <w:kern w:val="0"/>
                <w:sz w:val="21"/>
                <w:szCs w:val="21"/>
                <w:lang w:val="en-US" w:eastAsia="zh-CN"/>
              </w:rPr>
              <w:t>经1套0.5t/h实验室废水处理系统（重金属吸附+混凝过滤+多介质过滤+消毒）处理后纳管排放</w:t>
            </w:r>
          </w:p>
        </w:tc>
        <w:tc>
          <w:tcPr>
            <w:tcW w:w="1402" w:type="pct"/>
            <w:vMerge w:val="continue"/>
            <w:vAlign w:val="center"/>
          </w:tcPr>
          <w:p w14:paraId="24CAAD95">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r>
      <w:tr w14:paraId="6847B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shd w:val="clear" w:color="auto" w:fill="auto"/>
            <w:vAlign w:val="center"/>
          </w:tcPr>
          <w:p w14:paraId="3B5828B6">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声环境</w:t>
            </w:r>
          </w:p>
        </w:tc>
        <w:tc>
          <w:tcPr>
            <w:tcW w:w="806" w:type="pct"/>
            <w:shd w:val="clear" w:color="auto" w:fill="auto"/>
            <w:vAlign w:val="center"/>
          </w:tcPr>
          <w:p w14:paraId="401EACC0">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厂区生产设备</w:t>
            </w:r>
          </w:p>
        </w:tc>
        <w:tc>
          <w:tcPr>
            <w:tcW w:w="861" w:type="pct"/>
            <w:shd w:val="clear" w:color="auto" w:fill="auto"/>
            <w:vAlign w:val="center"/>
          </w:tcPr>
          <w:p w14:paraId="73D62B65">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噪声</w:t>
            </w:r>
          </w:p>
        </w:tc>
        <w:tc>
          <w:tcPr>
            <w:tcW w:w="1298" w:type="pct"/>
            <w:shd w:val="clear" w:color="auto" w:fill="auto"/>
            <w:vAlign w:val="center"/>
          </w:tcPr>
          <w:p w14:paraId="7A4BC63C">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减振、隔声</w:t>
            </w:r>
          </w:p>
        </w:tc>
        <w:tc>
          <w:tcPr>
            <w:tcW w:w="1402" w:type="pct"/>
            <w:shd w:val="clear" w:color="auto" w:fill="auto"/>
            <w:vAlign w:val="center"/>
          </w:tcPr>
          <w:p w14:paraId="4800F870">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《工业企业厂界环境噪声排放标准》（GB12348-2008）中</w:t>
            </w:r>
            <w:r>
              <w:rPr>
                <w:rFonts w:hint="eastAsia" w:cs="Times New Roman"/>
                <w:kern w:val="0"/>
                <w:sz w:val="21"/>
                <w:szCs w:val="21"/>
                <w:lang w:val="en-US" w:eastAsia="zh-CN"/>
              </w:rPr>
              <w:t>2</w:t>
            </w:r>
            <w:r>
              <w:rPr>
                <w:rFonts w:hint="default" w:cs="Times New Roman"/>
                <w:kern w:val="0"/>
                <w:sz w:val="21"/>
                <w:szCs w:val="21"/>
              </w:rPr>
              <w:t>类</w:t>
            </w:r>
            <w:r>
              <w:rPr>
                <w:rFonts w:hint="eastAsia" w:cs="Times New Roman"/>
                <w:kern w:val="0"/>
                <w:sz w:val="21"/>
                <w:szCs w:val="21"/>
              </w:rPr>
              <w:t>标准</w:t>
            </w:r>
          </w:p>
        </w:tc>
      </w:tr>
      <w:tr w14:paraId="3216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shd w:val="clear" w:color="auto" w:fill="auto"/>
            <w:vAlign w:val="center"/>
          </w:tcPr>
          <w:p w14:paraId="22756299">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电磁辐射</w:t>
            </w:r>
          </w:p>
        </w:tc>
        <w:tc>
          <w:tcPr>
            <w:tcW w:w="806" w:type="pct"/>
            <w:shd w:val="clear" w:color="auto" w:fill="auto"/>
            <w:vAlign w:val="center"/>
          </w:tcPr>
          <w:p w14:paraId="0C544327">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w:t>
            </w:r>
          </w:p>
        </w:tc>
        <w:tc>
          <w:tcPr>
            <w:tcW w:w="861" w:type="pct"/>
            <w:shd w:val="clear" w:color="auto" w:fill="auto"/>
            <w:vAlign w:val="center"/>
          </w:tcPr>
          <w:p w14:paraId="17A0F228">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w:t>
            </w:r>
          </w:p>
        </w:tc>
        <w:tc>
          <w:tcPr>
            <w:tcW w:w="1298" w:type="pct"/>
            <w:shd w:val="clear" w:color="auto" w:fill="auto"/>
            <w:vAlign w:val="center"/>
          </w:tcPr>
          <w:p w14:paraId="1476AAD9">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w:t>
            </w:r>
          </w:p>
        </w:tc>
        <w:tc>
          <w:tcPr>
            <w:tcW w:w="1402" w:type="pct"/>
            <w:shd w:val="clear" w:color="auto" w:fill="auto"/>
            <w:vAlign w:val="center"/>
          </w:tcPr>
          <w:p w14:paraId="2784F0CB">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w:t>
            </w:r>
          </w:p>
        </w:tc>
      </w:tr>
      <w:tr w14:paraId="02EF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shd w:val="clear" w:color="auto" w:fill="auto"/>
            <w:vAlign w:val="center"/>
          </w:tcPr>
          <w:p w14:paraId="210BDFCA">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固体废物</w:t>
            </w:r>
          </w:p>
        </w:tc>
        <w:tc>
          <w:tcPr>
            <w:tcW w:w="4369" w:type="pct"/>
            <w:gridSpan w:val="4"/>
            <w:shd w:val="clear" w:color="auto" w:fill="auto"/>
            <w:vAlign w:val="center"/>
          </w:tcPr>
          <w:p w14:paraId="5F950D64">
            <w:pPr>
              <w:keepNext w:val="0"/>
              <w:keepLines w:val="0"/>
              <w:widowControl/>
              <w:suppressLineNumbers w:val="0"/>
              <w:spacing w:before="0" w:beforeAutospacing="0" w:after="0" w:afterAutospacing="0" w:line="240" w:lineRule="auto"/>
              <w:ind w:left="0" w:right="0" w:firstLine="0" w:firstLineChars="0"/>
              <w:jc w:val="left"/>
              <w:rPr>
                <w:rFonts w:hint="default" w:cs="Times New Roman"/>
                <w:kern w:val="0"/>
                <w:sz w:val="21"/>
                <w:szCs w:val="21"/>
              </w:rPr>
            </w:pPr>
            <w:r>
              <w:rPr>
                <w:rFonts w:hint="eastAsia" w:cs="Times New Roman"/>
                <w:kern w:val="0"/>
                <w:sz w:val="21"/>
                <w:szCs w:val="21"/>
              </w:rPr>
              <w:t>一般工业固废</w:t>
            </w:r>
            <w:r>
              <w:rPr>
                <w:rFonts w:hint="default" w:cs="Times New Roman"/>
                <w:kern w:val="0"/>
                <w:sz w:val="21"/>
                <w:szCs w:val="21"/>
              </w:rPr>
              <w:t>收集后进行综合利用。</w:t>
            </w:r>
          </w:p>
          <w:p w14:paraId="742F9A54">
            <w:pPr>
              <w:keepNext w:val="0"/>
              <w:keepLines w:val="0"/>
              <w:widowControl/>
              <w:suppressLineNumbers w:val="0"/>
              <w:spacing w:before="0" w:beforeAutospacing="0" w:after="0" w:afterAutospacing="0" w:line="240" w:lineRule="auto"/>
              <w:ind w:left="0" w:right="0" w:firstLine="0" w:firstLineChars="0"/>
              <w:jc w:val="left"/>
              <w:rPr>
                <w:rFonts w:hint="default" w:cs="Times New Roman"/>
                <w:kern w:val="0"/>
                <w:sz w:val="21"/>
                <w:szCs w:val="21"/>
              </w:rPr>
            </w:pPr>
            <w:r>
              <w:rPr>
                <w:rFonts w:hint="eastAsia" w:cs="Times New Roman"/>
                <w:kern w:val="0"/>
                <w:sz w:val="21"/>
                <w:szCs w:val="21"/>
              </w:rPr>
              <w:t>危险废物</w:t>
            </w:r>
            <w:r>
              <w:rPr>
                <w:rFonts w:hint="default" w:cs="Times New Roman"/>
                <w:kern w:val="0"/>
                <w:sz w:val="21"/>
                <w:szCs w:val="21"/>
              </w:rPr>
              <w:t>收集后厂内危废库暂存，委托资质单位进行处置；</w:t>
            </w:r>
          </w:p>
          <w:p w14:paraId="61408306">
            <w:pPr>
              <w:keepNext w:val="0"/>
              <w:keepLines w:val="0"/>
              <w:widowControl/>
              <w:suppressLineNumbers w:val="0"/>
              <w:spacing w:before="0" w:beforeAutospacing="0" w:after="0" w:afterAutospacing="0" w:line="240" w:lineRule="auto"/>
              <w:ind w:left="0" w:right="0" w:firstLine="0" w:firstLineChars="0"/>
              <w:jc w:val="left"/>
              <w:rPr>
                <w:rFonts w:hint="default" w:cs="Times New Roman"/>
                <w:kern w:val="0"/>
                <w:sz w:val="21"/>
                <w:szCs w:val="21"/>
              </w:rPr>
            </w:pPr>
            <w:r>
              <w:rPr>
                <w:rFonts w:hint="default" w:cs="Times New Roman"/>
                <w:kern w:val="0"/>
                <w:sz w:val="21"/>
                <w:szCs w:val="21"/>
              </w:rPr>
              <w:t>生活垃圾收集后由环卫部门统一处置。</w:t>
            </w:r>
          </w:p>
        </w:tc>
      </w:tr>
      <w:tr w14:paraId="3B926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restart"/>
            <w:shd w:val="clear" w:color="auto" w:fill="auto"/>
            <w:vAlign w:val="center"/>
          </w:tcPr>
          <w:p w14:paraId="32D32D86">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土壤及地下水污染防治措施</w:t>
            </w:r>
          </w:p>
        </w:tc>
        <w:tc>
          <w:tcPr>
            <w:tcW w:w="4369" w:type="pct"/>
            <w:gridSpan w:val="4"/>
            <w:vMerge w:val="restart"/>
            <w:shd w:val="clear" w:color="auto" w:fill="auto"/>
            <w:vAlign w:val="center"/>
          </w:tcPr>
          <w:p w14:paraId="6A8641AD">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eastAsia" w:cs="Times New Roman"/>
                <w:kern w:val="0"/>
                <w:sz w:val="21"/>
                <w:szCs w:val="21"/>
              </w:rPr>
              <w:t>分区防渗</w:t>
            </w:r>
          </w:p>
        </w:tc>
      </w:tr>
      <w:tr w14:paraId="395D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continue"/>
            <w:vAlign w:val="center"/>
          </w:tcPr>
          <w:p w14:paraId="7B491A1F">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4369" w:type="pct"/>
            <w:gridSpan w:val="4"/>
            <w:vMerge w:val="continue"/>
            <w:vAlign w:val="center"/>
          </w:tcPr>
          <w:p w14:paraId="3E7C15D1">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r>
      <w:tr w14:paraId="54EE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shd w:val="clear" w:color="auto" w:fill="auto"/>
            <w:vAlign w:val="center"/>
          </w:tcPr>
          <w:p w14:paraId="5D549A95">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生态保护措施</w:t>
            </w:r>
          </w:p>
        </w:tc>
        <w:tc>
          <w:tcPr>
            <w:tcW w:w="4369" w:type="pct"/>
            <w:gridSpan w:val="4"/>
            <w:shd w:val="clear" w:color="auto" w:fill="auto"/>
            <w:vAlign w:val="center"/>
          </w:tcPr>
          <w:p w14:paraId="11BB2E5B">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w:t>
            </w:r>
          </w:p>
        </w:tc>
      </w:tr>
      <w:tr w14:paraId="0CE90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restart"/>
            <w:shd w:val="clear" w:color="auto" w:fill="auto"/>
            <w:vAlign w:val="center"/>
          </w:tcPr>
          <w:p w14:paraId="4F322999">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环境风险防范措施</w:t>
            </w:r>
          </w:p>
        </w:tc>
        <w:tc>
          <w:tcPr>
            <w:tcW w:w="4369" w:type="pct"/>
            <w:gridSpan w:val="4"/>
            <w:vMerge w:val="restart"/>
            <w:shd w:val="clear" w:color="auto" w:fill="auto"/>
            <w:vAlign w:val="center"/>
          </w:tcPr>
          <w:p w14:paraId="5272C260">
            <w:pPr>
              <w:keepNext w:val="0"/>
              <w:keepLines w:val="0"/>
              <w:widowControl/>
              <w:suppressLineNumbers w:val="0"/>
              <w:spacing w:before="0" w:beforeAutospacing="0" w:after="0" w:afterAutospacing="0" w:line="240" w:lineRule="auto"/>
              <w:ind w:left="0" w:right="0" w:firstLine="0" w:firstLineChars="0"/>
              <w:rPr>
                <w:rFonts w:hint="default" w:cs="Times New Roman"/>
                <w:kern w:val="0"/>
                <w:sz w:val="21"/>
                <w:szCs w:val="21"/>
              </w:rPr>
            </w:pPr>
            <w:r>
              <w:rPr>
                <w:rFonts w:hint="default" w:cs="Times New Roman"/>
                <w:kern w:val="0"/>
                <w:sz w:val="21"/>
                <w:szCs w:val="21"/>
              </w:rPr>
              <w:t>①管道施工时应对施工材料加强质量检查，严禁使用不合格产品。对焊接质量严格检验，防止焊接缺陷造成泄漏事故的发生。</w:t>
            </w:r>
          </w:p>
          <w:p w14:paraId="1797B704">
            <w:pPr>
              <w:keepNext w:val="0"/>
              <w:keepLines w:val="0"/>
              <w:widowControl/>
              <w:suppressLineNumbers w:val="0"/>
              <w:spacing w:before="0" w:beforeAutospacing="0" w:after="0" w:afterAutospacing="0" w:line="240" w:lineRule="auto"/>
              <w:ind w:left="0" w:right="0" w:firstLine="0" w:firstLineChars="0"/>
              <w:rPr>
                <w:rFonts w:hint="default" w:cs="Times New Roman"/>
                <w:kern w:val="0"/>
                <w:sz w:val="21"/>
                <w:szCs w:val="21"/>
              </w:rPr>
            </w:pPr>
            <w:r>
              <w:rPr>
                <w:rFonts w:hint="default" w:cs="Times New Roman"/>
                <w:kern w:val="0"/>
                <w:sz w:val="21"/>
                <w:szCs w:val="21"/>
              </w:rPr>
              <w:t>②按规定进行设备维修、保养、更换易损及老化部件。</w:t>
            </w:r>
          </w:p>
          <w:p w14:paraId="3254DBA3">
            <w:pPr>
              <w:keepNext w:val="0"/>
              <w:keepLines w:val="0"/>
              <w:widowControl/>
              <w:suppressLineNumbers w:val="0"/>
              <w:spacing w:before="0" w:beforeAutospacing="0" w:after="0" w:afterAutospacing="0" w:line="240" w:lineRule="auto"/>
              <w:ind w:left="0" w:right="0" w:firstLine="0" w:firstLineChars="0"/>
              <w:rPr>
                <w:rFonts w:hint="default" w:cs="Times New Roman"/>
                <w:kern w:val="0"/>
                <w:sz w:val="21"/>
                <w:szCs w:val="21"/>
              </w:rPr>
            </w:pPr>
            <w:r>
              <w:rPr>
                <w:rFonts w:hint="default" w:cs="Times New Roman"/>
                <w:kern w:val="0"/>
                <w:sz w:val="21"/>
                <w:szCs w:val="21"/>
              </w:rPr>
              <w:t>③加强对管线阀门、泄漏检测报警系统检修维护保养工作，确保阀门、泄漏检测报警系统正常运行。</w:t>
            </w:r>
          </w:p>
          <w:p w14:paraId="7C7AC51E">
            <w:pPr>
              <w:keepNext w:val="0"/>
              <w:keepLines w:val="0"/>
              <w:widowControl/>
              <w:suppressLineNumbers w:val="0"/>
              <w:spacing w:before="0" w:beforeAutospacing="0" w:after="0" w:afterAutospacing="0" w:line="240" w:lineRule="auto"/>
              <w:ind w:left="0" w:right="0" w:firstLine="0" w:firstLineChars="0"/>
              <w:rPr>
                <w:rFonts w:hint="default" w:cs="Times New Roman"/>
                <w:kern w:val="0"/>
                <w:sz w:val="21"/>
                <w:szCs w:val="21"/>
              </w:rPr>
            </w:pPr>
            <w:r>
              <w:rPr>
                <w:rFonts w:hint="default" w:cs="Times New Roman"/>
                <w:kern w:val="0"/>
                <w:sz w:val="21"/>
                <w:szCs w:val="21"/>
              </w:rPr>
              <w:t>④加强防火安全管理：杜绝明火，需动用电焊、气焊作业时，严格根据动火审批程序办事，采取一切必要的预防措施，施工作业时车间专职安全员和主要领导要在现场监护，房内禁止堆放任何易燃物品和杂物。</w:t>
            </w:r>
          </w:p>
        </w:tc>
      </w:tr>
      <w:tr w14:paraId="6B7E9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continue"/>
            <w:vAlign w:val="center"/>
          </w:tcPr>
          <w:p w14:paraId="62977893">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4369" w:type="pct"/>
            <w:gridSpan w:val="4"/>
            <w:vMerge w:val="continue"/>
            <w:vAlign w:val="center"/>
          </w:tcPr>
          <w:p w14:paraId="67F98C0C">
            <w:pPr>
              <w:keepNext w:val="0"/>
              <w:keepLines w:val="0"/>
              <w:widowControl/>
              <w:suppressLineNumbers w:val="0"/>
              <w:spacing w:before="0" w:beforeAutospacing="0" w:after="0" w:afterAutospacing="0" w:line="240" w:lineRule="auto"/>
              <w:ind w:left="0" w:right="0" w:firstLine="0" w:firstLineChars="0"/>
              <w:rPr>
                <w:rFonts w:hint="default" w:cs="Times New Roman"/>
                <w:kern w:val="0"/>
                <w:sz w:val="21"/>
                <w:szCs w:val="21"/>
              </w:rPr>
            </w:pPr>
          </w:p>
        </w:tc>
      </w:tr>
      <w:tr w14:paraId="03D67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restart"/>
            <w:shd w:val="clear" w:color="auto" w:fill="auto"/>
            <w:vAlign w:val="center"/>
          </w:tcPr>
          <w:p w14:paraId="7183571B">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cs="Times New Roman"/>
                <w:kern w:val="0"/>
                <w:sz w:val="21"/>
                <w:szCs w:val="21"/>
              </w:rPr>
              <w:t>其他环境管理要求</w:t>
            </w:r>
          </w:p>
        </w:tc>
        <w:tc>
          <w:tcPr>
            <w:tcW w:w="4369" w:type="pct"/>
            <w:gridSpan w:val="4"/>
            <w:vMerge w:val="restart"/>
            <w:shd w:val="clear" w:color="auto" w:fill="auto"/>
            <w:vAlign w:val="center"/>
          </w:tcPr>
          <w:p w14:paraId="56B1ACB4">
            <w:pPr>
              <w:keepNext w:val="0"/>
              <w:keepLines w:val="0"/>
              <w:widowControl/>
              <w:suppressLineNumbers w:val="0"/>
              <w:spacing w:before="0" w:beforeAutospacing="0" w:after="0" w:afterAutospacing="0" w:line="240" w:lineRule="auto"/>
              <w:ind w:left="0" w:right="0" w:firstLine="360"/>
              <w:rPr>
                <w:rFonts w:hint="default" w:cs="Times New Roman"/>
                <w:kern w:val="0"/>
                <w:sz w:val="21"/>
                <w:szCs w:val="21"/>
              </w:rPr>
            </w:pPr>
            <w:r>
              <w:rPr>
                <w:rFonts w:hint="eastAsia" w:cs="Times New Roman"/>
                <w:kern w:val="0"/>
                <w:sz w:val="21"/>
                <w:szCs w:val="21"/>
              </w:rPr>
              <w:t>1、项目环境管理要求</w:t>
            </w:r>
          </w:p>
          <w:p w14:paraId="793B6601">
            <w:pPr>
              <w:keepNext w:val="0"/>
              <w:keepLines w:val="0"/>
              <w:widowControl/>
              <w:suppressLineNumbers w:val="0"/>
              <w:spacing w:before="0" w:beforeAutospacing="0" w:after="0" w:afterAutospacing="0" w:line="240" w:lineRule="auto"/>
              <w:ind w:left="0" w:right="0" w:firstLine="360"/>
              <w:rPr>
                <w:rFonts w:hint="default" w:cs="Times New Roman"/>
                <w:kern w:val="0"/>
                <w:sz w:val="21"/>
                <w:szCs w:val="21"/>
              </w:rPr>
            </w:pPr>
            <w:r>
              <w:rPr>
                <w:rFonts w:hint="default" w:cs="Times New Roman"/>
                <w:kern w:val="0"/>
                <w:sz w:val="21"/>
                <w:szCs w:val="21"/>
              </w:rPr>
              <w:t>建设项目的环境管理工作应由专人负责，为加强环境管理提供组织保证，配合环境保护主管部门依法对企业进行环境监督、管理、考核，以及接受生态环境分局在具体业务上给予技术指导。环境管理机构主要职责如下：</w:t>
            </w:r>
          </w:p>
          <w:p w14:paraId="76C534CA">
            <w:pPr>
              <w:keepNext w:val="0"/>
              <w:keepLines w:val="0"/>
              <w:widowControl/>
              <w:suppressLineNumbers w:val="0"/>
              <w:spacing w:before="0" w:beforeAutospacing="0" w:after="0" w:afterAutospacing="0" w:line="240" w:lineRule="auto"/>
              <w:ind w:left="0" w:right="0" w:firstLine="360"/>
              <w:rPr>
                <w:rFonts w:hint="default" w:cs="Times New Roman"/>
                <w:kern w:val="0"/>
                <w:sz w:val="21"/>
                <w:szCs w:val="21"/>
              </w:rPr>
            </w:pPr>
            <w:r>
              <w:rPr>
                <w:rFonts w:hint="default" w:cs="Times New Roman"/>
                <w:kern w:val="0"/>
                <w:sz w:val="21"/>
                <w:szCs w:val="21"/>
              </w:rPr>
              <w:t>（1）根据公司规模、性质、特点和国家法律、法规，制定全公司环保规划和环境方针，并负责以多种形式向相关方面宣传；</w:t>
            </w:r>
          </w:p>
          <w:p w14:paraId="0687101D">
            <w:pPr>
              <w:keepNext w:val="0"/>
              <w:keepLines w:val="0"/>
              <w:widowControl/>
              <w:suppressLineNumbers w:val="0"/>
              <w:spacing w:before="0" w:beforeAutospacing="0" w:after="0" w:afterAutospacing="0" w:line="240" w:lineRule="auto"/>
              <w:ind w:left="0" w:right="0" w:firstLine="360"/>
              <w:rPr>
                <w:rFonts w:hint="default" w:cs="Times New Roman"/>
                <w:kern w:val="0"/>
                <w:sz w:val="21"/>
                <w:szCs w:val="21"/>
              </w:rPr>
            </w:pPr>
            <w:r>
              <w:rPr>
                <w:rFonts w:hint="default" w:cs="Times New Roman"/>
                <w:kern w:val="0"/>
                <w:sz w:val="21"/>
                <w:szCs w:val="21"/>
              </w:rPr>
              <w:t>（2）负责获取、更新使用于本企业的与环境相关的法律、法规，负责把适用的法律、法规发放到相关部门；</w:t>
            </w:r>
          </w:p>
          <w:p w14:paraId="0681DD37">
            <w:pPr>
              <w:keepNext w:val="0"/>
              <w:keepLines w:val="0"/>
              <w:widowControl/>
              <w:suppressLineNumbers w:val="0"/>
              <w:spacing w:before="0" w:beforeAutospacing="0" w:after="0" w:afterAutospacing="0" w:line="240" w:lineRule="auto"/>
              <w:ind w:left="0" w:right="0" w:firstLine="360"/>
              <w:rPr>
                <w:rFonts w:hint="default" w:cs="Times New Roman"/>
                <w:kern w:val="0"/>
                <w:sz w:val="21"/>
                <w:szCs w:val="21"/>
              </w:rPr>
            </w:pPr>
            <w:r>
              <w:rPr>
                <w:rFonts w:hint="default" w:cs="Times New Roman"/>
                <w:kern w:val="0"/>
                <w:sz w:val="21"/>
                <w:szCs w:val="21"/>
              </w:rPr>
              <w:t>（3）协助各车间制定车间的环保规划，并协调和监督各单位具体实施；</w:t>
            </w:r>
          </w:p>
          <w:p w14:paraId="3F102EB1">
            <w:pPr>
              <w:keepNext w:val="0"/>
              <w:keepLines w:val="0"/>
              <w:widowControl/>
              <w:suppressLineNumbers w:val="0"/>
              <w:spacing w:before="0" w:beforeAutospacing="0" w:after="0" w:afterAutospacing="0" w:line="240" w:lineRule="auto"/>
              <w:ind w:left="0" w:right="0" w:firstLine="360"/>
              <w:rPr>
                <w:rFonts w:hint="default" w:cs="Times New Roman"/>
                <w:kern w:val="0"/>
                <w:sz w:val="21"/>
                <w:szCs w:val="21"/>
              </w:rPr>
            </w:pPr>
            <w:r>
              <w:rPr>
                <w:rFonts w:hint="default" w:cs="Times New Roman"/>
                <w:kern w:val="0"/>
                <w:sz w:val="21"/>
                <w:szCs w:val="21"/>
              </w:rPr>
              <w:t>（4）负责制定和实施公司的年度环保培训计划；</w:t>
            </w:r>
          </w:p>
          <w:p w14:paraId="6ADC207A">
            <w:pPr>
              <w:keepNext w:val="0"/>
              <w:keepLines w:val="0"/>
              <w:widowControl/>
              <w:suppressLineNumbers w:val="0"/>
              <w:spacing w:before="0" w:beforeAutospacing="0" w:after="0" w:afterAutospacing="0" w:line="240" w:lineRule="auto"/>
              <w:ind w:left="0" w:right="0" w:firstLine="360"/>
              <w:rPr>
                <w:rFonts w:hint="default" w:cs="Times New Roman"/>
                <w:kern w:val="0"/>
                <w:sz w:val="21"/>
                <w:szCs w:val="21"/>
              </w:rPr>
            </w:pPr>
            <w:r>
              <w:rPr>
                <w:rFonts w:hint="default" w:cs="Times New Roman"/>
                <w:kern w:val="0"/>
                <w:sz w:val="21"/>
                <w:szCs w:val="21"/>
              </w:rPr>
              <w:t>（5）负责公司内外部的环境工作信息交流；</w:t>
            </w:r>
          </w:p>
          <w:p w14:paraId="19D6E2E8">
            <w:pPr>
              <w:keepNext w:val="0"/>
              <w:keepLines w:val="0"/>
              <w:widowControl/>
              <w:suppressLineNumbers w:val="0"/>
              <w:spacing w:before="0" w:beforeAutospacing="0" w:after="0" w:afterAutospacing="0" w:line="240" w:lineRule="auto"/>
              <w:ind w:left="0" w:right="0" w:firstLine="360"/>
              <w:rPr>
                <w:rFonts w:hint="default" w:cs="Times New Roman"/>
                <w:kern w:val="0"/>
                <w:sz w:val="21"/>
                <w:szCs w:val="21"/>
              </w:rPr>
            </w:pPr>
            <w:r>
              <w:rPr>
                <w:rFonts w:hint="default" w:cs="Times New Roman"/>
                <w:kern w:val="0"/>
                <w:sz w:val="21"/>
                <w:szCs w:val="21"/>
              </w:rPr>
              <w:t>（6）监督检查各部门环保设施的运行管理，尤其是了解污染治理设备的运行状况以及治理效率；</w:t>
            </w:r>
          </w:p>
          <w:p w14:paraId="63CB980D">
            <w:pPr>
              <w:keepNext w:val="0"/>
              <w:keepLines w:val="0"/>
              <w:widowControl/>
              <w:suppressLineNumbers w:val="0"/>
              <w:spacing w:before="0" w:beforeAutospacing="0" w:after="0" w:afterAutospacing="0" w:line="240" w:lineRule="auto"/>
              <w:ind w:left="0" w:right="0" w:firstLine="360"/>
              <w:rPr>
                <w:rFonts w:hint="default" w:cs="Times New Roman"/>
                <w:kern w:val="0"/>
                <w:sz w:val="21"/>
                <w:szCs w:val="21"/>
              </w:rPr>
            </w:pPr>
            <w:r>
              <w:rPr>
                <w:rFonts w:hint="default" w:cs="Times New Roman"/>
                <w:kern w:val="0"/>
                <w:sz w:val="21"/>
                <w:szCs w:val="21"/>
              </w:rPr>
              <w:t>（7）监督检查各生产工艺设备的运行情况，确保无非正常工况生产事故的发生；</w:t>
            </w:r>
          </w:p>
          <w:p w14:paraId="1495064A">
            <w:pPr>
              <w:keepNext w:val="0"/>
              <w:keepLines w:val="0"/>
              <w:widowControl/>
              <w:suppressLineNumbers w:val="0"/>
              <w:spacing w:before="0" w:beforeAutospacing="0" w:after="0" w:afterAutospacing="0" w:line="240" w:lineRule="auto"/>
              <w:ind w:left="0" w:right="0" w:firstLine="360"/>
              <w:rPr>
                <w:rFonts w:hint="default" w:cs="Times New Roman"/>
                <w:kern w:val="0"/>
                <w:sz w:val="21"/>
                <w:szCs w:val="21"/>
              </w:rPr>
            </w:pPr>
            <w:r>
              <w:rPr>
                <w:rFonts w:hint="default" w:cs="Times New Roman"/>
                <w:kern w:val="0"/>
                <w:sz w:val="21"/>
                <w:szCs w:val="21"/>
              </w:rPr>
              <w:t>（8）负责对新、改、扩建项目环保工程及其“三同时”执行情况进行环境监测、数据分析、验收评估；</w:t>
            </w:r>
          </w:p>
          <w:p w14:paraId="341EF703">
            <w:pPr>
              <w:keepNext w:val="0"/>
              <w:keepLines w:val="0"/>
              <w:widowControl/>
              <w:suppressLineNumbers w:val="0"/>
              <w:spacing w:before="0" w:beforeAutospacing="0" w:after="0" w:afterAutospacing="0" w:line="240" w:lineRule="auto"/>
              <w:ind w:left="0" w:right="0" w:firstLine="360"/>
              <w:rPr>
                <w:rFonts w:hint="default" w:cs="Times New Roman"/>
                <w:kern w:val="0"/>
                <w:sz w:val="21"/>
                <w:szCs w:val="21"/>
              </w:rPr>
            </w:pPr>
            <w:r>
              <w:rPr>
                <w:rFonts w:hint="default" w:cs="Times New Roman"/>
                <w:kern w:val="0"/>
                <w:sz w:val="21"/>
                <w:szCs w:val="21"/>
              </w:rPr>
              <w:t>（9）负责应急计划的监督、检查；负责应急事故的协调处理；指导各单位对环保设施的管理；指导各单位应急与预防工作；对公司范围内重点危险区域部署监控措施；</w:t>
            </w:r>
          </w:p>
          <w:p w14:paraId="22F6F56C">
            <w:pPr>
              <w:keepNext w:val="0"/>
              <w:keepLines w:val="0"/>
              <w:widowControl/>
              <w:suppressLineNumbers w:val="0"/>
              <w:spacing w:before="0" w:beforeAutospacing="0" w:after="0" w:afterAutospacing="0" w:line="240" w:lineRule="auto"/>
              <w:ind w:left="0" w:right="0" w:firstLine="360"/>
              <w:rPr>
                <w:rFonts w:hint="default" w:cs="Times New Roman"/>
                <w:kern w:val="0"/>
                <w:sz w:val="21"/>
                <w:szCs w:val="21"/>
              </w:rPr>
            </w:pPr>
            <w:r>
              <w:rPr>
                <w:rFonts w:hint="default" w:cs="Times New Roman"/>
                <w:kern w:val="0"/>
                <w:sz w:val="21"/>
                <w:szCs w:val="21"/>
              </w:rPr>
              <w:t>（10）负责公司环境监测技术数据统计管理；</w:t>
            </w:r>
          </w:p>
          <w:p w14:paraId="77320713">
            <w:pPr>
              <w:keepNext w:val="0"/>
              <w:keepLines w:val="0"/>
              <w:widowControl/>
              <w:suppressLineNumbers w:val="0"/>
              <w:spacing w:before="0" w:beforeAutospacing="0" w:after="0" w:afterAutospacing="0" w:line="240" w:lineRule="auto"/>
              <w:ind w:left="0" w:right="0" w:firstLine="360"/>
              <w:rPr>
                <w:rFonts w:hint="default" w:cs="Times New Roman"/>
                <w:kern w:val="0"/>
                <w:sz w:val="21"/>
                <w:szCs w:val="21"/>
              </w:rPr>
            </w:pPr>
            <w:r>
              <w:rPr>
                <w:rFonts w:hint="default" w:cs="Times New Roman"/>
                <w:kern w:val="0"/>
                <w:sz w:val="21"/>
                <w:szCs w:val="21"/>
              </w:rPr>
              <w:t>（11）负责全公司环保管理工作的监督和检查；组织实施全公司环境年度评审工作；</w:t>
            </w:r>
          </w:p>
          <w:p w14:paraId="554651BF">
            <w:pPr>
              <w:keepNext w:val="0"/>
              <w:keepLines w:val="0"/>
              <w:widowControl/>
              <w:suppressLineNumbers w:val="0"/>
              <w:spacing w:before="0" w:beforeAutospacing="0" w:after="0" w:afterAutospacing="0" w:line="240" w:lineRule="auto"/>
              <w:ind w:left="0" w:right="0" w:firstLine="360"/>
              <w:rPr>
                <w:rFonts w:hint="default" w:cs="Times New Roman"/>
                <w:kern w:val="0"/>
                <w:sz w:val="21"/>
                <w:szCs w:val="21"/>
              </w:rPr>
            </w:pPr>
            <w:r>
              <w:rPr>
                <w:rFonts w:hint="default" w:cs="Times New Roman"/>
                <w:kern w:val="0"/>
                <w:sz w:val="21"/>
                <w:szCs w:val="21"/>
              </w:rPr>
              <w:t>（12）负责公司的环境教育、培训、宣传，让环境保护意识深入职工心中。</w:t>
            </w:r>
          </w:p>
          <w:p w14:paraId="6B49A89D">
            <w:pPr>
              <w:keepNext w:val="0"/>
              <w:keepLines w:val="0"/>
              <w:widowControl/>
              <w:suppressLineNumbers w:val="0"/>
              <w:spacing w:before="0" w:beforeAutospacing="0" w:after="0" w:afterAutospacing="0" w:line="240" w:lineRule="auto"/>
              <w:ind w:left="0" w:right="0" w:firstLine="360"/>
              <w:rPr>
                <w:rFonts w:hint="default" w:cs="Times New Roman"/>
                <w:kern w:val="0"/>
                <w:sz w:val="21"/>
                <w:szCs w:val="21"/>
              </w:rPr>
            </w:pPr>
            <w:r>
              <w:rPr>
                <w:rFonts w:hint="default" w:cs="Times New Roman"/>
                <w:kern w:val="0"/>
                <w:sz w:val="21"/>
                <w:szCs w:val="21"/>
              </w:rPr>
              <w:t>根据《排污单位自行监测技术指南 总则》（HJ 819-2017），建设单位应查清所有污染源，确定主要污染源及主要监测指标，编制监测方案。监测方案内容主要包括：单位基本情况、监测点位及示意图、监测指标、执行标准及其限值、监测频次、采样和样品保存方法、监测分析方法和仪器、质量保证与质量控制等。建设单位应当在投入生产并产生实际排污行为之前完成自行监测方案的编制。</w:t>
            </w:r>
          </w:p>
        </w:tc>
      </w:tr>
      <w:tr w14:paraId="59E4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0" w:type="pct"/>
            <w:vMerge w:val="continue"/>
            <w:vAlign w:val="center"/>
          </w:tcPr>
          <w:p w14:paraId="554E166E">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4369" w:type="pct"/>
            <w:gridSpan w:val="4"/>
            <w:vMerge w:val="continue"/>
            <w:vAlign w:val="center"/>
          </w:tcPr>
          <w:p w14:paraId="2FBF5320">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r>
    </w:tbl>
    <w:p w14:paraId="3F295D93">
      <w:pPr>
        <w:ind w:firstLine="0" w:firstLineChars="0"/>
        <w:sectPr>
          <w:pgSz w:w="11906" w:h="16838"/>
          <w:pgMar w:top="1440" w:right="1800" w:bottom="1440" w:left="1800" w:header="851" w:footer="992" w:gutter="0"/>
          <w:cols w:space="425" w:num="1"/>
          <w:docGrid w:type="lines" w:linePitch="312" w:charSpace="0"/>
        </w:sectPr>
      </w:pPr>
    </w:p>
    <w:p w14:paraId="4EAA34C7">
      <w:pPr>
        <w:pStyle w:val="3"/>
        <w:bidi w:val="0"/>
        <w:rPr>
          <w:rFonts w:hint="eastAsia"/>
        </w:rPr>
      </w:pPr>
      <w:bookmarkStart w:id="10" w:name="_Toc23714"/>
      <w:r>
        <w:rPr>
          <w:rFonts w:hint="eastAsia"/>
        </w:rPr>
        <w:t>六、结论</w:t>
      </w:r>
      <w:bookmarkEnd w:id="10"/>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7741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6" w:hRule="atLeast"/>
        </w:trPr>
        <w:tc>
          <w:tcPr>
            <w:tcW w:w="8522" w:type="dxa"/>
          </w:tcPr>
          <w:p w14:paraId="72B7A1BD">
            <w:pPr>
              <w:keepNext w:val="0"/>
              <w:keepLines w:val="0"/>
              <w:suppressLineNumbers w:val="0"/>
              <w:spacing w:before="0" w:beforeAutospacing="0" w:after="0" w:afterAutospacing="0"/>
              <w:ind w:left="0" w:right="0" w:firstLine="480"/>
              <w:rPr>
                <w:rFonts w:hint="default"/>
                <w:color w:val="auto"/>
              </w:rPr>
            </w:pPr>
            <w:r>
              <w:rPr>
                <w:rFonts w:hint="eastAsia"/>
                <w:color w:val="auto"/>
                <w:lang w:eastAsia="zh-CN"/>
              </w:rPr>
              <w:t>中科国康人类肠道菌群研发及测试项目</w:t>
            </w:r>
            <w:r>
              <w:rPr>
                <w:rFonts w:hint="eastAsia"/>
                <w:color w:val="auto"/>
                <w:lang w:val="en-US" w:eastAsia="zh-CN"/>
              </w:rPr>
              <w:t>项目</w:t>
            </w:r>
            <w:r>
              <w:rPr>
                <w:rFonts w:hint="eastAsia"/>
                <w:color w:val="auto"/>
              </w:rPr>
              <w:t>位于杭州市</w:t>
            </w:r>
            <w:r>
              <w:rPr>
                <w:rFonts w:hint="eastAsia"/>
                <w:color w:val="auto"/>
                <w:lang w:eastAsia="zh-CN"/>
              </w:rPr>
              <w:t>余杭区五常街道绮颐弄10号1幢301室</w:t>
            </w:r>
            <w:r>
              <w:rPr>
                <w:rFonts w:hint="eastAsia"/>
                <w:color w:val="auto"/>
              </w:rPr>
              <w:t>。</w:t>
            </w:r>
          </w:p>
          <w:p w14:paraId="09C4BBA3">
            <w:pPr>
              <w:keepNext w:val="0"/>
              <w:keepLines w:val="0"/>
              <w:suppressLineNumbers w:val="0"/>
              <w:spacing w:before="0" w:beforeAutospacing="0" w:after="0" w:afterAutospacing="0"/>
              <w:ind w:left="0" w:right="0" w:firstLine="480"/>
              <w:rPr>
                <w:rFonts w:hint="default"/>
                <w:color w:val="auto"/>
              </w:rPr>
            </w:pPr>
            <w:r>
              <w:rPr>
                <w:rFonts w:hint="eastAsia"/>
                <w:color w:val="auto"/>
              </w:rPr>
              <w:t>项目选址符合杭州市余杭区生态环境分区管控动态更新方案要求；项目经采取环评提出的各项环保措施后，排放的污染物符合国家、省规定的污染物排放标准，符合总量控制要求；符合国家和地方产业政策以及区域规划等要求。企业采取必要的风险防范对策和应急措施后，项目环境风险能够控制在可接受范围内。</w:t>
            </w:r>
          </w:p>
          <w:p w14:paraId="5B5F05F3">
            <w:pPr>
              <w:keepNext w:val="0"/>
              <w:keepLines w:val="0"/>
              <w:suppressLineNumbers w:val="0"/>
              <w:spacing w:before="0" w:beforeAutospacing="0" w:after="0" w:afterAutospacing="0"/>
              <w:ind w:left="0" w:right="0" w:firstLine="480"/>
              <w:rPr>
                <w:rFonts w:hint="default"/>
              </w:rPr>
            </w:pPr>
            <w:r>
              <w:rPr>
                <w:rFonts w:hint="eastAsia"/>
                <w:color w:val="auto"/>
              </w:rPr>
              <w:t>从环境保护角度，项目建设是可行的。</w:t>
            </w:r>
          </w:p>
        </w:tc>
      </w:tr>
    </w:tbl>
    <w:p w14:paraId="6C5AC60F">
      <w:pPr>
        <w:ind w:firstLine="480"/>
      </w:pPr>
    </w:p>
    <w:p w14:paraId="5D7C264F">
      <w:pPr>
        <w:pStyle w:val="2"/>
        <w:ind w:firstLine="0" w:firstLineChars="0"/>
        <w:sectPr>
          <w:pgSz w:w="11906" w:h="16838"/>
          <w:pgMar w:top="1440" w:right="1800" w:bottom="1440" w:left="1800" w:header="851" w:footer="992" w:gutter="0"/>
          <w:cols w:space="425" w:num="1"/>
          <w:docGrid w:type="lines" w:linePitch="312" w:charSpace="0"/>
        </w:sectPr>
      </w:pPr>
    </w:p>
    <w:p w14:paraId="44A3C618">
      <w:pPr>
        <w:widowControl/>
        <w:adjustRightInd w:val="0"/>
        <w:snapToGrid w:val="0"/>
        <w:ind w:firstLine="0" w:firstLineChars="0"/>
        <w:jc w:val="left"/>
        <w:outlineLvl w:val="0"/>
        <w:rPr>
          <w:rFonts w:eastAsia="黑体" w:cs="Times New Roman"/>
          <w:snapToGrid w:val="0"/>
          <w:kern w:val="0"/>
          <w:sz w:val="32"/>
          <w:szCs w:val="32"/>
        </w:rPr>
      </w:pPr>
      <w:bookmarkStart w:id="11" w:name="_Toc5531"/>
      <w:bookmarkStart w:id="12" w:name="_Toc25886"/>
      <w:r>
        <w:rPr>
          <w:rFonts w:eastAsia="黑体" w:cs="Times New Roman"/>
          <w:snapToGrid w:val="0"/>
          <w:kern w:val="0"/>
          <w:sz w:val="32"/>
          <w:szCs w:val="32"/>
        </w:rPr>
        <w:t>附表</w:t>
      </w:r>
      <w:bookmarkEnd w:id="11"/>
      <w:bookmarkEnd w:id="12"/>
    </w:p>
    <w:p w14:paraId="59F356E4">
      <w:pPr>
        <w:jc w:val="center"/>
        <w:rPr>
          <w:rFonts w:hint="eastAsia" w:ascii="黑体" w:hAnsi="黑体" w:eastAsia="黑体" w:cs="黑体"/>
          <w:sz w:val="32"/>
          <w:szCs w:val="32"/>
        </w:rPr>
      </w:pPr>
      <w:bookmarkStart w:id="13" w:name="_Toc13522"/>
      <w:r>
        <w:rPr>
          <w:rFonts w:hint="eastAsia" w:ascii="黑体" w:hAnsi="黑体" w:eastAsia="黑体" w:cs="黑体"/>
          <w:sz w:val="32"/>
          <w:szCs w:val="32"/>
        </w:rPr>
        <w:t>建设项目污染物排放量汇总表</w:t>
      </w:r>
      <w:bookmarkEnd w:id="13"/>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0"/>
        <w:gridCol w:w="2136"/>
        <w:gridCol w:w="1544"/>
        <w:gridCol w:w="1414"/>
        <w:gridCol w:w="1414"/>
        <w:gridCol w:w="1546"/>
        <w:gridCol w:w="1274"/>
        <w:gridCol w:w="1692"/>
        <w:gridCol w:w="1084"/>
      </w:tblGrid>
      <w:tr w14:paraId="6BDE1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1" w:type="pct"/>
            <w:vMerge w:val="restart"/>
            <w:tcBorders>
              <w:tl2br w:val="single" w:color="auto" w:sz="4" w:space="0"/>
            </w:tcBorders>
            <w:shd w:val="clear" w:color="auto" w:fill="auto"/>
            <w:vAlign w:val="center"/>
          </w:tcPr>
          <w:p w14:paraId="6759504D">
            <w:pPr>
              <w:keepNext w:val="0"/>
              <w:keepLines w:val="0"/>
              <w:widowControl/>
              <w:suppressLineNumbers w:val="0"/>
              <w:spacing w:before="0" w:beforeAutospacing="0" w:after="0" w:afterAutospacing="0" w:line="240" w:lineRule="auto"/>
              <w:ind w:left="0" w:right="0" w:firstLine="0" w:firstLineChars="0"/>
              <w:jc w:val="right"/>
              <w:rPr>
                <w:rFonts w:hint="default" w:cs="Times New Roman"/>
                <w:kern w:val="0"/>
                <w:sz w:val="21"/>
                <w:szCs w:val="21"/>
              </w:rPr>
            </w:pPr>
            <w:r>
              <w:rPr>
                <w:rFonts w:hint="default" w:cs="Times New Roman"/>
                <w:kern w:val="0"/>
                <w:sz w:val="21"/>
                <w:szCs w:val="21"/>
              </w:rPr>
              <w:t>项目</w:t>
            </w:r>
          </w:p>
          <w:p w14:paraId="686A9441">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p w14:paraId="5BC66C3C">
            <w:pPr>
              <w:keepNext w:val="0"/>
              <w:keepLines w:val="0"/>
              <w:widowControl/>
              <w:suppressLineNumbers w:val="0"/>
              <w:spacing w:before="0" w:beforeAutospacing="0" w:after="0" w:afterAutospacing="0" w:line="240" w:lineRule="auto"/>
              <w:ind w:left="0" w:right="0" w:firstLine="0" w:firstLineChars="0"/>
              <w:jc w:val="left"/>
              <w:rPr>
                <w:rFonts w:hint="default" w:eastAsia="等线" w:cs="Times New Roman"/>
                <w:kern w:val="0"/>
                <w:sz w:val="21"/>
                <w:szCs w:val="21"/>
              </w:rPr>
            </w:pPr>
            <w:r>
              <w:rPr>
                <w:rFonts w:hint="default" w:cs="Times New Roman"/>
                <w:kern w:val="0"/>
                <w:sz w:val="21"/>
                <w:szCs w:val="21"/>
              </w:rPr>
              <w:t>分类</w:t>
            </w:r>
          </w:p>
        </w:tc>
        <w:tc>
          <w:tcPr>
            <w:tcW w:w="793" w:type="pct"/>
            <w:vMerge w:val="restart"/>
            <w:shd w:val="clear" w:color="auto" w:fill="auto"/>
            <w:vAlign w:val="center"/>
          </w:tcPr>
          <w:p w14:paraId="663325D7">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cs="Times New Roman"/>
                <w:kern w:val="0"/>
                <w:sz w:val="21"/>
                <w:szCs w:val="21"/>
              </w:rPr>
              <w:t>污染物名称</w:t>
            </w:r>
          </w:p>
        </w:tc>
        <w:tc>
          <w:tcPr>
            <w:tcW w:w="573" w:type="pct"/>
            <w:shd w:val="clear" w:color="auto" w:fill="auto"/>
            <w:vAlign w:val="center"/>
          </w:tcPr>
          <w:p w14:paraId="533FA676">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cs="Times New Roman"/>
                <w:kern w:val="0"/>
                <w:sz w:val="21"/>
                <w:szCs w:val="21"/>
              </w:rPr>
              <w:t>现有工程</w:t>
            </w:r>
          </w:p>
        </w:tc>
        <w:tc>
          <w:tcPr>
            <w:tcW w:w="525" w:type="pct"/>
            <w:shd w:val="clear" w:color="auto" w:fill="auto"/>
            <w:vAlign w:val="center"/>
          </w:tcPr>
          <w:p w14:paraId="4BE1D249">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cs="Times New Roman"/>
                <w:kern w:val="0"/>
                <w:sz w:val="21"/>
                <w:szCs w:val="21"/>
              </w:rPr>
              <w:t>现有工程</w:t>
            </w:r>
          </w:p>
        </w:tc>
        <w:tc>
          <w:tcPr>
            <w:tcW w:w="525" w:type="pct"/>
            <w:shd w:val="clear" w:color="auto" w:fill="auto"/>
            <w:vAlign w:val="center"/>
          </w:tcPr>
          <w:p w14:paraId="314D170F">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cs="Times New Roman"/>
                <w:kern w:val="0"/>
                <w:sz w:val="21"/>
                <w:szCs w:val="21"/>
              </w:rPr>
              <w:t>在建工程</w:t>
            </w:r>
          </w:p>
        </w:tc>
        <w:tc>
          <w:tcPr>
            <w:tcW w:w="574" w:type="pct"/>
            <w:shd w:val="clear" w:color="auto" w:fill="auto"/>
            <w:vAlign w:val="center"/>
          </w:tcPr>
          <w:p w14:paraId="757A5A6F">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cs="Times New Roman"/>
                <w:kern w:val="0"/>
                <w:sz w:val="21"/>
                <w:szCs w:val="21"/>
              </w:rPr>
              <w:t>本项目</w:t>
            </w:r>
          </w:p>
        </w:tc>
        <w:tc>
          <w:tcPr>
            <w:tcW w:w="473" w:type="pct"/>
            <w:shd w:val="clear" w:color="auto" w:fill="auto"/>
            <w:vAlign w:val="center"/>
          </w:tcPr>
          <w:p w14:paraId="71EC592B">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cs="Times New Roman"/>
                <w:kern w:val="0"/>
                <w:sz w:val="21"/>
                <w:szCs w:val="21"/>
              </w:rPr>
              <w:t>以新带老削减量</w:t>
            </w:r>
          </w:p>
        </w:tc>
        <w:tc>
          <w:tcPr>
            <w:tcW w:w="628" w:type="pct"/>
            <w:shd w:val="clear" w:color="auto" w:fill="auto"/>
            <w:vAlign w:val="center"/>
          </w:tcPr>
          <w:p w14:paraId="1325C8C6">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cs="Times New Roman"/>
                <w:kern w:val="0"/>
                <w:sz w:val="21"/>
                <w:szCs w:val="21"/>
              </w:rPr>
              <w:t>本项目建成后</w:t>
            </w:r>
          </w:p>
        </w:tc>
        <w:tc>
          <w:tcPr>
            <w:tcW w:w="402" w:type="pct"/>
            <w:vMerge w:val="restart"/>
            <w:shd w:val="clear" w:color="auto" w:fill="auto"/>
            <w:vAlign w:val="center"/>
          </w:tcPr>
          <w:p w14:paraId="2B941B0A">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cs="Times New Roman"/>
                <w:kern w:val="0"/>
                <w:sz w:val="21"/>
                <w:szCs w:val="21"/>
              </w:rPr>
              <w:t>变化量⑦</w:t>
            </w:r>
          </w:p>
        </w:tc>
      </w:tr>
      <w:tr w14:paraId="09CBF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1" w:type="pct"/>
            <w:vMerge w:val="continue"/>
            <w:vAlign w:val="center"/>
          </w:tcPr>
          <w:p w14:paraId="412E84E2">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p>
        </w:tc>
        <w:tc>
          <w:tcPr>
            <w:tcW w:w="793" w:type="pct"/>
            <w:vMerge w:val="continue"/>
            <w:vAlign w:val="center"/>
          </w:tcPr>
          <w:p w14:paraId="30ACB5D5">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p>
        </w:tc>
        <w:tc>
          <w:tcPr>
            <w:tcW w:w="573" w:type="pct"/>
            <w:shd w:val="clear" w:color="auto" w:fill="auto"/>
            <w:vAlign w:val="center"/>
          </w:tcPr>
          <w:p w14:paraId="6CC87D26">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cs="Times New Roman"/>
                <w:kern w:val="0"/>
                <w:sz w:val="21"/>
                <w:szCs w:val="21"/>
              </w:rPr>
              <w:t>排放量（固体废物产生量）①</w:t>
            </w:r>
          </w:p>
        </w:tc>
        <w:tc>
          <w:tcPr>
            <w:tcW w:w="525" w:type="pct"/>
            <w:shd w:val="clear" w:color="auto" w:fill="auto"/>
            <w:vAlign w:val="center"/>
          </w:tcPr>
          <w:p w14:paraId="627613AA">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cs="Times New Roman"/>
                <w:kern w:val="0"/>
                <w:sz w:val="21"/>
                <w:szCs w:val="21"/>
              </w:rPr>
              <w:t>许可排放量②</w:t>
            </w:r>
          </w:p>
        </w:tc>
        <w:tc>
          <w:tcPr>
            <w:tcW w:w="525" w:type="pct"/>
            <w:shd w:val="clear" w:color="auto" w:fill="auto"/>
            <w:vAlign w:val="center"/>
          </w:tcPr>
          <w:p w14:paraId="66DD3A25">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cs="Times New Roman"/>
                <w:kern w:val="0"/>
                <w:sz w:val="21"/>
                <w:szCs w:val="21"/>
              </w:rPr>
              <w:t>排放量（固体废物产生量）③</w:t>
            </w:r>
          </w:p>
        </w:tc>
        <w:tc>
          <w:tcPr>
            <w:tcW w:w="574" w:type="pct"/>
            <w:shd w:val="clear" w:color="auto" w:fill="auto"/>
            <w:vAlign w:val="center"/>
          </w:tcPr>
          <w:p w14:paraId="500C9207">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cs="Times New Roman"/>
                <w:kern w:val="0"/>
                <w:sz w:val="21"/>
                <w:szCs w:val="21"/>
              </w:rPr>
              <w:t>排放量（固体废物产生量）④</w:t>
            </w:r>
          </w:p>
        </w:tc>
        <w:tc>
          <w:tcPr>
            <w:tcW w:w="473" w:type="pct"/>
            <w:shd w:val="clear" w:color="auto" w:fill="auto"/>
            <w:vAlign w:val="center"/>
          </w:tcPr>
          <w:p w14:paraId="0D4B08AA">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cs="Times New Roman"/>
                <w:kern w:val="0"/>
                <w:sz w:val="21"/>
                <w:szCs w:val="21"/>
              </w:rPr>
              <w:t>（新建项目不填）⑤</w:t>
            </w:r>
          </w:p>
        </w:tc>
        <w:tc>
          <w:tcPr>
            <w:tcW w:w="628" w:type="pct"/>
            <w:shd w:val="clear" w:color="auto" w:fill="auto"/>
            <w:vAlign w:val="center"/>
          </w:tcPr>
          <w:p w14:paraId="12980760">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cs="Times New Roman"/>
                <w:kern w:val="0"/>
                <w:sz w:val="21"/>
                <w:szCs w:val="21"/>
              </w:rPr>
              <w:t>全厂排放量（固体废物产生量）⑥</w:t>
            </w:r>
          </w:p>
        </w:tc>
        <w:tc>
          <w:tcPr>
            <w:tcW w:w="402" w:type="pct"/>
            <w:vMerge w:val="continue"/>
            <w:vAlign w:val="center"/>
          </w:tcPr>
          <w:p w14:paraId="6D5FA864">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p>
        </w:tc>
      </w:tr>
      <w:tr w14:paraId="3353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1" w:type="pct"/>
            <w:vAlign w:val="center"/>
          </w:tcPr>
          <w:p w14:paraId="720A9042">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eastAsia" w:ascii="宋体" w:hAnsi="宋体" w:cs="宋体"/>
                <w:kern w:val="0"/>
                <w:sz w:val="21"/>
                <w:szCs w:val="21"/>
              </w:rPr>
              <w:t>废气</w:t>
            </w:r>
          </w:p>
        </w:tc>
        <w:tc>
          <w:tcPr>
            <w:tcW w:w="793" w:type="pct"/>
            <w:vAlign w:val="center"/>
          </w:tcPr>
          <w:p w14:paraId="1A4D256C">
            <w:pPr>
              <w:keepNext w:val="0"/>
              <w:keepLines w:val="0"/>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cs="Times New Roman"/>
                <w:kern w:val="0"/>
                <w:sz w:val="21"/>
                <w:szCs w:val="21"/>
              </w:rPr>
              <w:t>VOCs</w:t>
            </w:r>
          </w:p>
        </w:tc>
        <w:tc>
          <w:tcPr>
            <w:tcW w:w="573" w:type="pct"/>
            <w:shd w:val="clear" w:color="auto" w:fill="auto"/>
            <w:vAlign w:val="center"/>
          </w:tcPr>
          <w:p w14:paraId="1CA15403">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eastAsia="宋体" w:cs="Times New Roman"/>
                <w:kern w:val="0"/>
                <w:sz w:val="21"/>
                <w:szCs w:val="21"/>
                <w:lang w:val="en-US" w:eastAsia="zh-CN"/>
              </w:rPr>
            </w:pPr>
            <w:r>
              <w:rPr>
                <w:rFonts w:hint="default" w:eastAsia="等线" w:cs="Times New Roman"/>
                <w:kern w:val="0"/>
                <w:sz w:val="21"/>
                <w:szCs w:val="21"/>
              </w:rPr>
              <w:t>/</w:t>
            </w:r>
          </w:p>
        </w:tc>
        <w:tc>
          <w:tcPr>
            <w:tcW w:w="525" w:type="pct"/>
            <w:shd w:val="clear" w:color="auto" w:fill="auto"/>
            <w:vAlign w:val="center"/>
          </w:tcPr>
          <w:p w14:paraId="7420BE45">
            <w:pPr>
              <w:keepNext w:val="0"/>
              <w:keepLines w:val="0"/>
              <w:suppressLineNumbers w:val="0"/>
              <w:adjustRightInd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eastAsia="等线" w:cs="Times New Roman"/>
                <w:kern w:val="0"/>
                <w:sz w:val="21"/>
                <w:szCs w:val="21"/>
              </w:rPr>
              <w:t>/</w:t>
            </w:r>
          </w:p>
        </w:tc>
        <w:tc>
          <w:tcPr>
            <w:tcW w:w="525" w:type="pct"/>
            <w:shd w:val="clear" w:color="auto" w:fill="auto"/>
            <w:vAlign w:val="center"/>
          </w:tcPr>
          <w:p w14:paraId="27304C56">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eastAsia="等线" w:cs="Times New Roman"/>
                <w:kern w:val="0"/>
                <w:sz w:val="21"/>
                <w:szCs w:val="21"/>
              </w:rPr>
              <w:t>/</w:t>
            </w:r>
          </w:p>
        </w:tc>
        <w:tc>
          <w:tcPr>
            <w:tcW w:w="574" w:type="pct"/>
            <w:shd w:val="clear" w:color="auto" w:fill="auto"/>
            <w:vAlign w:val="center"/>
          </w:tcPr>
          <w:p w14:paraId="02ED4F0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等线" w:cs="Times New Roman"/>
                <w:kern w:val="0"/>
                <w:sz w:val="21"/>
                <w:szCs w:val="21"/>
              </w:rPr>
            </w:pPr>
            <w:r>
              <w:rPr>
                <w:rFonts w:hint="eastAsia" w:eastAsia="等线" w:cs="Times New Roman"/>
                <w:kern w:val="0"/>
                <w:sz w:val="21"/>
                <w:szCs w:val="21"/>
                <w:lang w:val="en-US" w:eastAsia="zh-CN" w:bidi="ar"/>
              </w:rPr>
              <w:t>0.006</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73" w:type="pct"/>
            <w:shd w:val="clear" w:color="auto" w:fill="auto"/>
            <w:vAlign w:val="center"/>
          </w:tcPr>
          <w:p w14:paraId="64FE1DA1">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r>
              <w:rPr>
                <w:rFonts w:hint="default" w:eastAsia="等线" w:cs="Times New Roman"/>
                <w:kern w:val="0"/>
                <w:sz w:val="21"/>
                <w:szCs w:val="21"/>
              </w:rPr>
              <w:t>/</w:t>
            </w:r>
          </w:p>
        </w:tc>
        <w:tc>
          <w:tcPr>
            <w:tcW w:w="628" w:type="pct"/>
            <w:shd w:val="clear" w:color="auto" w:fill="auto"/>
            <w:vAlign w:val="center"/>
          </w:tcPr>
          <w:p w14:paraId="03C3920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kern w:val="0"/>
                <w:sz w:val="21"/>
                <w:szCs w:val="21"/>
              </w:rPr>
            </w:pPr>
            <w:r>
              <w:rPr>
                <w:rFonts w:hint="eastAsia" w:eastAsia="等线" w:cs="Times New Roman"/>
                <w:kern w:val="0"/>
                <w:sz w:val="21"/>
                <w:szCs w:val="21"/>
                <w:lang w:val="en-US" w:eastAsia="zh-CN" w:bidi="ar"/>
              </w:rPr>
              <w:t>0.006</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02" w:type="pct"/>
            <w:vAlign w:val="center"/>
          </w:tcPr>
          <w:p w14:paraId="00C57CD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等线" w:cs="Times New Roman"/>
                <w:kern w:val="0"/>
                <w:sz w:val="21"/>
                <w:szCs w:val="21"/>
              </w:rPr>
            </w:pPr>
            <w:r>
              <w:rPr>
                <w:rFonts w:hint="eastAsia" w:eastAsia="等线" w:cs="Times New Roman"/>
                <w:kern w:val="0"/>
                <w:sz w:val="21"/>
                <w:szCs w:val="21"/>
                <w:lang w:val="en-US" w:eastAsia="zh-CN" w:bidi="ar"/>
              </w:rPr>
              <w:t>+0.006</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r>
      <w:tr w14:paraId="23EEA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1" w:type="pct"/>
            <w:vMerge w:val="restart"/>
            <w:shd w:val="clear" w:color="auto" w:fill="auto"/>
            <w:vAlign w:val="center"/>
          </w:tcPr>
          <w:p w14:paraId="2F7DB5FE">
            <w:pPr>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kern w:val="0"/>
                <w:sz w:val="21"/>
                <w:szCs w:val="21"/>
                <w:lang w:val="en-US" w:eastAsia="zh-CN"/>
              </w:rPr>
            </w:pPr>
            <w:r>
              <w:rPr>
                <w:rFonts w:hint="default" w:cs="Times New Roman"/>
                <w:kern w:val="0"/>
                <w:sz w:val="21"/>
                <w:szCs w:val="21"/>
              </w:rPr>
              <w:t>废水</w:t>
            </w:r>
          </w:p>
        </w:tc>
        <w:tc>
          <w:tcPr>
            <w:tcW w:w="793" w:type="pct"/>
            <w:shd w:val="clear" w:color="auto" w:fill="auto"/>
            <w:vAlign w:val="center"/>
          </w:tcPr>
          <w:p w14:paraId="4AEEDD48">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lang w:val="en-US" w:eastAsia="zh-CN"/>
              </w:rPr>
            </w:pPr>
            <w:r>
              <w:rPr>
                <w:rFonts w:hint="default" w:eastAsia="等线" w:cs="Times New Roman"/>
                <w:kern w:val="0"/>
                <w:sz w:val="21"/>
                <w:szCs w:val="21"/>
              </w:rPr>
              <w:t>COD</w:t>
            </w:r>
            <w:r>
              <w:rPr>
                <w:rFonts w:hint="eastAsia" w:eastAsia="等线" w:cs="Times New Roman"/>
                <w:kern w:val="0"/>
                <w:sz w:val="21"/>
                <w:szCs w:val="21"/>
                <w:lang w:val="en-US" w:eastAsia="zh-CN"/>
              </w:rPr>
              <w:t>cr</w:t>
            </w:r>
          </w:p>
        </w:tc>
        <w:tc>
          <w:tcPr>
            <w:tcW w:w="573" w:type="pct"/>
            <w:shd w:val="clear" w:color="auto" w:fill="auto"/>
            <w:vAlign w:val="center"/>
          </w:tcPr>
          <w:p w14:paraId="7C1A022D">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eastAsia="等线" w:cs="Times New Roman"/>
                <w:kern w:val="0"/>
                <w:sz w:val="21"/>
                <w:szCs w:val="21"/>
                <w:lang w:val="en-US" w:eastAsia="zh-CN"/>
              </w:rPr>
            </w:pPr>
            <w:r>
              <w:rPr>
                <w:rFonts w:hint="default" w:eastAsia="等线" w:cs="Times New Roman"/>
                <w:kern w:val="0"/>
                <w:sz w:val="21"/>
                <w:szCs w:val="21"/>
              </w:rPr>
              <w:t>/</w:t>
            </w:r>
          </w:p>
        </w:tc>
        <w:tc>
          <w:tcPr>
            <w:tcW w:w="525" w:type="pct"/>
            <w:shd w:val="clear" w:color="auto" w:fill="auto"/>
            <w:vAlign w:val="center"/>
          </w:tcPr>
          <w:p w14:paraId="0CD27DA6">
            <w:pPr>
              <w:keepNext w:val="0"/>
              <w:keepLines w:val="0"/>
              <w:suppressLineNumbers w:val="0"/>
              <w:adjustRightInd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25" w:type="pct"/>
            <w:shd w:val="clear" w:color="auto" w:fill="auto"/>
            <w:vAlign w:val="center"/>
          </w:tcPr>
          <w:p w14:paraId="022B022E">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74" w:type="pct"/>
            <w:shd w:val="clear" w:color="auto" w:fill="auto"/>
            <w:vAlign w:val="center"/>
          </w:tcPr>
          <w:p w14:paraId="46FF4D0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等线" w:cs="Times New Roman"/>
                <w:color w:val="auto"/>
                <w:kern w:val="0"/>
                <w:sz w:val="21"/>
                <w:szCs w:val="21"/>
              </w:rPr>
            </w:pPr>
            <w:r>
              <w:rPr>
                <w:rFonts w:hint="eastAsia" w:eastAsia="等线" w:cs="Times New Roman"/>
                <w:color w:val="auto"/>
                <w:sz w:val="21"/>
                <w:szCs w:val="21"/>
                <w:lang w:val="en-US" w:eastAsia="zh-CN"/>
              </w:rPr>
              <w:t>0.018</w:t>
            </w:r>
            <w:r>
              <w:rPr>
                <w:rFonts w:hint="eastAsia" w:eastAsia="等线" w:cs="Times New Roman"/>
                <w:color w:val="auto"/>
                <w:kern w:val="0"/>
                <w:sz w:val="21"/>
                <w:szCs w:val="21"/>
              </w:rPr>
              <w:t>t</w:t>
            </w:r>
            <w:r>
              <w:rPr>
                <w:rFonts w:hint="default" w:eastAsia="等线" w:cs="Times New Roman"/>
                <w:color w:val="auto"/>
                <w:kern w:val="0"/>
                <w:sz w:val="21"/>
                <w:szCs w:val="21"/>
              </w:rPr>
              <w:t>/</w:t>
            </w:r>
            <w:r>
              <w:rPr>
                <w:rFonts w:hint="eastAsia" w:eastAsia="等线" w:cs="Times New Roman"/>
                <w:color w:val="auto"/>
                <w:kern w:val="0"/>
                <w:sz w:val="21"/>
                <w:szCs w:val="21"/>
              </w:rPr>
              <w:t>a</w:t>
            </w:r>
          </w:p>
        </w:tc>
        <w:tc>
          <w:tcPr>
            <w:tcW w:w="473" w:type="pct"/>
            <w:shd w:val="clear" w:color="auto" w:fill="auto"/>
            <w:vAlign w:val="center"/>
          </w:tcPr>
          <w:p w14:paraId="4B3A7609">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center"/>
              <w:textAlignment w:val="auto"/>
              <w:rPr>
                <w:rFonts w:hint="default" w:eastAsia="等线" w:cs="Times New Roman"/>
                <w:color w:val="auto"/>
                <w:kern w:val="0"/>
                <w:sz w:val="21"/>
                <w:szCs w:val="21"/>
              </w:rPr>
            </w:pPr>
            <w:r>
              <w:rPr>
                <w:rFonts w:hint="default" w:eastAsia="等线" w:cs="Times New Roman"/>
                <w:kern w:val="0"/>
                <w:sz w:val="21"/>
                <w:szCs w:val="21"/>
              </w:rPr>
              <w:t>/</w:t>
            </w:r>
          </w:p>
        </w:tc>
        <w:tc>
          <w:tcPr>
            <w:tcW w:w="628" w:type="pct"/>
            <w:shd w:val="clear" w:color="auto" w:fill="auto"/>
            <w:vAlign w:val="center"/>
          </w:tcPr>
          <w:p w14:paraId="1CCF111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eastAsia="等线" w:cs="Times New Roman"/>
                <w:color w:val="auto"/>
                <w:kern w:val="0"/>
                <w:sz w:val="21"/>
                <w:szCs w:val="21"/>
              </w:rPr>
            </w:pPr>
            <w:r>
              <w:rPr>
                <w:rFonts w:hint="eastAsia" w:eastAsia="等线" w:cs="Times New Roman"/>
                <w:color w:val="auto"/>
                <w:sz w:val="21"/>
                <w:szCs w:val="21"/>
                <w:lang w:val="en-US" w:eastAsia="zh-CN"/>
              </w:rPr>
              <w:t>0.018</w:t>
            </w:r>
            <w:r>
              <w:rPr>
                <w:rFonts w:hint="eastAsia" w:eastAsia="等线" w:cs="Times New Roman"/>
                <w:color w:val="auto"/>
                <w:kern w:val="0"/>
                <w:sz w:val="21"/>
                <w:szCs w:val="21"/>
              </w:rPr>
              <w:t>t</w:t>
            </w:r>
            <w:r>
              <w:rPr>
                <w:rFonts w:hint="default" w:eastAsia="等线" w:cs="Times New Roman"/>
                <w:color w:val="auto"/>
                <w:kern w:val="0"/>
                <w:sz w:val="21"/>
                <w:szCs w:val="21"/>
              </w:rPr>
              <w:t>/</w:t>
            </w:r>
            <w:r>
              <w:rPr>
                <w:rFonts w:hint="eastAsia" w:eastAsia="等线" w:cs="Times New Roman"/>
                <w:color w:val="auto"/>
                <w:kern w:val="0"/>
                <w:sz w:val="21"/>
                <w:szCs w:val="21"/>
              </w:rPr>
              <w:t>a</w:t>
            </w:r>
          </w:p>
        </w:tc>
        <w:tc>
          <w:tcPr>
            <w:tcW w:w="402" w:type="pct"/>
            <w:shd w:val="clear" w:color="auto" w:fill="auto"/>
            <w:vAlign w:val="center"/>
          </w:tcPr>
          <w:p w14:paraId="4ED030D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eastAsia="等线" w:cs="Times New Roman"/>
                <w:color w:val="auto"/>
                <w:kern w:val="0"/>
                <w:sz w:val="21"/>
                <w:szCs w:val="21"/>
              </w:rPr>
            </w:pPr>
            <w:r>
              <w:rPr>
                <w:rFonts w:hint="eastAsia" w:eastAsia="等线" w:cs="Times New Roman"/>
                <w:color w:val="auto"/>
                <w:sz w:val="21"/>
                <w:szCs w:val="21"/>
                <w:lang w:val="en-US" w:eastAsia="zh-CN"/>
              </w:rPr>
              <w:t>+0.018</w:t>
            </w:r>
            <w:r>
              <w:rPr>
                <w:rFonts w:hint="eastAsia" w:eastAsia="等线" w:cs="Times New Roman"/>
                <w:color w:val="auto"/>
                <w:kern w:val="0"/>
                <w:sz w:val="21"/>
                <w:szCs w:val="21"/>
              </w:rPr>
              <w:t>t</w:t>
            </w:r>
            <w:r>
              <w:rPr>
                <w:rFonts w:hint="default" w:eastAsia="等线" w:cs="Times New Roman"/>
                <w:color w:val="auto"/>
                <w:kern w:val="0"/>
                <w:sz w:val="21"/>
                <w:szCs w:val="21"/>
              </w:rPr>
              <w:t>/</w:t>
            </w:r>
            <w:r>
              <w:rPr>
                <w:rFonts w:hint="eastAsia" w:eastAsia="等线" w:cs="Times New Roman"/>
                <w:color w:val="auto"/>
                <w:kern w:val="0"/>
                <w:sz w:val="21"/>
                <w:szCs w:val="21"/>
              </w:rPr>
              <w:t>a</w:t>
            </w:r>
          </w:p>
        </w:tc>
      </w:tr>
      <w:tr w14:paraId="20001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1" w:type="pct"/>
            <w:vMerge w:val="continue"/>
            <w:vAlign w:val="center"/>
          </w:tcPr>
          <w:p w14:paraId="15AA7126">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p>
        </w:tc>
        <w:tc>
          <w:tcPr>
            <w:tcW w:w="793" w:type="pct"/>
            <w:shd w:val="clear" w:color="auto" w:fill="auto"/>
            <w:noWrap/>
            <w:vAlign w:val="center"/>
          </w:tcPr>
          <w:p w14:paraId="46C38A8F">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eastAsia="等线" w:cs="Times New Roman"/>
                <w:kern w:val="0"/>
                <w:sz w:val="21"/>
                <w:szCs w:val="21"/>
              </w:rPr>
              <w:t>NH</w:t>
            </w:r>
            <w:r>
              <w:rPr>
                <w:rFonts w:hint="default" w:eastAsia="等线" w:cs="Times New Roman"/>
                <w:kern w:val="0"/>
                <w:sz w:val="21"/>
                <w:szCs w:val="21"/>
                <w:vertAlign w:val="subscript"/>
              </w:rPr>
              <w:t>3</w:t>
            </w:r>
            <w:r>
              <w:rPr>
                <w:rFonts w:hint="default" w:eastAsia="等线" w:cs="Times New Roman"/>
                <w:kern w:val="0"/>
                <w:sz w:val="21"/>
                <w:szCs w:val="21"/>
              </w:rPr>
              <w:t>-N</w:t>
            </w:r>
          </w:p>
        </w:tc>
        <w:tc>
          <w:tcPr>
            <w:tcW w:w="573" w:type="pct"/>
            <w:shd w:val="clear" w:color="auto" w:fill="auto"/>
            <w:vAlign w:val="center"/>
          </w:tcPr>
          <w:p w14:paraId="56A75BED">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eastAsia="等线" w:cs="Times New Roman"/>
                <w:kern w:val="0"/>
                <w:sz w:val="21"/>
                <w:szCs w:val="21"/>
                <w:lang w:val="en-US" w:eastAsia="zh-CN"/>
              </w:rPr>
            </w:pPr>
            <w:r>
              <w:rPr>
                <w:rFonts w:hint="default" w:eastAsia="等线" w:cs="Times New Roman"/>
                <w:kern w:val="0"/>
                <w:sz w:val="21"/>
                <w:szCs w:val="21"/>
              </w:rPr>
              <w:t>/</w:t>
            </w:r>
          </w:p>
        </w:tc>
        <w:tc>
          <w:tcPr>
            <w:tcW w:w="525" w:type="pct"/>
            <w:shd w:val="clear" w:color="auto" w:fill="auto"/>
            <w:vAlign w:val="center"/>
          </w:tcPr>
          <w:p w14:paraId="6D7E73FA">
            <w:pPr>
              <w:keepNext w:val="0"/>
              <w:keepLines w:val="0"/>
              <w:suppressLineNumbers w:val="0"/>
              <w:adjustRightInd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25" w:type="pct"/>
            <w:shd w:val="clear" w:color="auto" w:fill="auto"/>
            <w:vAlign w:val="center"/>
          </w:tcPr>
          <w:p w14:paraId="273438B4">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74" w:type="pct"/>
            <w:shd w:val="clear" w:color="auto" w:fill="auto"/>
            <w:vAlign w:val="center"/>
          </w:tcPr>
          <w:p w14:paraId="1970270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eastAsia="等线" w:cs="Times New Roman"/>
                <w:color w:val="auto"/>
                <w:kern w:val="0"/>
                <w:sz w:val="21"/>
                <w:szCs w:val="21"/>
              </w:rPr>
            </w:pPr>
            <w:r>
              <w:rPr>
                <w:rFonts w:hint="eastAsia" w:eastAsia="等线" w:cs="Times New Roman"/>
                <w:color w:val="auto"/>
                <w:sz w:val="21"/>
                <w:szCs w:val="21"/>
              </w:rPr>
              <w:t>0.0</w:t>
            </w:r>
            <w:r>
              <w:rPr>
                <w:rFonts w:hint="eastAsia" w:eastAsia="等线" w:cs="Times New Roman"/>
                <w:color w:val="auto"/>
                <w:sz w:val="21"/>
                <w:szCs w:val="21"/>
                <w:lang w:val="en-US" w:eastAsia="zh-CN"/>
              </w:rPr>
              <w:t>01</w:t>
            </w:r>
            <w:r>
              <w:rPr>
                <w:rFonts w:hint="eastAsia" w:eastAsia="等线" w:cs="Times New Roman"/>
                <w:color w:val="auto"/>
                <w:kern w:val="0"/>
                <w:sz w:val="21"/>
                <w:szCs w:val="21"/>
              </w:rPr>
              <w:t>t</w:t>
            </w:r>
            <w:r>
              <w:rPr>
                <w:rFonts w:hint="default" w:eastAsia="等线" w:cs="Times New Roman"/>
                <w:color w:val="auto"/>
                <w:kern w:val="0"/>
                <w:sz w:val="21"/>
                <w:szCs w:val="21"/>
              </w:rPr>
              <w:t>/</w:t>
            </w:r>
            <w:r>
              <w:rPr>
                <w:rFonts w:hint="eastAsia" w:eastAsia="等线" w:cs="Times New Roman"/>
                <w:color w:val="auto"/>
                <w:kern w:val="0"/>
                <w:sz w:val="21"/>
                <w:szCs w:val="21"/>
              </w:rPr>
              <w:t>a</w:t>
            </w:r>
          </w:p>
        </w:tc>
        <w:tc>
          <w:tcPr>
            <w:tcW w:w="473" w:type="pct"/>
            <w:shd w:val="clear" w:color="auto" w:fill="auto"/>
            <w:vAlign w:val="center"/>
          </w:tcPr>
          <w:p w14:paraId="7E964F58">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center"/>
              <w:textAlignment w:val="auto"/>
              <w:rPr>
                <w:rFonts w:hint="default" w:eastAsia="等线" w:cs="Times New Roman"/>
                <w:color w:val="auto"/>
                <w:kern w:val="0"/>
                <w:sz w:val="21"/>
                <w:szCs w:val="21"/>
              </w:rPr>
            </w:pPr>
            <w:r>
              <w:rPr>
                <w:rFonts w:hint="default" w:eastAsia="等线" w:cs="Times New Roman"/>
                <w:kern w:val="0"/>
                <w:sz w:val="21"/>
                <w:szCs w:val="21"/>
              </w:rPr>
              <w:t>/</w:t>
            </w:r>
          </w:p>
        </w:tc>
        <w:tc>
          <w:tcPr>
            <w:tcW w:w="628" w:type="pct"/>
            <w:shd w:val="clear" w:color="auto" w:fill="auto"/>
            <w:vAlign w:val="center"/>
          </w:tcPr>
          <w:p w14:paraId="676EE35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eastAsia="等线" w:cs="Times New Roman"/>
                <w:color w:val="auto"/>
                <w:kern w:val="0"/>
                <w:sz w:val="21"/>
                <w:szCs w:val="21"/>
              </w:rPr>
            </w:pPr>
            <w:r>
              <w:rPr>
                <w:rFonts w:hint="eastAsia" w:eastAsia="等线" w:cs="Times New Roman"/>
                <w:color w:val="auto"/>
                <w:sz w:val="21"/>
                <w:szCs w:val="21"/>
              </w:rPr>
              <w:t>0.0</w:t>
            </w:r>
            <w:r>
              <w:rPr>
                <w:rFonts w:hint="eastAsia" w:eastAsia="等线" w:cs="Times New Roman"/>
                <w:color w:val="auto"/>
                <w:sz w:val="21"/>
                <w:szCs w:val="21"/>
                <w:lang w:val="en-US" w:eastAsia="zh-CN"/>
              </w:rPr>
              <w:t>01</w:t>
            </w:r>
            <w:r>
              <w:rPr>
                <w:rFonts w:hint="eastAsia" w:eastAsia="等线" w:cs="Times New Roman"/>
                <w:color w:val="auto"/>
                <w:kern w:val="0"/>
                <w:sz w:val="21"/>
                <w:szCs w:val="21"/>
              </w:rPr>
              <w:t>t</w:t>
            </w:r>
            <w:r>
              <w:rPr>
                <w:rFonts w:hint="default" w:eastAsia="等线" w:cs="Times New Roman"/>
                <w:color w:val="auto"/>
                <w:kern w:val="0"/>
                <w:sz w:val="21"/>
                <w:szCs w:val="21"/>
              </w:rPr>
              <w:t>/</w:t>
            </w:r>
            <w:r>
              <w:rPr>
                <w:rFonts w:hint="eastAsia" w:eastAsia="等线" w:cs="Times New Roman"/>
                <w:color w:val="auto"/>
                <w:kern w:val="0"/>
                <w:sz w:val="21"/>
                <w:szCs w:val="21"/>
              </w:rPr>
              <w:t>a</w:t>
            </w:r>
          </w:p>
        </w:tc>
        <w:tc>
          <w:tcPr>
            <w:tcW w:w="402" w:type="pct"/>
            <w:shd w:val="clear" w:color="auto" w:fill="auto"/>
            <w:vAlign w:val="center"/>
          </w:tcPr>
          <w:p w14:paraId="2413A07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eastAsia="等线" w:cs="Times New Roman"/>
                <w:color w:val="auto"/>
                <w:kern w:val="0"/>
                <w:sz w:val="21"/>
                <w:szCs w:val="21"/>
              </w:rPr>
            </w:pPr>
            <w:r>
              <w:rPr>
                <w:rFonts w:hint="eastAsia" w:eastAsia="等线" w:cs="Times New Roman"/>
                <w:color w:val="auto"/>
                <w:sz w:val="21"/>
                <w:szCs w:val="21"/>
                <w:lang w:val="en-US" w:eastAsia="zh-CN"/>
              </w:rPr>
              <w:t>+</w:t>
            </w:r>
            <w:r>
              <w:rPr>
                <w:rFonts w:hint="eastAsia" w:eastAsia="等线" w:cs="Times New Roman"/>
                <w:color w:val="auto"/>
                <w:sz w:val="21"/>
                <w:szCs w:val="21"/>
              </w:rPr>
              <w:t>0.0</w:t>
            </w:r>
            <w:r>
              <w:rPr>
                <w:rFonts w:hint="eastAsia" w:eastAsia="等线" w:cs="Times New Roman"/>
                <w:color w:val="auto"/>
                <w:sz w:val="21"/>
                <w:szCs w:val="21"/>
                <w:lang w:val="en-US" w:eastAsia="zh-CN"/>
              </w:rPr>
              <w:t>01</w:t>
            </w:r>
            <w:r>
              <w:rPr>
                <w:rFonts w:hint="eastAsia" w:eastAsia="等线" w:cs="Times New Roman"/>
                <w:color w:val="auto"/>
                <w:kern w:val="0"/>
                <w:sz w:val="21"/>
                <w:szCs w:val="21"/>
              </w:rPr>
              <w:t>t</w:t>
            </w:r>
            <w:r>
              <w:rPr>
                <w:rFonts w:hint="default" w:eastAsia="等线" w:cs="Times New Roman"/>
                <w:color w:val="auto"/>
                <w:kern w:val="0"/>
                <w:sz w:val="21"/>
                <w:szCs w:val="21"/>
              </w:rPr>
              <w:t>/</w:t>
            </w:r>
            <w:r>
              <w:rPr>
                <w:rFonts w:hint="eastAsia" w:eastAsia="等线" w:cs="Times New Roman"/>
                <w:color w:val="auto"/>
                <w:kern w:val="0"/>
                <w:sz w:val="21"/>
                <w:szCs w:val="21"/>
              </w:rPr>
              <w:t>a</w:t>
            </w:r>
          </w:p>
        </w:tc>
      </w:tr>
      <w:tr w14:paraId="66945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1" w:type="pct"/>
            <w:vMerge w:val="restart"/>
            <w:shd w:val="clear" w:color="auto" w:fill="auto"/>
            <w:vAlign w:val="center"/>
          </w:tcPr>
          <w:p w14:paraId="3EF515C2">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cs="Times New Roman"/>
                <w:kern w:val="0"/>
                <w:sz w:val="21"/>
                <w:szCs w:val="21"/>
              </w:rPr>
              <w:t>一般工业固体废物</w:t>
            </w:r>
          </w:p>
        </w:tc>
        <w:tc>
          <w:tcPr>
            <w:tcW w:w="793" w:type="pct"/>
            <w:shd w:val="clear" w:color="auto" w:fill="auto"/>
            <w:vAlign w:val="center"/>
          </w:tcPr>
          <w:p w14:paraId="5B50788F">
            <w:pPr>
              <w:keepNext w:val="0"/>
              <w:keepLines w:val="0"/>
              <w:suppressLineNumbers w:val="0"/>
              <w:spacing w:before="0" w:beforeAutospacing="0" w:after="0" w:afterAutospacing="0" w:line="240" w:lineRule="auto"/>
              <w:ind w:left="0" w:leftChars="0" w:right="0" w:rightChars="0" w:firstLine="0" w:firstLineChars="0"/>
              <w:jc w:val="center"/>
              <w:rPr>
                <w:rFonts w:hint="default" w:cs="Times New Roman"/>
                <w:sz w:val="21"/>
                <w:szCs w:val="21"/>
              </w:rPr>
            </w:pPr>
            <w:r>
              <w:rPr>
                <w:rFonts w:hint="default" w:cs="Times New Roman"/>
                <w:color w:val="000000"/>
                <w:sz w:val="21"/>
                <w:szCs w:val="21"/>
                <w:lang w:val="en-US" w:eastAsia="zh-CN"/>
              </w:rPr>
              <w:t>一般包装废物</w:t>
            </w:r>
          </w:p>
        </w:tc>
        <w:tc>
          <w:tcPr>
            <w:tcW w:w="573" w:type="pct"/>
            <w:shd w:val="clear" w:color="auto" w:fill="auto"/>
            <w:vAlign w:val="center"/>
          </w:tcPr>
          <w:p w14:paraId="392DF1EC">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center"/>
              <w:textAlignment w:val="auto"/>
              <w:rPr>
                <w:rFonts w:hint="eastAsia" w:eastAsia="等线" w:cs="Times New Roman"/>
                <w:kern w:val="0"/>
                <w:sz w:val="21"/>
                <w:szCs w:val="21"/>
                <w:lang w:eastAsia="zh-CN"/>
              </w:rPr>
            </w:pPr>
            <w:r>
              <w:rPr>
                <w:rFonts w:hint="default" w:eastAsia="等线" w:cs="Times New Roman"/>
                <w:kern w:val="0"/>
                <w:sz w:val="21"/>
                <w:szCs w:val="21"/>
              </w:rPr>
              <w:t>/</w:t>
            </w:r>
          </w:p>
        </w:tc>
        <w:tc>
          <w:tcPr>
            <w:tcW w:w="525" w:type="pct"/>
            <w:shd w:val="clear" w:color="auto" w:fill="auto"/>
            <w:vAlign w:val="center"/>
          </w:tcPr>
          <w:p w14:paraId="32A6BAC2">
            <w:pPr>
              <w:keepNext w:val="0"/>
              <w:keepLines w:val="0"/>
              <w:widowControl/>
              <w:suppressLineNumbers w:val="0"/>
              <w:spacing w:before="0" w:beforeAutospacing="0" w:after="0" w:afterAutospacing="0" w:line="240" w:lineRule="auto"/>
              <w:ind w:left="0" w:leftChars="0" w:right="0" w:rightChars="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25" w:type="pct"/>
            <w:shd w:val="clear" w:color="auto" w:fill="auto"/>
            <w:vAlign w:val="center"/>
          </w:tcPr>
          <w:p w14:paraId="41577E04">
            <w:pPr>
              <w:keepNext w:val="0"/>
              <w:keepLines w:val="0"/>
              <w:widowControl/>
              <w:suppressLineNumbers w:val="0"/>
              <w:spacing w:before="0" w:beforeAutospacing="0" w:after="0" w:afterAutospacing="0" w:line="240" w:lineRule="auto"/>
              <w:ind w:left="0" w:leftChars="0" w:right="0" w:rightChars="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74" w:type="pct"/>
            <w:shd w:val="clear" w:color="auto" w:fill="auto"/>
            <w:vAlign w:val="center"/>
          </w:tcPr>
          <w:p w14:paraId="548A3B9D">
            <w:pPr>
              <w:keepNext w:val="0"/>
              <w:keepLines w:val="0"/>
              <w:suppressLineNumbers w:val="0"/>
              <w:spacing w:before="0" w:beforeAutospacing="0" w:after="0" w:afterAutospacing="0" w:line="240" w:lineRule="auto"/>
              <w:ind w:left="0" w:leftChars="0" w:right="0" w:rightChars="0" w:firstLine="0" w:firstLineChars="0"/>
              <w:jc w:val="center"/>
              <w:rPr>
                <w:rFonts w:hint="default" w:cs="Times New Roman"/>
                <w:sz w:val="21"/>
                <w:szCs w:val="21"/>
              </w:rPr>
            </w:pPr>
            <w:r>
              <w:rPr>
                <w:rFonts w:hint="eastAsia" w:eastAsia="等线" w:cs="Times New Roman"/>
                <w:sz w:val="21"/>
                <w:szCs w:val="21"/>
                <w:lang w:val="en-US" w:eastAsia="zh-CN"/>
              </w:rPr>
              <w:t>0.5</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73" w:type="pct"/>
            <w:shd w:val="clear" w:color="auto" w:fill="auto"/>
            <w:vAlign w:val="center"/>
          </w:tcPr>
          <w:p w14:paraId="561DDFE8">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center"/>
              <w:textAlignment w:val="auto"/>
              <w:rPr>
                <w:rFonts w:hint="default" w:eastAsia="等线" w:cs="Times New Roman"/>
                <w:kern w:val="0"/>
                <w:sz w:val="21"/>
                <w:szCs w:val="21"/>
              </w:rPr>
            </w:pPr>
            <w:r>
              <w:rPr>
                <w:rFonts w:hint="default" w:eastAsia="等线" w:cs="Times New Roman"/>
                <w:kern w:val="0"/>
                <w:sz w:val="21"/>
                <w:szCs w:val="21"/>
              </w:rPr>
              <w:t>/</w:t>
            </w:r>
          </w:p>
        </w:tc>
        <w:tc>
          <w:tcPr>
            <w:tcW w:w="628" w:type="pct"/>
            <w:shd w:val="clear" w:color="auto" w:fill="auto"/>
            <w:vAlign w:val="center"/>
          </w:tcPr>
          <w:p w14:paraId="5323BA5F">
            <w:pPr>
              <w:keepNext w:val="0"/>
              <w:keepLines w:val="0"/>
              <w:suppressLineNumbers w:val="0"/>
              <w:spacing w:before="0" w:beforeAutospacing="0" w:after="0" w:afterAutospacing="0" w:line="240" w:lineRule="auto"/>
              <w:ind w:left="0" w:leftChars="0" w:right="0" w:rightChars="0" w:firstLine="0" w:firstLineChars="0"/>
              <w:jc w:val="center"/>
              <w:rPr>
                <w:rFonts w:hint="default" w:eastAsia="等线" w:cs="Times New Roman"/>
                <w:kern w:val="0"/>
                <w:sz w:val="21"/>
                <w:szCs w:val="21"/>
              </w:rPr>
            </w:pPr>
            <w:r>
              <w:rPr>
                <w:rFonts w:hint="eastAsia" w:eastAsia="等线" w:cs="Times New Roman"/>
                <w:sz w:val="21"/>
                <w:szCs w:val="21"/>
                <w:lang w:val="en-US" w:eastAsia="zh-CN"/>
              </w:rPr>
              <w:t>0.5</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02" w:type="pct"/>
            <w:shd w:val="clear" w:color="auto" w:fill="auto"/>
            <w:vAlign w:val="center"/>
          </w:tcPr>
          <w:p w14:paraId="1CB1A85A">
            <w:pPr>
              <w:keepNext w:val="0"/>
              <w:keepLines w:val="0"/>
              <w:suppressLineNumbers w:val="0"/>
              <w:spacing w:before="0" w:beforeAutospacing="0" w:after="0" w:afterAutospacing="0" w:line="240" w:lineRule="auto"/>
              <w:ind w:left="0" w:leftChars="0" w:right="0" w:rightChars="0" w:firstLine="0" w:firstLineChars="0"/>
              <w:jc w:val="center"/>
              <w:rPr>
                <w:rFonts w:hint="default" w:eastAsia="等线" w:cs="Times New Roman"/>
                <w:kern w:val="0"/>
                <w:sz w:val="21"/>
                <w:szCs w:val="21"/>
              </w:rPr>
            </w:pPr>
            <w:r>
              <w:rPr>
                <w:rFonts w:hint="eastAsia" w:cs="Times New Roman"/>
                <w:sz w:val="21"/>
                <w:szCs w:val="21"/>
              </w:rPr>
              <w:t>+</w:t>
            </w:r>
            <w:r>
              <w:rPr>
                <w:rFonts w:hint="eastAsia" w:cs="Times New Roman"/>
                <w:sz w:val="21"/>
                <w:szCs w:val="21"/>
                <w:lang w:val="en-US" w:eastAsia="zh-CN"/>
              </w:rPr>
              <w:t>0.5</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r>
      <w:tr w14:paraId="483F1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1" w:type="pct"/>
            <w:vMerge w:val="continue"/>
            <w:shd w:val="clear" w:color="auto" w:fill="auto"/>
            <w:vAlign w:val="center"/>
          </w:tcPr>
          <w:p w14:paraId="5A121ABF">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793" w:type="pct"/>
            <w:shd w:val="clear" w:color="auto" w:fill="auto"/>
            <w:vAlign w:val="center"/>
          </w:tcPr>
          <w:p w14:paraId="0399030F">
            <w:pPr>
              <w:keepNext w:val="0"/>
              <w:keepLines w:val="0"/>
              <w:suppressLineNumbers w:val="0"/>
              <w:spacing w:before="0" w:beforeAutospacing="0" w:after="0" w:afterAutospacing="0" w:line="240" w:lineRule="auto"/>
              <w:ind w:left="0" w:leftChars="0" w:right="0" w:rightChars="0" w:firstLine="0" w:firstLineChars="0"/>
              <w:jc w:val="center"/>
              <w:rPr>
                <w:rFonts w:hint="default" w:cs="Times New Roman"/>
                <w:sz w:val="21"/>
                <w:szCs w:val="21"/>
              </w:rPr>
            </w:pPr>
            <w:r>
              <w:rPr>
                <w:rFonts w:hint="eastAsia" w:cs="Times New Roman"/>
                <w:sz w:val="21"/>
                <w:szCs w:val="21"/>
                <w:lang w:val="en-US" w:eastAsia="zh-CN"/>
              </w:rPr>
              <w:t>生活垃圾</w:t>
            </w:r>
          </w:p>
        </w:tc>
        <w:tc>
          <w:tcPr>
            <w:tcW w:w="573" w:type="pct"/>
            <w:shd w:val="clear" w:color="auto" w:fill="auto"/>
            <w:vAlign w:val="center"/>
          </w:tcPr>
          <w:p w14:paraId="2016F89E">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center"/>
              <w:textAlignment w:val="auto"/>
              <w:rPr>
                <w:rFonts w:hint="default" w:eastAsia="等线" w:cs="Times New Roman"/>
                <w:kern w:val="0"/>
                <w:sz w:val="21"/>
                <w:szCs w:val="21"/>
                <w:lang w:val="en-US" w:eastAsia="zh-CN"/>
              </w:rPr>
            </w:pPr>
            <w:r>
              <w:rPr>
                <w:rFonts w:hint="default" w:eastAsia="等线" w:cs="Times New Roman"/>
                <w:kern w:val="0"/>
                <w:sz w:val="21"/>
                <w:szCs w:val="21"/>
              </w:rPr>
              <w:t>/</w:t>
            </w:r>
          </w:p>
        </w:tc>
        <w:tc>
          <w:tcPr>
            <w:tcW w:w="525" w:type="pct"/>
            <w:shd w:val="clear" w:color="auto" w:fill="auto"/>
            <w:vAlign w:val="center"/>
          </w:tcPr>
          <w:p w14:paraId="2C4C98A5">
            <w:pPr>
              <w:keepNext w:val="0"/>
              <w:keepLines w:val="0"/>
              <w:widowControl/>
              <w:suppressLineNumbers w:val="0"/>
              <w:spacing w:before="0" w:beforeAutospacing="0" w:after="0" w:afterAutospacing="0" w:line="240" w:lineRule="auto"/>
              <w:ind w:left="0" w:leftChars="0" w:right="0" w:rightChars="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25" w:type="pct"/>
            <w:shd w:val="clear" w:color="auto" w:fill="auto"/>
            <w:vAlign w:val="center"/>
          </w:tcPr>
          <w:p w14:paraId="1188C437">
            <w:pPr>
              <w:keepNext w:val="0"/>
              <w:keepLines w:val="0"/>
              <w:widowControl/>
              <w:suppressLineNumbers w:val="0"/>
              <w:spacing w:before="0" w:beforeAutospacing="0" w:after="0" w:afterAutospacing="0" w:line="240" w:lineRule="auto"/>
              <w:ind w:left="0" w:leftChars="0" w:right="0" w:rightChars="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74" w:type="pct"/>
            <w:shd w:val="clear" w:color="auto" w:fill="auto"/>
            <w:vAlign w:val="center"/>
          </w:tcPr>
          <w:p w14:paraId="46DC3664">
            <w:pPr>
              <w:keepNext w:val="0"/>
              <w:keepLines w:val="0"/>
              <w:suppressLineNumbers w:val="0"/>
              <w:spacing w:before="0" w:beforeAutospacing="0" w:after="0" w:afterAutospacing="0" w:line="240" w:lineRule="auto"/>
              <w:ind w:left="0" w:leftChars="0" w:right="0" w:rightChars="0" w:firstLine="0" w:firstLineChars="0"/>
              <w:jc w:val="center"/>
              <w:rPr>
                <w:rFonts w:hint="default" w:cs="Times New Roman"/>
                <w:sz w:val="21"/>
                <w:szCs w:val="21"/>
              </w:rPr>
            </w:pPr>
            <w:r>
              <w:rPr>
                <w:rFonts w:hint="eastAsia" w:cs="Times New Roman"/>
                <w:sz w:val="21"/>
                <w:szCs w:val="21"/>
                <w:lang w:val="en-US" w:eastAsia="zh-CN"/>
              </w:rPr>
              <w:t>2.5</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73" w:type="pct"/>
            <w:shd w:val="clear" w:color="auto" w:fill="auto"/>
            <w:vAlign w:val="center"/>
          </w:tcPr>
          <w:p w14:paraId="091F6DF4">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leftChars="0" w:right="0" w:rightChars="0" w:firstLine="0" w:firstLineChars="0"/>
              <w:jc w:val="center"/>
              <w:textAlignment w:val="auto"/>
              <w:rPr>
                <w:rFonts w:hint="default" w:eastAsia="等线" w:cs="Times New Roman"/>
                <w:kern w:val="0"/>
                <w:sz w:val="21"/>
                <w:szCs w:val="21"/>
              </w:rPr>
            </w:pPr>
            <w:r>
              <w:rPr>
                <w:rFonts w:hint="default" w:eastAsia="等线" w:cs="Times New Roman"/>
                <w:kern w:val="0"/>
                <w:sz w:val="21"/>
                <w:szCs w:val="21"/>
              </w:rPr>
              <w:t>/</w:t>
            </w:r>
          </w:p>
        </w:tc>
        <w:tc>
          <w:tcPr>
            <w:tcW w:w="628" w:type="pct"/>
            <w:shd w:val="clear" w:color="auto" w:fill="auto"/>
            <w:vAlign w:val="center"/>
          </w:tcPr>
          <w:p w14:paraId="15C9D208">
            <w:pPr>
              <w:keepNext w:val="0"/>
              <w:keepLines w:val="0"/>
              <w:suppressLineNumbers w:val="0"/>
              <w:spacing w:before="0" w:beforeAutospacing="0" w:after="0" w:afterAutospacing="0" w:line="240" w:lineRule="auto"/>
              <w:ind w:left="0" w:leftChars="0" w:right="0" w:rightChars="0" w:firstLine="0" w:firstLineChars="0"/>
              <w:jc w:val="center"/>
              <w:rPr>
                <w:rFonts w:hint="default" w:eastAsia="等线" w:cs="Times New Roman"/>
                <w:kern w:val="0"/>
                <w:sz w:val="21"/>
                <w:szCs w:val="21"/>
              </w:rPr>
            </w:pPr>
            <w:r>
              <w:rPr>
                <w:rFonts w:hint="eastAsia" w:cs="Times New Roman"/>
                <w:sz w:val="21"/>
                <w:szCs w:val="21"/>
                <w:lang w:val="en-US" w:eastAsia="zh-CN"/>
              </w:rPr>
              <w:t>2.5</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02" w:type="pct"/>
            <w:shd w:val="clear" w:color="auto" w:fill="auto"/>
            <w:vAlign w:val="center"/>
          </w:tcPr>
          <w:p w14:paraId="7A8B2CB5">
            <w:pPr>
              <w:keepNext w:val="0"/>
              <w:keepLines w:val="0"/>
              <w:suppressLineNumbers w:val="0"/>
              <w:spacing w:before="0" w:beforeAutospacing="0" w:after="0" w:afterAutospacing="0" w:line="240" w:lineRule="auto"/>
              <w:ind w:left="0" w:leftChars="0" w:right="0" w:rightChars="0" w:firstLine="0" w:firstLineChars="0"/>
              <w:jc w:val="center"/>
              <w:rPr>
                <w:rFonts w:hint="eastAsia" w:eastAsia="等线" w:cs="Times New Roman"/>
                <w:sz w:val="21"/>
                <w:szCs w:val="21"/>
                <w:lang w:val="en-US" w:eastAsia="zh-CN"/>
              </w:rPr>
            </w:pPr>
            <w:r>
              <w:rPr>
                <w:rFonts w:hint="eastAsia" w:cs="Times New Roman"/>
                <w:sz w:val="21"/>
                <w:szCs w:val="21"/>
                <w:lang w:val="en-US" w:eastAsia="zh-CN"/>
              </w:rPr>
              <w:t>+2.5</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r>
      <w:tr w14:paraId="04C2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1" w:type="pct"/>
            <w:vMerge w:val="restart"/>
            <w:shd w:val="clear" w:color="auto" w:fill="auto"/>
            <w:vAlign w:val="center"/>
          </w:tcPr>
          <w:p w14:paraId="6CD6F682">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cs="Times New Roman"/>
                <w:kern w:val="0"/>
                <w:sz w:val="21"/>
                <w:szCs w:val="21"/>
              </w:rPr>
              <w:t>危险废物</w:t>
            </w:r>
          </w:p>
        </w:tc>
        <w:tc>
          <w:tcPr>
            <w:tcW w:w="793" w:type="pct"/>
            <w:shd w:val="clear" w:color="auto" w:fill="auto"/>
            <w:vAlign w:val="center"/>
          </w:tcPr>
          <w:p w14:paraId="0DBBBF6F">
            <w:pPr>
              <w:keepNext w:val="0"/>
              <w:keepLines w:val="0"/>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eastAsia" w:cs="Times New Roman"/>
                <w:sz w:val="21"/>
                <w:szCs w:val="21"/>
              </w:rPr>
              <w:t>废活性炭</w:t>
            </w:r>
          </w:p>
        </w:tc>
        <w:tc>
          <w:tcPr>
            <w:tcW w:w="573" w:type="pct"/>
            <w:shd w:val="clear" w:color="auto" w:fill="auto"/>
            <w:noWrap/>
            <w:vAlign w:val="center"/>
          </w:tcPr>
          <w:p w14:paraId="76ABAF81">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eastAsia="等线" w:cs="Times New Roman"/>
                <w:kern w:val="0"/>
                <w:sz w:val="21"/>
                <w:szCs w:val="21"/>
                <w:lang w:val="en-US" w:eastAsia="zh-CN"/>
              </w:rPr>
            </w:pPr>
            <w:r>
              <w:rPr>
                <w:rFonts w:hint="default" w:eastAsia="等线" w:cs="Times New Roman"/>
                <w:kern w:val="0"/>
                <w:sz w:val="21"/>
                <w:szCs w:val="21"/>
              </w:rPr>
              <w:t>/</w:t>
            </w:r>
          </w:p>
        </w:tc>
        <w:tc>
          <w:tcPr>
            <w:tcW w:w="525" w:type="pct"/>
            <w:shd w:val="clear" w:color="auto" w:fill="auto"/>
            <w:noWrap/>
            <w:vAlign w:val="center"/>
          </w:tcPr>
          <w:p w14:paraId="3378F22F">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25" w:type="pct"/>
            <w:shd w:val="clear" w:color="auto" w:fill="auto"/>
            <w:noWrap/>
            <w:vAlign w:val="center"/>
          </w:tcPr>
          <w:p w14:paraId="41EFB48A">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74" w:type="pct"/>
            <w:shd w:val="clear" w:color="auto" w:fill="auto"/>
            <w:noWrap/>
            <w:vAlign w:val="center"/>
          </w:tcPr>
          <w:p w14:paraId="23EDE634">
            <w:pPr>
              <w:keepNext w:val="0"/>
              <w:keepLines w:val="0"/>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eastAsia" w:eastAsia="等线" w:cs="Times New Roman"/>
                <w:sz w:val="21"/>
                <w:szCs w:val="21"/>
                <w:lang w:val="en-US" w:eastAsia="zh-CN"/>
              </w:rPr>
              <w:t>2</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73" w:type="pct"/>
            <w:shd w:val="clear" w:color="auto" w:fill="auto"/>
            <w:noWrap/>
            <w:vAlign w:val="center"/>
          </w:tcPr>
          <w:p w14:paraId="78A52B15">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eastAsia="等线" w:cs="Times New Roman"/>
                <w:kern w:val="0"/>
                <w:sz w:val="21"/>
                <w:szCs w:val="21"/>
              </w:rPr>
            </w:pPr>
            <w:r>
              <w:rPr>
                <w:rFonts w:hint="default" w:eastAsia="等线" w:cs="Times New Roman"/>
                <w:kern w:val="0"/>
                <w:sz w:val="21"/>
                <w:szCs w:val="21"/>
              </w:rPr>
              <w:t>/</w:t>
            </w:r>
          </w:p>
        </w:tc>
        <w:tc>
          <w:tcPr>
            <w:tcW w:w="628" w:type="pct"/>
            <w:shd w:val="clear" w:color="auto" w:fill="auto"/>
            <w:vAlign w:val="center"/>
          </w:tcPr>
          <w:p w14:paraId="7372CECB">
            <w:pPr>
              <w:keepNext w:val="0"/>
              <w:keepLines w:val="0"/>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eastAsia" w:eastAsia="等线" w:cs="Times New Roman"/>
                <w:sz w:val="21"/>
                <w:szCs w:val="21"/>
                <w:lang w:val="en-US" w:eastAsia="zh-CN"/>
              </w:rPr>
              <w:t>2</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02" w:type="pct"/>
            <w:shd w:val="clear" w:color="auto" w:fill="auto"/>
            <w:vAlign w:val="center"/>
          </w:tcPr>
          <w:p w14:paraId="16743FDA">
            <w:pPr>
              <w:keepNext w:val="0"/>
              <w:keepLines w:val="0"/>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eastAsia" w:eastAsia="等线" w:cs="Times New Roman"/>
                <w:sz w:val="21"/>
                <w:szCs w:val="21"/>
              </w:rPr>
              <w:t>+</w:t>
            </w:r>
            <w:r>
              <w:rPr>
                <w:rFonts w:hint="eastAsia" w:eastAsia="等线" w:cs="Times New Roman"/>
                <w:sz w:val="21"/>
                <w:szCs w:val="21"/>
                <w:lang w:val="en-US" w:eastAsia="zh-CN"/>
              </w:rPr>
              <w:t>1.878</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r>
      <w:tr w14:paraId="08E1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1" w:type="pct"/>
            <w:vMerge w:val="continue"/>
            <w:shd w:val="clear" w:color="auto" w:fill="auto"/>
            <w:vAlign w:val="center"/>
          </w:tcPr>
          <w:p w14:paraId="29049976">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793" w:type="pct"/>
            <w:shd w:val="clear" w:color="auto" w:fill="auto"/>
            <w:vAlign w:val="center"/>
          </w:tcPr>
          <w:p w14:paraId="22EFD861">
            <w:pPr>
              <w:keepNext w:val="0"/>
              <w:keepLines w:val="0"/>
              <w:suppressLineNumbers w:val="0"/>
              <w:spacing w:before="0" w:beforeAutospacing="0" w:after="0" w:afterAutospacing="0" w:line="240" w:lineRule="auto"/>
              <w:ind w:left="0" w:right="0" w:firstLine="0" w:firstLineChars="0"/>
              <w:jc w:val="center"/>
              <w:rPr>
                <w:rFonts w:hint="eastAsia" w:cs="Times New Roman"/>
                <w:sz w:val="21"/>
                <w:szCs w:val="21"/>
              </w:rPr>
            </w:pPr>
            <w:r>
              <w:rPr>
                <w:rFonts w:hint="eastAsia" w:cs="Times New Roman"/>
                <w:sz w:val="21"/>
                <w:szCs w:val="21"/>
              </w:rPr>
              <w:t>不合格品</w:t>
            </w:r>
          </w:p>
        </w:tc>
        <w:tc>
          <w:tcPr>
            <w:tcW w:w="573" w:type="pct"/>
            <w:shd w:val="clear" w:color="auto" w:fill="auto"/>
            <w:noWrap/>
            <w:vAlign w:val="center"/>
          </w:tcPr>
          <w:p w14:paraId="7A734496">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eastAsia" w:eastAsia="等线" w:cs="Times New Roman"/>
                <w:kern w:val="0"/>
                <w:sz w:val="21"/>
                <w:szCs w:val="21"/>
                <w:lang w:eastAsia="zh-CN"/>
              </w:rPr>
            </w:pPr>
            <w:r>
              <w:rPr>
                <w:rFonts w:hint="default" w:eastAsia="等线" w:cs="Times New Roman"/>
                <w:kern w:val="0"/>
                <w:sz w:val="21"/>
                <w:szCs w:val="21"/>
              </w:rPr>
              <w:t>/</w:t>
            </w:r>
          </w:p>
        </w:tc>
        <w:tc>
          <w:tcPr>
            <w:tcW w:w="525" w:type="pct"/>
            <w:shd w:val="clear" w:color="auto" w:fill="auto"/>
            <w:noWrap/>
            <w:vAlign w:val="center"/>
          </w:tcPr>
          <w:p w14:paraId="63836819">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25" w:type="pct"/>
            <w:shd w:val="clear" w:color="auto" w:fill="auto"/>
            <w:noWrap/>
            <w:vAlign w:val="center"/>
          </w:tcPr>
          <w:p w14:paraId="11D5DF46">
            <w:pPr>
              <w:keepNext w:val="0"/>
              <w:keepLines w:val="0"/>
              <w:widowControl/>
              <w:suppressLineNumbers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74" w:type="pct"/>
            <w:shd w:val="clear" w:color="auto" w:fill="auto"/>
            <w:noWrap/>
            <w:vAlign w:val="center"/>
          </w:tcPr>
          <w:p w14:paraId="58AB80B9">
            <w:pPr>
              <w:keepNext w:val="0"/>
              <w:keepLines w:val="0"/>
              <w:suppressLineNumbers w:val="0"/>
              <w:spacing w:before="0" w:beforeAutospacing="0" w:after="0" w:afterAutospacing="0" w:line="240" w:lineRule="auto"/>
              <w:ind w:left="0" w:right="0" w:firstLine="0" w:firstLineChars="0"/>
              <w:jc w:val="center"/>
              <w:rPr>
                <w:rFonts w:hint="default" w:eastAsia="等线" w:cs="Times New Roman"/>
                <w:sz w:val="21"/>
                <w:szCs w:val="21"/>
                <w:lang w:val="en-US" w:eastAsia="zh-CN"/>
              </w:rPr>
            </w:pPr>
            <w:r>
              <w:rPr>
                <w:rFonts w:hint="eastAsia" w:eastAsia="等线" w:cs="Times New Roman"/>
                <w:sz w:val="21"/>
                <w:szCs w:val="21"/>
                <w:lang w:val="en-US" w:eastAsia="zh-CN"/>
              </w:rPr>
              <w:t>0.001</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73" w:type="pct"/>
            <w:shd w:val="clear" w:color="auto" w:fill="auto"/>
            <w:noWrap/>
            <w:vAlign w:val="center"/>
          </w:tcPr>
          <w:p w14:paraId="58987958">
            <w:pPr>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firstLine="0" w:firstLineChars="0"/>
              <w:jc w:val="center"/>
              <w:textAlignment w:val="auto"/>
              <w:rPr>
                <w:rFonts w:hint="default" w:eastAsia="等线" w:cs="Times New Roman"/>
                <w:kern w:val="0"/>
                <w:sz w:val="21"/>
                <w:szCs w:val="21"/>
              </w:rPr>
            </w:pPr>
            <w:r>
              <w:rPr>
                <w:rFonts w:hint="default" w:eastAsia="等线" w:cs="Times New Roman"/>
                <w:kern w:val="0"/>
                <w:sz w:val="21"/>
                <w:szCs w:val="21"/>
              </w:rPr>
              <w:t>/</w:t>
            </w:r>
          </w:p>
        </w:tc>
        <w:tc>
          <w:tcPr>
            <w:tcW w:w="628" w:type="pct"/>
            <w:shd w:val="clear" w:color="auto" w:fill="auto"/>
            <w:vAlign w:val="center"/>
          </w:tcPr>
          <w:p w14:paraId="7FA5C854">
            <w:pPr>
              <w:keepNext w:val="0"/>
              <w:keepLines w:val="0"/>
              <w:suppressLineNumbers w:val="0"/>
              <w:spacing w:before="0" w:beforeAutospacing="0" w:after="0" w:afterAutospacing="0" w:line="240" w:lineRule="auto"/>
              <w:ind w:left="0" w:right="0" w:firstLine="0" w:firstLineChars="0"/>
              <w:jc w:val="center"/>
              <w:rPr>
                <w:rFonts w:hint="eastAsia" w:eastAsia="等线" w:cs="Times New Roman"/>
                <w:sz w:val="21"/>
                <w:szCs w:val="21"/>
              </w:rPr>
            </w:pPr>
            <w:r>
              <w:rPr>
                <w:rFonts w:hint="eastAsia" w:eastAsia="等线" w:cs="Times New Roman"/>
                <w:sz w:val="21"/>
                <w:szCs w:val="21"/>
                <w:lang w:val="en-US" w:eastAsia="zh-CN"/>
              </w:rPr>
              <w:t>0.001</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02" w:type="pct"/>
            <w:shd w:val="clear" w:color="auto" w:fill="auto"/>
            <w:vAlign w:val="center"/>
          </w:tcPr>
          <w:p w14:paraId="2039BC20">
            <w:pPr>
              <w:keepNext w:val="0"/>
              <w:keepLines w:val="0"/>
              <w:suppressLineNumbers w:val="0"/>
              <w:spacing w:before="0" w:beforeAutospacing="0" w:after="0" w:afterAutospacing="0" w:line="240" w:lineRule="auto"/>
              <w:ind w:left="0" w:right="0" w:firstLine="0" w:firstLineChars="0"/>
              <w:jc w:val="center"/>
              <w:rPr>
                <w:rFonts w:hint="eastAsia" w:eastAsia="等线" w:cs="Times New Roman"/>
                <w:sz w:val="21"/>
                <w:szCs w:val="21"/>
              </w:rPr>
            </w:pPr>
            <w:r>
              <w:rPr>
                <w:rFonts w:hint="eastAsia" w:eastAsia="等线" w:cs="Times New Roman"/>
                <w:sz w:val="21"/>
                <w:szCs w:val="21"/>
                <w:lang w:val="en-US" w:eastAsia="zh-CN"/>
              </w:rPr>
              <w:t>+0.001</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r>
      <w:tr w14:paraId="46FB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1" w:type="pct"/>
            <w:vMerge w:val="continue"/>
            <w:shd w:val="clear" w:color="auto" w:fill="auto"/>
            <w:vAlign w:val="center"/>
          </w:tcPr>
          <w:p w14:paraId="508481ED">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793" w:type="pct"/>
            <w:shd w:val="clear" w:color="auto" w:fill="auto"/>
            <w:vAlign w:val="center"/>
          </w:tcPr>
          <w:p w14:paraId="6B2F018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sz w:val="21"/>
                <w:szCs w:val="21"/>
              </w:rPr>
            </w:pPr>
            <w:r>
              <w:rPr>
                <w:rFonts w:hint="default" w:cs="Times New Roman"/>
                <w:color w:val="000000"/>
                <w:sz w:val="21"/>
                <w:szCs w:val="21"/>
                <w:lang w:val="en-US" w:eastAsia="zh-CN"/>
              </w:rPr>
              <w:t>实验室废物</w:t>
            </w:r>
          </w:p>
        </w:tc>
        <w:tc>
          <w:tcPr>
            <w:tcW w:w="573" w:type="pct"/>
            <w:shd w:val="clear" w:color="auto" w:fill="auto"/>
            <w:noWrap/>
            <w:vAlign w:val="center"/>
          </w:tcPr>
          <w:p w14:paraId="055BACF6">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eastAsia="等线" w:cs="Times New Roman"/>
                <w:kern w:val="0"/>
                <w:sz w:val="21"/>
                <w:szCs w:val="21"/>
                <w:lang w:val="en-US" w:eastAsia="zh-CN"/>
              </w:rPr>
            </w:pPr>
            <w:r>
              <w:rPr>
                <w:rFonts w:hint="default" w:eastAsia="等线" w:cs="Times New Roman"/>
                <w:kern w:val="0"/>
                <w:sz w:val="21"/>
                <w:szCs w:val="21"/>
              </w:rPr>
              <w:t>/</w:t>
            </w:r>
          </w:p>
        </w:tc>
        <w:tc>
          <w:tcPr>
            <w:tcW w:w="525" w:type="pct"/>
            <w:shd w:val="clear" w:color="auto" w:fill="auto"/>
            <w:noWrap/>
            <w:vAlign w:val="center"/>
          </w:tcPr>
          <w:p w14:paraId="2906FCF6">
            <w:pPr>
              <w:keepNext w:val="0"/>
              <w:keepLines w:val="0"/>
              <w:widowControl/>
              <w:suppressLineNumbers w:val="0"/>
              <w:adjustRightInd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25" w:type="pct"/>
            <w:shd w:val="clear" w:color="auto" w:fill="auto"/>
            <w:noWrap/>
            <w:vAlign w:val="center"/>
          </w:tcPr>
          <w:p w14:paraId="0C232790">
            <w:pPr>
              <w:keepNext w:val="0"/>
              <w:keepLines w:val="0"/>
              <w:widowControl/>
              <w:suppressLineNumbers w:val="0"/>
              <w:adjustRightInd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74" w:type="pct"/>
            <w:shd w:val="clear" w:color="auto" w:fill="auto"/>
            <w:noWrap/>
            <w:vAlign w:val="center"/>
          </w:tcPr>
          <w:p w14:paraId="3BB169A6">
            <w:pPr>
              <w:keepNext w:val="0"/>
              <w:keepLines w:val="0"/>
              <w:suppressLineNumbers w:val="0"/>
              <w:spacing w:before="0" w:beforeAutospacing="0" w:after="0" w:afterAutospacing="0" w:line="240" w:lineRule="auto"/>
              <w:ind w:left="0" w:right="0" w:firstLine="0" w:firstLineChars="0"/>
              <w:jc w:val="center"/>
              <w:rPr>
                <w:rFonts w:hint="default" w:cs="Times New Roman"/>
                <w:sz w:val="21"/>
                <w:szCs w:val="21"/>
              </w:rPr>
            </w:pPr>
            <w:r>
              <w:rPr>
                <w:rFonts w:hint="eastAsia" w:eastAsia="等线" w:cs="Times New Roman"/>
                <w:kern w:val="0"/>
                <w:sz w:val="21"/>
                <w:szCs w:val="21"/>
                <w:lang w:val="en-US" w:eastAsia="zh-CN"/>
              </w:rPr>
              <w:t>2</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73" w:type="pct"/>
            <w:shd w:val="clear" w:color="auto" w:fill="auto"/>
            <w:noWrap/>
            <w:vAlign w:val="center"/>
          </w:tcPr>
          <w:p w14:paraId="202ED0D6">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rPr>
                <w:rFonts w:hint="default" w:eastAsia="等线" w:cs="Times New Roman"/>
                <w:kern w:val="0"/>
                <w:sz w:val="21"/>
                <w:szCs w:val="21"/>
              </w:rPr>
            </w:pPr>
            <w:r>
              <w:rPr>
                <w:rFonts w:hint="default" w:eastAsia="等线" w:cs="Times New Roman"/>
                <w:kern w:val="0"/>
                <w:sz w:val="21"/>
                <w:szCs w:val="21"/>
              </w:rPr>
              <w:t>/</w:t>
            </w:r>
          </w:p>
        </w:tc>
        <w:tc>
          <w:tcPr>
            <w:tcW w:w="628" w:type="pct"/>
            <w:shd w:val="clear" w:color="auto" w:fill="auto"/>
            <w:vAlign w:val="center"/>
          </w:tcPr>
          <w:p w14:paraId="3F0E58D1">
            <w:pPr>
              <w:keepNext w:val="0"/>
              <w:keepLines w:val="0"/>
              <w:suppressLineNumbers w:val="0"/>
              <w:spacing w:before="0" w:beforeAutospacing="0" w:after="0" w:afterAutospacing="0" w:line="240" w:lineRule="auto"/>
              <w:ind w:left="0" w:leftChars="0" w:right="0" w:rightChars="0" w:firstLine="0" w:firstLineChars="0"/>
              <w:jc w:val="center"/>
              <w:rPr>
                <w:rFonts w:hint="default" w:cs="Times New Roman"/>
                <w:sz w:val="21"/>
                <w:szCs w:val="21"/>
              </w:rPr>
            </w:pPr>
            <w:r>
              <w:rPr>
                <w:rFonts w:hint="eastAsia" w:eastAsia="等线" w:cs="Times New Roman"/>
                <w:kern w:val="0"/>
                <w:sz w:val="21"/>
                <w:szCs w:val="21"/>
                <w:lang w:val="en-US" w:eastAsia="zh-CN"/>
              </w:rPr>
              <w:t>2</w:t>
            </w:r>
            <w:r>
              <w:rPr>
                <w:rFonts w:hint="default" w:eastAsia="等线" w:cs="Times New Roman"/>
                <w:kern w:val="0"/>
                <w:sz w:val="21"/>
                <w:szCs w:val="21"/>
              </w:rPr>
              <w:t>/</w:t>
            </w:r>
            <w:r>
              <w:rPr>
                <w:rFonts w:hint="eastAsia" w:eastAsia="等线" w:cs="Times New Roman"/>
                <w:kern w:val="0"/>
                <w:sz w:val="21"/>
                <w:szCs w:val="21"/>
              </w:rPr>
              <w:t>a</w:t>
            </w:r>
          </w:p>
        </w:tc>
        <w:tc>
          <w:tcPr>
            <w:tcW w:w="402" w:type="pct"/>
            <w:shd w:val="clear" w:color="auto" w:fill="auto"/>
            <w:vAlign w:val="center"/>
          </w:tcPr>
          <w:p w14:paraId="247210CF">
            <w:pPr>
              <w:keepNext w:val="0"/>
              <w:keepLines w:val="0"/>
              <w:suppressLineNumbers w:val="0"/>
              <w:spacing w:before="0" w:beforeAutospacing="0" w:after="0" w:afterAutospacing="0" w:line="240" w:lineRule="auto"/>
              <w:ind w:left="0" w:right="0" w:firstLine="0" w:firstLineChars="0"/>
              <w:jc w:val="center"/>
              <w:rPr>
                <w:rFonts w:hint="default" w:cs="Times New Roman"/>
                <w:sz w:val="21"/>
                <w:szCs w:val="21"/>
              </w:rPr>
            </w:pPr>
            <w:r>
              <w:rPr>
                <w:rFonts w:hint="eastAsia" w:eastAsia="等线" w:cs="Times New Roman"/>
                <w:kern w:val="0"/>
                <w:sz w:val="21"/>
                <w:szCs w:val="21"/>
              </w:rPr>
              <w:t>+</w:t>
            </w:r>
            <w:r>
              <w:rPr>
                <w:rFonts w:hint="eastAsia" w:eastAsia="等线" w:cs="Times New Roman"/>
                <w:kern w:val="0"/>
                <w:sz w:val="21"/>
                <w:szCs w:val="21"/>
                <w:lang w:val="en-US" w:eastAsia="zh-CN"/>
              </w:rPr>
              <w:t>2</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r>
      <w:tr w14:paraId="18BBC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1" w:type="pct"/>
            <w:vMerge w:val="continue"/>
            <w:shd w:val="clear" w:color="auto" w:fill="auto"/>
            <w:vAlign w:val="center"/>
          </w:tcPr>
          <w:p w14:paraId="3F7FAF6D">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793" w:type="pct"/>
            <w:shd w:val="clear" w:color="auto" w:fill="auto"/>
            <w:vAlign w:val="center"/>
          </w:tcPr>
          <w:p w14:paraId="2079CB2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sz w:val="21"/>
                <w:szCs w:val="21"/>
              </w:rPr>
            </w:pPr>
            <w:r>
              <w:rPr>
                <w:rFonts w:hint="default" w:cs="Times New Roman"/>
                <w:color w:val="000000"/>
                <w:sz w:val="21"/>
                <w:szCs w:val="21"/>
                <w:lang w:val="en-US" w:eastAsia="zh-CN"/>
              </w:rPr>
              <w:t>实验室废液</w:t>
            </w:r>
          </w:p>
        </w:tc>
        <w:tc>
          <w:tcPr>
            <w:tcW w:w="573" w:type="pct"/>
            <w:shd w:val="clear" w:color="auto" w:fill="auto"/>
            <w:noWrap/>
            <w:vAlign w:val="center"/>
          </w:tcPr>
          <w:p w14:paraId="7B72855B">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eastAsia="等线" w:cs="Times New Roman"/>
                <w:kern w:val="0"/>
                <w:sz w:val="21"/>
                <w:szCs w:val="21"/>
                <w:lang w:val="en-US" w:eastAsia="zh-CN"/>
              </w:rPr>
            </w:pPr>
            <w:r>
              <w:rPr>
                <w:rFonts w:hint="default" w:eastAsia="等线" w:cs="Times New Roman"/>
                <w:kern w:val="0"/>
                <w:sz w:val="21"/>
                <w:szCs w:val="21"/>
              </w:rPr>
              <w:t>/</w:t>
            </w:r>
          </w:p>
        </w:tc>
        <w:tc>
          <w:tcPr>
            <w:tcW w:w="525" w:type="pct"/>
            <w:shd w:val="clear" w:color="auto" w:fill="auto"/>
            <w:noWrap/>
            <w:vAlign w:val="center"/>
          </w:tcPr>
          <w:p w14:paraId="7372E220">
            <w:pPr>
              <w:keepNext w:val="0"/>
              <w:keepLines w:val="0"/>
              <w:widowControl/>
              <w:suppressLineNumbers w:val="0"/>
              <w:adjustRightInd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25" w:type="pct"/>
            <w:shd w:val="clear" w:color="auto" w:fill="auto"/>
            <w:noWrap/>
            <w:vAlign w:val="center"/>
          </w:tcPr>
          <w:p w14:paraId="1959DF63">
            <w:pPr>
              <w:keepNext w:val="0"/>
              <w:keepLines w:val="0"/>
              <w:widowControl/>
              <w:suppressLineNumbers w:val="0"/>
              <w:adjustRightInd w:val="0"/>
              <w:spacing w:before="0" w:beforeAutospacing="0" w:after="0" w:afterAutospacing="0" w:line="240" w:lineRule="auto"/>
              <w:ind w:left="0" w:right="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74" w:type="pct"/>
            <w:shd w:val="clear" w:color="auto" w:fill="auto"/>
            <w:noWrap/>
            <w:vAlign w:val="center"/>
          </w:tcPr>
          <w:p w14:paraId="27DB92E3">
            <w:pPr>
              <w:keepNext w:val="0"/>
              <w:keepLines w:val="0"/>
              <w:suppressLineNumbers w:val="0"/>
              <w:spacing w:before="0" w:beforeAutospacing="0" w:after="0" w:afterAutospacing="0" w:line="240" w:lineRule="auto"/>
              <w:ind w:left="0" w:right="0" w:firstLine="0" w:firstLineChars="0"/>
              <w:jc w:val="center"/>
              <w:rPr>
                <w:rFonts w:hint="default" w:cs="Times New Roman"/>
                <w:sz w:val="21"/>
                <w:szCs w:val="21"/>
              </w:rPr>
            </w:pPr>
            <w:r>
              <w:rPr>
                <w:rFonts w:hint="eastAsia" w:eastAsia="等线" w:cs="Times New Roman"/>
                <w:kern w:val="0"/>
                <w:sz w:val="21"/>
                <w:szCs w:val="21"/>
                <w:lang w:val="en-US" w:eastAsia="zh-CN"/>
              </w:rPr>
              <w:t>7.94</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73" w:type="pct"/>
            <w:shd w:val="clear" w:color="auto" w:fill="auto"/>
            <w:noWrap/>
            <w:vAlign w:val="center"/>
          </w:tcPr>
          <w:p w14:paraId="2D9ED19A">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rPr>
                <w:rFonts w:hint="default" w:eastAsia="等线" w:cs="Times New Roman"/>
                <w:kern w:val="0"/>
                <w:sz w:val="21"/>
                <w:szCs w:val="21"/>
              </w:rPr>
            </w:pPr>
            <w:r>
              <w:rPr>
                <w:rFonts w:hint="default" w:eastAsia="等线" w:cs="Times New Roman"/>
                <w:kern w:val="0"/>
                <w:sz w:val="21"/>
                <w:szCs w:val="21"/>
              </w:rPr>
              <w:t>/</w:t>
            </w:r>
          </w:p>
        </w:tc>
        <w:tc>
          <w:tcPr>
            <w:tcW w:w="628" w:type="pct"/>
            <w:shd w:val="clear" w:color="auto" w:fill="auto"/>
            <w:vAlign w:val="center"/>
          </w:tcPr>
          <w:p w14:paraId="40DBD132">
            <w:pPr>
              <w:keepNext w:val="0"/>
              <w:keepLines w:val="0"/>
              <w:suppressLineNumbers w:val="0"/>
              <w:spacing w:before="0" w:beforeAutospacing="0" w:after="0" w:afterAutospacing="0" w:line="240" w:lineRule="auto"/>
              <w:ind w:left="0" w:leftChars="0" w:right="0" w:rightChars="0" w:firstLine="0" w:firstLineChars="0"/>
              <w:jc w:val="center"/>
              <w:rPr>
                <w:rFonts w:hint="default" w:cs="Times New Roman"/>
                <w:sz w:val="21"/>
                <w:szCs w:val="21"/>
              </w:rPr>
            </w:pPr>
            <w:r>
              <w:rPr>
                <w:rFonts w:hint="eastAsia" w:eastAsia="等线" w:cs="Times New Roman"/>
                <w:kern w:val="0"/>
                <w:sz w:val="21"/>
                <w:szCs w:val="21"/>
                <w:lang w:val="en-US" w:eastAsia="zh-CN"/>
              </w:rPr>
              <w:t>7.94</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02" w:type="pct"/>
            <w:shd w:val="clear" w:color="auto" w:fill="auto"/>
            <w:vAlign w:val="center"/>
          </w:tcPr>
          <w:p w14:paraId="4BF5333F">
            <w:pPr>
              <w:keepNext w:val="0"/>
              <w:keepLines w:val="0"/>
              <w:suppressLineNumbers w:val="0"/>
              <w:spacing w:before="0" w:beforeAutospacing="0" w:after="0" w:afterAutospacing="0" w:line="240" w:lineRule="auto"/>
              <w:ind w:left="0" w:right="0" w:firstLine="0" w:firstLineChars="0"/>
              <w:jc w:val="center"/>
              <w:rPr>
                <w:rFonts w:hint="eastAsia" w:eastAsia="宋体" w:cs="Times New Roman"/>
                <w:sz w:val="21"/>
                <w:szCs w:val="21"/>
                <w:lang w:eastAsia="zh-CN"/>
              </w:rPr>
            </w:pPr>
            <w:r>
              <w:rPr>
                <w:rFonts w:hint="eastAsia" w:eastAsia="等线" w:cs="Times New Roman"/>
                <w:kern w:val="0"/>
                <w:sz w:val="21"/>
                <w:szCs w:val="21"/>
              </w:rPr>
              <w:t>+</w:t>
            </w:r>
            <w:r>
              <w:rPr>
                <w:rFonts w:hint="eastAsia" w:eastAsia="等线" w:cs="Times New Roman"/>
                <w:kern w:val="0"/>
                <w:sz w:val="21"/>
                <w:szCs w:val="21"/>
                <w:lang w:val="en-US" w:eastAsia="zh-CN"/>
              </w:rPr>
              <w:t>7.94</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r>
      <w:tr w14:paraId="09D00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1" w:type="pct"/>
            <w:vMerge w:val="continue"/>
            <w:shd w:val="clear" w:color="auto" w:fill="auto"/>
            <w:vAlign w:val="center"/>
          </w:tcPr>
          <w:p w14:paraId="142721FD">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793" w:type="pct"/>
            <w:shd w:val="clear" w:color="auto" w:fill="auto"/>
            <w:vAlign w:val="center"/>
          </w:tcPr>
          <w:p w14:paraId="46886E9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sz w:val="21"/>
                <w:szCs w:val="21"/>
                <w:lang w:val="en-US" w:eastAsia="zh-CN"/>
              </w:rPr>
            </w:pPr>
            <w:r>
              <w:rPr>
                <w:rFonts w:hint="eastAsia" w:cs="Times New Roman"/>
                <w:color w:val="auto"/>
                <w:sz w:val="21"/>
                <w:szCs w:val="21"/>
                <w:lang w:val="en-US" w:eastAsia="zh-CN"/>
              </w:rPr>
              <w:t>废一次性耗材</w:t>
            </w:r>
          </w:p>
        </w:tc>
        <w:tc>
          <w:tcPr>
            <w:tcW w:w="573" w:type="pct"/>
            <w:shd w:val="clear" w:color="auto" w:fill="auto"/>
            <w:noWrap/>
            <w:vAlign w:val="center"/>
          </w:tcPr>
          <w:p w14:paraId="04785E3B">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eastAsia="等线" w:cs="Times New Roman"/>
                <w:kern w:val="0"/>
                <w:sz w:val="21"/>
                <w:szCs w:val="21"/>
                <w:lang w:val="en-US" w:eastAsia="zh-CN"/>
              </w:rPr>
            </w:pPr>
            <w:r>
              <w:rPr>
                <w:rFonts w:hint="default" w:eastAsia="等线" w:cs="Times New Roman"/>
                <w:kern w:val="0"/>
                <w:sz w:val="21"/>
                <w:szCs w:val="21"/>
              </w:rPr>
              <w:t>/</w:t>
            </w:r>
          </w:p>
        </w:tc>
        <w:tc>
          <w:tcPr>
            <w:tcW w:w="525" w:type="pct"/>
            <w:shd w:val="clear" w:color="auto" w:fill="auto"/>
            <w:noWrap/>
            <w:vAlign w:val="center"/>
          </w:tcPr>
          <w:p w14:paraId="3BDD46C1">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25" w:type="pct"/>
            <w:shd w:val="clear" w:color="auto" w:fill="auto"/>
            <w:noWrap/>
            <w:vAlign w:val="center"/>
          </w:tcPr>
          <w:p w14:paraId="7DEECDB0">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74" w:type="pct"/>
            <w:shd w:val="clear" w:color="auto" w:fill="auto"/>
            <w:noWrap/>
            <w:vAlign w:val="center"/>
          </w:tcPr>
          <w:p w14:paraId="67C71FC5">
            <w:pPr>
              <w:keepNext w:val="0"/>
              <w:keepLines w:val="0"/>
              <w:suppressLineNumbers w:val="0"/>
              <w:spacing w:before="0" w:beforeAutospacing="0" w:after="0" w:afterAutospacing="0" w:line="240" w:lineRule="auto"/>
              <w:ind w:left="0" w:right="0" w:firstLine="0" w:firstLineChars="0"/>
              <w:jc w:val="center"/>
              <w:rPr>
                <w:rFonts w:hint="default" w:eastAsia="宋体" w:cs="Times New Roman"/>
                <w:sz w:val="21"/>
                <w:szCs w:val="21"/>
                <w:lang w:val="en-US" w:eastAsia="zh-CN"/>
              </w:rPr>
            </w:pPr>
            <w:r>
              <w:rPr>
                <w:rFonts w:hint="eastAsia" w:cs="Times New Roman"/>
                <w:sz w:val="21"/>
                <w:szCs w:val="21"/>
                <w:lang w:val="en-US" w:eastAsia="zh-CN"/>
              </w:rPr>
              <w:t>0.5</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73" w:type="pct"/>
            <w:shd w:val="clear" w:color="auto" w:fill="auto"/>
            <w:noWrap/>
            <w:vAlign w:val="center"/>
          </w:tcPr>
          <w:p w14:paraId="560F97A7">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rPr>
                <w:rFonts w:hint="default" w:eastAsia="等线" w:cs="Times New Roman"/>
                <w:kern w:val="0"/>
                <w:sz w:val="21"/>
                <w:szCs w:val="21"/>
              </w:rPr>
            </w:pPr>
            <w:r>
              <w:rPr>
                <w:rFonts w:hint="default" w:eastAsia="等线" w:cs="Times New Roman"/>
                <w:kern w:val="0"/>
                <w:sz w:val="21"/>
                <w:szCs w:val="21"/>
              </w:rPr>
              <w:t>/</w:t>
            </w:r>
          </w:p>
        </w:tc>
        <w:tc>
          <w:tcPr>
            <w:tcW w:w="628" w:type="pct"/>
            <w:shd w:val="clear" w:color="auto" w:fill="auto"/>
            <w:vAlign w:val="center"/>
          </w:tcPr>
          <w:p w14:paraId="6904070F">
            <w:pPr>
              <w:keepNext w:val="0"/>
              <w:keepLines w:val="0"/>
              <w:suppressLineNumbers w:val="0"/>
              <w:spacing w:before="0" w:beforeAutospacing="0" w:after="0" w:afterAutospacing="0" w:line="240" w:lineRule="auto"/>
              <w:ind w:left="0" w:leftChars="0" w:right="0" w:rightChars="0" w:firstLine="0" w:firstLineChars="0"/>
              <w:jc w:val="center"/>
              <w:rPr>
                <w:rFonts w:hint="eastAsia" w:cs="Times New Roman"/>
                <w:sz w:val="21"/>
                <w:szCs w:val="21"/>
              </w:rPr>
            </w:pPr>
            <w:r>
              <w:rPr>
                <w:rFonts w:hint="eastAsia" w:cs="Times New Roman"/>
                <w:sz w:val="21"/>
                <w:szCs w:val="21"/>
                <w:lang w:val="en-US" w:eastAsia="zh-CN"/>
              </w:rPr>
              <w:t>0.5</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02" w:type="pct"/>
            <w:shd w:val="clear" w:color="auto" w:fill="auto"/>
            <w:vAlign w:val="center"/>
          </w:tcPr>
          <w:p w14:paraId="41A522BB">
            <w:pPr>
              <w:keepNext w:val="0"/>
              <w:keepLines w:val="0"/>
              <w:suppressLineNumbers w:val="0"/>
              <w:spacing w:before="0" w:beforeAutospacing="0" w:after="0" w:afterAutospacing="0" w:line="240" w:lineRule="auto"/>
              <w:ind w:left="0" w:right="0" w:firstLine="0" w:firstLineChars="0"/>
              <w:jc w:val="center"/>
              <w:rPr>
                <w:rFonts w:hint="eastAsia" w:eastAsia="宋体" w:cs="Times New Roman"/>
                <w:sz w:val="21"/>
                <w:szCs w:val="21"/>
                <w:lang w:val="en-US" w:eastAsia="zh-CN"/>
              </w:rPr>
            </w:pPr>
            <w:r>
              <w:rPr>
                <w:rFonts w:hint="eastAsia" w:cs="Times New Roman"/>
                <w:sz w:val="21"/>
                <w:szCs w:val="21"/>
                <w:lang w:val="en-US" w:eastAsia="zh-CN"/>
              </w:rPr>
              <w:t>+0.5</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r>
      <w:tr w14:paraId="3B99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1" w:type="pct"/>
            <w:vMerge w:val="continue"/>
            <w:shd w:val="clear" w:color="auto" w:fill="auto"/>
            <w:vAlign w:val="center"/>
          </w:tcPr>
          <w:p w14:paraId="2C769D92">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793" w:type="pct"/>
            <w:shd w:val="clear" w:color="auto" w:fill="auto"/>
            <w:vAlign w:val="center"/>
          </w:tcPr>
          <w:p w14:paraId="5BAB009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sz w:val="21"/>
                <w:szCs w:val="21"/>
                <w:lang w:val="en-US" w:eastAsia="zh-CN"/>
              </w:rPr>
            </w:pPr>
            <w:r>
              <w:rPr>
                <w:rFonts w:hint="default" w:cs="Times New Roman"/>
                <w:color w:val="000000"/>
                <w:sz w:val="21"/>
                <w:szCs w:val="21"/>
                <w:lang w:val="en-US" w:eastAsia="zh-CN"/>
              </w:rPr>
              <w:t>废原料包装物</w:t>
            </w:r>
          </w:p>
        </w:tc>
        <w:tc>
          <w:tcPr>
            <w:tcW w:w="573" w:type="pct"/>
            <w:shd w:val="clear" w:color="auto" w:fill="auto"/>
            <w:noWrap/>
            <w:vAlign w:val="center"/>
          </w:tcPr>
          <w:p w14:paraId="551A0822">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eastAsia="等线" w:cs="Times New Roman"/>
                <w:kern w:val="0"/>
                <w:sz w:val="21"/>
                <w:szCs w:val="21"/>
                <w:lang w:val="en-US" w:eastAsia="zh-CN"/>
              </w:rPr>
            </w:pPr>
            <w:r>
              <w:rPr>
                <w:rFonts w:hint="default" w:eastAsia="等线" w:cs="Times New Roman"/>
                <w:kern w:val="0"/>
                <w:sz w:val="21"/>
                <w:szCs w:val="21"/>
              </w:rPr>
              <w:t>/</w:t>
            </w:r>
          </w:p>
        </w:tc>
        <w:tc>
          <w:tcPr>
            <w:tcW w:w="525" w:type="pct"/>
            <w:shd w:val="clear" w:color="auto" w:fill="auto"/>
            <w:noWrap/>
            <w:vAlign w:val="center"/>
          </w:tcPr>
          <w:p w14:paraId="3624535D">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25" w:type="pct"/>
            <w:shd w:val="clear" w:color="auto" w:fill="auto"/>
            <w:noWrap/>
            <w:vAlign w:val="center"/>
          </w:tcPr>
          <w:p w14:paraId="5E8DC0F2">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74" w:type="pct"/>
            <w:shd w:val="clear" w:color="auto" w:fill="auto"/>
            <w:noWrap/>
            <w:vAlign w:val="center"/>
          </w:tcPr>
          <w:p w14:paraId="5AE1B1F5">
            <w:pPr>
              <w:keepNext w:val="0"/>
              <w:keepLines w:val="0"/>
              <w:suppressLineNumbers w:val="0"/>
              <w:spacing w:before="0" w:beforeAutospacing="0" w:after="0" w:afterAutospacing="0" w:line="240" w:lineRule="auto"/>
              <w:ind w:left="0" w:right="0" w:firstLine="0" w:firstLineChars="0"/>
              <w:jc w:val="center"/>
              <w:rPr>
                <w:rFonts w:hint="default" w:eastAsia="宋体" w:cs="Times New Roman"/>
                <w:sz w:val="21"/>
                <w:szCs w:val="21"/>
                <w:lang w:val="en-US" w:eastAsia="zh-CN"/>
              </w:rPr>
            </w:pPr>
            <w:r>
              <w:rPr>
                <w:rFonts w:hint="eastAsia" w:cs="Times New Roman"/>
                <w:sz w:val="21"/>
                <w:szCs w:val="21"/>
                <w:lang w:val="en-US" w:eastAsia="zh-CN"/>
              </w:rPr>
              <w:t>0.05</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73" w:type="pct"/>
            <w:shd w:val="clear" w:color="auto" w:fill="auto"/>
            <w:noWrap/>
            <w:vAlign w:val="center"/>
          </w:tcPr>
          <w:p w14:paraId="47F9E42B">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rPr>
                <w:rFonts w:hint="default" w:eastAsia="等线" w:cs="Times New Roman"/>
                <w:kern w:val="0"/>
                <w:sz w:val="21"/>
                <w:szCs w:val="21"/>
              </w:rPr>
            </w:pPr>
            <w:r>
              <w:rPr>
                <w:rFonts w:hint="default" w:eastAsia="等线" w:cs="Times New Roman"/>
                <w:kern w:val="0"/>
                <w:sz w:val="21"/>
                <w:szCs w:val="21"/>
              </w:rPr>
              <w:t>/</w:t>
            </w:r>
          </w:p>
        </w:tc>
        <w:tc>
          <w:tcPr>
            <w:tcW w:w="628" w:type="pct"/>
            <w:shd w:val="clear" w:color="auto" w:fill="auto"/>
            <w:vAlign w:val="center"/>
          </w:tcPr>
          <w:p w14:paraId="67947E4C">
            <w:pPr>
              <w:keepNext w:val="0"/>
              <w:keepLines w:val="0"/>
              <w:suppressLineNumbers w:val="0"/>
              <w:spacing w:before="0" w:beforeAutospacing="0" w:after="0" w:afterAutospacing="0" w:line="240" w:lineRule="auto"/>
              <w:ind w:left="0" w:leftChars="0" w:right="0" w:rightChars="0" w:firstLine="0" w:firstLineChars="0"/>
              <w:jc w:val="center"/>
              <w:rPr>
                <w:rFonts w:hint="eastAsia" w:cs="Times New Roman"/>
                <w:sz w:val="21"/>
                <w:szCs w:val="21"/>
              </w:rPr>
            </w:pPr>
            <w:r>
              <w:rPr>
                <w:rFonts w:hint="eastAsia" w:cs="Times New Roman"/>
                <w:sz w:val="21"/>
                <w:szCs w:val="21"/>
                <w:lang w:val="en-US" w:eastAsia="zh-CN"/>
              </w:rPr>
              <w:t>0.05</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02" w:type="pct"/>
            <w:shd w:val="clear" w:color="auto" w:fill="auto"/>
            <w:vAlign w:val="center"/>
          </w:tcPr>
          <w:p w14:paraId="5441F5EA">
            <w:pPr>
              <w:keepNext w:val="0"/>
              <w:keepLines w:val="0"/>
              <w:suppressLineNumbers w:val="0"/>
              <w:spacing w:before="0" w:beforeAutospacing="0" w:after="0" w:afterAutospacing="0" w:line="240" w:lineRule="auto"/>
              <w:ind w:left="0" w:right="0" w:firstLine="0" w:firstLineChars="0"/>
              <w:jc w:val="center"/>
              <w:rPr>
                <w:rFonts w:hint="eastAsia" w:eastAsia="宋体" w:cs="Times New Roman"/>
                <w:sz w:val="21"/>
                <w:szCs w:val="21"/>
                <w:lang w:val="en-US" w:eastAsia="zh-CN"/>
              </w:rPr>
            </w:pPr>
            <w:r>
              <w:rPr>
                <w:rFonts w:hint="eastAsia" w:cs="Times New Roman"/>
                <w:sz w:val="21"/>
                <w:szCs w:val="21"/>
                <w:lang w:val="en-US" w:eastAsia="zh-CN"/>
              </w:rPr>
              <w:t>+0.05</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r>
      <w:tr w14:paraId="0080C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1" w:type="pct"/>
            <w:vMerge w:val="continue"/>
            <w:shd w:val="clear" w:color="auto" w:fill="auto"/>
            <w:vAlign w:val="center"/>
          </w:tcPr>
          <w:p w14:paraId="77205E64">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793" w:type="pct"/>
            <w:shd w:val="clear" w:color="auto" w:fill="auto"/>
            <w:vAlign w:val="center"/>
          </w:tcPr>
          <w:p w14:paraId="7C32289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sz w:val="21"/>
                <w:szCs w:val="21"/>
                <w:lang w:val="en-US" w:eastAsia="zh-CN"/>
              </w:rPr>
            </w:pPr>
            <w:r>
              <w:rPr>
                <w:rFonts w:hint="default" w:cs="Times New Roman"/>
                <w:color w:val="000000"/>
                <w:sz w:val="21"/>
                <w:szCs w:val="21"/>
                <w:lang w:val="en-US" w:eastAsia="zh-CN"/>
              </w:rPr>
              <w:t>废过滤介质</w:t>
            </w:r>
          </w:p>
        </w:tc>
        <w:tc>
          <w:tcPr>
            <w:tcW w:w="573" w:type="pct"/>
            <w:shd w:val="clear" w:color="auto" w:fill="auto"/>
            <w:noWrap/>
            <w:vAlign w:val="center"/>
          </w:tcPr>
          <w:p w14:paraId="4D6269B6">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eastAsia="等线" w:cs="Times New Roman"/>
                <w:kern w:val="0"/>
                <w:sz w:val="21"/>
                <w:szCs w:val="21"/>
                <w:lang w:val="en-US" w:eastAsia="zh-CN"/>
              </w:rPr>
            </w:pPr>
            <w:r>
              <w:rPr>
                <w:rFonts w:hint="default" w:eastAsia="等线" w:cs="Times New Roman"/>
                <w:kern w:val="0"/>
                <w:sz w:val="21"/>
                <w:szCs w:val="21"/>
              </w:rPr>
              <w:t>/</w:t>
            </w:r>
          </w:p>
        </w:tc>
        <w:tc>
          <w:tcPr>
            <w:tcW w:w="525" w:type="pct"/>
            <w:shd w:val="clear" w:color="auto" w:fill="auto"/>
            <w:noWrap/>
            <w:vAlign w:val="center"/>
          </w:tcPr>
          <w:p w14:paraId="67BB2FFF">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25" w:type="pct"/>
            <w:shd w:val="clear" w:color="auto" w:fill="auto"/>
            <w:noWrap/>
            <w:vAlign w:val="center"/>
          </w:tcPr>
          <w:p w14:paraId="490EE9A7">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74" w:type="pct"/>
            <w:shd w:val="clear" w:color="auto" w:fill="auto"/>
            <w:noWrap/>
            <w:vAlign w:val="center"/>
          </w:tcPr>
          <w:p w14:paraId="461BCD11">
            <w:pPr>
              <w:keepNext w:val="0"/>
              <w:keepLines w:val="0"/>
              <w:suppressLineNumbers w:val="0"/>
              <w:spacing w:before="0" w:beforeAutospacing="0" w:after="0" w:afterAutospacing="0" w:line="240" w:lineRule="auto"/>
              <w:ind w:left="0" w:right="0" w:firstLine="0" w:firstLineChars="0"/>
              <w:jc w:val="center"/>
              <w:rPr>
                <w:rFonts w:hint="default" w:cs="Times New Roman"/>
                <w:sz w:val="21"/>
                <w:szCs w:val="21"/>
                <w:lang w:val="en-US" w:eastAsia="zh-CN"/>
              </w:rPr>
            </w:pPr>
            <w:r>
              <w:rPr>
                <w:rFonts w:hint="eastAsia" w:cs="Times New Roman"/>
                <w:sz w:val="21"/>
                <w:szCs w:val="21"/>
                <w:lang w:val="en-US" w:eastAsia="zh-CN"/>
              </w:rPr>
              <w:t>0.1</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73" w:type="pct"/>
            <w:shd w:val="clear" w:color="auto" w:fill="auto"/>
            <w:noWrap/>
            <w:vAlign w:val="center"/>
          </w:tcPr>
          <w:p w14:paraId="0EA486FC">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rPr>
                <w:rFonts w:hint="eastAsia" w:eastAsia="等线" w:cs="Times New Roman"/>
                <w:kern w:val="0"/>
                <w:sz w:val="21"/>
                <w:szCs w:val="21"/>
                <w:lang w:val="en-US" w:eastAsia="zh-CN"/>
              </w:rPr>
            </w:pPr>
            <w:r>
              <w:rPr>
                <w:rFonts w:hint="default" w:eastAsia="等线" w:cs="Times New Roman"/>
                <w:kern w:val="0"/>
                <w:sz w:val="21"/>
                <w:szCs w:val="21"/>
              </w:rPr>
              <w:t>/</w:t>
            </w:r>
          </w:p>
        </w:tc>
        <w:tc>
          <w:tcPr>
            <w:tcW w:w="628" w:type="pct"/>
            <w:shd w:val="clear" w:color="auto" w:fill="auto"/>
            <w:vAlign w:val="center"/>
          </w:tcPr>
          <w:p w14:paraId="1159A2D5">
            <w:pPr>
              <w:keepNext w:val="0"/>
              <w:keepLines w:val="0"/>
              <w:suppressLineNumbers w:val="0"/>
              <w:spacing w:before="0" w:beforeAutospacing="0" w:after="0" w:afterAutospacing="0" w:line="240" w:lineRule="auto"/>
              <w:ind w:left="0" w:leftChars="0" w:right="0" w:rightChars="0" w:firstLine="0" w:firstLineChars="0"/>
              <w:jc w:val="center"/>
              <w:rPr>
                <w:rFonts w:hint="eastAsia" w:cs="Times New Roman"/>
                <w:sz w:val="21"/>
                <w:szCs w:val="21"/>
                <w:lang w:val="en-US" w:eastAsia="zh-CN"/>
              </w:rPr>
            </w:pPr>
            <w:r>
              <w:rPr>
                <w:rFonts w:hint="eastAsia" w:cs="Times New Roman"/>
                <w:sz w:val="21"/>
                <w:szCs w:val="21"/>
                <w:lang w:val="en-US" w:eastAsia="zh-CN"/>
              </w:rPr>
              <w:t>0.1</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02" w:type="pct"/>
            <w:shd w:val="clear" w:color="auto" w:fill="auto"/>
            <w:vAlign w:val="center"/>
          </w:tcPr>
          <w:p w14:paraId="2741CBFE">
            <w:pPr>
              <w:keepNext w:val="0"/>
              <w:keepLines w:val="0"/>
              <w:suppressLineNumbers w:val="0"/>
              <w:spacing w:before="0" w:beforeAutospacing="0" w:after="0" w:afterAutospacing="0" w:line="240" w:lineRule="auto"/>
              <w:ind w:left="0" w:right="0" w:firstLine="0" w:firstLineChars="0"/>
              <w:jc w:val="center"/>
              <w:rPr>
                <w:rFonts w:hint="default" w:cs="Times New Roman"/>
                <w:sz w:val="21"/>
                <w:szCs w:val="21"/>
                <w:lang w:val="en-US" w:eastAsia="zh-CN"/>
              </w:rPr>
            </w:pPr>
            <w:r>
              <w:rPr>
                <w:rFonts w:hint="eastAsia" w:cs="Times New Roman"/>
                <w:sz w:val="21"/>
                <w:szCs w:val="21"/>
                <w:lang w:val="en-US" w:eastAsia="zh-CN"/>
              </w:rPr>
              <w:t>-0.1</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r>
      <w:tr w14:paraId="189C8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1" w:type="pct"/>
            <w:vMerge w:val="continue"/>
            <w:shd w:val="clear" w:color="auto" w:fill="auto"/>
            <w:vAlign w:val="center"/>
          </w:tcPr>
          <w:p w14:paraId="65EDA8FE">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793" w:type="pct"/>
            <w:shd w:val="clear" w:color="auto" w:fill="auto"/>
            <w:vAlign w:val="center"/>
          </w:tcPr>
          <w:p w14:paraId="51896B7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sz w:val="21"/>
                <w:szCs w:val="21"/>
                <w:lang w:val="en-US" w:eastAsia="zh-CN"/>
              </w:rPr>
            </w:pPr>
            <w:r>
              <w:rPr>
                <w:rFonts w:hint="eastAsia" w:cs="Times New Roman"/>
                <w:color w:val="000000"/>
                <w:sz w:val="21"/>
                <w:szCs w:val="21"/>
                <w:lang w:val="en-US" w:eastAsia="zh-CN"/>
              </w:rPr>
              <w:t>废灯管</w:t>
            </w:r>
          </w:p>
        </w:tc>
        <w:tc>
          <w:tcPr>
            <w:tcW w:w="573" w:type="pct"/>
            <w:shd w:val="clear" w:color="auto" w:fill="auto"/>
            <w:noWrap/>
            <w:vAlign w:val="center"/>
          </w:tcPr>
          <w:p w14:paraId="6148224A">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rPr>
                <w:rFonts w:hint="default" w:eastAsia="等线" w:cs="Times New Roman"/>
                <w:kern w:val="0"/>
                <w:sz w:val="21"/>
                <w:szCs w:val="21"/>
              </w:rPr>
            </w:pPr>
            <w:r>
              <w:rPr>
                <w:rFonts w:hint="default" w:eastAsia="等线" w:cs="Times New Roman"/>
                <w:kern w:val="0"/>
                <w:sz w:val="21"/>
                <w:szCs w:val="21"/>
              </w:rPr>
              <w:t>/</w:t>
            </w:r>
          </w:p>
        </w:tc>
        <w:tc>
          <w:tcPr>
            <w:tcW w:w="525" w:type="pct"/>
            <w:shd w:val="clear" w:color="auto" w:fill="auto"/>
            <w:noWrap/>
            <w:vAlign w:val="center"/>
          </w:tcPr>
          <w:p w14:paraId="50891466">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25" w:type="pct"/>
            <w:shd w:val="clear" w:color="auto" w:fill="auto"/>
            <w:noWrap/>
            <w:vAlign w:val="center"/>
          </w:tcPr>
          <w:p w14:paraId="3E43E79E">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74" w:type="pct"/>
            <w:shd w:val="clear" w:color="auto" w:fill="auto"/>
            <w:noWrap/>
            <w:vAlign w:val="center"/>
          </w:tcPr>
          <w:p w14:paraId="3CE93AE5">
            <w:pPr>
              <w:keepNext w:val="0"/>
              <w:keepLines w:val="0"/>
              <w:suppressLineNumbers w:val="0"/>
              <w:spacing w:before="0" w:beforeAutospacing="0" w:after="0" w:afterAutospacing="0" w:line="240" w:lineRule="auto"/>
              <w:ind w:left="0" w:right="0" w:firstLine="0" w:firstLineChars="0"/>
              <w:jc w:val="center"/>
              <w:rPr>
                <w:rFonts w:hint="default" w:cs="Times New Roman"/>
                <w:sz w:val="21"/>
                <w:szCs w:val="21"/>
                <w:lang w:val="en-US" w:eastAsia="zh-CN"/>
              </w:rPr>
            </w:pPr>
            <w:r>
              <w:rPr>
                <w:rFonts w:hint="eastAsia" w:cs="Times New Roman"/>
                <w:sz w:val="21"/>
                <w:szCs w:val="21"/>
                <w:lang w:val="en-US" w:eastAsia="zh-CN"/>
              </w:rPr>
              <w:t>0.01t/a</w:t>
            </w:r>
          </w:p>
        </w:tc>
        <w:tc>
          <w:tcPr>
            <w:tcW w:w="473" w:type="pct"/>
            <w:shd w:val="clear" w:color="auto" w:fill="auto"/>
            <w:noWrap/>
            <w:vAlign w:val="center"/>
          </w:tcPr>
          <w:p w14:paraId="181F661F">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rPr>
                <w:rFonts w:hint="default" w:eastAsia="等线" w:cs="Times New Roman"/>
                <w:kern w:val="0"/>
                <w:sz w:val="21"/>
                <w:szCs w:val="21"/>
              </w:rPr>
            </w:pPr>
            <w:r>
              <w:rPr>
                <w:rFonts w:hint="default" w:eastAsia="等线" w:cs="Times New Roman"/>
                <w:kern w:val="0"/>
                <w:sz w:val="21"/>
                <w:szCs w:val="21"/>
              </w:rPr>
              <w:t>/</w:t>
            </w:r>
          </w:p>
        </w:tc>
        <w:tc>
          <w:tcPr>
            <w:tcW w:w="628" w:type="pct"/>
            <w:shd w:val="clear" w:color="auto" w:fill="auto"/>
            <w:vAlign w:val="center"/>
          </w:tcPr>
          <w:p w14:paraId="4D706D15">
            <w:pPr>
              <w:keepNext w:val="0"/>
              <w:keepLines w:val="0"/>
              <w:suppressLineNumbers w:val="0"/>
              <w:spacing w:before="0" w:beforeAutospacing="0" w:after="0" w:afterAutospacing="0" w:line="240" w:lineRule="auto"/>
              <w:ind w:left="0" w:leftChars="0" w:right="0" w:rightChars="0" w:firstLine="0" w:firstLineChars="0"/>
              <w:jc w:val="center"/>
              <w:rPr>
                <w:rFonts w:hint="eastAsia" w:cs="Times New Roman"/>
                <w:sz w:val="21"/>
                <w:szCs w:val="21"/>
                <w:lang w:val="en-US" w:eastAsia="zh-CN"/>
              </w:rPr>
            </w:pPr>
            <w:r>
              <w:rPr>
                <w:rFonts w:hint="eastAsia" w:cs="Times New Roman"/>
                <w:sz w:val="21"/>
                <w:szCs w:val="21"/>
                <w:lang w:val="en-US" w:eastAsia="zh-CN"/>
              </w:rPr>
              <w:t>0.01t/a</w:t>
            </w:r>
          </w:p>
        </w:tc>
        <w:tc>
          <w:tcPr>
            <w:tcW w:w="402" w:type="pct"/>
            <w:shd w:val="clear" w:color="auto" w:fill="auto"/>
            <w:vAlign w:val="center"/>
          </w:tcPr>
          <w:p w14:paraId="2B046E12">
            <w:pPr>
              <w:keepNext w:val="0"/>
              <w:keepLines w:val="0"/>
              <w:suppressLineNumbers w:val="0"/>
              <w:spacing w:before="0" w:beforeAutospacing="0" w:after="0" w:afterAutospacing="0" w:line="240" w:lineRule="auto"/>
              <w:ind w:left="0" w:right="0" w:firstLine="0" w:firstLineChars="0"/>
              <w:jc w:val="center"/>
              <w:rPr>
                <w:rFonts w:hint="eastAsia" w:cs="Times New Roman"/>
                <w:sz w:val="21"/>
                <w:szCs w:val="21"/>
                <w:lang w:val="en-US" w:eastAsia="zh-CN"/>
              </w:rPr>
            </w:pPr>
            <w:r>
              <w:rPr>
                <w:rFonts w:hint="eastAsia" w:cs="Times New Roman"/>
                <w:sz w:val="21"/>
                <w:szCs w:val="21"/>
                <w:lang w:val="en-US" w:eastAsia="zh-CN"/>
              </w:rPr>
              <w:t>+0.01t/a</w:t>
            </w:r>
          </w:p>
        </w:tc>
      </w:tr>
      <w:tr w14:paraId="61B1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1" w:type="pct"/>
            <w:vMerge w:val="continue"/>
            <w:shd w:val="clear" w:color="auto" w:fill="auto"/>
            <w:vAlign w:val="center"/>
          </w:tcPr>
          <w:p w14:paraId="13A4A15C">
            <w:pPr>
              <w:keepNext w:val="0"/>
              <w:keepLines w:val="0"/>
              <w:widowControl/>
              <w:suppressLineNumbers w:val="0"/>
              <w:spacing w:before="0" w:beforeAutospacing="0" w:after="0" w:afterAutospacing="0" w:line="240" w:lineRule="auto"/>
              <w:ind w:left="0" w:right="0" w:firstLine="0" w:firstLineChars="0"/>
              <w:jc w:val="center"/>
              <w:rPr>
                <w:rFonts w:hint="default" w:cs="Times New Roman"/>
                <w:kern w:val="0"/>
                <w:sz w:val="21"/>
                <w:szCs w:val="21"/>
              </w:rPr>
            </w:pPr>
          </w:p>
        </w:tc>
        <w:tc>
          <w:tcPr>
            <w:tcW w:w="793" w:type="pct"/>
            <w:shd w:val="clear" w:color="auto" w:fill="auto"/>
            <w:vAlign w:val="center"/>
          </w:tcPr>
          <w:p w14:paraId="52A4B6A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cs="Times New Roman"/>
                <w:color w:val="000000"/>
                <w:sz w:val="21"/>
                <w:szCs w:val="21"/>
                <w:lang w:val="en-US" w:eastAsia="zh-CN"/>
              </w:rPr>
            </w:pPr>
            <w:r>
              <w:rPr>
                <w:rFonts w:hint="eastAsia" w:cs="Times New Roman"/>
                <w:color w:val="000000"/>
                <w:sz w:val="21"/>
                <w:szCs w:val="21"/>
                <w:lang w:val="en-US" w:eastAsia="zh-CN"/>
              </w:rPr>
              <w:t>废样本</w:t>
            </w:r>
          </w:p>
        </w:tc>
        <w:tc>
          <w:tcPr>
            <w:tcW w:w="573" w:type="pct"/>
            <w:shd w:val="clear" w:color="auto" w:fill="auto"/>
            <w:noWrap/>
            <w:vAlign w:val="center"/>
          </w:tcPr>
          <w:p w14:paraId="54AC6FE4">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rPr>
                <w:rFonts w:hint="default" w:eastAsia="等线" w:cs="Times New Roman"/>
                <w:kern w:val="0"/>
                <w:sz w:val="21"/>
                <w:szCs w:val="21"/>
              </w:rPr>
            </w:pPr>
            <w:r>
              <w:rPr>
                <w:rFonts w:hint="default" w:eastAsia="等线" w:cs="Times New Roman"/>
                <w:kern w:val="0"/>
                <w:sz w:val="21"/>
                <w:szCs w:val="21"/>
              </w:rPr>
              <w:t>/</w:t>
            </w:r>
          </w:p>
        </w:tc>
        <w:tc>
          <w:tcPr>
            <w:tcW w:w="525" w:type="pct"/>
            <w:shd w:val="clear" w:color="auto" w:fill="auto"/>
            <w:noWrap/>
            <w:vAlign w:val="center"/>
          </w:tcPr>
          <w:p w14:paraId="0068F2CB">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25" w:type="pct"/>
            <w:shd w:val="clear" w:color="auto" w:fill="auto"/>
            <w:noWrap/>
            <w:vAlign w:val="center"/>
          </w:tcPr>
          <w:p w14:paraId="67CE5ADC">
            <w:pPr>
              <w:keepNext w:val="0"/>
              <w:keepLines w:val="0"/>
              <w:widowControl/>
              <w:suppressLineNumbers w:val="0"/>
              <w:adjustRightInd w:val="0"/>
              <w:spacing w:before="0" w:beforeAutospacing="0" w:after="0" w:afterAutospacing="0" w:line="240" w:lineRule="auto"/>
              <w:ind w:left="0" w:leftChars="0" w:right="0" w:rightChars="0" w:firstLine="0" w:firstLineChars="0"/>
              <w:jc w:val="center"/>
              <w:rPr>
                <w:rFonts w:hint="default" w:eastAsia="等线" w:cs="Times New Roman"/>
                <w:kern w:val="0"/>
                <w:sz w:val="21"/>
                <w:szCs w:val="21"/>
              </w:rPr>
            </w:pPr>
            <w:r>
              <w:rPr>
                <w:rFonts w:hint="default" w:eastAsia="等线" w:cs="Times New Roman"/>
                <w:kern w:val="0"/>
                <w:sz w:val="21"/>
                <w:szCs w:val="21"/>
              </w:rPr>
              <w:t>/</w:t>
            </w:r>
          </w:p>
        </w:tc>
        <w:tc>
          <w:tcPr>
            <w:tcW w:w="574" w:type="pct"/>
            <w:shd w:val="clear" w:color="auto" w:fill="auto"/>
            <w:noWrap/>
            <w:vAlign w:val="center"/>
          </w:tcPr>
          <w:p w14:paraId="7F5F7DC9">
            <w:pPr>
              <w:keepNext w:val="0"/>
              <w:keepLines w:val="0"/>
              <w:suppressLineNumbers w:val="0"/>
              <w:spacing w:before="0" w:beforeAutospacing="0" w:after="0" w:afterAutospacing="0" w:line="240" w:lineRule="auto"/>
              <w:ind w:left="0" w:right="0" w:firstLine="0" w:firstLineChars="0"/>
              <w:jc w:val="center"/>
              <w:rPr>
                <w:rFonts w:hint="default" w:cs="Times New Roman"/>
                <w:sz w:val="21"/>
                <w:szCs w:val="21"/>
                <w:lang w:val="en-US" w:eastAsia="zh-CN"/>
              </w:rPr>
            </w:pPr>
            <w:r>
              <w:rPr>
                <w:rFonts w:hint="eastAsia" w:cs="Times New Roman"/>
                <w:sz w:val="21"/>
                <w:szCs w:val="21"/>
                <w:lang w:val="en-US" w:eastAsia="zh-CN"/>
              </w:rPr>
              <w:t>0.05</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73" w:type="pct"/>
            <w:shd w:val="clear" w:color="auto" w:fill="auto"/>
            <w:noWrap/>
            <w:vAlign w:val="center"/>
          </w:tcPr>
          <w:p w14:paraId="29EDBEE7">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rPr>
                <w:rFonts w:hint="eastAsia" w:eastAsia="等线" w:cs="Times New Roman"/>
                <w:kern w:val="0"/>
                <w:sz w:val="21"/>
                <w:szCs w:val="21"/>
                <w:lang w:val="en-US" w:eastAsia="zh-CN"/>
              </w:rPr>
            </w:pPr>
            <w:r>
              <w:rPr>
                <w:rFonts w:hint="eastAsia" w:eastAsia="等线" w:cs="Times New Roman"/>
                <w:kern w:val="0"/>
                <w:sz w:val="21"/>
                <w:szCs w:val="21"/>
                <w:lang w:val="en-US" w:eastAsia="zh-CN"/>
              </w:rPr>
              <w:t>/</w:t>
            </w:r>
          </w:p>
        </w:tc>
        <w:tc>
          <w:tcPr>
            <w:tcW w:w="628" w:type="pct"/>
            <w:shd w:val="clear" w:color="auto" w:fill="auto"/>
            <w:vAlign w:val="center"/>
          </w:tcPr>
          <w:p w14:paraId="609F5074">
            <w:pPr>
              <w:keepNext w:val="0"/>
              <w:keepLines w:val="0"/>
              <w:suppressLineNumbers w:val="0"/>
              <w:spacing w:before="0" w:beforeAutospacing="0" w:after="0" w:afterAutospacing="0" w:line="240" w:lineRule="auto"/>
              <w:ind w:left="0" w:leftChars="0" w:right="0" w:rightChars="0" w:firstLine="0" w:firstLineChars="0"/>
              <w:jc w:val="center"/>
              <w:rPr>
                <w:rFonts w:hint="eastAsia" w:cs="Times New Roman"/>
                <w:sz w:val="21"/>
                <w:szCs w:val="21"/>
                <w:lang w:val="en-US" w:eastAsia="zh-CN"/>
              </w:rPr>
            </w:pPr>
            <w:r>
              <w:rPr>
                <w:rFonts w:hint="eastAsia" w:cs="Times New Roman"/>
                <w:sz w:val="21"/>
                <w:szCs w:val="21"/>
                <w:lang w:val="en-US" w:eastAsia="zh-CN"/>
              </w:rPr>
              <w:t>0.05</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c>
          <w:tcPr>
            <w:tcW w:w="402" w:type="pct"/>
            <w:shd w:val="clear" w:color="auto" w:fill="auto"/>
            <w:vAlign w:val="center"/>
          </w:tcPr>
          <w:p w14:paraId="422A9461">
            <w:pPr>
              <w:keepNext w:val="0"/>
              <w:keepLines w:val="0"/>
              <w:suppressLineNumbers w:val="0"/>
              <w:spacing w:before="0" w:beforeAutospacing="0" w:after="0" w:afterAutospacing="0" w:line="240" w:lineRule="auto"/>
              <w:ind w:left="0" w:right="0" w:firstLine="0" w:firstLineChars="0"/>
              <w:jc w:val="center"/>
              <w:rPr>
                <w:rFonts w:hint="eastAsia" w:cs="Times New Roman"/>
                <w:sz w:val="21"/>
                <w:szCs w:val="21"/>
                <w:lang w:val="en-US" w:eastAsia="zh-CN"/>
              </w:rPr>
            </w:pPr>
            <w:r>
              <w:rPr>
                <w:rFonts w:hint="eastAsia" w:cs="Times New Roman"/>
                <w:sz w:val="21"/>
                <w:szCs w:val="21"/>
                <w:lang w:val="en-US" w:eastAsia="zh-CN"/>
              </w:rPr>
              <w:t>+0.05</w:t>
            </w:r>
            <w:r>
              <w:rPr>
                <w:rFonts w:hint="eastAsia" w:eastAsia="等线" w:cs="Times New Roman"/>
                <w:kern w:val="0"/>
                <w:sz w:val="21"/>
                <w:szCs w:val="21"/>
              </w:rPr>
              <w:t>t</w:t>
            </w:r>
            <w:r>
              <w:rPr>
                <w:rFonts w:hint="default" w:eastAsia="等线" w:cs="Times New Roman"/>
                <w:kern w:val="0"/>
                <w:sz w:val="21"/>
                <w:szCs w:val="21"/>
              </w:rPr>
              <w:t>/</w:t>
            </w:r>
            <w:r>
              <w:rPr>
                <w:rFonts w:hint="eastAsia" w:eastAsia="等线" w:cs="Times New Roman"/>
                <w:kern w:val="0"/>
                <w:sz w:val="21"/>
                <w:szCs w:val="21"/>
              </w:rPr>
              <w:t>a</w:t>
            </w:r>
          </w:p>
        </w:tc>
      </w:tr>
    </w:tbl>
    <w:p w14:paraId="76E86F92">
      <w:pPr>
        <w:adjustRightInd w:val="0"/>
        <w:snapToGrid w:val="0"/>
        <w:spacing w:line="260" w:lineRule="auto"/>
        <w:ind w:firstLine="0" w:firstLineChars="0"/>
        <w:jc w:val="left"/>
        <w:rPr>
          <w:rFonts w:cs="Times New Roman"/>
          <w:snapToGrid w:val="0"/>
          <w:spacing w:val="-6"/>
          <w:kern w:val="21"/>
          <w:sz w:val="21"/>
          <w:szCs w:val="21"/>
        </w:rPr>
      </w:pPr>
      <w:r>
        <w:rPr>
          <w:rFonts w:cs="Times New Roman"/>
          <w:snapToGrid w:val="0"/>
          <w:kern w:val="21"/>
          <w:sz w:val="21"/>
          <w:szCs w:val="21"/>
        </w:rPr>
        <w:t>注：</w:t>
      </w:r>
      <w:r>
        <w:rPr>
          <w:rFonts w:cs="Times New Roman"/>
          <w:snapToGrid w:val="0"/>
          <w:spacing w:val="-16"/>
          <w:kern w:val="21"/>
          <w:sz w:val="21"/>
          <w:szCs w:val="21"/>
        </w:rPr>
        <w:fldChar w:fldCharType="begin"/>
      </w:r>
      <w:r>
        <w:rPr>
          <w:rFonts w:cs="Times New Roman"/>
          <w:snapToGrid w:val="0"/>
          <w:spacing w:val="-16"/>
          <w:kern w:val="21"/>
          <w:sz w:val="21"/>
          <w:szCs w:val="21"/>
        </w:rPr>
        <w:instrText xml:space="preserve"> = 6 \* GB3 \* MERGEFORMAT </w:instrText>
      </w:r>
      <w:r>
        <w:rPr>
          <w:rFonts w:cs="Times New Roman"/>
          <w:snapToGrid w:val="0"/>
          <w:spacing w:val="-16"/>
          <w:kern w:val="21"/>
          <w:sz w:val="21"/>
          <w:szCs w:val="21"/>
        </w:rPr>
        <w:fldChar w:fldCharType="separate"/>
      </w:r>
      <w:r>
        <w:rPr>
          <w:rFonts w:cs="Times New Roman"/>
          <w:kern w:val="0"/>
          <w:sz w:val="21"/>
          <w:szCs w:val="21"/>
        </w:rPr>
        <w:t>⑥</w:t>
      </w:r>
      <w:r>
        <w:rPr>
          <w:rFonts w:cs="Times New Roman"/>
          <w:snapToGrid w:val="0"/>
          <w:spacing w:val="-16"/>
          <w:kern w:val="21"/>
          <w:sz w:val="21"/>
          <w:szCs w:val="21"/>
        </w:rPr>
        <w:fldChar w:fldCharType="end"/>
      </w:r>
      <w:r>
        <w:rPr>
          <w:rFonts w:cs="Times New Roman"/>
          <w:snapToGrid w:val="0"/>
          <w:spacing w:val="-16"/>
          <w:kern w:val="21"/>
          <w:sz w:val="21"/>
          <w:szCs w:val="21"/>
        </w:rPr>
        <w:t>=</w:t>
      </w:r>
      <w:r>
        <w:rPr>
          <w:rFonts w:cs="Times New Roman"/>
          <w:snapToGrid w:val="0"/>
          <w:spacing w:val="-6"/>
          <w:kern w:val="21"/>
          <w:sz w:val="21"/>
          <w:szCs w:val="21"/>
        </w:rPr>
        <w:fldChar w:fldCharType="begin"/>
      </w:r>
      <w:r>
        <w:rPr>
          <w:rFonts w:cs="Times New Roman"/>
          <w:snapToGrid w:val="0"/>
          <w:spacing w:val="-6"/>
          <w:kern w:val="21"/>
          <w:sz w:val="21"/>
          <w:szCs w:val="21"/>
        </w:rPr>
        <w:instrText xml:space="preserve"> = 1 \* GB3 \* MERGEFORMAT </w:instrText>
      </w:r>
      <w:r>
        <w:rPr>
          <w:rFonts w:cs="Times New Roman"/>
          <w:snapToGrid w:val="0"/>
          <w:spacing w:val="-6"/>
          <w:kern w:val="21"/>
          <w:sz w:val="21"/>
          <w:szCs w:val="21"/>
        </w:rPr>
        <w:fldChar w:fldCharType="separate"/>
      </w:r>
      <w:r>
        <w:rPr>
          <w:rFonts w:cs="Times New Roman"/>
          <w:kern w:val="0"/>
          <w:sz w:val="21"/>
          <w:szCs w:val="21"/>
        </w:rPr>
        <w:t>①</w:t>
      </w:r>
      <w:r>
        <w:rPr>
          <w:rFonts w:cs="Times New Roman"/>
          <w:snapToGrid w:val="0"/>
          <w:spacing w:val="-6"/>
          <w:kern w:val="21"/>
          <w:sz w:val="21"/>
          <w:szCs w:val="21"/>
        </w:rPr>
        <w:fldChar w:fldCharType="end"/>
      </w:r>
      <w:r>
        <w:rPr>
          <w:rFonts w:cs="Times New Roman"/>
          <w:snapToGrid w:val="0"/>
          <w:spacing w:val="-6"/>
          <w:kern w:val="21"/>
          <w:sz w:val="21"/>
          <w:szCs w:val="21"/>
        </w:rPr>
        <w:t>+</w:t>
      </w:r>
      <w:r>
        <w:rPr>
          <w:rFonts w:cs="Times New Roman"/>
          <w:snapToGrid w:val="0"/>
          <w:spacing w:val="-6"/>
          <w:kern w:val="21"/>
          <w:sz w:val="21"/>
          <w:szCs w:val="21"/>
        </w:rPr>
        <w:fldChar w:fldCharType="begin"/>
      </w:r>
      <w:r>
        <w:rPr>
          <w:rFonts w:cs="Times New Roman"/>
          <w:snapToGrid w:val="0"/>
          <w:spacing w:val="-6"/>
          <w:kern w:val="21"/>
          <w:sz w:val="21"/>
          <w:szCs w:val="21"/>
        </w:rPr>
        <w:instrText xml:space="preserve"> = 3 \* GB3 \* MERGEFORMAT </w:instrText>
      </w:r>
      <w:r>
        <w:rPr>
          <w:rFonts w:cs="Times New Roman"/>
          <w:snapToGrid w:val="0"/>
          <w:spacing w:val="-6"/>
          <w:kern w:val="21"/>
          <w:sz w:val="21"/>
          <w:szCs w:val="21"/>
        </w:rPr>
        <w:fldChar w:fldCharType="separate"/>
      </w:r>
      <w:r>
        <w:rPr>
          <w:rFonts w:cs="Times New Roman"/>
          <w:kern w:val="0"/>
          <w:sz w:val="21"/>
          <w:szCs w:val="21"/>
        </w:rPr>
        <w:t>③</w:t>
      </w:r>
      <w:r>
        <w:rPr>
          <w:rFonts w:cs="Times New Roman"/>
          <w:snapToGrid w:val="0"/>
          <w:spacing w:val="-6"/>
          <w:kern w:val="21"/>
          <w:sz w:val="21"/>
          <w:szCs w:val="21"/>
        </w:rPr>
        <w:fldChar w:fldCharType="end"/>
      </w:r>
      <w:r>
        <w:rPr>
          <w:rFonts w:cs="Times New Roman"/>
          <w:snapToGrid w:val="0"/>
          <w:spacing w:val="-6"/>
          <w:kern w:val="21"/>
          <w:sz w:val="21"/>
          <w:szCs w:val="21"/>
        </w:rPr>
        <w:t>+</w:t>
      </w:r>
      <w:r>
        <w:rPr>
          <w:rFonts w:cs="Times New Roman"/>
          <w:snapToGrid w:val="0"/>
          <w:spacing w:val="-6"/>
          <w:kern w:val="21"/>
          <w:sz w:val="21"/>
          <w:szCs w:val="21"/>
        </w:rPr>
        <w:fldChar w:fldCharType="begin"/>
      </w:r>
      <w:r>
        <w:rPr>
          <w:rFonts w:cs="Times New Roman"/>
          <w:snapToGrid w:val="0"/>
          <w:spacing w:val="-6"/>
          <w:kern w:val="21"/>
          <w:sz w:val="21"/>
          <w:szCs w:val="21"/>
        </w:rPr>
        <w:instrText xml:space="preserve"> = 4 \* GB3 \* MERGEFORMAT </w:instrText>
      </w:r>
      <w:r>
        <w:rPr>
          <w:rFonts w:cs="Times New Roman"/>
          <w:snapToGrid w:val="0"/>
          <w:spacing w:val="-6"/>
          <w:kern w:val="21"/>
          <w:sz w:val="21"/>
          <w:szCs w:val="21"/>
        </w:rPr>
        <w:fldChar w:fldCharType="separate"/>
      </w:r>
      <w:r>
        <w:rPr>
          <w:rFonts w:cs="Times New Roman"/>
          <w:kern w:val="0"/>
          <w:sz w:val="21"/>
          <w:szCs w:val="21"/>
        </w:rPr>
        <w:t>④</w:t>
      </w:r>
      <w:r>
        <w:rPr>
          <w:rFonts w:cs="Times New Roman"/>
          <w:snapToGrid w:val="0"/>
          <w:spacing w:val="-6"/>
          <w:kern w:val="21"/>
          <w:sz w:val="21"/>
          <w:szCs w:val="21"/>
        </w:rPr>
        <w:fldChar w:fldCharType="end"/>
      </w:r>
      <w:r>
        <w:rPr>
          <w:rFonts w:cs="Times New Roman"/>
          <w:snapToGrid w:val="0"/>
          <w:spacing w:val="-6"/>
          <w:kern w:val="21"/>
          <w:sz w:val="21"/>
          <w:szCs w:val="21"/>
        </w:rPr>
        <w:t>-</w:t>
      </w:r>
      <w:r>
        <w:rPr>
          <w:rFonts w:cs="Times New Roman"/>
          <w:snapToGrid w:val="0"/>
          <w:spacing w:val="-16"/>
          <w:kern w:val="21"/>
          <w:sz w:val="21"/>
          <w:szCs w:val="21"/>
        </w:rPr>
        <w:fldChar w:fldCharType="begin"/>
      </w:r>
      <w:r>
        <w:rPr>
          <w:rFonts w:cs="Times New Roman"/>
          <w:snapToGrid w:val="0"/>
          <w:spacing w:val="-16"/>
          <w:kern w:val="21"/>
          <w:sz w:val="21"/>
          <w:szCs w:val="21"/>
        </w:rPr>
        <w:instrText xml:space="preserve"> = 5 \* GB3 \* MERGEFORMAT </w:instrText>
      </w:r>
      <w:r>
        <w:rPr>
          <w:rFonts w:cs="Times New Roman"/>
          <w:snapToGrid w:val="0"/>
          <w:spacing w:val="-16"/>
          <w:kern w:val="21"/>
          <w:sz w:val="21"/>
          <w:szCs w:val="21"/>
        </w:rPr>
        <w:fldChar w:fldCharType="separate"/>
      </w:r>
      <w:r>
        <w:rPr>
          <w:rFonts w:cs="Times New Roman"/>
          <w:kern w:val="0"/>
          <w:sz w:val="21"/>
          <w:szCs w:val="21"/>
        </w:rPr>
        <w:t>⑤</w:t>
      </w:r>
      <w:r>
        <w:rPr>
          <w:rFonts w:cs="Times New Roman"/>
          <w:snapToGrid w:val="0"/>
          <w:spacing w:val="-16"/>
          <w:kern w:val="21"/>
          <w:sz w:val="21"/>
          <w:szCs w:val="21"/>
        </w:rPr>
        <w:fldChar w:fldCharType="end"/>
      </w:r>
      <w:r>
        <w:rPr>
          <w:rFonts w:cs="Times New Roman"/>
          <w:snapToGrid w:val="0"/>
          <w:spacing w:val="-16"/>
          <w:kern w:val="21"/>
          <w:sz w:val="21"/>
          <w:szCs w:val="21"/>
        </w:rPr>
        <w:t>；</w:t>
      </w:r>
      <w:r>
        <w:rPr>
          <w:rFonts w:cs="Times New Roman"/>
          <w:snapToGrid w:val="0"/>
          <w:spacing w:val="-6"/>
          <w:kern w:val="21"/>
          <w:sz w:val="21"/>
          <w:szCs w:val="21"/>
        </w:rPr>
        <w:fldChar w:fldCharType="begin"/>
      </w:r>
      <w:r>
        <w:rPr>
          <w:rFonts w:cs="Times New Roman"/>
          <w:snapToGrid w:val="0"/>
          <w:spacing w:val="-6"/>
          <w:kern w:val="21"/>
          <w:sz w:val="21"/>
          <w:szCs w:val="21"/>
        </w:rPr>
        <w:instrText xml:space="preserve"> = 7 \* GB3 \* MERGEFORMAT </w:instrText>
      </w:r>
      <w:r>
        <w:rPr>
          <w:rFonts w:cs="Times New Roman"/>
          <w:snapToGrid w:val="0"/>
          <w:spacing w:val="-6"/>
          <w:kern w:val="21"/>
          <w:sz w:val="21"/>
          <w:szCs w:val="21"/>
        </w:rPr>
        <w:fldChar w:fldCharType="separate"/>
      </w:r>
      <w:r>
        <w:rPr>
          <w:rFonts w:cs="Times New Roman"/>
          <w:kern w:val="0"/>
          <w:sz w:val="21"/>
          <w:szCs w:val="21"/>
        </w:rPr>
        <w:t>⑦</w:t>
      </w:r>
      <w:r>
        <w:rPr>
          <w:rFonts w:cs="Times New Roman"/>
          <w:snapToGrid w:val="0"/>
          <w:spacing w:val="-6"/>
          <w:kern w:val="21"/>
          <w:sz w:val="21"/>
          <w:szCs w:val="21"/>
        </w:rPr>
        <w:fldChar w:fldCharType="end"/>
      </w:r>
      <w:r>
        <w:rPr>
          <w:rFonts w:cs="Times New Roman"/>
          <w:snapToGrid w:val="0"/>
          <w:spacing w:val="-6"/>
          <w:kern w:val="21"/>
          <w:sz w:val="21"/>
          <w:szCs w:val="21"/>
        </w:rPr>
        <w:t>=</w:t>
      </w:r>
      <w:r>
        <w:rPr>
          <w:rFonts w:cs="Times New Roman"/>
          <w:snapToGrid w:val="0"/>
          <w:spacing w:val="-16"/>
          <w:kern w:val="21"/>
          <w:sz w:val="21"/>
          <w:szCs w:val="21"/>
        </w:rPr>
        <w:fldChar w:fldCharType="begin"/>
      </w:r>
      <w:r>
        <w:rPr>
          <w:rFonts w:cs="Times New Roman"/>
          <w:snapToGrid w:val="0"/>
          <w:spacing w:val="-16"/>
          <w:kern w:val="21"/>
          <w:sz w:val="21"/>
          <w:szCs w:val="21"/>
        </w:rPr>
        <w:instrText xml:space="preserve"> = 6 \* GB3 \* MERGEFORMAT </w:instrText>
      </w:r>
      <w:r>
        <w:rPr>
          <w:rFonts w:cs="Times New Roman"/>
          <w:snapToGrid w:val="0"/>
          <w:spacing w:val="-16"/>
          <w:kern w:val="21"/>
          <w:sz w:val="21"/>
          <w:szCs w:val="21"/>
        </w:rPr>
        <w:fldChar w:fldCharType="separate"/>
      </w:r>
      <w:r>
        <w:rPr>
          <w:rFonts w:cs="Times New Roman"/>
          <w:kern w:val="0"/>
          <w:sz w:val="21"/>
          <w:szCs w:val="21"/>
        </w:rPr>
        <w:t>⑥</w:t>
      </w:r>
      <w:r>
        <w:rPr>
          <w:rFonts w:cs="Times New Roman"/>
          <w:snapToGrid w:val="0"/>
          <w:spacing w:val="-16"/>
          <w:kern w:val="21"/>
          <w:sz w:val="21"/>
          <w:szCs w:val="21"/>
        </w:rPr>
        <w:fldChar w:fldCharType="end"/>
      </w:r>
      <w:r>
        <w:rPr>
          <w:rFonts w:cs="Times New Roman"/>
          <w:snapToGrid w:val="0"/>
          <w:spacing w:val="-16"/>
          <w:kern w:val="21"/>
          <w:sz w:val="21"/>
          <w:szCs w:val="21"/>
        </w:rPr>
        <w:t>-</w:t>
      </w:r>
      <w:r>
        <w:rPr>
          <w:rFonts w:cs="Times New Roman"/>
          <w:snapToGrid w:val="0"/>
          <w:spacing w:val="-6"/>
          <w:kern w:val="21"/>
          <w:sz w:val="21"/>
          <w:szCs w:val="21"/>
        </w:rPr>
        <w:fldChar w:fldCharType="begin"/>
      </w:r>
      <w:r>
        <w:rPr>
          <w:rFonts w:cs="Times New Roman"/>
          <w:snapToGrid w:val="0"/>
          <w:spacing w:val="-6"/>
          <w:kern w:val="21"/>
          <w:sz w:val="21"/>
          <w:szCs w:val="21"/>
        </w:rPr>
        <w:instrText xml:space="preserve"> = 1 \* GB3 \* MERGEFORMAT </w:instrText>
      </w:r>
      <w:r>
        <w:rPr>
          <w:rFonts w:cs="Times New Roman"/>
          <w:snapToGrid w:val="0"/>
          <w:spacing w:val="-6"/>
          <w:kern w:val="21"/>
          <w:sz w:val="21"/>
          <w:szCs w:val="21"/>
        </w:rPr>
        <w:fldChar w:fldCharType="separate"/>
      </w:r>
      <w:r>
        <w:rPr>
          <w:rFonts w:cs="Times New Roman"/>
          <w:kern w:val="0"/>
          <w:sz w:val="21"/>
          <w:szCs w:val="21"/>
        </w:rPr>
        <w:t>①</w:t>
      </w:r>
      <w:r>
        <w:rPr>
          <w:rFonts w:cs="Times New Roman"/>
          <w:snapToGrid w:val="0"/>
          <w:spacing w:val="-6"/>
          <w:kern w:val="21"/>
          <w:sz w:val="21"/>
          <w:szCs w:val="21"/>
        </w:rPr>
        <w:fldChar w:fldCharType="end"/>
      </w:r>
    </w:p>
    <w:p w14:paraId="3E45E8C7">
      <w:pPr>
        <w:pStyle w:val="2"/>
        <w:ind w:firstLine="0" w:firstLineChars="0"/>
      </w:pPr>
    </w:p>
    <w:sectPr>
      <w:footerReference r:id="rId6" w:type="default"/>
      <w:footerReference r:id="rId7" w:type="even"/>
      <w:pgSz w:w="16838" w:h="11906" w:orient="landscape"/>
      <w:pgMar w:top="1440" w:right="1800" w:bottom="1440" w:left="1800" w:header="680" w:footer="680" w:gutter="0"/>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EE199">
    <w:pPr>
      <w:pStyle w:val="1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736DE8">
                          <w:pPr>
                            <w:pStyle w:val="12"/>
                            <w:ind w:firstLine="36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69736DE8">
                    <w:pPr>
                      <w:pStyle w:val="12"/>
                      <w:ind w:firstLine="36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DBC4F">
    <w:pPr>
      <w:pStyle w:val="12"/>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80143">
    <w:pPr>
      <w:pStyle w:val="12"/>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09C0FA"/>
    <w:multiLevelType w:val="singleLevel"/>
    <w:tmpl w:val="8409C0FA"/>
    <w:lvl w:ilvl="0" w:tentative="0">
      <w:start w:val="4"/>
      <w:numFmt w:val="decimal"/>
      <w:suff w:val="nothing"/>
      <w:lvlText w:val="%1、"/>
      <w:lvlJc w:val="left"/>
    </w:lvl>
  </w:abstractNum>
  <w:abstractNum w:abstractNumId="1">
    <w:nsid w:val="9224BD54"/>
    <w:multiLevelType w:val="singleLevel"/>
    <w:tmpl w:val="9224BD54"/>
    <w:lvl w:ilvl="0" w:tentative="0">
      <w:start w:val="2"/>
      <w:numFmt w:val="decimal"/>
      <w:suff w:val="space"/>
      <w:lvlText w:val="(%1)"/>
      <w:lvlJc w:val="left"/>
    </w:lvl>
  </w:abstractNum>
  <w:abstractNum w:abstractNumId="2">
    <w:nsid w:val="D1B90681"/>
    <w:multiLevelType w:val="singleLevel"/>
    <w:tmpl w:val="D1B90681"/>
    <w:lvl w:ilvl="0" w:tentative="0">
      <w:start w:val="1"/>
      <w:numFmt w:val="decimal"/>
      <w:suff w:val="space"/>
      <w:lvlText w:val="(%1)"/>
      <w:lvlJc w:val="left"/>
    </w:lvl>
  </w:abstractNum>
  <w:abstractNum w:abstractNumId="3">
    <w:nsid w:val="D41D30C7"/>
    <w:multiLevelType w:val="singleLevel"/>
    <w:tmpl w:val="D41D30C7"/>
    <w:lvl w:ilvl="0" w:tentative="0">
      <w:start w:val="2"/>
      <w:numFmt w:val="decimal"/>
      <w:suff w:val="space"/>
      <w:lvlText w:val="(%1)"/>
      <w:lvlJc w:val="left"/>
    </w:lvl>
  </w:abstractNum>
  <w:abstractNum w:abstractNumId="4">
    <w:nsid w:val="E10B60FB"/>
    <w:multiLevelType w:val="singleLevel"/>
    <w:tmpl w:val="E10B60FB"/>
    <w:lvl w:ilvl="0" w:tentative="0">
      <w:start w:val="6"/>
      <w:numFmt w:val="decimal"/>
      <w:suff w:val="nothing"/>
      <w:lvlText w:val="（%1）"/>
      <w:lvlJc w:val="left"/>
    </w:lvl>
  </w:abstractNum>
  <w:abstractNum w:abstractNumId="5">
    <w:nsid w:val="3ADA0910"/>
    <w:multiLevelType w:val="singleLevel"/>
    <w:tmpl w:val="3ADA0910"/>
    <w:lvl w:ilvl="0" w:tentative="0">
      <w:start w:val="8"/>
      <w:numFmt w:val="decimal"/>
      <w:suff w:val="nothing"/>
      <w:lvlText w:val="%1、"/>
      <w:lvlJc w:val="left"/>
    </w:lvl>
  </w:abstractNum>
  <w:abstractNum w:abstractNumId="6">
    <w:nsid w:val="463D9A74"/>
    <w:multiLevelType w:val="singleLevel"/>
    <w:tmpl w:val="463D9A74"/>
    <w:lvl w:ilvl="0" w:tentative="0">
      <w:start w:val="1"/>
      <w:numFmt w:val="decimal"/>
      <w:suff w:val="space"/>
      <w:lvlText w:val="(%1)"/>
      <w:lvlJc w:val="left"/>
    </w:lvl>
  </w:abstractNum>
  <w:abstractNum w:abstractNumId="7">
    <w:nsid w:val="5686941E"/>
    <w:multiLevelType w:val="singleLevel"/>
    <w:tmpl w:val="5686941E"/>
    <w:lvl w:ilvl="0" w:tentative="0">
      <w:start w:val="2"/>
      <w:numFmt w:val="decimal"/>
      <w:suff w:val="nothing"/>
      <w:lvlText w:val="%1、"/>
      <w:lvlJc w:val="left"/>
    </w:lvl>
  </w:abstractNum>
  <w:abstractNum w:abstractNumId="8">
    <w:nsid w:val="59C440D6"/>
    <w:multiLevelType w:val="singleLevel"/>
    <w:tmpl w:val="59C440D6"/>
    <w:lvl w:ilvl="0" w:tentative="0">
      <w:start w:val="2"/>
      <w:numFmt w:val="chineseCounting"/>
      <w:suff w:val="nothing"/>
      <w:lvlText w:val="%1、"/>
      <w:lvlJc w:val="left"/>
      <w:rPr>
        <w:rFonts w:hint="eastAsia"/>
      </w:rPr>
    </w:lvl>
  </w:abstractNum>
  <w:abstractNum w:abstractNumId="9">
    <w:nsid w:val="6A716DF3"/>
    <w:multiLevelType w:val="singleLevel"/>
    <w:tmpl w:val="6A716DF3"/>
    <w:lvl w:ilvl="0" w:tentative="0">
      <w:start w:val="1"/>
      <w:numFmt w:val="decimal"/>
      <w:suff w:val="nothing"/>
      <w:lvlText w:val="%1、"/>
      <w:lvlJc w:val="left"/>
    </w:lvl>
  </w:abstractNum>
  <w:num w:numId="1">
    <w:abstractNumId w:val="4"/>
  </w:num>
  <w:num w:numId="2">
    <w:abstractNumId w:val="5"/>
  </w:num>
  <w:num w:numId="3">
    <w:abstractNumId w:val="9"/>
  </w:num>
  <w:num w:numId="4">
    <w:abstractNumId w:val="2"/>
  </w:num>
  <w:num w:numId="5">
    <w:abstractNumId w:val="0"/>
  </w:num>
  <w:num w:numId="6">
    <w:abstractNumId w:val="8"/>
  </w:num>
  <w:num w:numId="7">
    <w:abstractNumId w:val="1"/>
  </w:num>
  <w:num w:numId="8">
    <w:abstractNumId w:val="7"/>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6E7BC3"/>
    <w:rsid w:val="00186578"/>
    <w:rsid w:val="00340862"/>
    <w:rsid w:val="00496E84"/>
    <w:rsid w:val="00691CCC"/>
    <w:rsid w:val="006A4845"/>
    <w:rsid w:val="00B775E9"/>
    <w:rsid w:val="00CA192E"/>
    <w:rsid w:val="00D135CF"/>
    <w:rsid w:val="00D62CFB"/>
    <w:rsid w:val="01695423"/>
    <w:rsid w:val="03C50E3C"/>
    <w:rsid w:val="040F7A99"/>
    <w:rsid w:val="0462626F"/>
    <w:rsid w:val="04813184"/>
    <w:rsid w:val="04B22D69"/>
    <w:rsid w:val="04C94BBE"/>
    <w:rsid w:val="06113DF3"/>
    <w:rsid w:val="06314567"/>
    <w:rsid w:val="063522A9"/>
    <w:rsid w:val="063E3DCC"/>
    <w:rsid w:val="0678450D"/>
    <w:rsid w:val="07D54C25"/>
    <w:rsid w:val="081E442D"/>
    <w:rsid w:val="08583370"/>
    <w:rsid w:val="0B5F652D"/>
    <w:rsid w:val="0B8424E5"/>
    <w:rsid w:val="0BC55E7E"/>
    <w:rsid w:val="0C9E47ED"/>
    <w:rsid w:val="0D2E7A52"/>
    <w:rsid w:val="0DFE26EF"/>
    <w:rsid w:val="0E6574A4"/>
    <w:rsid w:val="0E670AA2"/>
    <w:rsid w:val="0EDF1579"/>
    <w:rsid w:val="0F2234EA"/>
    <w:rsid w:val="0F334EAC"/>
    <w:rsid w:val="0F360E40"/>
    <w:rsid w:val="0FDD20BD"/>
    <w:rsid w:val="110344F2"/>
    <w:rsid w:val="11273201"/>
    <w:rsid w:val="12642F34"/>
    <w:rsid w:val="12837EF9"/>
    <w:rsid w:val="144C0F01"/>
    <w:rsid w:val="1497412F"/>
    <w:rsid w:val="14E1184E"/>
    <w:rsid w:val="15015A4D"/>
    <w:rsid w:val="162C1BEC"/>
    <w:rsid w:val="16361726"/>
    <w:rsid w:val="164E107D"/>
    <w:rsid w:val="167A2399"/>
    <w:rsid w:val="171829A8"/>
    <w:rsid w:val="17F65611"/>
    <w:rsid w:val="182201B4"/>
    <w:rsid w:val="18640454"/>
    <w:rsid w:val="192D1BE1"/>
    <w:rsid w:val="194D1260"/>
    <w:rsid w:val="19A651D0"/>
    <w:rsid w:val="1BA22F8D"/>
    <w:rsid w:val="1C61114B"/>
    <w:rsid w:val="1CD47360"/>
    <w:rsid w:val="1DD957B9"/>
    <w:rsid w:val="1E54377C"/>
    <w:rsid w:val="1F47656E"/>
    <w:rsid w:val="20191F97"/>
    <w:rsid w:val="202F094D"/>
    <w:rsid w:val="214A21A0"/>
    <w:rsid w:val="215B0293"/>
    <w:rsid w:val="22001A51"/>
    <w:rsid w:val="229E48DB"/>
    <w:rsid w:val="23055B40"/>
    <w:rsid w:val="23773F24"/>
    <w:rsid w:val="23A35ADA"/>
    <w:rsid w:val="23EF45E3"/>
    <w:rsid w:val="241E7B74"/>
    <w:rsid w:val="24CE594B"/>
    <w:rsid w:val="24DD5F7F"/>
    <w:rsid w:val="257162D7"/>
    <w:rsid w:val="25742672"/>
    <w:rsid w:val="25900E53"/>
    <w:rsid w:val="259F1096"/>
    <w:rsid w:val="25C27D8E"/>
    <w:rsid w:val="270D79D1"/>
    <w:rsid w:val="27CB43C4"/>
    <w:rsid w:val="27F548E7"/>
    <w:rsid w:val="28D12DAF"/>
    <w:rsid w:val="28DC3C04"/>
    <w:rsid w:val="293269DF"/>
    <w:rsid w:val="2A1B73E3"/>
    <w:rsid w:val="2B74243C"/>
    <w:rsid w:val="2BF64CE1"/>
    <w:rsid w:val="2DD93EC5"/>
    <w:rsid w:val="2FD162F0"/>
    <w:rsid w:val="3027414E"/>
    <w:rsid w:val="30A94334"/>
    <w:rsid w:val="32582CF8"/>
    <w:rsid w:val="32826D38"/>
    <w:rsid w:val="32C71C2C"/>
    <w:rsid w:val="333472C1"/>
    <w:rsid w:val="342118F2"/>
    <w:rsid w:val="34A13C65"/>
    <w:rsid w:val="358B19A4"/>
    <w:rsid w:val="37042B69"/>
    <w:rsid w:val="37D34716"/>
    <w:rsid w:val="37FB7365"/>
    <w:rsid w:val="389D0549"/>
    <w:rsid w:val="39AE6562"/>
    <w:rsid w:val="3B022ACC"/>
    <w:rsid w:val="3B111D53"/>
    <w:rsid w:val="3BF26375"/>
    <w:rsid w:val="3C054F10"/>
    <w:rsid w:val="3C655722"/>
    <w:rsid w:val="3E63526A"/>
    <w:rsid w:val="3EA51AF0"/>
    <w:rsid w:val="3ECB55DE"/>
    <w:rsid w:val="4033445D"/>
    <w:rsid w:val="41770CEE"/>
    <w:rsid w:val="418D33B3"/>
    <w:rsid w:val="41D651A4"/>
    <w:rsid w:val="43E0616A"/>
    <w:rsid w:val="44DE708D"/>
    <w:rsid w:val="45796DB6"/>
    <w:rsid w:val="457A4233"/>
    <w:rsid w:val="45837C34"/>
    <w:rsid w:val="458D601A"/>
    <w:rsid w:val="4669507C"/>
    <w:rsid w:val="47837380"/>
    <w:rsid w:val="47B07F02"/>
    <w:rsid w:val="47C01A96"/>
    <w:rsid w:val="493E459E"/>
    <w:rsid w:val="4A7B35D0"/>
    <w:rsid w:val="4AE3522A"/>
    <w:rsid w:val="4B533C05"/>
    <w:rsid w:val="4B584259"/>
    <w:rsid w:val="4CBA1F15"/>
    <w:rsid w:val="4D3F08E5"/>
    <w:rsid w:val="4E1011A9"/>
    <w:rsid w:val="4E17648E"/>
    <w:rsid w:val="4E21448E"/>
    <w:rsid w:val="4E345324"/>
    <w:rsid w:val="4EA84268"/>
    <w:rsid w:val="4EBA3506"/>
    <w:rsid w:val="4F6E7BC3"/>
    <w:rsid w:val="4F9E6067"/>
    <w:rsid w:val="4FA233AD"/>
    <w:rsid w:val="4FF21493"/>
    <w:rsid w:val="50B575DC"/>
    <w:rsid w:val="51AF423F"/>
    <w:rsid w:val="51F8247F"/>
    <w:rsid w:val="52B516AD"/>
    <w:rsid w:val="53415199"/>
    <w:rsid w:val="563D201C"/>
    <w:rsid w:val="56723159"/>
    <w:rsid w:val="586D7C3D"/>
    <w:rsid w:val="586E6522"/>
    <w:rsid w:val="5AD27A07"/>
    <w:rsid w:val="5AD46DF7"/>
    <w:rsid w:val="5B1947AD"/>
    <w:rsid w:val="5C443F80"/>
    <w:rsid w:val="5CA850C8"/>
    <w:rsid w:val="5D4E247E"/>
    <w:rsid w:val="5D83037A"/>
    <w:rsid w:val="5F2810FB"/>
    <w:rsid w:val="5F5A4792"/>
    <w:rsid w:val="61A3723C"/>
    <w:rsid w:val="62E72027"/>
    <w:rsid w:val="63554566"/>
    <w:rsid w:val="64526CF8"/>
    <w:rsid w:val="647829F1"/>
    <w:rsid w:val="668A1A82"/>
    <w:rsid w:val="66C469E5"/>
    <w:rsid w:val="66E35978"/>
    <w:rsid w:val="68580655"/>
    <w:rsid w:val="694B51C1"/>
    <w:rsid w:val="69540A1D"/>
    <w:rsid w:val="6A4C5F97"/>
    <w:rsid w:val="6ACF0B7C"/>
    <w:rsid w:val="6B065BC5"/>
    <w:rsid w:val="6B1B08EC"/>
    <w:rsid w:val="6B354ADF"/>
    <w:rsid w:val="6B3E2765"/>
    <w:rsid w:val="6BF608B1"/>
    <w:rsid w:val="6F986C6A"/>
    <w:rsid w:val="6FA5505C"/>
    <w:rsid w:val="7081479A"/>
    <w:rsid w:val="70862203"/>
    <w:rsid w:val="708B356F"/>
    <w:rsid w:val="710A5447"/>
    <w:rsid w:val="718F6A48"/>
    <w:rsid w:val="719249B7"/>
    <w:rsid w:val="71C60E1A"/>
    <w:rsid w:val="71EF3DD8"/>
    <w:rsid w:val="71FB12B8"/>
    <w:rsid w:val="726A4373"/>
    <w:rsid w:val="73B52DFF"/>
    <w:rsid w:val="74604B19"/>
    <w:rsid w:val="75812408"/>
    <w:rsid w:val="76A71125"/>
    <w:rsid w:val="775C497B"/>
    <w:rsid w:val="79BE0C60"/>
    <w:rsid w:val="7A99698B"/>
    <w:rsid w:val="7AC57DCC"/>
    <w:rsid w:val="7BDF7E15"/>
    <w:rsid w:val="7CE868DD"/>
    <w:rsid w:val="7F34107C"/>
    <w:rsid w:val="7F6D1A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3">
    <w:name w:val="heading 1"/>
    <w:basedOn w:val="1"/>
    <w:next w:val="1"/>
    <w:qFormat/>
    <w:uiPriority w:val="0"/>
    <w:pPr>
      <w:keepNext/>
      <w:keepLines/>
      <w:ind w:firstLine="0" w:firstLineChars="0"/>
      <w:jc w:val="center"/>
      <w:outlineLvl w:val="0"/>
    </w:pPr>
    <w:rPr>
      <w:rFonts w:ascii="Times New Roman" w:hAnsi="Times New Roman" w:eastAsia="黑体"/>
      <w:kern w:val="44"/>
      <w:sz w:val="30"/>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8">
    <w:name w:val="Default Paragraph Font"/>
    <w:semiHidden/>
    <w:unhideWhenUsed/>
    <w:qFormat/>
    <w:uiPriority w:val="1"/>
  </w:style>
  <w:style w:type="table" w:default="1" w:styleId="1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link w:val="24"/>
    <w:qFormat/>
    <w:uiPriority w:val="0"/>
    <w:pPr>
      <w:widowControl/>
      <w:snapToGrid w:val="0"/>
      <w:ind w:firstLine="720"/>
    </w:pPr>
  </w:style>
  <w:style w:type="paragraph" w:styleId="6">
    <w:name w:val="List 3"/>
    <w:basedOn w:val="1"/>
    <w:qFormat/>
    <w:uiPriority w:val="0"/>
    <w:pPr>
      <w:ind w:left="100" w:leftChars="400" w:hanging="200" w:hangingChars="200"/>
      <w:contextualSpacing/>
    </w:pPr>
    <w:rPr>
      <w:rFonts w:ascii="Arial" w:hAnsi="Arial"/>
      <w:sz w:val="24"/>
      <w:lang w:val="zh-CN"/>
    </w:rPr>
  </w:style>
  <w:style w:type="paragraph" w:styleId="7">
    <w:name w:val="Normal Indent"/>
    <w:basedOn w:val="1"/>
    <w:next w:val="8"/>
    <w:qFormat/>
    <w:uiPriority w:val="99"/>
    <w:pPr>
      <w:adjustRightInd w:val="0"/>
      <w:snapToGrid w:val="0"/>
      <w:spacing w:beforeLines="10" w:line="360" w:lineRule="auto"/>
      <w:ind w:firstLine="480" w:firstLineChars="200"/>
    </w:pPr>
    <w:rPr>
      <w:rFonts w:ascii="Arial" w:hAnsi="Arial"/>
      <w:snapToGrid w:val="0"/>
      <w:kern w:val="0"/>
      <w:sz w:val="24"/>
      <w:szCs w:val="32"/>
    </w:rPr>
  </w:style>
  <w:style w:type="paragraph" w:customStyle="1" w:styleId="8">
    <w:name w:val="正文首行缩进2个字 Char"/>
    <w:basedOn w:val="1"/>
    <w:qFormat/>
    <w:uiPriority w:val="0"/>
    <w:pPr>
      <w:ind w:firstLine="480" w:firstLineChars="200"/>
    </w:pPr>
    <w:rPr>
      <w:rFonts w:eastAsia="楷体"/>
      <w:sz w:val="24"/>
      <w:szCs w:val="24"/>
    </w:rPr>
  </w:style>
  <w:style w:type="paragraph" w:styleId="9">
    <w:name w:val="annotation text"/>
    <w:basedOn w:val="1"/>
    <w:link w:val="28"/>
    <w:unhideWhenUsed/>
    <w:qFormat/>
    <w:uiPriority w:val="99"/>
    <w:pPr>
      <w:jc w:val="left"/>
    </w:pPr>
  </w:style>
  <w:style w:type="paragraph" w:styleId="10">
    <w:name w:val="Plain Text"/>
    <w:basedOn w:val="1"/>
    <w:next w:val="11"/>
    <w:link w:val="23"/>
    <w:qFormat/>
    <w:uiPriority w:val="0"/>
    <w:rPr>
      <w:rFonts w:ascii="宋体" w:hAnsi="Courier New"/>
    </w:rPr>
  </w:style>
  <w:style w:type="paragraph" w:styleId="11">
    <w:name w:val="toc 1"/>
    <w:basedOn w:val="1"/>
    <w:next w:val="1"/>
    <w:qFormat/>
    <w:uiPriority w:val="0"/>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4">
    <w:name w:val="Normal (Web)"/>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default" w:ascii="Times New Roman" w:hAnsi="Times New Roman" w:eastAsia="宋体" w:cs="Times New Roman"/>
      <w:kern w:val="2"/>
      <w:sz w:val="24"/>
      <w:szCs w:val="22"/>
      <w:lang w:val="en-US" w:eastAsia="zh-CN" w:bidi="ar"/>
    </w:rPr>
  </w:style>
  <w:style w:type="paragraph" w:styleId="15">
    <w:name w:val="annotation subject"/>
    <w:basedOn w:val="9"/>
    <w:next w:val="9"/>
    <w:link w:val="29"/>
    <w:qFormat/>
    <w:uiPriority w:val="0"/>
    <w:rPr>
      <w:b/>
      <w:bCs/>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Emphasis"/>
    <w:basedOn w:val="18"/>
    <w:qFormat/>
    <w:uiPriority w:val="0"/>
    <w:rPr>
      <w:i/>
    </w:rPr>
  </w:style>
  <w:style w:type="character" w:styleId="21">
    <w:name w:val="annotation reference"/>
    <w:qFormat/>
    <w:uiPriority w:val="99"/>
    <w:rPr>
      <w:sz w:val="21"/>
    </w:rPr>
  </w:style>
  <w:style w:type="table" w:customStyle="1" w:styleId="22">
    <w:name w:val="Table Normal"/>
    <w:semiHidden/>
    <w:unhideWhenUsed/>
    <w:qFormat/>
    <w:uiPriority w:val="0"/>
    <w:tblPr>
      <w:tblCellMar>
        <w:top w:w="0" w:type="dxa"/>
        <w:left w:w="0" w:type="dxa"/>
        <w:bottom w:w="0" w:type="dxa"/>
        <w:right w:w="0" w:type="dxa"/>
      </w:tblCellMar>
    </w:tblPr>
  </w:style>
  <w:style w:type="character" w:customStyle="1" w:styleId="23">
    <w:name w:val="纯文本 字符"/>
    <w:basedOn w:val="18"/>
    <w:link w:val="10"/>
    <w:qFormat/>
    <w:uiPriority w:val="0"/>
    <w:rPr>
      <w:rFonts w:ascii="等线" w:hAnsi="Courier New" w:eastAsia="等线" w:cs="Courier New"/>
      <w:sz w:val="24"/>
      <w:szCs w:val="24"/>
    </w:rPr>
  </w:style>
  <w:style w:type="character" w:customStyle="1" w:styleId="24">
    <w:name w:val="正文文本 字符"/>
    <w:link w:val="2"/>
    <w:qFormat/>
    <w:uiPriority w:val="0"/>
    <w:rPr>
      <w:rFonts w:ascii="Times New Roman" w:hAnsi="Times New Roman" w:eastAsia="宋体"/>
      <w:sz w:val="24"/>
    </w:rPr>
  </w:style>
  <w:style w:type="paragraph" w:customStyle="1" w:styleId="25">
    <w:name w:val="Table Text"/>
    <w:basedOn w:val="1"/>
    <w:semiHidden/>
    <w:qFormat/>
    <w:uiPriority w:val="0"/>
    <w:rPr>
      <w:rFonts w:ascii="宋体" w:hAnsi="宋体" w:cs="宋体"/>
      <w:szCs w:val="24"/>
      <w:lang w:eastAsia="en-US"/>
    </w:rPr>
  </w:style>
  <w:style w:type="character" w:customStyle="1" w:styleId="26">
    <w:name w:val="font61"/>
    <w:basedOn w:val="18"/>
    <w:qFormat/>
    <w:uiPriority w:val="0"/>
    <w:rPr>
      <w:rFonts w:hint="eastAsia" w:ascii="楷体" w:hAnsi="楷体" w:eastAsia="楷体" w:cs="楷体"/>
      <w:color w:val="000000"/>
      <w:sz w:val="21"/>
      <w:szCs w:val="21"/>
      <w:u w:val="none"/>
    </w:rPr>
  </w:style>
  <w:style w:type="paragraph" w:customStyle="1" w:styleId="27">
    <w:name w:val="Revision"/>
    <w:hidden/>
    <w:unhideWhenUsed/>
    <w:qFormat/>
    <w:uiPriority w:val="99"/>
    <w:rPr>
      <w:rFonts w:ascii="Times New Roman" w:hAnsi="Times New Roman" w:eastAsia="宋体" w:cstheme="minorBidi"/>
      <w:kern w:val="2"/>
      <w:sz w:val="24"/>
      <w:szCs w:val="22"/>
      <w:lang w:val="en-US" w:eastAsia="zh-CN" w:bidi="ar-SA"/>
    </w:rPr>
  </w:style>
  <w:style w:type="character" w:customStyle="1" w:styleId="28">
    <w:name w:val="批注文字 字符"/>
    <w:basedOn w:val="18"/>
    <w:link w:val="9"/>
    <w:qFormat/>
    <w:uiPriority w:val="99"/>
    <w:rPr>
      <w:rFonts w:cstheme="minorBidi"/>
      <w:kern w:val="2"/>
      <w:sz w:val="24"/>
      <w:szCs w:val="22"/>
    </w:rPr>
  </w:style>
  <w:style w:type="character" w:customStyle="1" w:styleId="29">
    <w:name w:val="批注主题 字符"/>
    <w:basedOn w:val="28"/>
    <w:link w:val="15"/>
    <w:qFormat/>
    <w:uiPriority w:val="0"/>
    <w:rPr>
      <w:rFonts w:cstheme="minorBidi"/>
      <w:b/>
      <w:bCs/>
      <w:kern w:val="2"/>
      <w:sz w:val="24"/>
      <w:szCs w:val="22"/>
    </w:rPr>
  </w:style>
  <w:style w:type="paragraph" w:customStyle="1" w:styleId="30">
    <w:name w:val="WPSOffice手动目录 1"/>
    <w:qFormat/>
    <w:uiPriority w:val="0"/>
    <w:pPr>
      <w:ind w:leftChars="0"/>
    </w:pPr>
    <w:rPr>
      <w:rFonts w:ascii="Times New Roman" w:hAnsi="Times New Roman" w:eastAsia="宋体" w:cs="Times New Roman"/>
      <w:sz w:val="20"/>
      <w:szCs w:val="20"/>
    </w:rPr>
  </w:style>
  <w:style w:type="character" w:customStyle="1" w:styleId="31">
    <w:name w:val="font51"/>
    <w:basedOn w:val="18"/>
    <w:qFormat/>
    <w:uiPriority w:val="0"/>
    <w:rPr>
      <w:rFonts w:hint="default" w:ascii="Times New Roman" w:hAnsi="Times New Roman" w:cs="Times New Roman"/>
      <w:color w:val="000000"/>
      <w:sz w:val="21"/>
      <w:szCs w:val="21"/>
      <w:u w:val="none"/>
    </w:rPr>
  </w:style>
  <w:style w:type="character" w:customStyle="1" w:styleId="32">
    <w:name w:val="font31"/>
    <w:basedOn w:val="18"/>
    <w:qFormat/>
    <w:uiPriority w:val="0"/>
    <w:rPr>
      <w:rFonts w:hint="eastAsia" w:ascii="宋体" w:hAnsi="宋体" w:eastAsia="宋体" w:cs="宋体"/>
      <w:color w:val="000000"/>
      <w:sz w:val="21"/>
      <w:szCs w:val="21"/>
      <w:u w:val="none"/>
    </w:rPr>
  </w:style>
  <w:style w:type="character" w:customStyle="1" w:styleId="33">
    <w:name w:val="font21"/>
    <w:basedOn w:val="18"/>
    <w:qFormat/>
    <w:uiPriority w:val="0"/>
    <w:rPr>
      <w:rFonts w:hint="eastAsia" w:ascii="宋体" w:hAnsi="宋体" w:eastAsia="宋体" w:cs="宋体"/>
      <w:color w:val="000000"/>
      <w:sz w:val="21"/>
      <w:szCs w:val="21"/>
      <w:u w:val="none"/>
    </w:rPr>
  </w:style>
  <w:style w:type="character" w:customStyle="1" w:styleId="34">
    <w:name w:val="font11"/>
    <w:basedOn w:val="18"/>
    <w:qFormat/>
    <w:uiPriority w:val="0"/>
    <w:rPr>
      <w:rFonts w:hint="eastAsia" w:ascii="宋体" w:hAnsi="宋体" w:eastAsia="宋体" w:cs="宋体"/>
      <w:color w:val="000000"/>
      <w:sz w:val="21"/>
      <w:szCs w:val="21"/>
      <w:u w:val="none"/>
    </w:rPr>
  </w:style>
  <w:style w:type="character" w:customStyle="1" w:styleId="35">
    <w:name w:val="font81"/>
    <w:basedOn w:val="18"/>
    <w:qFormat/>
    <w:uiPriority w:val="0"/>
    <w:rPr>
      <w:rFonts w:hint="default" w:ascii="Times New Roman" w:hAnsi="Times New Roman" w:cs="Times New Roman"/>
      <w:color w:val="000000"/>
      <w:sz w:val="21"/>
      <w:szCs w:val="21"/>
      <w:u w:val="none"/>
    </w:rPr>
  </w:style>
  <w:style w:type="character" w:customStyle="1" w:styleId="36">
    <w:name w:val="font91"/>
    <w:basedOn w:val="18"/>
    <w:qFormat/>
    <w:uiPriority w:val="0"/>
    <w:rPr>
      <w:rFonts w:hint="eastAsia" w:ascii="宋体" w:hAnsi="宋体" w:eastAsia="宋体" w:cs="宋体"/>
      <w:color w:val="000000"/>
      <w:sz w:val="21"/>
      <w:szCs w:val="21"/>
      <w:u w:val="none"/>
    </w:rPr>
  </w:style>
  <w:style w:type="character" w:customStyle="1" w:styleId="37">
    <w:name w:val="font101"/>
    <w:basedOn w:val="18"/>
    <w:qFormat/>
    <w:uiPriority w:val="0"/>
    <w:rPr>
      <w:rFonts w:hint="default" w:ascii="Times New Roman" w:hAnsi="Times New Roman" w:cs="Times New Roman"/>
      <w:b/>
      <w:bCs/>
      <w:color w:val="000000"/>
      <w:sz w:val="21"/>
      <w:szCs w:val="21"/>
      <w:u w:val="none"/>
    </w:rPr>
  </w:style>
  <w:style w:type="paragraph" w:customStyle="1" w:styleId="38">
    <w:name w:val="Table Paragraph"/>
    <w:basedOn w:val="1"/>
    <w:qFormat/>
    <w:uiPriority w:val="0"/>
    <w:pPr>
      <w:keepNext w:val="0"/>
      <w:keepLines w:val="0"/>
      <w:widowControl w:val="0"/>
      <w:suppressLineNumbers w:val="0"/>
      <w:spacing w:before="0" w:beforeAutospacing="0" w:after="0" w:afterAutospacing="0"/>
      <w:ind w:left="0" w:right="0"/>
      <w:jc w:val="center"/>
    </w:pPr>
    <w:rPr>
      <w:rFonts w:hint="eastAsia" w:ascii="宋体" w:hAnsi="宋体" w:eastAsia="宋体" w:cs="宋体"/>
      <w:kern w:val="2"/>
      <w:sz w:val="21"/>
      <w:szCs w:val="24"/>
      <w:lang w:val="en-US" w:eastAsia="zh-CN" w:bidi="ar"/>
    </w:rPr>
  </w:style>
  <w:style w:type="character" w:customStyle="1" w:styleId="39">
    <w:name w:val="font71"/>
    <w:basedOn w:val="18"/>
    <w:qFormat/>
    <w:uiPriority w:val="0"/>
    <w:rPr>
      <w:rFonts w:hint="default" w:ascii="Times New Roman" w:hAnsi="Times New Roman" w:cs="Times New Roman"/>
      <w:color w:val="000000"/>
      <w:sz w:val="18"/>
      <w:szCs w:val="18"/>
      <w:u w:val="none"/>
    </w:rPr>
  </w:style>
  <w:style w:type="character" w:customStyle="1" w:styleId="40">
    <w:name w:val="font121"/>
    <w:basedOn w:val="18"/>
    <w:qFormat/>
    <w:uiPriority w:val="0"/>
    <w:rPr>
      <w:rFonts w:hint="eastAsia" w:ascii="宋体" w:hAnsi="宋体" w:eastAsia="宋体" w:cs="宋体"/>
      <w:color w:val="000000"/>
      <w:sz w:val="20"/>
      <w:szCs w:val="20"/>
      <w:u w:val="none"/>
    </w:rPr>
  </w:style>
  <w:style w:type="character" w:customStyle="1" w:styleId="41">
    <w:name w:val="font131"/>
    <w:basedOn w:val="18"/>
    <w:qFormat/>
    <w:uiPriority w:val="0"/>
    <w:rPr>
      <w:rFonts w:ascii="等线" w:hAnsi="等线" w:eastAsia="等线" w:cs="等线"/>
      <w:color w:val="000000"/>
      <w:sz w:val="22"/>
      <w:szCs w:val="22"/>
      <w:u w:val="none"/>
    </w:rPr>
  </w:style>
  <w:style w:type="character" w:customStyle="1" w:styleId="42">
    <w:name w:val="font141"/>
    <w:basedOn w:val="18"/>
    <w:qFormat/>
    <w:uiPriority w:val="0"/>
    <w:rPr>
      <w:rFonts w:hint="eastAsia" w:ascii="宋体" w:hAnsi="宋体" w:eastAsia="宋体" w:cs="宋体"/>
      <w:color w:val="FF0000"/>
      <w:sz w:val="22"/>
      <w:szCs w:val="22"/>
      <w:u w:val="none"/>
    </w:rPr>
  </w:style>
  <w:style w:type="character" w:customStyle="1" w:styleId="43">
    <w:name w:val="font111"/>
    <w:basedOn w:val="18"/>
    <w:qFormat/>
    <w:uiPriority w:val="0"/>
    <w:rPr>
      <w:rFonts w:hint="eastAsia" w:ascii="宋体" w:hAnsi="宋体" w:eastAsia="宋体" w:cs="宋体"/>
      <w:color w:val="000000"/>
      <w:sz w:val="24"/>
      <w:szCs w:val="24"/>
      <w:u w:val="none"/>
    </w:rPr>
  </w:style>
  <w:style w:type="paragraph" w:customStyle="1" w:styleId="44">
    <w:name w:val="正文开头二"/>
    <w:basedOn w:val="1"/>
    <w:qFormat/>
    <w:uiPriority w:val="0"/>
    <w:pPr>
      <w:autoSpaceDE w:val="0"/>
      <w:autoSpaceDN w:val="0"/>
      <w:spacing w:line="400" w:lineRule="atLeast"/>
      <w:textAlignment w:val="baseline"/>
    </w:pPr>
    <w:rPr>
      <w:szCs w:val="20"/>
    </w:rPr>
  </w:style>
  <w:style w:type="paragraph" w:customStyle="1" w:styleId="45">
    <w:name w:val="表格文字"/>
    <w:basedOn w:val="1"/>
    <w:qFormat/>
    <w:uiPriority w:val="0"/>
    <w:pPr>
      <w:keepNext w:val="0"/>
      <w:keepLines w:val="0"/>
      <w:widowControl w:val="0"/>
      <w:suppressLineNumbers w:val="0"/>
      <w:spacing w:before="0" w:beforeAutospacing="0" w:after="0" w:afterAutospacing="0" w:line="360" w:lineRule="auto"/>
      <w:ind w:left="0" w:right="0" w:firstLine="0" w:firstLineChars="0"/>
      <w:jc w:val="center"/>
    </w:pPr>
    <w:rPr>
      <w:rFonts w:hint="default" w:ascii="Times New Roman" w:hAnsi="Times New Roman" w:eastAsia="宋体" w:cs="Times New Roman"/>
      <w:kern w:val="2"/>
      <w:sz w:val="18"/>
      <w:szCs w:val="21"/>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png"/><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65</Pages>
  <Words>12863</Words>
  <Characters>13301</Characters>
  <Lines>605</Lines>
  <Paragraphs>170</Paragraphs>
  <TotalTime>83</TotalTime>
  <ScaleCrop>false</ScaleCrop>
  <LinksUpToDate>false</LinksUpToDate>
  <CharactersWithSpaces>13396</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2025-02-18T01:25:00Z</dcterms:created>
  <dc:creator>张善杰</dc:creator>
  <cp:lastModifiedBy>张善杰</cp:lastModifiedBy>
  <dcterms:modified xsi:type="dcterms:W3CDTF">2025-11-04T10:54:30Z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E74B7A950C084B6F9E1EEACDED4F0FAD_13</vt:lpwstr>
  </property>
  <property fmtid="{D5CDD505-2E9C-101B-9397-08002B2CF9AE}" pid="4" name="KSOTemplateDocerSaveRecord">
    <vt:lpwstr>eyJoZGlkIjoiMjM3NDU0MGRiMTY1ZGFhY2JiY2ViZjIyMjE2OWUwYTkiLCJ1c2VySWQiOiI1NTg2NTA3MDgifQ==</vt:lpwstr>
  </property>
</Properties>
</file>