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b/>
          <w:bCs/>
          <w:color w:val="auto"/>
          <w:sz w:val="44"/>
          <w:szCs w:val="44"/>
        </w:rPr>
        <w:id w:val="147481155"/>
        <w15:color w:val="DBDBDB"/>
        <w:docPartObj>
          <w:docPartGallery w:val="Table of Contents"/>
          <w:docPartUnique/>
        </w:docPartObj>
      </w:sdtPr>
      <w:sdtEndPr>
        <w:rPr>
          <w:rFonts w:ascii="宋体" w:hAnsi="宋体"/>
          <w:b/>
          <w:bCs/>
          <w:color w:val="auto"/>
          <w:sz w:val="44"/>
          <w:szCs w:val="44"/>
        </w:rPr>
      </w:sdtEndPr>
      <w:sdtContent>
        <w:p w14:paraId="20E6A239">
          <w:pPr>
            <w:jc w:val="center"/>
            <w:rPr>
              <w:b/>
              <w:bCs/>
              <w:color w:val="auto"/>
              <w:sz w:val="44"/>
              <w:szCs w:val="44"/>
            </w:rPr>
          </w:pPr>
          <w:r>
            <w:rPr>
              <w:rFonts w:ascii="宋体" w:hAnsi="宋体"/>
              <w:b/>
              <w:bCs/>
              <w:color w:val="auto"/>
              <w:sz w:val="44"/>
              <w:szCs w:val="44"/>
            </w:rPr>
            <w:t>目录</w:t>
          </w:r>
        </w:p>
        <w:p w14:paraId="6EF72F71">
          <w:pPr>
            <w:pStyle w:val="59"/>
            <w:tabs>
              <w:tab w:val="right" w:leader="dot" w:pos="8306"/>
            </w:tabs>
          </w:pPr>
          <w:r>
            <w:rPr>
              <w:color w:val="auto"/>
            </w:rPr>
            <w:fldChar w:fldCharType="begin"/>
          </w:r>
          <w:r>
            <w:rPr>
              <w:color w:val="auto"/>
            </w:rPr>
            <w:instrText xml:space="preserve">TOC \o "1-2" \h \u </w:instrText>
          </w:r>
          <w:r>
            <w:rPr>
              <w:color w:val="auto"/>
            </w:rPr>
            <w:fldChar w:fldCharType="separate"/>
          </w:r>
          <w:r>
            <w:rPr>
              <w:color w:val="auto"/>
            </w:rPr>
            <w:fldChar w:fldCharType="begin"/>
          </w:r>
          <w:r>
            <w:instrText xml:space="preserve"> HYPERLINK \l _Toc15749 </w:instrText>
          </w:r>
          <w:r>
            <w:fldChar w:fldCharType="separate"/>
          </w:r>
          <w:r>
            <w:rPr>
              <w:rFonts w:hint="eastAsia"/>
            </w:rPr>
            <w:t>一、建设项目环境影响分类管理名录对照</w:t>
          </w:r>
          <w:r>
            <w:tab/>
          </w:r>
          <w:r>
            <w:fldChar w:fldCharType="begin"/>
          </w:r>
          <w:r>
            <w:instrText xml:space="preserve"> PAGEREF _Toc15749 \h </w:instrText>
          </w:r>
          <w:r>
            <w:fldChar w:fldCharType="separate"/>
          </w:r>
          <w:r>
            <w:t>2</w:t>
          </w:r>
          <w:r>
            <w:fldChar w:fldCharType="end"/>
          </w:r>
          <w:r>
            <w:rPr>
              <w:color w:val="auto"/>
            </w:rPr>
            <w:fldChar w:fldCharType="end"/>
          </w:r>
        </w:p>
        <w:p w14:paraId="0EB4ED20">
          <w:pPr>
            <w:pStyle w:val="59"/>
            <w:tabs>
              <w:tab w:val="right" w:leader="dot" w:pos="8306"/>
            </w:tabs>
          </w:pPr>
          <w:r>
            <w:rPr>
              <w:color w:val="auto"/>
            </w:rPr>
            <w:fldChar w:fldCharType="begin"/>
          </w:r>
          <w:r>
            <w:instrText xml:space="preserve"> HYPERLINK \l _Toc18174 </w:instrText>
          </w:r>
          <w:r>
            <w:fldChar w:fldCharType="separate"/>
          </w:r>
          <w:r>
            <w:rPr>
              <w:rFonts w:hint="eastAsia"/>
            </w:rPr>
            <w:t>二、</w:t>
          </w:r>
          <w:r>
            <w:t>许可证管理等级判定</w:t>
          </w:r>
          <w:r>
            <w:tab/>
          </w:r>
          <w:r>
            <w:fldChar w:fldCharType="begin"/>
          </w:r>
          <w:r>
            <w:instrText xml:space="preserve"> PAGEREF _Toc18174 \h </w:instrText>
          </w:r>
          <w:r>
            <w:fldChar w:fldCharType="separate"/>
          </w:r>
          <w:r>
            <w:t>2</w:t>
          </w:r>
          <w:r>
            <w:fldChar w:fldCharType="end"/>
          </w:r>
          <w:r>
            <w:rPr>
              <w:color w:val="auto"/>
            </w:rPr>
            <w:fldChar w:fldCharType="end"/>
          </w:r>
        </w:p>
        <w:p w14:paraId="4FCF5A52">
          <w:pPr>
            <w:pStyle w:val="59"/>
            <w:tabs>
              <w:tab w:val="right" w:leader="dot" w:pos="8306"/>
            </w:tabs>
          </w:pPr>
          <w:r>
            <w:rPr>
              <w:color w:val="auto"/>
            </w:rPr>
            <w:fldChar w:fldCharType="begin"/>
          </w:r>
          <w:r>
            <w:instrText xml:space="preserve"> HYPERLINK \l _Toc13474 </w:instrText>
          </w:r>
          <w:r>
            <w:fldChar w:fldCharType="separate"/>
          </w:r>
          <w:r>
            <w:rPr>
              <w:rFonts w:hint="eastAsia"/>
            </w:rPr>
            <w:t>三、位置图（具体见附图1、附图2、附图3、附图4、附图5）</w:t>
          </w:r>
          <w:r>
            <w:tab/>
          </w:r>
          <w:r>
            <w:fldChar w:fldCharType="begin"/>
          </w:r>
          <w:r>
            <w:instrText xml:space="preserve"> PAGEREF _Toc13474 \h </w:instrText>
          </w:r>
          <w:r>
            <w:fldChar w:fldCharType="separate"/>
          </w:r>
          <w:r>
            <w:t>3</w:t>
          </w:r>
          <w:r>
            <w:fldChar w:fldCharType="end"/>
          </w:r>
          <w:r>
            <w:rPr>
              <w:color w:val="auto"/>
            </w:rPr>
            <w:fldChar w:fldCharType="end"/>
          </w:r>
        </w:p>
        <w:p w14:paraId="69E68348">
          <w:pPr>
            <w:pStyle w:val="74"/>
            <w:tabs>
              <w:tab w:val="right" w:leader="dot" w:pos="8306"/>
            </w:tabs>
          </w:pPr>
          <w:r>
            <w:rPr>
              <w:color w:val="auto"/>
            </w:rPr>
            <w:fldChar w:fldCharType="begin"/>
          </w:r>
          <w:r>
            <w:instrText xml:space="preserve"> HYPERLINK \l _Toc4792 </w:instrText>
          </w:r>
          <w:r>
            <w:fldChar w:fldCharType="separate"/>
          </w:r>
          <w:r>
            <w:rPr>
              <w:rFonts w:hint="eastAsia"/>
            </w:rPr>
            <w:t>（1）环境保护目标</w:t>
          </w:r>
          <w:r>
            <w:tab/>
          </w:r>
          <w:r>
            <w:fldChar w:fldCharType="begin"/>
          </w:r>
          <w:r>
            <w:instrText xml:space="preserve"> PAGEREF _Toc4792 \h </w:instrText>
          </w:r>
          <w:r>
            <w:fldChar w:fldCharType="separate"/>
          </w:r>
          <w:r>
            <w:t>3</w:t>
          </w:r>
          <w:r>
            <w:fldChar w:fldCharType="end"/>
          </w:r>
          <w:r>
            <w:rPr>
              <w:color w:val="auto"/>
            </w:rPr>
            <w:fldChar w:fldCharType="end"/>
          </w:r>
        </w:p>
        <w:p w14:paraId="425B1FB4">
          <w:pPr>
            <w:pStyle w:val="59"/>
            <w:tabs>
              <w:tab w:val="right" w:leader="dot" w:pos="8306"/>
            </w:tabs>
          </w:pPr>
          <w:r>
            <w:rPr>
              <w:color w:val="auto"/>
            </w:rPr>
            <w:fldChar w:fldCharType="begin"/>
          </w:r>
          <w:r>
            <w:instrText xml:space="preserve"> HYPERLINK \l _Toc29666 </w:instrText>
          </w:r>
          <w:r>
            <w:fldChar w:fldCharType="separate"/>
          </w:r>
          <w:r>
            <w:rPr>
              <w:rFonts w:hint="eastAsia"/>
            </w:rPr>
            <w:t>四、与</w:t>
          </w:r>
          <w:r>
            <w:rPr>
              <w:rFonts w:hint="eastAsia"/>
              <w:kern w:val="2"/>
              <w:szCs w:val="24"/>
            </w:rPr>
            <w:t>《杭州市生态环境分区管控动态更新方案》</w:t>
          </w:r>
          <w:r>
            <w:rPr>
              <w:rFonts w:hint="eastAsia"/>
            </w:rPr>
            <w:t>及规划环评符合性分析</w:t>
          </w:r>
          <w:r>
            <w:tab/>
          </w:r>
          <w:r>
            <w:fldChar w:fldCharType="begin"/>
          </w:r>
          <w:r>
            <w:instrText xml:space="preserve"> PAGEREF _Toc29666 \h </w:instrText>
          </w:r>
          <w:r>
            <w:fldChar w:fldCharType="separate"/>
          </w:r>
          <w:r>
            <w:t>5</w:t>
          </w:r>
          <w:r>
            <w:fldChar w:fldCharType="end"/>
          </w:r>
          <w:r>
            <w:rPr>
              <w:color w:val="auto"/>
            </w:rPr>
            <w:fldChar w:fldCharType="end"/>
          </w:r>
        </w:p>
        <w:p w14:paraId="515371E5">
          <w:pPr>
            <w:pStyle w:val="74"/>
            <w:tabs>
              <w:tab w:val="right" w:leader="dot" w:pos="8306"/>
            </w:tabs>
          </w:pPr>
          <w:r>
            <w:rPr>
              <w:color w:val="auto"/>
            </w:rPr>
            <w:fldChar w:fldCharType="begin"/>
          </w:r>
          <w:r>
            <w:instrText xml:space="preserve"> HYPERLINK \l _Toc19666 </w:instrText>
          </w:r>
          <w:r>
            <w:fldChar w:fldCharType="separate"/>
          </w:r>
          <w:r>
            <w:rPr>
              <w:rFonts w:hint="eastAsia"/>
              <w:szCs w:val="24"/>
              <w:lang w:val="en-US" w:eastAsia="zh-CN"/>
            </w:rPr>
            <w:t>4.1</w:t>
          </w:r>
          <w:r>
            <w:rPr>
              <w:rFonts w:hint="eastAsia"/>
              <w:szCs w:val="24"/>
            </w:rPr>
            <w:t>《杭州市生态环境分区管控动态更新方案》</w:t>
          </w:r>
          <w:r>
            <w:rPr>
              <w:rFonts w:hint="eastAsia"/>
              <w:szCs w:val="24"/>
              <w:lang w:eastAsia="zh-CN"/>
            </w:rPr>
            <w:t>符合性分析</w:t>
          </w:r>
          <w:r>
            <w:tab/>
          </w:r>
          <w:r>
            <w:fldChar w:fldCharType="begin"/>
          </w:r>
          <w:r>
            <w:instrText xml:space="preserve"> PAGEREF _Toc19666 \h </w:instrText>
          </w:r>
          <w:r>
            <w:fldChar w:fldCharType="separate"/>
          </w:r>
          <w:r>
            <w:t>5</w:t>
          </w:r>
          <w:r>
            <w:fldChar w:fldCharType="end"/>
          </w:r>
          <w:r>
            <w:rPr>
              <w:color w:val="auto"/>
            </w:rPr>
            <w:fldChar w:fldCharType="end"/>
          </w:r>
        </w:p>
        <w:p w14:paraId="70BA71A8">
          <w:pPr>
            <w:pStyle w:val="74"/>
            <w:tabs>
              <w:tab w:val="right" w:leader="dot" w:pos="8306"/>
            </w:tabs>
          </w:pPr>
          <w:r>
            <w:rPr>
              <w:color w:val="auto"/>
            </w:rPr>
            <w:fldChar w:fldCharType="begin"/>
          </w:r>
          <w:r>
            <w:instrText xml:space="preserve"> HYPERLINK \l _Toc16557 </w:instrText>
          </w:r>
          <w:r>
            <w:fldChar w:fldCharType="separate"/>
          </w:r>
          <w:r>
            <w:rPr>
              <w:rFonts w:hint="eastAsia"/>
              <w:szCs w:val="24"/>
              <w:lang w:val="en-US" w:eastAsia="zh-CN"/>
            </w:rPr>
            <w:t>4.2《杭州余杭经济技术开发区总体规划修编（2020-2035年）环境影响报告书》符合性分析</w:t>
          </w:r>
          <w:r>
            <w:tab/>
          </w:r>
          <w:r>
            <w:fldChar w:fldCharType="begin"/>
          </w:r>
          <w:r>
            <w:instrText xml:space="preserve"> PAGEREF _Toc16557 \h </w:instrText>
          </w:r>
          <w:r>
            <w:fldChar w:fldCharType="separate"/>
          </w:r>
          <w:r>
            <w:t>7</w:t>
          </w:r>
          <w:r>
            <w:fldChar w:fldCharType="end"/>
          </w:r>
          <w:r>
            <w:rPr>
              <w:color w:val="auto"/>
            </w:rPr>
            <w:fldChar w:fldCharType="end"/>
          </w:r>
        </w:p>
        <w:p w14:paraId="237AD6BE">
          <w:pPr>
            <w:pStyle w:val="74"/>
            <w:tabs>
              <w:tab w:val="right" w:leader="dot" w:pos="8306"/>
            </w:tabs>
          </w:pPr>
          <w:r>
            <w:rPr>
              <w:color w:val="auto"/>
            </w:rPr>
            <w:fldChar w:fldCharType="begin"/>
          </w:r>
          <w:r>
            <w:instrText xml:space="preserve"> HYPERLINK \l _Toc19787 </w:instrText>
          </w:r>
          <w:r>
            <w:fldChar w:fldCharType="separate"/>
          </w:r>
          <w:r>
            <w:t>4.</w:t>
          </w:r>
          <w:r>
            <w:rPr>
              <w:rFonts w:hint="eastAsia"/>
              <w:lang w:val="en-US" w:eastAsia="zh-CN"/>
            </w:rPr>
            <w:t>3</w:t>
          </w:r>
          <w:r>
            <w:t>《浙江省“十四五”挥发性有机物综合治理方案》符合性分析</w:t>
          </w:r>
          <w:r>
            <w:tab/>
          </w:r>
          <w:r>
            <w:fldChar w:fldCharType="begin"/>
          </w:r>
          <w:r>
            <w:instrText xml:space="preserve"> PAGEREF _Toc19787 \h </w:instrText>
          </w:r>
          <w:r>
            <w:fldChar w:fldCharType="separate"/>
          </w:r>
          <w:r>
            <w:t>13</w:t>
          </w:r>
          <w:r>
            <w:fldChar w:fldCharType="end"/>
          </w:r>
          <w:r>
            <w:rPr>
              <w:color w:val="auto"/>
            </w:rPr>
            <w:fldChar w:fldCharType="end"/>
          </w:r>
        </w:p>
        <w:p w14:paraId="542C7BC2">
          <w:pPr>
            <w:pStyle w:val="74"/>
            <w:tabs>
              <w:tab w:val="right" w:leader="dot" w:pos="8306"/>
            </w:tabs>
          </w:pPr>
          <w:r>
            <w:rPr>
              <w:color w:val="auto"/>
            </w:rPr>
            <w:fldChar w:fldCharType="begin"/>
          </w:r>
          <w:r>
            <w:instrText xml:space="preserve"> HYPERLINK \l _Toc598 </w:instrText>
          </w:r>
          <w:r>
            <w:fldChar w:fldCharType="separate"/>
          </w:r>
          <w:r>
            <w:rPr>
              <w:rFonts w:hint="eastAsia"/>
              <w:lang w:val="en-US" w:eastAsia="zh-CN"/>
            </w:rPr>
            <w:t>4.4《临平经济技术开发区异味重点企业整治提升方案暨行业提级增效管控标准》</w:t>
          </w:r>
          <w:r>
            <w:rPr>
              <w:rFonts w:hint="eastAsia"/>
              <w:lang w:eastAsia="zh-CN"/>
            </w:rPr>
            <w:t>符合性分析</w:t>
          </w:r>
          <w:r>
            <w:tab/>
          </w:r>
          <w:r>
            <w:fldChar w:fldCharType="begin"/>
          </w:r>
          <w:r>
            <w:instrText xml:space="preserve"> PAGEREF _Toc598 \h </w:instrText>
          </w:r>
          <w:r>
            <w:fldChar w:fldCharType="separate"/>
          </w:r>
          <w:r>
            <w:t>15</w:t>
          </w:r>
          <w:r>
            <w:fldChar w:fldCharType="end"/>
          </w:r>
          <w:r>
            <w:rPr>
              <w:color w:val="auto"/>
            </w:rPr>
            <w:fldChar w:fldCharType="end"/>
          </w:r>
        </w:p>
        <w:p w14:paraId="5FB5B1EB">
          <w:pPr>
            <w:pStyle w:val="74"/>
            <w:tabs>
              <w:tab w:val="right" w:leader="dot" w:pos="8306"/>
            </w:tabs>
          </w:pPr>
          <w:r>
            <w:rPr>
              <w:color w:val="auto"/>
            </w:rPr>
            <w:fldChar w:fldCharType="begin"/>
          </w:r>
          <w:r>
            <w:instrText xml:space="preserve"> HYPERLINK \l _Toc22580 </w:instrText>
          </w:r>
          <w:r>
            <w:fldChar w:fldCharType="separate"/>
          </w:r>
          <w:r>
            <w:rPr>
              <w:rFonts w:hint="eastAsia"/>
              <w:lang w:val="en-US" w:eastAsia="zh-CN"/>
            </w:rPr>
            <w:t>4.5</w:t>
          </w:r>
          <w:r>
            <w:rPr>
              <w:rFonts w:hint="default"/>
              <w:lang w:val="en-US" w:eastAsia="zh-CN"/>
            </w:rPr>
            <w:t>《国家污染防治技术指导目录（2024年限制类和淘汰类）》符合性分析</w:t>
          </w:r>
          <w:r>
            <w:tab/>
          </w:r>
          <w:r>
            <w:fldChar w:fldCharType="begin"/>
          </w:r>
          <w:r>
            <w:instrText xml:space="preserve"> PAGEREF _Toc22580 \h </w:instrText>
          </w:r>
          <w:r>
            <w:fldChar w:fldCharType="separate"/>
          </w:r>
          <w:r>
            <w:t>19</w:t>
          </w:r>
          <w:r>
            <w:fldChar w:fldCharType="end"/>
          </w:r>
          <w:r>
            <w:rPr>
              <w:color w:val="auto"/>
            </w:rPr>
            <w:fldChar w:fldCharType="end"/>
          </w:r>
        </w:p>
        <w:p w14:paraId="4688BD54">
          <w:pPr>
            <w:pStyle w:val="59"/>
            <w:tabs>
              <w:tab w:val="right" w:leader="dot" w:pos="8306"/>
            </w:tabs>
          </w:pPr>
          <w:r>
            <w:rPr>
              <w:color w:val="auto"/>
            </w:rPr>
            <w:fldChar w:fldCharType="begin"/>
          </w:r>
          <w:r>
            <w:instrText xml:space="preserve"> HYPERLINK \l _Toc9868 </w:instrText>
          </w:r>
          <w:r>
            <w:fldChar w:fldCharType="separate"/>
          </w:r>
          <w:r>
            <w:rPr>
              <w:rFonts w:hint="eastAsia"/>
            </w:rPr>
            <w:t>五、与《临平国家级经济技术开发区“区域环评+环境标准”改革实施方案》环评审批负面清单的匹配性分析</w:t>
          </w:r>
          <w:r>
            <w:tab/>
          </w:r>
          <w:r>
            <w:fldChar w:fldCharType="begin"/>
          </w:r>
          <w:r>
            <w:instrText xml:space="preserve"> PAGEREF _Toc9868 \h </w:instrText>
          </w:r>
          <w:r>
            <w:fldChar w:fldCharType="separate"/>
          </w:r>
          <w:r>
            <w:t>21</w:t>
          </w:r>
          <w:r>
            <w:fldChar w:fldCharType="end"/>
          </w:r>
          <w:r>
            <w:rPr>
              <w:color w:val="auto"/>
            </w:rPr>
            <w:fldChar w:fldCharType="end"/>
          </w:r>
        </w:p>
        <w:p w14:paraId="1EE294FB">
          <w:pPr>
            <w:pStyle w:val="59"/>
            <w:tabs>
              <w:tab w:val="right" w:leader="dot" w:pos="8306"/>
            </w:tabs>
          </w:pPr>
          <w:r>
            <w:rPr>
              <w:color w:val="auto"/>
            </w:rPr>
            <w:fldChar w:fldCharType="begin"/>
          </w:r>
          <w:r>
            <w:instrText xml:space="preserve"> HYPERLINK \l _Toc32475 </w:instrText>
          </w:r>
          <w:r>
            <w:fldChar w:fldCharType="separate"/>
          </w:r>
          <w:r>
            <w:t>附图1  建设项目地理位置图</w:t>
          </w:r>
          <w:r>
            <w:tab/>
          </w:r>
          <w:r>
            <w:fldChar w:fldCharType="begin"/>
          </w:r>
          <w:r>
            <w:instrText xml:space="preserve"> PAGEREF _Toc32475 \h </w:instrText>
          </w:r>
          <w:r>
            <w:fldChar w:fldCharType="separate"/>
          </w:r>
          <w:r>
            <w:t>22</w:t>
          </w:r>
          <w:r>
            <w:fldChar w:fldCharType="end"/>
          </w:r>
          <w:r>
            <w:rPr>
              <w:color w:val="auto"/>
            </w:rPr>
            <w:fldChar w:fldCharType="end"/>
          </w:r>
        </w:p>
        <w:p w14:paraId="5ADF237E">
          <w:pPr>
            <w:pStyle w:val="59"/>
            <w:tabs>
              <w:tab w:val="right" w:leader="dot" w:pos="8306"/>
            </w:tabs>
          </w:pPr>
          <w:r>
            <w:rPr>
              <w:color w:val="auto"/>
            </w:rPr>
            <w:fldChar w:fldCharType="begin"/>
          </w:r>
          <w:r>
            <w:instrText xml:space="preserve"> HYPERLINK \l _Toc21080 </w:instrText>
          </w:r>
          <w:r>
            <w:fldChar w:fldCharType="separate"/>
          </w:r>
          <w:r>
            <w:t xml:space="preserve">附图2  </w:t>
          </w:r>
          <w:r>
            <w:rPr>
              <w:rFonts w:hint="eastAsia"/>
            </w:rPr>
            <w:t>建设项目周边环境示意图</w:t>
          </w:r>
          <w:r>
            <w:tab/>
          </w:r>
          <w:r>
            <w:fldChar w:fldCharType="begin"/>
          </w:r>
          <w:r>
            <w:instrText xml:space="preserve"> PAGEREF _Toc21080 \h </w:instrText>
          </w:r>
          <w:r>
            <w:fldChar w:fldCharType="separate"/>
          </w:r>
          <w:r>
            <w:t>23</w:t>
          </w:r>
          <w:r>
            <w:fldChar w:fldCharType="end"/>
          </w:r>
          <w:r>
            <w:rPr>
              <w:color w:val="auto"/>
            </w:rPr>
            <w:fldChar w:fldCharType="end"/>
          </w:r>
        </w:p>
        <w:p w14:paraId="665E16AC">
          <w:pPr>
            <w:pStyle w:val="59"/>
            <w:tabs>
              <w:tab w:val="right" w:leader="dot" w:pos="8306"/>
            </w:tabs>
          </w:pPr>
          <w:r>
            <w:rPr>
              <w:color w:val="auto"/>
            </w:rPr>
            <w:fldChar w:fldCharType="begin"/>
          </w:r>
          <w:r>
            <w:instrText xml:space="preserve"> HYPERLINK \l _Toc3919 </w:instrText>
          </w:r>
          <w:r>
            <w:fldChar w:fldCharType="separate"/>
          </w:r>
          <w:r>
            <w:t xml:space="preserve">附图3  </w:t>
          </w:r>
          <w:r>
            <w:rPr>
              <w:rFonts w:hint="eastAsia"/>
            </w:rPr>
            <w:t>临平区</w:t>
          </w:r>
          <w:r>
            <w:t>环境管控单元</w:t>
          </w:r>
          <w:r>
            <w:rPr>
              <w:rFonts w:hint="eastAsia"/>
            </w:rPr>
            <w:t>分类</w:t>
          </w:r>
          <w:r>
            <w:t>图</w:t>
          </w:r>
          <w:r>
            <w:tab/>
          </w:r>
          <w:r>
            <w:fldChar w:fldCharType="begin"/>
          </w:r>
          <w:r>
            <w:instrText xml:space="preserve"> PAGEREF _Toc3919 \h </w:instrText>
          </w:r>
          <w:r>
            <w:fldChar w:fldCharType="separate"/>
          </w:r>
          <w:r>
            <w:t>24</w:t>
          </w:r>
          <w:r>
            <w:fldChar w:fldCharType="end"/>
          </w:r>
          <w:r>
            <w:rPr>
              <w:color w:val="auto"/>
            </w:rPr>
            <w:fldChar w:fldCharType="end"/>
          </w:r>
        </w:p>
        <w:p w14:paraId="4CFD5233">
          <w:pPr>
            <w:pStyle w:val="59"/>
            <w:tabs>
              <w:tab w:val="right" w:leader="dot" w:pos="8306"/>
            </w:tabs>
          </w:pPr>
          <w:r>
            <w:rPr>
              <w:color w:val="auto"/>
            </w:rPr>
            <w:fldChar w:fldCharType="begin"/>
          </w:r>
          <w:r>
            <w:instrText xml:space="preserve"> HYPERLINK \l _Toc3091 </w:instrText>
          </w:r>
          <w:r>
            <w:fldChar w:fldCharType="separate"/>
          </w:r>
          <w:r>
            <w:t>附图4  杭州市临平区</w:t>
          </w:r>
          <w:r>
            <w:rPr>
              <w:rFonts w:hint="eastAsia"/>
            </w:rPr>
            <w:t>三区三线</w:t>
          </w:r>
          <w:r>
            <w:t>图</w:t>
          </w:r>
          <w:r>
            <w:tab/>
          </w:r>
          <w:r>
            <w:fldChar w:fldCharType="begin"/>
          </w:r>
          <w:r>
            <w:instrText xml:space="preserve"> PAGEREF _Toc3091 \h </w:instrText>
          </w:r>
          <w:r>
            <w:fldChar w:fldCharType="separate"/>
          </w:r>
          <w:r>
            <w:t>25</w:t>
          </w:r>
          <w:r>
            <w:fldChar w:fldCharType="end"/>
          </w:r>
          <w:r>
            <w:rPr>
              <w:color w:val="auto"/>
            </w:rPr>
            <w:fldChar w:fldCharType="end"/>
          </w:r>
        </w:p>
        <w:p w14:paraId="46A82AB6">
          <w:pPr>
            <w:pStyle w:val="59"/>
            <w:tabs>
              <w:tab w:val="right" w:leader="dot" w:pos="8306"/>
            </w:tabs>
          </w:pPr>
          <w:r>
            <w:rPr>
              <w:color w:val="auto"/>
            </w:rPr>
            <w:fldChar w:fldCharType="begin"/>
          </w:r>
          <w:r>
            <w:instrText xml:space="preserve"> HYPERLINK \l _Toc11522 </w:instrText>
          </w:r>
          <w:r>
            <w:fldChar w:fldCharType="separate"/>
          </w:r>
          <w:r>
            <w:t>附图</w:t>
          </w:r>
          <w:r>
            <w:rPr>
              <w:rFonts w:hint="eastAsia"/>
            </w:rPr>
            <w:t>5</w:t>
          </w:r>
          <w:r>
            <w:t xml:space="preserve">  临平区</w:t>
          </w:r>
          <w:r>
            <w:rPr>
              <w:rFonts w:hint="eastAsia"/>
            </w:rPr>
            <w:t>声环境功能区划图</w:t>
          </w:r>
          <w:r>
            <w:tab/>
          </w:r>
          <w:r>
            <w:fldChar w:fldCharType="begin"/>
          </w:r>
          <w:r>
            <w:instrText xml:space="preserve"> PAGEREF _Toc11522 \h </w:instrText>
          </w:r>
          <w:r>
            <w:fldChar w:fldCharType="separate"/>
          </w:r>
          <w:r>
            <w:t>26</w:t>
          </w:r>
          <w:r>
            <w:fldChar w:fldCharType="end"/>
          </w:r>
          <w:r>
            <w:rPr>
              <w:color w:val="auto"/>
            </w:rPr>
            <w:fldChar w:fldCharType="end"/>
          </w:r>
        </w:p>
        <w:p w14:paraId="5AEE5038">
          <w:pPr>
            <w:pStyle w:val="59"/>
            <w:tabs>
              <w:tab w:val="right" w:leader="dot" w:pos="8306"/>
            </w:tabs>
          </w:pPr>
          <w:r>
            <w:rPr>
              <w:color w:val="auto"/>
            </w:rPr>
            <w:fldChar w:fldCharType="begin"/>
          </w:r>
          <w:r>
            <w:instrText xml:space="preserve"> HYPERLINK \l _Toc11761 </w:instrText>
          </w:r>
          <w:r>
            <w:fldChar w:fldCharType="separate"/>
          </w:r>
          <w:r>
            <w:rPr>
              <w:rFonts w:hint="eastAsia" w:ascii="Times New Roman" w:hAnsi="Times New Roman" w:cs="Times New Roman"/>
              <w:lang w:val="en-US" w:eastAsia="zh-CN"/>
            </w:rPr>
            <w:t>附图6-1生产区域平面布置图（1F）</w:t>
          </w:r>
          <w:r>
            <w:tab/>
          </w:r>
          <w:r>
            <w:fldChar w:fldCharType="begin"/>
          </w:r>
          <w:r>
            <w:instrText xml:space="preserve"> PAGEREF _Toc11761 \h </w:instrText>
          </w:r>
          <w:r>
            <w:fldChar w:fldCharType="separate"/>
          </w:r>
          <w:r>
            <w:t>27</w:t>
          </w:r>
          <w:r>
            <w:fldChar w:fldCharType="end"/>
          </w:r>
          <w:r>
            <w:rPr>
              <w:color w:val="auto"/>
            </w:rPr>
            <w:fldChar w:fldCharType="end"/>
          </w:r>
        </w:p>
        <w:p w14:paraId="3C7DBF15">
          <w:pPr>
            <w:pStyle w:val="59"/>
            <w:tabs>
              <w:tab w:val="right" w:leader="dot" w:pos="8306"/>
            </w:tabs>
          </w:pPr>
          <w:r>
            <w:rPr>
              <w:color w:val="auto"/>
            </w:rPr>
            <w:fldChar w:fldCharType="begin"/>
          </w:r>
          <w:r>
            <w:instrText xml:space="preserve"> HYPERLINK \l _Toc17310 </w:instrText>
          </w:r>
          <w:r>
            <w:fldChar w:fldCharType="separate"/>
          </w:r>
          <w:r>
            <w:rPr>
              <w:rFonts w:hint="eastAsia" w:ascii="Times New Roman" w:hAnsi="Times New Roman" w:cs="Times New Roman"/>
              <w:lang w:val="en-US" w:eastAsia="zh-CN"/>
            </w:rPr>
            <w:t>附图6-2生产区域平面布置图（4F）</w:t>
          </w:r>
          <w:r>
            <w:tab/>
          </w:r>
          <w:r>
            <w:fldChar w:fldCharType="begin"/>
          </w:r>
          <w:r>
            <w:instrText xml:space="preserve"> PAGEREF _Toc17310 \h </w:instrText>
          </w:r>
          <w:r>
            <w:fldChar w:fldCharType="separate"/>
          </w:r>
          <w:r>
            <w:t>28</w:t>
          </w:r>
          <w:r>
            <w:fldChar w:fldCharType="end"/>
          </w:r>
          <w:r>
            <w:rPr>
              <w:color w:val="auto"/>
            </w:rPr>
            <w:fldChar w:fldCharType="end"/>
          </w:r>
        </w:p>
        <w:p w14:paraId="2AA19E06">
          <w:pPr>
            <w:pStyle w:val="59"/>
            <w:tabs>
              <w:tab w:val="right" w:leader="dot" w:pos="8306"/>
            </w:tabs>
          </w:pPr>
          <w:r>
            <w:rPr>
              <w:color w:val="auto"/>
            </w:rPr>
            <w:fldChar w:fldCharType="begin"/>
          </w:r>
          <w:r>
            <w:instrText xml:space="preserve"> HYPERLINK \l _Toc11805 </w:instrText>
          </w:r>
          <w:r>
            <w:fldChar w:fldCharType="separate"/>
          </w:r>
          <w:r>
            <w:rPr>
              <w:rFonts w:hint="eastAsia"/>
            </w:rPr>
            <w:t>附件1</w:t>
          </w:r>
          <w:r>
            <w:t xml:space="preserve"> </w:t>
          </w:r>
          <w:r>
            <w:rPr>
              <w:rFonts w:hint="eastAsia"/>
            </w:rPr>
            <w:t>项目基本情况</w:t>
          </w:r>
          <w:r>
            <w:tab/>
          </w:r>
          <w:r>
            <w:fldChar w:fldCharType="begin"/>
          </w:r>
          <w:r>
            <w:instrText xml:space="preserve"> PAGEREF _Toc11805 \h </w:instrText>
          </w:r>
          <w:r>
            <w:fldChar w:fldCharType="separate"/>
          </w:r>
          <w:r>
            <w:t>29</w:t>
          </w:r>
          <w:r>
            <w:fldChar w:fldCharType="end"/>
          </w:r>
          <w:r>
            <w:rPr>
              <w:color w:val="auto"/>
            </w:rPr>
            <w:fldChar w:fldCharType="end"/>
          </w:r>
        </w:p>
        <w:p w14:paraId="42D3BF02">
          <w:pPr>
            <w:pStyle w:val="74"/>
            <w:tabs>
              <w:tab w:val="right" w:leader="dot" w:pos="8306"/>
            </w:tabs>
          </w:pPr>
          <w:r>
            <w:rPr>
              <w:color w:val="auto"/>
            </w:rPr>
            <w:fldChar w:fldCharType="begin"/>
          </w:r>
          <w:r>
            <w:instrText xml:space="preserve"> HYPERLINK \l _Toc19773 </w:instrText>
          </w:r>
          <w:r>
            <w:fldChar w:fldCharType="separate"/>
          </w:r>
          <w:r>
            <w:rPr>
              <w:rFonts w:hint="eastAsia"/>
            </w:rPr>
            <w:t>1、本项目情况</w:t>
          </w:r>
          <w:r>
            <w:tab/>
          </w:r>
          <w:r>
            <w:fldChar w:fldCharType="begin"/>
          </w:r>
          <w:r>
            <w:instrText xml:space="preserve"> PAGEREF _Toc19773 \h </w:instrText>
          </w:r>
          <w:r>
            <w:fldChar w:fldCharType="separate"/>
          </w:r>
          <w:r>
            <w:t>29</w:t>
          </w:r>
          <w:r>
            <w:fldChar w:fldCharType="end"/>
          </w:r>
          <w:r>
            <w:rPr>
              <w:color w:val="auto"/>
            </w:rPr>
            <w:fldChar w:fldCharType="end"/>
          </w:r>
        </w:p>
        <w:p w14:paraId="1DF7809C">
          <w:pPr>
            <w:pStyle w:val="74"/>
            <w:tabs>
              <w:tab w:val="right" w:leader="dot" w:pos="8306"/>
            </w:tabs>
          </w:pPr>
          <w:r>
            <w:rPr>
              <w:color w:val="auto"/>
            </w:rPr>
            <w:fldChar w:fldCharType="begin"/>
          </w:r>
          <w:r>
            <w:instrText xml:space="preserve"> HYPERLINK \l _Toc28792 </w:instrText>
          </w:r>
          <w:r>
            <w:fldChar w:fldCharType="separate"/>
          </w:r>
          <w:r>
            <w:rPr>
              <w:rFonts w:hint="eastAsia"/>
            </w:rPr>
            <w:t>2、现有项目内容简介</w:t>
          </w:r>
          <w:r>
            <w:tab/>
          </w:r>
          <w:r>
            <w:fldChar w:fldCharType="begin"/>
          </w:r>
          <w:r>
            <w:instrText xml:space="preserve"> PAGEREF _Toc28792 \h </w:instrText>
          </w:r>
          <w:r>
            <w:fldChar w:fldCharType="separate"/>
          </w:r>
          <w:r>
            <w:t>51</w:t>
          </w:r>
          <w:r>
            <w:fldChar w:fldCharType="end"/>
          </w:r>
          <w:r>
            <w:rPr>
              <w:color w:val="auto"/>
            </w:rPr>
            <w:fldChar w:fldCharType="end"/>
          </w:r>
        </w:p>
        <w:p w14:paraId="640155CF">
          <w:pPr>
            <w:pStyle w:val="74"/>
            <w:tabs>
              <w:tab w:val="right" w:leader="dot" w:pos="8306"/>
            </w:tabs>
          </w:pPr>
          <w:r>
            <w:rPr>
              <w:color w:val="auto"/>
            </w:rPr>
            <w:fldChar w:fldCharType="begin"/>
          </w:r>
          <w:r>
            <w:instrText xml:space="preserve"> HYPERLINK \l _Toc28580 </w:instrText>
          </w:r>
          <w:r>
            <w:fldChar w:fldCharType="separate"/>
          </w:r>
          <w:r>
            <w:t>3</w:t>
          </w:r>
          <w:r>
            <w:rPr>
              <w:rFonts w:hint="eastAsia"/>
            </w:rPr>
            <w:t>、总量控制指标</w:t>
          </w:r>
          <w:r>
            <w:tab/>
          </w:r>
          <w:r>
            <w:fldChar w:fldCharType="begin"/>
          </w:r>
          <w:r>
            <w:instrText xml:space="preserve"> PAGEREF _Toc28580 \h </w:instrText>
          </w:r>
          <w:r>
            <w:fldChar w:fldCharType="separate"/>
          </w:r>
          <w:r>
            <w:t>52</w:t>
          </w:r>
          <w:r>
            <w:fldChar w:fldCharType="end"/>
          </w:r>
          <w:r>
            <w:rPr>
              <w:color w:val="auto"/>
            </w:rPr>
            <w:fldChar w:fldCharType="end"/>
          </w:r>
        </w:p>
        <w:p w14:paraId="1724DF87">
          <w:pPr>
            <w:pStyle w:val="74"/>
            <w:tabs>
              <w:tab w:val="right" w:leader="dot" w:pos="8306"/>
            </w:tabs>
          </w:pPr>
          <w:r>
            <w:rPr>
              <w:color w:val="auto"/>
            </w:rPr>
            <w:fldChar w:fldCharType="begin"/>
          </w:r>
          <w:r>
            <w:instrText xml:space="preserve"> HYPERLINK \l _Toc14195 </w:instrText>
          </w:r>
          <w:r>
            <w:fldChar w:fldCharType="separate"/>
          </w:r>
          <w:r>
            <w:t>4</w:t>
          </w:r>
          <w:r>
            <w:rPr>
              <w:rFonts w:hint="eastAsia"/>
            </w:rPr>
            <w:t>、环保措施监督检查清单</w:t>
          </w:r>
          <w:r>
            <w:tab/>
          </w:r>
          <w:r>
            <w:fldChar w:fldCharType="begin"/>
          </w:r>
          <w:r>
            <w:instrText xml:space="preserve"> PAGEREF _Toc14195 \h </w:instrText>
          </w:r>
          <w:r>
            <w:fldChar w:fldCharType="separate"/>
          </w:r>
          <w:r>
            <w:t>53</w:t>
          </w:r>
          <w:r>
            <w:fldChar w:fldCharType="end"/>
          </w:r>
          <w:r>
            <w:rPr>
              <w:color w:val="auto"/>
            </w:rPr>
            <w:fldChar w:fldCharType="end"/>
          </w:r>
        </w:p>
        <w:p w14:paraId="48C7ACC1">
          <w:pPr>
            <w:pStyle w:val="59"/>
            <w:tabs>
              <w:tab w:val="right" w:leader="dot" w:pos="8306"/>
            </w:tabs>
          </w:pPr>
          <w:r>
            <w:rPr>
              <w:color w:val="auto"/>
            </w:rPr>
            <w:fldChar w:fldCharType="begin"/>
          </w:r>
          <w:r>
            <w:instrText xml:space="preserve"> HYPERLINK \l _Toc20543 </w:instrText>
          </w:r>
          <w:r>
            <w:fldChar w:fldCharType="separate"/>
          </w:r>
          <w:r>
            <w:rPr>
              <w:rFonts w:hint="eastAsia"/>
              <w:lang w:val="en-US" w:eastAsia="zh-CN"/>
            </w:rPr>
            <w:t>附件2 溶剂型油漆VOCs检测报告</w:t>
          </w:r>
          <w:r>
            <w:tab/>
          </w:r>
          <w:r>
            <w:fldChar w:fldCharType="begin"/>
          </w:r>
          <w:r>
            <w:instrText xml:space="preserve"> PAGEREF _Toc20543 \h </w:instrText>
          </w:r>
          <w:r>
            <w:fldChar w:fldCharType="separate"/>
          </w:r>
          <w:r>
            <w:t>55</w:t>
          </w:r>
          <w:r>
            <w:fldChar w:fldCharType="end"/>
          </w:r>
          <w:r>
            <w:rPr>
              <w:color w:val="auto"/>
            </w:rPr>
            <w:fldChar w:fldCharType="end"/>
          </w:r>
        </w:p>
        <w:p w14:paraId="691D3975">
          <w:pPr>
            <w:pStyle w:val="59"/>
            <w:tabs>
              <w:tab w:val="right" w:leader="dot" w:pos="8306"/>
            </w:tabs>
          </w:pPr>
          <w:r>
            <w:rPr>
              <w:color w:val="auto"/>
            </w:rPr>
            <w:fldChar w:fldCharType="begin"/>
          </w:r>
          <w:r>
            <w:instrText xml:space="preserve"> HYPERLINK \l _Toc13473 </w:instrText>
          </w:r>
          <w:r>
            <w:fldChar w:fldCharType="separate"/>
          </w:r>
          <w:r>
            <w:rPr>
              <w:rFonts w:hint="eastAsia"/>
            </w:rPr>
            <w:t>附件</w:t>
          </w:r>
          <w:r>
            <w:rPr>
              <w:rFonts w:hint="eastAsia"/>
              <w:lang w:val="en-US" w:eastAsia="zh-CN"/>
            </w:rPr>
            <w:t>3</w:t>
          </w:r>
          <w:r>
            <w:rPr>
              <w:rFonts w:hint="eastAsia"/>
            </w:rPr>
            <w:t xml:space="preserve"> 水性漆VOCs检测报告</w:t>
          </w:r>
          <w:r>
            <w:tab/>
          </w:r>
          <w:r>
            <w:fldChar w:fldCharType="begin"/>
          </w:r>
          <w:r>
            <w:instrText xml:space="preserve"> PAGEREF _Toc13473 \h </w:instrText>
          </w:r>
          <w:r>
            <w:fldChar w:fldCharType="separate"/>
          </w:r>
          <w:r>
            <w:t>59</w:t>
          </w:r>
          <w:r>
            <w:fldChar w:fldCharType="end"/>
          </w:r>
          <w:r>
            <w:rPr>
              <w:color w:val="auto"/>
            </w:rPr>
            <w:fldChar w:fldCharType="end"/>
          </w:r>
        </w:p>
        <w:p w14:paraId="3FBB7BC9">
          <w:pPr>
            <w:pStyle w:val="59"/>
            <w:tabs>
              <w:tab w:val="right" w:leader="dot" w:pos="8306"/>
            </w:tabs>
          </w:pPr>
          <w:r>
            <w:rPr>
              <w:color w:val="auto"/>
            </w:rPr>
            <w:fldChar w:fldCharType="begin"/>
          </w:r>
          <w:r>
            <w:instrText xml:space="preserve"> HYPERLINK \l _Toc15582 </w:instrText>
          </w:r>
          <w:r>
            <w:fldChar w:fldCharType="separate"/>
          </w:r>
          <w:r>
            <w:rPr>
              <w:rFonts w:hint="eastAsia"/>
            </w:rPr>
            <w:t>附件</w:t>
          </w:r>
          <w:r>
            <w:rPr>
              <w:rFonts w:hint="eastAsia"/>
              <w:lang w:val="en-US" w:eastAsia="zh-CN"/>
            </w:rPr>
            <w:t>4</w:t>
          </w:r>
          <w:r>
            <w:rPr>
              <w:rFonts w:hint="eastAsia"/>
            </w:rPr>
            <w:t xml:space="preserve"> 水性漆</w:t>
          </w:r>
          <w:r>
            <w:rPr>
              <w:rFonts w:hint="eastAsia"/>
              <w:lang w:val="en-US" w:eastAsia="zh-CN"/>
            </w:rPr>
            <w:t>安全技术说明书（MSDS）</w:t>
          </w:r>
          <w:r>
            <w:tab/>
          </w:r>
          <w:r>
            <w:fldChar w:fldCharType="begin"/>
          </w:r>
          <w:r>
            <w:instrText xml:space="preserve"> PAGEREF _Toc15582 \h </w:instrText>
          </w:r>
          <w:r>
            <w:fldChar w:fldCharType="separate"/>
          </w:r>
          <w:r>
            <w:t>64</w:t>
          </w:r>
          <w:r>
            <w:fldChar w:fldCharType="end"/>
          </w:r>
          <w:r>
            <w:rPr>
              <w:color w:val="auto"/>
            </w:rPr>
            <w:fldChar w:fldCharType="end"/>
          </w:r>
        </w:p>
        <w:p w14:paraId="4D1C6C79">
          <w:pPr>
            <w:pStyle w:val="59"/>
            <w:tabs>
              <w:tab w:val="right" w:leader="dot" w:pos="8306"/>
            </w:tabs>
          </w:pPr>
          <w:r>
            <w:rPr>
              <w:color w:val="auto"/>
            </w:rPr>
            <w:fldChar w:fldCharType="begin"/>
          </w:r>
          <w:r>
            <w:instrText xml:space="preserve"> HYPERLINK \l _Toc32496 </w:instrText>
          </w:r>
          <w:r>
            <w:fldChar w:fldCharType="separate"/>
          </w:r>
          <w:r>
            <w:rPr>
              <w:rFonts w:hint="eastAsia"/>
            </w:rPr>
            <w:t>附件</w:t>
          </w:r>
          <w:r>
            <w:rPr>
              <w:rFonts w:hint="eastAsia"/>
              <w:lang w:val="en-US" w:eastAsia="zh-CN"/>
            </w:rPr>
            <w:t>5</w:t>
          </w:r>
          <w:r>
            <w:rPr>
              <w:rFonts w:hint="eastAsia"/>
            </w:rPr>
            <w:t xml:space="preserve"> </w:t>
          </w:r>
          <w:r>
            <w:rPr>
              <w:rFonts w:hint="eastAsia"/>
              <w:lang w:val="en-US" w:eastAsia="zh-CN"/>
            </w:rPr>
            <w:t>溶剂型</w:t>
          </w:r>
          <w:r>
            <w:rPr>
              <w:rFonts w:hint="eastAsia"/>
            </w:rPr>
            <w:t>漆</w:t>
          </w:r>
          <w:r>
            <w:rPr>
              <w:rFonts w:hint="eastAsia"/>
              <w:lang w:val="en-US" w:eastAsia="zh-CN"/>
            </w:rPr>
            <w:t>安全技术说明书（MSDS）</w:t>
          </w:r>
          <w:r>
            <w:tab/>
          </w:r>
          <w:r>
            <w:fldChar w:fldCharType="begin"/>
          </w:r>
          <w:r>
            <w:instrText xml:space="preserve"> PAGEREF _Toc32496 \h </w:instrText>
          </w:r>
          <w:r>
            <w:fldChar w:fldCharType="separate"/>
          </w:r>
          <w:r>
            <w:t>72</w:t>
          </w:r>
          <w:r>
            <w:fldChar w:fldCharType="end"/>
          </w:r>
          <w:r>
            <w:rPr>
              <w:color w:val="auto"/>
            </w:rPr>
            <w:fldChar w:fldCharType="end"/>
          </w:r>
        </w:p>
        <w:p w14:paraId="42DFB9C2">
          <w:pPr>
            <w:rPr>
              <w:b/>
              <w:color w:val="auto"/>
            </w:rPr>
          </w:pPr>
          <w:r>
            <w:rPr>
              <w:color w:val="auto"/>
            </w:rPr>
            <w:fldChar w:fldCharType="end"/>
          </w:r>
        </w:p>
      </w:sdtContent>
    </w:sdt>
    <w:p w14:paraId="778ACBF4">
      <w:pPr>
        <w:rPr>
          <w:b/>
          <w:color w:val="auto"/>
        </w:rPr>
        <w:sectPr>
          <w:footerReference r:id="rId3" w:type="default"/>
          <w:pgSz w:w="11906" w:h="16838"/>
          <w:pgMar w:top="1440" w:right="1800" w:bottom="1440" w:left="1800" w:header="851" w:footer="992" w:gutter="0"/>
          <w:pgNumType w:fmt="decimal"/>
          <w:cols w:space="425" w:num="1"/>
          <w:docGrid w:type="lines" w:linePitch="312" w:charSpace="0"/>
        </w:sectPr>
      </w:pPr>
    </w:p>
    <w:p w14:paraId="22BF55EA">
      <w:pPr>
        <w:rPr>
          <w:b/>
          <w:color w:val="auto"/>
        </w:rPr>
      </w:pPr>
    </w:p>
    <w:p w14:paraId="03155D31">
      <w:pPr>
        <w:pStyle w:val="120"/>
        <w:adjustRightInd w:val="0"/>
        <w:snapToGrid w:val="0"/>
        <w:spacing w:line="360" w:lineRule="auto"/>
        <w:ind w:firstLine="0" w:firstLineChars="0"/>
        <w:jc w:val="center"/>
        <w:outlineLvl w:val="9"/>
        <w:rPr>
          <w:rFonts w:hint="eastAsia" w:ascii="Times New Roman" w:hAnsi="Times New Roman" w:eastAsia="宋体"/>
          <w:b/>
          <w:color w:val="auto"/>
          <w:sz w:val="32"/>
          <w:szCs w:val="32"/>
        </w:rPr>
      </w:pPr>
      <w:bookmarkStart w:id="0" w:name="_Toc32437"/>
      <w:r>
        <w:rPr>
          <w:rFonts w:hint="eastAsia" w:ascii="Times New Roman" w:hAnsi="Times New Roman" w:eastAsia="宋体"/>
          <w:b/>
          <w:color w:val="auto"/>
          <w:sz w:val="32"/>
          <w:szCs w:val="32"/>
        </w:rPr>
        <w:t>杭州欣胜精密机械有限公司年产200台（套）圆锯床及其零</w:t>
      </w:r>
    </w:p>
    <w:p w14:paraId="214FB8AB">
      <w:pPr>
        <w:pStyle w:val="120"/>
        <w:adjustRightInd w:val="0"/>
        <w:snapToGrid w:val="0"/>
        <w:spacing w:line="360" w:lineRule="auto"/>
        <w:ind w:firstLine="0" w:firstLineChars="0"/>
        <w:jc w:val="center"/>
        <w:outlineLvl w:val="9"/>
        <w:rPr>
          <w:rFonts w:ascii="Times New Roman" w:hAnsi="Times New Roman" w:eastAsia="宋体"/>
          <w:b/>
          <w:color w:val="auto"/>
          <w:sz w:val="32"/>
          <w:szCs w:val="32"/>
        </w:rPr>
      </w:pPr>
      <w:r>
        <w:rPr>
          <w:rFonts w:hint="eastAsia" w:ascii="Times New Roman" w:hAnsi="Times New Roman" w:eastAsia="宋体"/>
          <w:b/>
          <w:color w:val="auto"/>
          <w:sz w:val="32"/>
          <w:szCs w:val="32"/>
        </w:rPr>
        <w:t>配件生产线技术改造项目情况说明</w:t>
      </w:r>
      <w:bookmarkEnd w:id="0"/>
      <w:r>
        <w:rPr>
          <w:rFonts w:hint="eastAsia" w:ascii="Times New Roman" w:hAnsi="Times New Roman" w:eastAsia="宋体"/>
          <w:b/>
          <w:color w:val="auto"/>
          <w:sz w:val="32"/>
          <w:szCs w:val="32"/>
        </w:rPr>
        <w:t xml:space="preserve">  </w:t>
      </w:r>
    </w:p>
    <w:p w14:paraId="0A6C369D">
      <w:pPr>
        <w:pStyle w:val="3"/>
        <w:spacing w:line="360" w:lineRule="auto"/>
        <w:jc w:val="left"/>
        <w:rPr>
          <w:color w:val="auto"/>
        </w:rPr>
      </w:pPr>
      <w:bookmarkStart w:id="1" w:name="_Toc15749"/>
      <w:r>
        <w:rPr>
          <w:rFonts w:hint="eastAsia"/>
          <w:color w:val="auto"/>
        </w:rPr>
        <w:t>一、建设项目环境影响分类管理名录对照</w:t>
      </w:r>
      <w:bookmarkEnd w:id="1"/>
    </w:p>
    <w:p w14:paraId="7477EB3D">
      <w:pPr>
        <w:pStyle w:val="120"/>
        <w:adjustRightInd w:val="0"/>
        <w:snapToGrid w:val="0"/>
        <w:spacing w:line="360" w:lineRule="auto"/>
        <w:rPr>
          <w:rFonts w:ascii="Times New Roman" w:hAnsi="Times New Roman" w:eastAsia="宋体"/>
          <w:color w:val="auto"/>
        </w:rPr>
      </w:pPr>
      <w:r>
        <w:rPr>
          <w:rFonts w:hint="eastAsia" w:ascii="Times New Roman" w:hAnsi="Times New Roman" w:eastAsia="宋体"/>
          <w:color w:val="auto"/>
        </w:rPr>
        <w:t>本项目生产部分为</w:t>
      </w:r>
      <w:r>
        <w:rPr>
          <w:rFonts w:hint="eastAsia" w:ascii="Times New Roman" w:hAnsi="Times New Roman" w:eastAsia="宋体"/>
          <w:color w:val="auto"/>
          <w:lang w:val="en-US" w:eastAsia="zh-CN"/>
        </w:rPr>
        <w:t>通用设备</w:t>
      </w:r>
      <w:r>
        <w:rPr>
          <w:rFonts w:hint="eastAsia" w:ascii="Times New Roman" w:hAnsi="Times New Roman" w:eastAsia="宋体"/>
          <w:color w:val="auto"/>
        </w:rPr>
        <w:t>制造，对照建设项目环境影响评价分类管理名录（2021年版），本项目属于</w:t>
      </w:r>
      <w:r>
        <w:rPr>
          <w:rFonts w:hint="eastAsia" w:ascii="Times New Roman" w:hAnsi="Times New Roman" w:eastAsia="宋体"/>
          <w:color w:val="auto"/>
          <w:lang w:eastAsia="zh-CN"/>
        </w:rPr>
        <w:t>“</w:t>
      </w:r>
      <w:r>
        <w:rPr>
          <w:rFonts w:hint="eastAsia" w:ascii="Times New Roman" w:hAnsi="Times New Roman" w:eastAsia="宋体"/>
          <w:color w:val="auto"/>
        </w:rPr>
        <w:t>三十一、通用设备制造业 34金属加工机械制造 342</w:t>
      </w:r>
      <w:r>
        <w:rPr>
          <w:rFonts w:hint="eastAsia" w:ascii="Times New Roman" w:hAnsi="Times New Roman" w:eastAsia="宋体"/>
          <w:color w:val="auto"/>
          <w:lang w:eastAsia="zh-CN"/>
        </w:rPr>
        <w:t>”</w:t>
      </w:r>
      <w:r>
        <w:rPr>
          <w:rFonts w:hint="eastAsia" w:ascii="Times New Roman" w:hAnsi="Times New Roman" w:eastAsia="宋体"/>
          <w:color w:val="auto"/>
        </w:rPr>
        <w:t>。本项目</w:t>
      </w:r>
      <w:r>
        <w:rPr>
          <w:rFonts w:hint="eastAsia" w:ascii="Times New Roman" w:hAnsi="Times New Roman" w:eastAsia="宋体"/>
          <w:color w:val="auto"/>
          <w:lang w:val="en-US" w:eastAsia="zh-CN"/>
        </w:rPr>
        <w:t>属于“</w:t>
      </w:r>
      <w:r>
        <w:rPr>
          <w:rFonts w:hint="eastAsia" w:ascii="Times New Roman" w:hAnsi="Times New Roman" w:eastAsia="宋体"/>
          <w:color w:val="auto"/>
        </w:rPr>
        <w:t>其他（仅分割、焊接、组装的除外；年用非溶剂型低VOCs含量涂料10吨以下的除外）</w:t>
      </w:r>
      <w:r>
        <w:rPr>
          <w:rFonts w:hint="eastAsia" w:ascii="Times New Roman" w:hAnsi="Times New Roman" w:eastAsia="宋体"/>
          <w:color w:val="auto"/>
          <w:lang w:eastAsia="zh-CN"/>
        </w:rPr>
        <w:t>”</w:t>
      </w:r>
      <w:r>
        <w:rPr>
          <w:rFonts w:hint="eastAsia" w:ascii="Times New Roman" w:hAnsi="Times New Roman" w:eastAsia="宋体"/>
          <w:color w:val="auto"/>
        </w:rPr>
        <w:t>，因此环评类别为报告表。</w:t>
      </w:r>
    </w:p>
    <w:p w14:paraId="37888AEE">
      <w:pPr>
        <w:pStyle w:val="116"/>
        <w:numPr>
          <w:ilvl w:val="0"/>
          <w:numId w:val="0"/>
        </w:numPr>
        <w:spacing w:before="156"/>
        <w:ind w:left="420" w:leftChars="0" w:hanging="420" w:firstLineChars="0"/>
        <w:rPr>
          <w:b w:val="0"/>
          <w:bCs/>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表1</w:t>
      </w:r>
      <w:r>
        <w:rPr>
          <w:rFonts w:hint="eastAsia"/>
          <w:color w:val="auto"/>
        </w:rPr>
        <w:t>建设项目环境影响评价分类管理名录（2021年版）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6D64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0C46AB66">
            <w:pPr>
              <w:ind w:left="-105" w:leftChars="-50" w:right="-105" w:rightChars="-50"/>
              <w:jc w:val="right"/>
              <w:rPr>
                <w:color w:val="auto"/>
              </w:rPr>
            </w:pPr>
            <w:r>
              <w:rPr>
                <w:color w:val="auto"/>
              </w:rPr>
              <w:t>环评类别</w:t>
            </w:r>
          </w:p>
          <w:p w14:paraId="0E2A20DB">
            <w:pPr>
              <w:ind w:left="-105" w:leftChars="-50" w:right="-105" w:rightChars="-50"/>
              <w:rPr>
                <w:color w:val="auto"/>
              </w:rPr>
            </w:pPr>
            <w:r>
              <w:rPr>
                <w:color w:val="auto"/>
              </w:rPr>
              <w:t>项目类别</w:t>
            </w:r>
          </w:p>
        </w:tc>
        <w:tc>
          <w:tcPr>
            <w:tcW w:w="1922" w:type="dxa"/>
            <w:vAlign w:val="center"/>
          </w:tcPr>
          <w:p w14:paraId="013B18E6">
            <w:pPr>
              <w:ind w:left="-105" w:leftChars="-50" w:right="-105" w:rightChars="-50"/>
              <w:jc w:val="center"/>
              <w:rPr>
                <w:color w:val="auto"/>
              </w:rPr>
            </w:pPr>
            <w:r>
              <w:rPr>
                <w:color w:val="auto"/>
              </w:rPr>
              <w:t>报告书</w:t>
            </w:r>
          </w:p>
        </w:tc>
        <w:tc>
          <w:tcPr>
            <w:tcW w:w="2268" w:type="dxa"/>
            <w:vAlign w:val="center"/>
          </w:tcPr>
          <w:p w14:paraId="5336F0E4">
            <w:pPr>
              <w:ind w:left="-105" w:leftChars="-50" w:right="-105" w:rightChars="-50"/>
              <w:jc w:val="center"/>
              <w:rPr>
                <w:color w:val="auto"/>
              </w:rPr>
            </w:pPr>
            <w:r>
              <w:rPr>
                <w:color w:val="auto"/>
              </w:rPr>
              <w:t>报告表</w:t>
            </w:r>
          </w:p>
        </w:tc>
        <w:tc>
          <w:tcPr>
            <w:tcW w:w="788" w:type="dxa"/>
            <w:vAlign w:val="center"/>
          </w:tcPr>
          <w:p w14:paraId="7DC443A7">
            <w:pPr>
              <w:ind w:left="-105" w:leftChars="-50" w:right="-105" w:rightChars="-50"/>
              <w:jc w:val="center"/>
              <w:rPr>
                <w:color w:val="auto"/>
              </w:rPr>
            </w:pPr>
            <w:r>
              <w:rPr>
                <w:color w:val="auto"/>
              </w:rPr>
              <w:t>登记表</w:t>
            </w:r>
          </w:p>
        </w:tc>
      </w:tr>
      <w:tr w14:paraId="7CCF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3B13AC8F">
            <w:pPr>
              <w:ind w:left="-105" w:leftChars="-50" w:right="-105" w:rightChars="-50"/>
              <w:rPr>
                <w:color w:val="auto"/>
              </w:rPr>
            </w:pPr>
            <w:r>
              <w:rPr>
                <w:rFonts w:hint="eastAsia" w:ascii="Times New Roman" w:hAnsi="Times New Roman" w:eastAsia="宋体"/>
                <w:color w:val="auto"/>
              </w:rPr>
              <w:t>三十一、通用设备制造业 34</w:t>
            </w:r>
          </w:p>
        </w:tc>
      </w:tr>
      <w:tr w14:paraId="239D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462195E3">
            <w:pPr>
              <w:ind w:left="-105" w:leftChars="-50" w:right="-105" w:rightChars="-50"/>
              <w:jc w:val="center"/>
              <w:rPr>
                <w:rFonts w:hint="default" w:eastAsia="宋体"/>
                <w:color w:val="auto"/>
                <w:lang w:val="en-US" w:eastAsia="zh-CN"/>
              </w:rPr>
            </w:pPr>
            <w:r>
              <w:rPr>
                <w:rFonts w:hint="eastAsia"/>
                <w:bCs/>
                <w:color w:val="auto"/>
                <w:lang w:val="en-US" w:eastAsia="zh-CN"/>
              </w:rPr>
              <w:t>69</w:t>
            </w:r>
          </w:p>
        </w:tc>
        <w:tc>
          <w:tcPr>
            <w:tcW w:w="2892" w:type="dxa"/>
            <w:vAlign w:val="center"/>
          </w:tcPr>
          <w:p w14:paraId="76E51FD5">
            <w:pPr>
              <w:ind w:right="-105" w:rightChars="-50"/>
              <w:rPr>
                <w:color w:val="auto"/>
              </w:rPr>
            </w:pPr>
            <w:r>
              <w:rPr>
                <w:rFonts w:hint="eastAsia"/>
                <w:b w:val="0"/>
                <w:bCs w:val="0"/>
                <w:color w:val="auto"/>
              </w:rPr>
              <w:t>锅炉及原动设备制造 341；</w:t>
            </w:r>
            <w:r>
              <w:rPr>
                <w:rFonts w:hint="eastAsia"/>
                <w:b/>
                <w:bCs/>
                <w:color w:val="auto"/>
              </w:rPr>
              <w:t>金属加工机械制造 342</w:t>
            </w:r>
            <w:r>
              <w:rPr>
                <w:rFonts w:hint="eastAsia"/>
                <w:b w:val="0"/>
                <w:bCs w:val="0"/>
                <w:color w:val="auto"/>
              </w:rPr>
              <w:t>；物料搬运设备制造 343；泵、阀门、压缩机及类似机械制造 344；轴承、齿轮和传动部件制造 345；烘炉、风机、包装等设备制造 346；文化、办公用机械制造 347；通用零部件制造 348；其他通用设备制造业 349</w:t>
            </w:r>
            <w:r>
              <w:rPr>
                <w:rFonts w:hint="eastAsia"/>
                <w:b/>
                <w:bCs/>
                <w:color w:val="auto"/>
              </w:rPr>
              <w:t xml:space="preserve"> </w:t>
            </w:r>
          </w:p>
        </w:tc>
        <w:tc>
          <w:tcPr>
            <w:tcW w:w="1922" w:type="dxa"/>
            <w:vAlign w:val="center"/>
          </w:tcPr>
          <w:p w14:paraId="4F0322BE">
            <w:pPr>
              <w:ind w:left="-105" w:leftChars="-50" w:right="-105" w:rightChars="-50"/>
              <w:rPr>
                <w:color w:val="auto"/>
              </w:rPr>
            </w:pPr>
            <w:r>
              <w:rPr>
                <w:rFonts w:hint="eastAsia"/>
                <w:color w:val="auto"/>
              </w:rPr>
              <w:t>有电镀工艺的；年用溶剂型涂料（含稀释剂）10吨及以上的</w:t>
            </w:r>
          </w:p>
        </w:tc>
        <w:tc>
          <w:tcPr>
            <w:tcW w:w="2268" w:type="dxa"/>
            <w:vAlign w:val="center"/>
          </w:tcPr>
          <w:p w14:paraId="4658B04F">
            <w:pPr>
              <w:ind w:left="-105" w:leftChars="-50" w:right="-105" w:rightChars="-50"/>
              <w:rPr>
                <w:color w:val="auto"/>
              </w:rPr>
            </w:pPr>
            <w:r>
              <w:rPr>
                <w:rFonts w:hint="eastAsia"/>
                <w:color w:val="auto"/>
              </w:rPr>
              <w:t>其他(仅分割、焊接、组装的除外；年用非溶剂型低V</w:t>
            </w:r>
            <w:r>
              <w:rPr>
                <w:rFonts w:hint="eastAsia"/>
                <w:color w:val="auto"/>
                <w:lang w:val="en-US" w:eastAsia="zh-CN"/>
              </w:rPr>
              <w:t>O</w:t>
            </w:r>
            <w:r>
              <w:rPr>
                <w:rFonts w:hint="eastAsia"/>
                <w:color w:val="auto"/>
              </w:rPr>
              <w:t>Cs含量涂料10吨以下的除外)</w:t>
            </w:r>
          </w:p>
        </w:tc>
        <w:tc>
          <w:tcPr>
            <w:tcW w:w="788" w:type="dxa"/>
            <w:vAlign w:val="center"/>
          </w:tcPr>
          <w:p w14:paraId="5370A602">
            <w:pPr>
              <w:ind w:left="-105" w:leftChars="-50" w:right="-105" w:rightChars="-50"/>
              <w:jc w:val="center"/>
              <w:rPr>
                <w:color w:val="auto"/>
              </w:rPr>
            </w:pPr>
            <w:r>
              <w:rPr>
                <w:color w:val="auto"/>
              </w:rPr>
              <w:t>/</w:t>
            </w:r>
          </w:p>
        </w:tc>
      </w:tr>
    </w:tbl>
    <w:p w14:paraId="39FC4F60">
      <w:pPr>
        <w:pStyle w:val="3"/>
        <w:spacing w:line="360" w:lineRule="auto"/>
        <w:jc w:val="left"/>
        <w:rPr>
          <w:color w:val="auto"/>
        </w:rPr>
      </w:pPr>
      <w:bookmarkStart w:id="2" w:name="_Toc18174"/>
      <w:r>
        <w:rPr>
          <w:rFonts w:hint="eastAsia"/>
          <w:color w:val="auto"/>
        </w:rPr>
        <w:t>二、</w:t>
      </w:r>
      <w:r>
        <w:rPr>
          <w:color w:val="auto"/>
        </w:rPr>
        <w:t>许可证管理等级判定</w:t>
      </w:r>
      <w:bookmarkEnd w:id="2"/>
    </w:p>
    <w:p w14:paraId="1F7DE0CE">
      <w:pPr>
        <w:pStyle w:val="120"/>
        <w:adjustRightInd w:val="0"/>
        <w:snapToGrid w:val="0"/>
        <w:spacing w:line="360" w:lineRule="auto"/>
        <w:rPr>
          <w:rFonts w:ascii="Times New Roman" w:hAnsi="Times New Roman" w:eastAsia="宋体"/>
          <w:color w:val="auto"/>
        </w:rPr>
      </w:pPr>
      <w:r>
        <w:rPr>
          <w:rFonts w:ascii="Times New Roman" w:hAnsi="Times New Roman" w:eastAsia="宋体"/>
          <w:color w:val="auto"/>
        </w:rPr>
        <w:t>根据《固定污染源排污许可分类管理名录》（2019年版），</w:t>
      </w:r>
      <w:r>
        <w:rPr>
          <w:rFonts w:hint="eastAsia" w:ascii="Times New Roman" w:hAnsi="Times New Roman" w:eastAsia="宋体"/>
          <w:color w:val="auto"/>
        </w:rPr>
        <w:t>本项目管理类别判定见下表</w:t>
      </w:r>
      <w:r>
        <w:rPr>
          <w:rFonts w:ascii="Times New Roman" w:hAnsi="Times New Roman" w:eastAsia="宋体"/>
          <w:color w:val="auto"/>
        </w:rPr>
        <w:t>。</w:t>
      </w:r>
    </w:p>
    <w:p w14:paraId="3B260AE4">
      <w:pPr>
        <w:pStyle w:val="116"/>
        <w:numPr>
          <w:ilvl w:val="0"/>
          <w:numId w:val="0"/>
        </w:numPr>
        <w:spacing w:before="156"/>
        <w:ind w:left="420" w:leftChars="0" w:hanging="420" w:firstLineChars="0"/>
        <w:rPr>
          <w:b w:val="0"/>
          <w:bCs/>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表2</w:t>
      </w:r>
      <w:r>
        <w:rPr>
          <w:rFonts w:hint="eastAsia"/>
          <w:color w:val="auto"/>
        </w:rPr>
        <w:t>企业排污许可管理类别归类表</w:t>
      </w:r>
    </w:p>
    <w:tbl>
      <w:tblPr>
        <w:tblStyle w:val="88"/>
        <w:tblW w:w="505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6"/>
        <w:gridCol w:w="1431"/>
        <w:gridCol w:w="2048"/>
        <w:gridCol w:w="2390"/>
        <w:gridCol w:w="932"/>
        <w:gridCol w:w="1025"/>
      </w:tblGrid>
      <w:tr w14:paraId="4A321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3D7C8E51">
            <w:pPr>
              <w:adjustRightInd w:val="0"/>
              <w:snapToGrid w:val="0"/>
              <w:jc w:val="center"/>
              <w:rPr>
                <w:color w:val="auto"/>
              </w:rPr>
            </w:pPr>
            <w:r>
              <w:rPr>
                <w:color w:val="auto"/>
              </w:rPr>
              <w:t>序号</w:t>
            </w:r>
          </w:p>
        </w:tc>
        <w:tc>
          <w:tcPr>
            <w:tcW w:w="1429" w:type="dxa"/>
            <w:vAlign w:val="center"/>
          </w:tcPr>
          <w:p w14:paraId="6E6C89D2">
            <w:pPr>
              <w:adjustRightInd w:val="0"/>
              <w:snapToGrid w:val="0"/>
              <w:jc w:val="center"/>
              <w:rPr>
                <w:color w:val="auto"/>
              </w:rPr>
            </w:pPr>
            <w:r>
              <w:rPr>
                <w:color w:val="auto"/>
              </w:rPr>
              <w:t>行业类别</w:t>
            </w:r>
          </w:p>
        </w:tc>
        <w:tc>
          <w:tcPr>
            <w:tcW w:w="2046" w:type="dxa"/>
            <w:vAlign w:val="center"/>
          </w:tcPr>
          <w:p w14:paraId="54F039AB">
            <w:pPr>
              <w:adjustRightInd w:val="0"/>
              <w:snapToGrid w:val="0"/>
              <w:jc w:val="center"/>
              <w:rPr>
                <w:color w:val="auto"/>
              </w:rPr>
            </w:pPr>
            <w:r>
              <w:rPr>
                <w:color w:val="auto"/>
              </w:rPr>
              <w:t>重点管理</w:t>
            </w:r>
          </w:p>
        </w:tc>
        <w:tc>
          <w:tcPr>
            <w:tcW w:w="2387" w:type="dxa"/>
            <w:vAlign w:val="center"/>
          </w:tcPr>
          <w:p w14:paraId="1EE1430B">
            <w:pPr>
              <w:adjustRightInd w:val="0"/>
              <w:snapToGrid w:val="0"/>
              <w:jc w:val="center"/>
              <w:rPr>
                <w:color w:val="auto"/>
              </w:rPr>
            </w:pPr>
            <w:r>
              <w:rPr>
                <w:color w:val="auto"/>
              </w:rPr>
              <w:t>简化管理</w:t>
            </w:r>
          </w:p>
        </w:tc>
        <w:tc>
          <w:tcPr>
            <w:tcW w:w="931" w:type="dxa"/>
            <w:vAlign w:val="center"/>
          </w:tcPr>
          <w:p w14:paraId="42D5C261">
            <w:pPr>
              <w:adjustRightInd w:val="0"/>
              <w:snapToGrid w:val="0"/>
              <w:jc w:val="center"/>
              <w:rPr>
                <w:color w:val="auto"/>
              </w:rPr>
            </w:pPr>
            <w:r>
              <w:rPr>
                <w:color w:val="auto"/>
              </w:rPr>
              <w:t>登记管理</w:t>
            </w:r>
          </w:p>
        </w:tc>
        <w:tc>
          <w:tcPr>
            <w:tcW w:w="1024" w:type="dxa"/>
            <w:vAlign w:val="center"/>
          </w:tcPr>
          <w:p w14:paraId="1D8EE4B9">
            <w:pPr>
              <w:adjustRightInd w:val="0"/>
              <w:snapToGrid w:val="0"/>
              <w:jc w:val="center"/>
              <w:rPr>
                <w:color w:val="auto"/>
              </w:rPr>
            </w:pPr>
            <w:r>
              <w:rPr>
                <w:rFonts w:hint="eastAsia"/>
                <w:color w:val="auto"/>
              </w:rPr>
              <w:t>本项目管</w:t>
            </w:r>
          </w:p>
          <w:p w14:paraId="0DE94CC0">
            <w:pPr>
              <w:adjustRightInd w:val="0"/>
              <w:snapToGrid w:val="0"/>
              <w:jc w:val="center"/>
              <w:rPr>
                <w:color w:val="auto"/>
              </w:rPr>
            </w:pPr>
            <w:r>
              <w:rPr>
                <w:rFonts w:hint="eastAsia"/>
                <w:color w:val="auto"/>
              </w:rPr>
              <w:t>理类别</w:t>
            </w:r>
          </w:p>
        </w:tc>
      </w:tr>
      <w:tr w14:paraId="6D7FA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402" w:type="dxa"/>
            <w:gridSpan w:val="6"/>
            <w:vAlign w:val="center"/>
          </w:tcPr>
          <w:p w14:paraId="7E9321AB">
            <w:pPr>
              <w:adjustRightInd w:val="0"/>
              <w:snapToGrid w:val="0"/>
              <w:rPr>
                <w:color w:val="auto"/>
              </w:rPr>
            </w:pPr>
            <w:r>
              <w:rPr>
                <w:rFonts w:hint="eastAsia"/>
                <w:color w:val="auto"/>
              </w:rPr>
              <w:t>二十九、通用设备制造业34</w:t>
            </w:r>
          </w:p>
        </w:tc>
      </w:tr>
      <w:tr w14:paraId="53AC3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554FF90D">
            <w:pPr>
              <w:adjustRightInd w:val="0"/>
              <w:snapToGrid w:val="0"/>
              <w:jc w:val="center"/>
              <w:rPr>
                <w:rFonts w:hint="default" w:eastAsia="宋体"/>
                <w:color w:val="auto"/>
                <w:lang w:val="en-US" w:eastAsia="zh-CN"/>
              </w:rPr>
            </w:pPr>
            <w:r>
              <w:rPr>
                <w:rFonts w:hint="eastAsia"/>
                <w:color w:val="auto"/>
                <w:lang w:val="en-US" w:eastAsia="zh-CN"/>
              </w:rPr>
              <w:t>83</w:t>
            </w:r>
          </w:p>
        </w:tc>
        <w:tc>
          <w:tcPr>
            <w:tcW w:w="1429" w:type="dxa"/>
            <w:vAlign w:val="center"/>
          </w:tcPr>
          <w:p w14:paraId="07C4F9AF">
            <w:pPr>
              <w:adjustRightInd w:val="0"/>
              <w:snapToGrid w:val="0"/>
              <w:jc w:val="center"/>
              <w:rPr>
                <w:rFonts w:hint="eastAsia"/>
                <w:color w:val="auto"/>
              </w:rPr>
            </w:pPr>
            <w:r>
              <w:rPr>
                <w:rFonts w:hint="eastAsia"/>
                <w:color w:val="auto"/>
              </w:rPr>
              <w:t>锅炉及原动设备制造341，</w:t>
            </w:r>
            <w:r>
              <w:rPr>
                <w:rFonts w:hint="eastAsia"/>
                <w:b/>
                <w:bCs/>
                <w:color w:val="auto"/>
              </w:rPr>
              <w:t>金属加工机械制造342</w:t>
            </w:r>
            <w:r>
              <w:rPr>
                <w:rFonts w:hint="eastAsia"/>
                <w:color w:val="auto"/>
              </w:rPr>
              <w:t>，物料搬运设备制造</w:t>
            </w:r>
          </w:p>
          <w:p w14:paraId="78124EE5">
            <w:pPr>
              <w:adjustRightInd w:val="0"/>
              <w:snapToGrid w:val="0"/>
              <w:jc w:val="both"/>
              <w:rPr>
                <w:color w:val="auto"/>
              </w:rPr>
            </w:pPr>
            <w:r>
              <w:rPr>
                <w:rFonts w:hint="eastAsia"/>
                <w:color w:val="auto"/>
              </w:rPr>
              <w:t xml:space="preserve">343，泵、阀门、压缩机及类似机械制造344，轴承、齿轮和传动部件制造345，烘炉、风机、包装等设备制造346，文化、办公用机械制造347，通用零部件制造348，其他通用设备制造业349 </w:t>
            </w:r>
          </w:p>
        </w:tc>
        <w:tc>
          <w:tcPr>
            <w:tcW w:w="2046" w:type="dxa"/>
            <w:vAlign w:val="center"/>
          </w:tcPr>
          <w:p w14:paraId="7169ABF6">
            <w:pPr>
              <w:adjustRightInd w:val="0"/>
              <w:snapToGrid w:val="0"/>
              <w:jc w:val="center"/>
              <w:rPr>
                <w:color w:val="auto"/>
              </w:rPr>
            </w:pPr>
            <w:r>
              <w:rPr>
                <w:rFonts w:hint="eastAsia"/>
                <w:color w:val="auto"/>
              </w:rPr>
              <w:t>涉及通用工序重点管理的</w:t>
            </w:r>
          </w:p>
        </w:tc>
        <w:tc>
          <w:tcPr>
            <w:tcW w:w="2387" w:type="dxa"/>
            <w:vAlign w:val="center"/>
          </w:tcPr>
          <w:p w14:paraId="7DF6F779">
            <w:pPr>
              <w:autoSpaceDE w:val="0"/>
              <w:autoSpaceDN w:val="0"/>
              <w:adjustRightInd w:val="0"/>
              <w:snapToGrid w:val="0"/>
              <w:jc w:val="left"/>
              <w:rPr>
                <w:color w:val="auto"/>
              </w:rPr>
            </w:pPr>
            <w:r>
              <w:rPr>
                <w:rFonts w:hint="eastAsia"/>
                <w:color w:val="auto"/>
              </w:rPr>
              <w:t>涉及通用工序简化管理的</w:t>
            </w:r>
          </w:p>
        </w:tc>
        <w:tc>
          <w:tcPr>
            <w:tcW w:w="931" w:type="dxa"/>
            <w:vAlign w:val="center"/>
          </w:tcPr>
          <w:p w14:paraId="0680C795">
            <w:pPr>
              <w:adjustRightInd w:val="0"/>
              <w:snapToGrid w:val="0"/>
              <w:jc w:val="center"/>
              <w:rPr>
                <w:bCs/>
                <w:color w:val="auto"/>
              </w:rPr>
            </w:pPr>
            <w:r>
              <w:rPr>
                <w:rFonts w:hint="eastAsia"/>
                <w:bCs/>
                <w:color w:val="auto"/>
              </w:rPr>
              <w:t>其他</w:t>
            </w:r>
          </w:p>
        </w:tc>
        <w:tc>
          <w:tcPr>
            <w:tcW w:w="1024" w:type="dxa"/>
            <w:vAlign w:val="center"/>
          </w:tcPr>
          <w:p w14:paraId="157564E4">
            <w:pPr>
              <w:adjustRightInd w:val="0"/>
              <w:snapToGrid w:val="0"/>
              <w:jc w:val="center"/>
              <w:rPr>
                <w:rFonts w:hint="eastAsia" w:eastAsia="宋体"/>
                <w:bCs/>
                <w:color w:val="auto"/>
                <w:lang w:eastAsia="zh-CN"/>
              </w:rPr>
            </w:pPr>
            <w:r>
              <w:rPr>
                <w:rFonts w:hint="eastAsia"/>
                <w:color w:val="auto"/>
                <w:lang w:val="en-US" w:eastAsia="zh-CN"/>
              </w:rPr>
              <w:t>登记管理</w:t>
            </w:r>
          </w:p>
        </w:tc>
      </w:tr>
      <w:tr w14:paraId="615FC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402" w:type="dxa"/>
            <w:gridSpan w:val="6"/>
            <w:vAlign w:val="center"/>
          </w:tcPr>
          <w:p w14:paraId="668477AC">
            <w:pPr>
              <w:adjustRightInd w:val="0"/>
              <w:snapToGrid w:val="0"/>
              <w:jc w:val="left"/>
              <w:rPr>
                <w:rFonts w:hint="eastAsia"/>
                <w:color w:val="auto"/>
              </w:rPr>
            </w:pPr>
            <w:r>
              <w:rPr>
                <w:rFonts w:hint="eastAsia"/>
                <w:color w:val="auto"/>
              </w:rPr>
              <w:t>五十一、通用工序</w:t>
            </w:r>
          </w:p>
        </w:tc>
      </w:tr>
      <w:tr w14:paraId="618EF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6B78A575">
            <w:pPr>
              <w:adjustRightInd w:val="0"/>
              <w:snapToGrid w:val="0"/>
              <w:jc w:val="center"/>
              <w:rPr>
                <w:rFonts w:hint="default" w:eastAsia="宋体"/>
                <w:color w:val="auto"/>
                <w:lang w:val="en-US" w:eastAsia="zh-CN"/>
              </w:rPr>
            </w:pPr>
            <w:r>
              <w:rPr>
                <w:rFonts w:hint="eastAsia"/>
                <w:color w:val="auto"/>
                <w:lang w:val="en-US" w:eastAsia="zh-CN"/>
              </w:rPr>
              <w:t>111</w:t>
            </w:r>
          </w:p>
        </w:tc>
        <w:tc>
          <w:tcPr>
            <w:tcW w:w="1429" w:type="dxa"/>
            <w:vAlign w:val="center"/>
          </w:tcPr>
          <w:p w14:paraId="124FB5EA">
            <w:pPr>
              <w:adjustRightInd w:val="0"/>
              <w:snapToGrid w:val="0"/>
              <w:jc w:val="center"/>
              <w:rPr>
                <w:rFonts w:hint="eastAsia" w:eastAsia="宋体"/>
                <w:b w:val="0"/>
                <w:bCs w:val="0"/>
                <w:color w:val="auto"/>
                <w:lang w:val="en-US" w:eastAsia="zh-CN"/>
              </w:rPr>
            </w:pPr>
            <w:r>
              <w:rPr>
                <w:rFonts w:hint="eastAsia"/>
                <w:b w:val="0"/>
                <w:bCs w:val="0"/>
                <w:color w:val="auto"/>
                <w:lang w:val="en-US" w:eastAsia="zh-CN"/>
              </w:rPr>
              <w:t>表面处理</w:t>
            </w:r>
          </w:p>
        </w:tc>
        <w:tc>
          <w:tcPr>
            <w:tcW w:w="2046" w:type="dxa"/>
            <w:vAlign w:val="center"/>
          </w:tcPr>
          <w:p w14:paraId="006A7EF2">
            <w:pPr>
              <w:adjustRightInd w:val="0"/>
              <w:snapToGrid w:val="0"/>
              <w:jc w:val="center"/>
              <w:rPr>
                <w:rFonts w:hint="eastAsia"/>
                <w:color w:val="auto"/>
              </w:rPr>
            </w:pPr>
            <w:r>
              <w:rPr>
                <w:rFonts w:hint="eastAsia"/>
                <w:color w:val="auto"/>
              </w:rPr>
              <w:t>纳入重点排污单位名录的</w:t>
            </w:r>
          </w:p>
        </w:tc>
        <w:tc>
          <w:tcPr>
            <w:tcW w:w="2387" w:type="dxa"/>
            <w:vAlign w:val="center"/>
          </w:tcPr>
          <w:p w14:paraId="4053AE6C">
            <w:pPr>
              <w:autoSpaceDE w:val="0"/>
              <w:autoSpaceDN w:val="0"/>
              <w:adjustRightInd w:val="0"/>
              <w:snapToGrid w:val="0"/>
              <w:jc w:val="left"/>
              <w:rPr>
                <w:rFonts w:hint="eastAsia"/>
                <w:color w:val="auto"/>
              </w:rPr>
            </w:pPr>
            <w:r>
              <w:rPr>
                <w:rFonts w:hint="eastAsia"/>
                <w:color w:val="auto"/>
              </w:rPr>
              <w:t xml:space="preserve">除纳入重点排污单位名录的，有电镀工序、酸洗、抛光（电解抛光和化学抛光）、热浸镀（溶剂法）、淬火或者钝化等工序的、年使用10吨及以上有机溶剂的 </w:t>
            </w:r>
          </w:p>
        </w:tc>
        <w:tc>
          <w:tcPr>
            <w:tcW w:w="931" w:type="dxa"/>
            <w:vAlign w:val="center"/>
          </w:tcPr>
          <w:p w14:paraId="1BEDBC5A">
            <w:pPr>
              <w:adjustRightInd w:val="0"/>
              <w:snapToGrid w:val="0"/>
              <w:jc w:val="center"/>
              <w:rPr>
                <w:rFonts w:hint="eastAsia"/>
                <w:bCs/>
                <w:color w:val="auto"/>
              </w:rPr>
            </w:pPr>
            <w:r>
              <w:rPr>
                <w:rFonts w:hint="eastAsia"/>
                <w:bCs/>
                <w:color w:val="auto"/>
              </w:rPr>
              <w:t>其他</w:t>
            </w:r>
          </w:p>
        </w:tc>
        <w:tc>
          <w:tcPr>
            <w:tcW w:w="1024" w:type="dxa"/>
            <w:vAlign w:val="center"/>
          </w:tcPr>
          <w:p w14:paraId="23B7ED63">
            <w:pPr>
              <w:adjustRightInd w:val="0"/>
              <w:snapToGrid w:val="0"/>
              <w:jc w:val="center"/>
              <w:rPr>
                <w:rFonts w:hint="default" w:eastAsia="宋体"/>
                <w:color w:val="auto"/>
                <w:lang w:val="en-US" w:eastAsia="zh-CN"/>
              </w:rPr>
            </w:pPr>
            <w:r>
              <w:rPr>
                <w:rFonts w:hint="eastAsia"/>
                <w:color w:val="auto"/>
                <w:lang w:val="en-US" w:eastAsia="zh-CN"/>
              </w:rPr>
              <w:t>本项目涉及涂装，登记管理</w:t>
            </w:r>
          </w:p>
        </w:tc>
      </w:tr>
    </w:tbl>
    <w:p w14:paraId="53866246">
      <w:pPr>
        <w:pStyle w:val="122"/>
        <w:adjustRightInd w:val="0"/>
        <w:snapToGrid w:val="0"/>
        <w:ind w:firstLine="480"/>
        <w:rPr>
          <w:color w:val="auto"/>
        </w:rPr>
      </w:pPr>
      <w:r>
        <w:rPr>
          <w:rFonts w:hint="eastAsia"/>
          <w:color w:val="auto"/>
        </w:rPr>
        <w:t>本项目为金属加工机械制造342，</w:t>
      </w:r>
      <w:r>
        <w:rPr>
          <w:rFonts w:hint="eastAsia"/>
          <w:color w:val="auto"/>
          <w:lang w:val="en-US" w:eastAsia="zh-CN"/>
        </w:rPr>
        <w:t>根据《杭州市生态环境局关于印发2025年杭州市环境监管重点单位名录的通知》，杭州欣胜精密机械有限公司</w:t>
      </w:r>
      <w:r>
        <w:rPr>
          <w:rFonts w:hint="eastAsia"/>
          <w:color w:val="auto"/>
        </w:rPr>
        <w:t>未被列入纳入重点排污单位名录，</w:t>
      </w:r>
      <w:r>
        <w:rPr>
          <w:rFonts w:hint="eastAsia"/>
          <w:color w:val="auto"/>
          <w:lang w:val="en-US" w:eastAsia="zh-CN"/>
        </w:rPr>
        <w:t>本项目涉及涂装工序，不涉及“电镀工序、酸洗、抛光（电解抛光和化学抛光）、热浸镀（溶剂法）、淬火或者钝化等工序的、年使用10吨及以上有机溶剂的”属于“其他”类，</w:t>
      </w:r>
      <w:r>
        <w:rPr>
          <w:rFonts w:hint="eastAsia"/>
          <w:color w:val="auto"/>
        </w:rPr>
        <w:t>因此根据上表判定可得，本项目属于登记管理类。</w:t>
      </w:r>
    </w:p>
    <w:p w14:paraId="657507AC">
      <w:pPr>
        <w:pStyle w:val="122"/>
        <w:adjustRightInd w:val="0"/>
        <w:snapToGrid w:val="0"/>
        <w:ind w:firstLine="480"/>
        <w:rPr>
          <w:color w:val="auto"/>
        </w:rPr>
      </w:pPr>
      <w:r>
        <w:rPr>
          <w:rFonts w:hint="eastAsia"/>
          <w:color w:val="auto"/>
          <w:lang w:val="en-US" w:eastAsia="zh-CN"/>
        </w:rPr>
        <w:t>企业目前已于2025年5月7日申请延续排污登记，登记编号91330110MA27YJ792U001X，</w:t>
      </w:r>
      <w:r>
        <w:rPr>
          <w:rFonts w:hint="eastAsia"/>
          <w:color w:val="auto"/>
        </w:rPr>
        <w:t>本项目实施后，企业应及时在全国排污许可证管理信息平台变更排污许可</w:t>
      </w:r>
      <w:r>
        <w:rPr>
          <w:rFonts w:hint="eastAsia"/>
          <w:color w:val="auto"/>
          <w:lang w:val="en-US" w:eastAsia="zh-CN"/>
        </w:rPr>
        <w:t>登记</w:t>
      </w:r>
      <w:r>
        <w:rPr>
          <w:rFonts w:hint="eastAsia"/>
          <w:color w:val="auto"/>
        </w:rPr>
        <w:t>相关信息。</w:t>
      </w:r>
    </w:p>
    <w:p w14:paraId="55B42F12">
      <w:pPr>
        <w:pStyle w:val="3"/>
        <w:spacing w:line="360" w:lineRule="auto"/>
        <w:jc w:val="left"/>
        <w:rPr>
          <w:color w:val="auto"/>
        </w:rPr>
      </w:pPr>
      <w:bookmarkStart w:id="3" w:name="_Toc13474"/>
      <w:r>
        <w:rPr>
          <w:rFonts w:hint="eastAsia"/>
          <w:color w:val="auto"/>
        </w:rPr>
        <w:t>三、位置图（具体见附图1、附图2、附图3、附图4、附图5）</w:t>
      </w:r>
      <w:bookmarkEnd w:id="3"/>
    </w:p>
    <w:p w14:paraId="7C7E9A5B">
      <w:pPr>
        <w:pStyle w:val="122"/>
        <w:ind w:firstLine="482"/>
        <w:jc w:val="left"/>
        <w:outlineLvl w:val="1"/>
        <w:rPr>
          <w:b/>
          <w:color w:val="auto"/>
        </w:rPr>
      </w:pPr>
      <w:bookmarkStart w:id="4" w:name="_Toc4792"/>
      <w:r>
        <w:rPr>
          <w:rFonts w:hint="eastAsia"/>
          <w:b/>
          <w:color w:val="auto"/>
        </w:rPr>
        <w:t>（1）环境保护目标</w:t>
      </w:r>
      <w:bookmarkEnd w:id="4"/>
    </w:p>
    <w:p w14:paraId="1FF48694">
      <w:pPr>
        <w:pStyle w:val="122"/>
        <w:ind w:firstLine="482"/>
        <w:jc w:val="left"/>
        <w:rPr>
          <w:b/>
          <w:color w:val="auto"/>
        </w:rPr>
      </w:pPr>
      <w:r>
        <w:rPr>
          <w:rFonts w:hint="eastAsia"/>
          <w:b/>
          <w:color w:val="auto"/>
        </w:rPr>
        <w:t>1、大气环境</w:t>
      </w:r>
    </w:p>
    <w:p w14:paraId="02DB9670">
      <w:pPr>
        <w:spacing w:line="360" w:lineRule="auto"/>
        <w:ind w:firstLine="480" w:firstLineChars="200"/>
        <w:rPr>
          <w:color w:val="auto"/>
          <w:sz w:val="24"/>
          <w:szCs w:val="24"/>
          <w:lang w:val="zh-CN"/>
        </w:rPr>
      </w:pPr>
      <w:r>
        <w:rPr>
          <w:color w:val="auto"/>
          <w:sz w:val="24"/>
          <w:szCs w:val="24"/>
        </w:rPr>
        <w:t>据调查，</w:t>
      </w:r>
      <w:r>
        <w:rPr>
          <w:rFonts w:hint="eastAsia"/>
          <w:color w:val="auto"/>
          <w:sz w:val="24"/>
          <w:szCs w:val="24"/>
        </w:rPr>
        <w:t>项目厂界外500m范围内</w:t>
      </w:r>
      <w:r>
        <w:rPr>
          <w:color w:val="auto"/>
          <w:sz w:val="24"/>
          <w:szCs w:val="24"/>
        </w:rPr>
        <w:t>大气环境评价范围内保护目标见下表</w:t>
      </w:r>
      <w:r>
        <w:rPr>
          <w:color w:val="auto"/>
          <w:sz w:val="24"/>
          <w:szCs w:val="24"/>
          <w:lang w:val="zh-CN"/>
        </w:rPr>
        <w:t>。</w:t>
      </w:r>
    </w:p>
    <w:p w14:paraId="3D2702C8">
      <w:pPr>
        <w:pStyle w:val="116"/>
        <w:numPr>
          <w:ilvl w:val="0"/>
          <w:numId w:val="0"/>
        </w:numPr>
        <w:spacing w:before="156"/>
        <w:ind w:left="420" w:leftChars="0" w:hanging="420" w:firstLineChars="0"/>
        <w:rPr>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表3</w:t>
      </w:r>
      <w:r>
        <w:rPr>
          <w:color w:val="auto"/>
        </w:rPr>
        <w:t xml:space="preserve"> 大气环境保护目标基本情况</w:t>
      </w:r>
    </w:p>
    <w:tbl>
      <w:tblPr>
        <w:tblStyle w:val="88"/>
        <w:tblW w:w="502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87"/>
        <w:gridCol w:w="1476"/>
        <w:gridCol w:w="490"/>
        <w:gridCol w:w="1548"/>
        <w:gridCol w:w="972"/>
        <w:gridCol w:w="1299"/>
        <w:gridCol w:w="494"/>
        <w:gridCol w:w="1593"/>
      </w:tblGrid>
      <w:tr w14:paraId="38CC7C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1" w:type="pct"/>
            <w:vMerge w:val="restart"/>
            <w:vAlign w:val="center"/>
          </w:tcPr>
          <w:p w14:paraId="1CA28010">
            <w:pPr>
              <w:spacing w:line="240" w:lineRule="atLeast"/>
              <w:jc w:val="center"/>
              <w:rPr>
                <w:color w:val="auto"/>
              </w:rPr>
            </w:pPr>
            <w:r>
              <w:rPr>
                <w:color w:val="auto"/>
              </w:rPr>
              <w:t>环境</w:t>
            </w:r>
          </w:p>
          <w:p w14:paraId="2117A248">
            <w:pPr>
              <w:spacing w:line="240" w:lineRule="atLeast"/>
              <w:jc w:val="center"/>
              <w:rPr>
                <w:color w:val="auto"/>
              </w:rPr>
            </w:pPr>
            <w:r>
              <w:rPr>
                <w:color w:val="auto"/>
              </w:rPr>
              <w:t>要素</w:t>
            </w:r>
          </w:p>
        </w:tc>
        <w:tc>
          <w:tcPr>
            <w:tcW w:w="882" w:type="pct"/>
            <w:vMerge w:val="restart"/>
            <w:vAlign w:val="center"/>
          </w:tcPr>
          <w:p w14:paraId="22B96E0A">
            <w:pPr>
              <w:spacing w:line="240" w:lineRule="atLeast"/>
              <w:jc w:val="center"/>
              <w:rPr>
                <w:color w:val="auto"/>
              </w:rPr>
            </w:pPr>
            <w:r>
              <w:rPr>
                <w:color w:val="auto"/>
              </w:rPr>
              <w:t>保护目标名称</w:t>
            </w:r>
          </w:p>
        </w:tc>
        <w:tc>
          <w:tcPr>
            <w:tcW w:w="293" w:type="pct"/>
            <w:vMerge w:val="restart"/>
            <w:vAlign w:val="center"/>
          </w:tcPr>
          <w:p w14:paraId="3EBF2CDB">
            <w:pPr>
              <w:spacing w:line="240" w:lineRule="atLeast"/>
              <w:jc w:val="center"/>
              <w:rPr>
                <w:color w:val="auto"/>
              </w:rPr>
            </w:pPr>
            <w:r>
              <w:rPr>
                <w:color w:val="auto"/>
              </w:rPr>
              <w:t>保护</w:t>
            </w:r>
          </w:p>
          <w:p w14:paraId="4728A261">
            <w:pPr>
              <w:spacing w:line="240" w:lineRule="atLeast"/>
              <w:jc w:val="center"/>
              <w:rPr>
                <w:color w:val="auto"/>
              </w:rPr>
            </w:pPr>
            <w:r>
              <w:rPr>
                <w:color w:val="auto"/>
              </w:rPr>
              <w:t>对象</w:t>
            </w:r>
          </w:p>
        </w:tc>
        <w:tc>
          <w:tcPr>
            <w:tcW w:w="925" w:type="pct"/>
            <w:vMerge w:val="restart"/>
            <w:vAlign w:val="center"/>
          </w:tcPr>
          <w:p w14:paraId="7CEA2E63">
            <w:pPr>
              <w:spacing w:line="240" w:lineRule="atLeast"/>
              <w:jc w:val="center"/>
              <w:rPr>
                <w:color w:val="auto"/>
              </w:rPr>
            </w:pPr>
            <w:r>
              <w:rPr>
                <w:color w:val="auto"/>
              </w:rPr>
              <w:t>规模</w:t>
            </w:r>
          </w:p>
        </w:tc>
        <w:tc>
          <w:tcPr>
            <w:tcW w:w="581" w:type="pct"/>
            <w:vMerge w:val="restart"/>
            <w:vAlign w:val="center"/>
          </w:tcPr>
          <w:p w14:paraId="3F029349">
            <w:pPr>
              <w:spacing w:line="240" w:lineRule="atLeast"/>
              <w:jc w:val="center"/>
              <w:rPr>
                <w:color w:val="auto"/>
              </w:rPr>
            </w:pPr>
            <w:r>
              <w:rPr>
                <w:color w:val="auto"/>
              </w:rPr>
              <w:t>保护</w:t>
            </w:r>
          </w:p>
          <w:p w14:paraId="60D93328">
            <w:pPr>
              <w:spacing w:line="240" w:lineRule="atLeast"/>
              <w:jc w:val="center"/>
              <w:rPr>
                <w:color w:val="auto"/>
              </w:rPr>
            </w:pPr>
            <w:r>
              <w:rPr>
                <w:color w:val="auto"/>
              </w:rPr>
              <w:t>内容</w:t>
            </w:r>
          </w:p>
        </w:tc>
        <w:tc>
          <w:tcPr>
            <w:tcW w:w="776" w:type="pct"/>
            <w:vMerge w:val="restart"/>
            <w:vAlign w:val="center"/>
          </w:tcPr>
          <w:p w14:paraId="078C64FE">
            <w:pPr>
              <w:spacing w:line="240" w:lineRule="atLeast"/>
              <w:jc w:val="center"/>
              <w:rPr>
                <w:color w:val="auto"/>
              </w:rPr>
            </w:pPr>
            <w:r>
              <w:rPr>
                <w:color w:val="auto"/>
              </w:rPr>
              <w:t>环境</w:t>
            </w:r>
          </w:p>
          <w:p w14:paraId="300B277C">
            <w:pPr>
              <w:spacing w:line="240" w:lineRule="atLeast"/>
              <w:jc w:val="center"/>
              <w:rPr>
                <w:color w:val="auto"/>
              </w:rPr>
            </w:pPr>
            <w:r>
              <w:rPr>
                <w:color w:val="auto"/>
              </w:rPr>
              <w:t>功能区</w:t>
            </w:r>
          </w:p>
        </w:tc>
        <w:tc>
          <w:tcPr>
            <w:tcW w:w="295" w:type="pct"/>
            <w:vMerge w:val="restart"/>
            <w:vAlign w:val="center"/>
          </w:tcPr>
          <w:p w14:paraId="36F69744">
            <w:pPr>
              <w:spacing w:line="240" w:lineRule="atLeast"/>
              <w:jc w:val="center"/>
              <w:rPr>
                <w:color w:val="auto"/>
              </w:rPr>
            </w:pPr>
            <w:r>
              <w:rPr>
                <w:color w:val="auto"/>
              </w:rPr>
              <w:t>方位</w:t>
            </w:r>
          </w:p>
        </w:tc>
        <w:tc>
          <w:tcPr>
            <w:tcW w:w="952" w:type="pct"/>
            <w:vMerge w:val="restart"/>
            <w:vAlign w:val="center"/>
          </w:tcPr>
          <w:p w14:paraId="2D15CFAA">
            <w:pPr>
              <w:spacing w:line="240" w:lineRule="atLeast"/>
              <w:jc w:val="center"/>
              <w:rPr>
                <w:color w:val="auto"/>
              </w:rPr>
            </w:pPr>
            <w:r>
              <w:rPr>
                <w:rFonts w:hint="eastAsia"/>
                <w:color w:val="auto"/>
              </w:rPr>
              <w:t>相对</w:t>
            </w:r>
            <w:r>
              <w:rPr>
                <w:color w:val="auto"/>
              </w:rPr>
              <w:t>距离(m)</w:t>
            </w:r>
          </w:p>
        </w:tc>
      </w:tr>
      <w:tr w14:paraId="1477DC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1" w:type="pct"/>
            <w:vMerge w:val="continue"/>
            <w:vAlign w:val="center"/>
          </w:tcPr>
          <w:p w14:paraId="17E19DF1">
            <w:pPr>
              <w:spacing w:line="240" w:lineRule="atLeast"/>
              <w:jc w:val="center"/>
              <w:rPr>
                <w:color w:val="auto"/>
              </w:rPr>
            </w:pPr>
          </w:p>
        </w:tc>
        <w:tc>
          <w:tcPr>
            <w:tcW w:w="882" w:type="pct"/>
            <w:vMerge w:val="continue"/>
            <w:vAlign w:val="center"/>
          </w:tcPr>
          <w:p w14:paraId="4574D41B">
            <w:pPr>
              <w:spacing w:line="240" w:lineRule="atLeast"/>
              <w:jc w:val="center"/>
              <w:rPr>
                <w:color w:val="auto"/>
              </w:rPr>
            </w:pPr>
          </w:p>
        </w:tc>
        <w:tc>
          <w:tcPr>
            <w:tcW w:w="293" w:type="pct"/>
            <w:vMerge w:val="continue"/>
            <w:vAlign w:val="center"/>
          </w:tcPr>
          <w:p w14:paraId="2DF9FA6F">
            <w:pPr>
              <w:spacing w:line="240" w:lineRule="atLeast"/>
              <w:jc w:val="center"/>
              <w:rPr>
                <w:color w:val="auto"/>
              </w:rPr>
            </w:pPr>
          </w:p>
        </w:tc>
        <w:tc>
          <w:tcPr>
            <w:tcW w:w="925" w:type="pct"/>
            <w:vMerge w:val="continue"/>
            <w:vAlign w:val="center"/>
          </w:tcPr>
          <w:p w14:paraId="6A093A01">
            <w:pPr>
              <w:spacing w:line="240" w:lineRule="atLeast"/>
              <w:jc w:val="center"/>
              <w:rPr>
                <w:color w:val="auto"/>
              </w:rPr>
            </w:pPr>
          </w:p>
        </w:tc>
        <w:tc>
          <w:tcPr>
            <w:tcW w:w="581" w:type="pct"/>
            <w:vMerge w:val="continue"/>
            <w:vAlign w:val="center"/>
          </w:tcPr>
          <w:p w14:paraId="7F0335B7">
            <w:pPr>
              <w:spacing w:line="240" w:lineRule="atLeast"/>
              <w:jc w:val="center"/>
              <w:rPr>
                <w:color w:val="auto"/>
              </w:rPr>
            </w:pPr>
          </w:p>
        </w:tc>
        <w:tc>
          <w:tcPr>
            <w:tcW w:w="776" w:type="pct"/>
            <w:vMerge w:val="continue"/>
            <w:vAlign w:val="center"/>
          </w:tcPr>
          <w:p w14:paraId="3930A943">
            <w:pPr>
              <w:spacing w:line="240" w:lineRule="atLeast"/>
              <w:jc w:val="center"/>
              <w:rPr>
                <w:color w:val="auto"/>
              </w:rPr>
            </w:pPr>
          </w:p>
        </w:tc>
        <w:tc>
          <w:tcPr>
            <w:tcW w:w="295" w:type="pct"/>
            <w:vMerge w:val="continue"/>
            <w:vAlign w:val="center"/>
          </w:tcPr>
          <w:p w14:paraId="1ADA4BE1">
            <w:pPr>
              <w:spacing w:line="240" w:lineRule="atLeast"/>
              <w:jc w:val="center"/>
              <w:rPr>
                <w:color w:val="auto"/>
              </w:rPr>
            </w:pPr>
          </w:p>
        </w:tc>
        <w:tc>
          <w:tcPr>
            <w:tcW w:w="952" w:type="pct"/>
            <w:vMerge w:val="continue"/>
            <w:vAlign w:val="center"/>
          </w:tcPr>
          <w:p w14:paraId="439DB6BA">
            <w:pPr>
              <w:spacing w:line="240" w:lineRule="atLeast"/>
              <w:jc w:val="center"/>
              <w:rPr>
                <w:color w:val="auto"/>
              </w:rPr>
            </w:pPr>
          </w:p>
        </w:tc>
      </w:tr>
      <w:tr w14:paraId="00F149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1" w:type="pct"/>
            <w:vMerge w:val="restart"/>
            <w:vAlign w:val="center"/>
          </w:tcPr>
          <w:p w14:paraId="5541E0CC">
            <w:pPr>
              <w:spacing w:line="240" w:lineRule="atLeast"/>
              <w:jc w:val="center"/>
              <w:rPr>
                <w:color w:val="auto"/>
              </w:rPr>
            </w:pPr>
            <w:r>
              <w:rPr>
                <w:color w:val="auto"/>
              </w:rPr>
              <w:t>环境</w:t>
            </w:r>
          </w:p>
          <w:p w14:paraId="5B59D889">
            <w:pPr>
              <w:spacing w:line="240" w:lineRule="atLeast"/>
              <w:jc w:val="center"/>
              <w:rPr>
                <w:color w:val="auto"/>
              </w:rPr>
            </w:pPr>
            <w:r>
              <w:rPr>
                <w:color w:val="auto"/>
              </w:rPr>
              <w:t>空气</w:t>
            </w:r>
          </w:p>
        </w:tc>
        <w:tc>
          <w:tcPr>
            <w:tcW w:w="882" w:type="pct"/>
            <w:vAlign w:val="center"/>
          </w:tcPr>
          <w:p w14:paraId="20D4E53A">
            <w:pPr>
              <w:spacing w:line="240" w:lineRule="atLeast"/>
              <w:jc w:val="center"/>
              <w:rPr>
                <w:color w:val="auto"/>
              </w:rPr>
            </w:pPr>
            <w:r>
              <w:rPr>
                <w:rFonts w:hint="default" w:ascii="Times New Roman" w:hAnsi="Times New Roman" w:eastAsia="宋体" w:cs="Times New Roman"/>
                <w:color w:val="auto"/>
                <w:sz w:val="21"/>
                <w:szCs w:val="21"/>
                <w:lang w:val="en-US" w:eastAsia="zh-CN"/>
              </w:rPr>
              <w:t>朱家角康乐小区</w:t>
            </w:r>
          </w:p>
        </w:tc>
        <w:tc>
          <w:tcPr>
            <w:tcW w:w="293" w:type="pct"/>
            <w:vAlign w:val="center"/>
          </w:tcPr>
          <w:p w14:paraId="226A934D">
            <w:pPr>
              <w:spacing w:line="240" w:lineRule="atLeast"/>
              <w:jc w:val="center"/>
              <w:rPr>
                <w:color w:val="auto"/>
              </w:rPr>
            </w:pPr>
            <w:r>
              <w:rPr>
                <w:color w:val="auto"/>
              </w:rPr>
              <w:t>居民</w:t>
            </w:r>
          </w:p>
        </w:tc>
        <w:tc>
          <w:tcPr>
            <w:tcW w:w="925" w:type="pct"/>
            <w:vAlign w:val="center"/>
          </w:tcPr>
          <w:p w14:paraId="6DA1B169">
            <w:pPr>
              <w:jc w:val="center"/>
              <w:rPr>
                <w:color w:val="auto"/>
              </w:rPr>
            </w:pPr>
            <w:r>
              <w:rPr>
                <w:rFonts w:hint="eastAsia"/>
                <w:color w:val="auto"/>
              </w:rPr>
              <w:t>约1000</w:t>
            </w:r>
            <w:r>
              <w:rPr>
                <w:color w:val="auto"/>
              </w:rPr>
              <w:t>人</w:t>
            </w:r>
          </w:p>
        </w:tc>
        <w:tc>
          <w:tcPr>
            <w:tcW w:w="581" w:type="pct"/>
            <w:vMerge w:val="restart"/>
            <w:vAlign w:val="center"/>
          </w:tcPr>
          <w:p w14:paraId="6F1FEB13">
            <w:pPr>
              <w:spacing w:line="240" w:lineRule="atLeast"/>
              <w:jc w:val="center"/>
              <w:rPr>
                <w:color w:val="auto"/>
              </w:rPr>
            </w:pPr>
            <w:r>
              <w:rPr>
                <w:color w:val="auto"/>
              </w:rPr>
              <w:t>环境空气</w:t>
            </w:r>
          </w:p>
          <w:p w14:paraId="368A2154">
            <w:pPr>
              <w:spacing w:line="240" w:lineRule="atLeast"/>
              <w:jc w:val="center"/>
              <w:rPr>
                <w:color w:val="auto"/>
              </w:rPr>
            </w:pPr>
            <w:r>
              <w:rPr>
                <w:color w:val="auto"/>
              </w:rPr>
              <w:t>人群健康</w:t>
            </w:r>
          </w:p>
        </w:tc>
        <w:tc>
          <w:tcPr>
            <w:tcW w:w="776" w:type="pct"/>
            <w:vMerge w:val="restart"/>
            <w:vAlign w:val="center"/>
          </w:tcPr>
          <w:p w14:paraId="6C2D5CDE">
            <w:pPr>
              <w:spacing w:line="240" w:lineRule="atLeast"/>
              <w:jc w:val="center"/>
              <w:rPr>
                <w:color w:val="auto"/>
              </w:rPr>
            </w:pPr>
            <w:r>
              <w:rPr>
                <w:color w:val="auto"/>
              </w:rPr>
              <w:t>环境空气二</w:t>
            </w:r>
            <w:r>
              <w:rPr>
                <w:rFonts w:hint="eastAsia"/>
                <w:color w:val="auto"/>
              </w:rPr>
              <w:t>类</w:t>
            </w:r>
            <w:r>
              <w:rPr>
                <w:color w:val="auto"/>
              </w:rPr>
              <w:t>区</w:t>
            </w:r>
          </w:p>
        </w:tc>
        <w:tc>
          <w:tcPr>
            <w:tcW w:w="295" w:type="pct"/>
            <w:vAlign w:val="center"/>
          </w:tcPr>
          <w:p w14:paraId="2350AA2F">
            <w:pPr>
              <w:pStyle w:val="1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color w:val="auto"/>
              </w:rPr>
            </w:pPr>
            <w:r>
              <w:rPr>
                <w:rFonts w:hint="default" w:ascii="Times New Roman" w:hAnsi="Times New Roman" w:eastAsia="宋体" w:cs="Times New Roman"/>
                <w:color w:val="auto"/>
                <w:sz w:val="21"/>
                <w:szCs w:val="21"/>
                <w:lang w:val="en-US" w:eastAsia="zh-CN"/>
              </w:rPr>
              <w:t>西</w:t>
            </w:r>
          </w:p>
        </w:tc>
        <w:tc>
          <w:tcPr>
            <w:tcW w:w="952" w:type="pct"/>
            <w:vAlign w:val="center"/>
          </w:tcPr>
          <w:p w14:paraId="689D9886">
            <w:pPr>
              <w:pStyle w:val="1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color w:val="auto"/>
              </w:rPr>
            </w:pPr>
            <w:r>
              <w:rPr>
                <w:rFonts w:hint="default" w:ascii="Times New Roman" w:hAnsi="Times New Roman" w:eastAsia="宋体" w:cs="Times New Roman"/>
                <w:color w:val="auto"/>
                <w:sz w:val="21"/>
                <w:szCs w:val="21"/>
                <w:lang w:val="en-US" w:eastAsia="zh-CN"/>
              </w:rPr>
              <w:t>340</w:t>
            </w:r>
          </w:p>
        </w:tc>
      </w:tr>
      <w:tr w14:paraId="7490F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91" w:type="pct"/>
            <w:vMerge w:val="continue"/>
            <w:vAlign w:val="center"/>
          </w:tcPr>
          <w:p w14:paraId="439DF198">
            <w:pPr>
              <w:spacing w:line="240" w:lineRule="atLeast"/>
              <w:jc w:val="center"/>
              <w:rPr>
                <w:color w:val="auto"/>
              </w:rPr>
            </w:pPr>
          </w:p>
        </w:tc>
        <w:tc>
          <w:tcPr>
            <w:tcW w:w="882" w:type="pct"/>
            <w:vAlign w:val="center"/>
          </w:tcPr>
          <w:p w14:paraId="1D4A273E">
            <w:pPr>
              <w:spacing w:line="240" w:lineRule="atLeast"/>
              <w:jc w:val="center"/>
              <w:rPr>
                <w:color w:val="auto"/>
              </w:rPr>
            </w:pPr>
            <w:r>
              <w:rPr>
                <w:rFonts w:hint="eastAsia"/>
                <w:color w:val="auto"/>
              </w:rPr>
              <w:t>景丽华庭小区</w:t>
            </w:r>
          </w:p>
        </w:tc>
        <w:tc>
          <w:tcPr>
            <w:tcW w:w="293" w:type="pct"/>
            <w:vAlign w:val="center"/>
          </w:tcPr>
          <w:p w14:paraId="40D03E5B">
            <w:pPr>
              <w:jc w:val="center"/>
              <w:rPr>
                <w:rFonts w:hint="eastAsia" w:eastAsia="宋体"/>
                <w:color w:val="auto"/>
                <w:lang w:eastAsia="zh-CN"/>
              </w:rPr>
            </w:pPr>
            <w:r>
              <w:rPr>
                <w:rFonts w:hint="eastAsia"/>
                <w:color w:val="auto"/>
                <w:lang w:val="en-US" w:eastAsia="zh-CN"/>
              </w:rPr>
              <w:t>居民</w:t>
            </w:r>
          </w:p>
        </w:tc>
        <w:tc>
          <w:tcPr>
            <w:tcW w:w="925" w:type="pct"/>
            <w:vAlign w:val="center"/>
          </w:tcPr>
          <w:p w14:paraId="0FF4F1D1">
            <w:pPr>
              <w:jc w:val="center"/>
              <w:rPr>
                <w:rFonts w:hint="default" w:eastAsia="宋体"/>
                <w:color w:val="auto"/>
                <w:lang w:val="en-US" w:eastAsia="zh-CN"/>
              </w:rPr>
            </w:pPr>
            <w:r>
              <w:rPr>
                <w:rFonts w:hint="eastAsia"/>
                <w:color w:val="auto"/>
                <w:lang w:val="en-US" w:eastAsia="zh-CN"/>
              </w:rPr>
              <w:t>约260人</w:t>
            </w:r>
          </w:p>
        </w:tc>
        <w:tc>
          <w:tcPr>
            <w:tcW w:w="581" w:type="pct"/>
            <w:vMerge w:val="continue"/>
            <w:vAlign w:val="center"/>
          </w:tcPr>
          <w:p w14:paraId="42EDA0B7">
            <w:pPr>
              <w:spacing w:line="240" w:lineRule="atLeast"/>
              <w:jc w:val="center"/>
              <w:rPr>
                <w:color w:val="auto"/>
              </w:rPr>
            </w:pPr>
          </w:p>
        </w:tc>
        <w:tc>
          <w:tcPr>
            <w:tcW w:w="776" w:type="pct"/>
            <w:vMerge w:val="continue"/>
            <w:vAlign w:val="center"/>
          </w:tcPr>
          <w:p w14:paraId="313B5264">
            <w:pPr>
              <w:spacing w:line="240" w:lineRule="atLeast"/>
              <w:jc w:val="center"/>
              <w:rPr>
                <w:color w:val="auto"/>
              </w:rPr>
            </w:pPr>
          </w:p>
        </w:tc>
        <w:tc>
          <w:tcPr>
            <w:tcW w:w="295" w:type="pct"/>
            <w:vAlign w:val="center"/>
          </w:tcPr>
          <w:p w14:paraId="4BD48BDC">
            <w:pPr>
              <w:adjustRightInd w:val="0"/>
              <w:snapToGrid w:val="0"/>
              <w:jc w:val="center"/>
              <w:rPr>
                <w:color w:val="auto"/>
              </w:rPr>
            </w:pPr>
            <w:r>
              <w:rPr>
                <w:rFonts w:hint="eastAsia"/>
                <w:color w:val="auto"/>
              </w:rPr>
              <w:t>西南</w:t>
            </w:r>
          </w:p>
        </w:tc>
        <w:tc>
          <w:tcPr>
            <w:tcW w:w="952" w:type="pct"/>
            <w:vAlign w:val="center"/>
          </w:tcPr>
          <w:p w14:paraId="34066657">
            <w:pPr>
              <w:adjustRightInd w:val="0"/>
              <w:snapToGrid w:val="0"/>
              <w:jc w:val="center"/>
              <w:rPr>
                <w:rFonts w:hint="default" w:eastAsia="宋体"/>
                <w:color w:val="auto"/>
                <w:lang w:val="en-US" w:eastAsia="zh-CN"/>
              </w:rPr>
            </w:pPr>
            <w:r>
              <w:rPr>
                <w:rFonts w:hint="eastAsia"/>
                <w:color w:val="auto"/>
                <w:lang w:val="en-US" w:eastAsia="zh-CN"/>
              </w:rPr>
              <w:t>490</w:t>
            </w:r>
          </w:p>
        </w:tc>
      </w:tr>
    </w:tbl>
    <w:p w14:paraId="543DADFF">
      <w:pPr>
        <w:pStyle w:val="122"/>
        <w:ind w:firstLine="482"/>
        <w:jc w:val="left"/>
        <w:rPr>
          <w:b/>
          <w:color w:val="auto"/>
        </w:rPr>
      </w:pPr>
      <w:r>
        <w:rPr>
          <w:b/>
          <w:color w:val="auto"/>
        </w:rPr>
        <w:t>2</w:t>
      </w:r>
      <w:r>
        <w:rPr>
          <w:rFonts w:hint="eastAsia"/>
          <w:b/>
          <w:color w:val="auto"/>
        </w:rPr>
        <w:t>、声环境</w:t>
      </w:r>
    </w:p>
    <w:p w14:paraId="5D48F743">
      <w:pPr>
        <w:spacing w:line="360" w:lineRule="auto"/>
        <w:ind w:firstLine="480" w:firstLineChars="200"/>
        <w:rPr>
          <w:color w:val="auto"/>
          <w:sz w:val="24"/>
          <w:szCs w:val="24"/>
        </w:rPr>
      </w:pPr>
      <w:r>
        <w:rPr>
          <w:rFonts w:hint="eastAsia"/>
          <w:color w:val="auto"/>
          <w:sz w:val="24"/>
          <w:szCs w:val="24"/>
        </w:rPr>
        <w:t>项目厂界外50m内无声环境保护目标。</w:t>
      </w:r>
    </w:p>
    <w:p w14:paraId="5342A732">
      <w:pPr>
        <w:pStyle w:val="122"/>
        <w:ind w:firstLine="482"/>
        <w:jc w:val="left"/>
        <w:rPr>
          <w:b/>
          <w:color w:val="auto"/>
        </w:rPr>
      </w:pPr>
      <w:r>
        <w:rPr>
          <w:b/>
          <w:color w:val="auto"/>
        </w:rPr>
        <w:t>3</w:t>
      </w:r>
      <w:r>
        <w:rPr>
          <w:rFonts w:hint="eastAsia"/>
          <w:b/>
          <w:color w:val="auto"/>
        </w:rPr>
        <w:t>、地下水环境</w:t>
      </w:r>
    </w:p>
    <w:p w14:paraId="3F150B8C">
      <w:pPr>
        <w:spacing w:line="360" w:lineRule="auto"/>
        <w:ind w:firstLine="480" w:firstLineChars="200"/>
        <w:rPr>
          <w:color w:val="auto"/>
          <w:sz w:val="24"/>
          <w:szCs w:val="24"/>
        </w:rPr>
      </w:pPr>
      <w:r>
        <w:rPr>
          <w:rFonts w:hint="eastAsia"/>
          <w:color w:val="auto"/>
          <w:sz w:val="24"/>
          <w:szCs w:val="24"/>
        </w:rPr>
        <w:t>项目厂界外500 m无地下水集中式饮用水水源和热水、矿泉水、温泉等特殊地下水资源。</w:t>
      </w:r>
    </w:p>
    <w:p w14:paraId="2568C04B">
      <w:pPr>
        <w:pStyle w:val="122"/>
        <w:ind w:firstLine="482"/>
        <w:jc w:val="left"/>
        <w:rPr>
          <w:b/>
          <w:color w:val="auto"/>
        </w:rPr>
      </w:pPr>
      <w:r>
        <w:rPr>
          <w:b/>
          <w:color w:val="auto"/>
        </w:rPr>
        <w:t>4</w:t>
      </w:r>
      <w:r>
        <w:rPr>
          <w:rFonts w:hint="eastAsia"/>
          <w:b/>
          <w:color w:val="auto"/>
        </w:rPr>
        <w:t>、生态环境</w:t>
      </w:r>
    </w:p>
    <w:p w14:paraId="3EA5CD32">
      <w:pPr>
        <w:spacing w:line="360" w:lineRule="auto"/>
        <w:ind w:firstLine="480" w:firstLineChars="200"/>
        <w:rPr>
          <w:color w:val="auto"/>
          <w:sz w:val="24"/>
          <w:szCs w:val="24"/>
        </w:rPr>
      </w:pPr>
      <w:r>
        <w:rPr>
          <w:rFonts w:hint="eastAsia"/>
          <w:color w:val="auto"/>
          <w:sz w:val="24"/>
          <w:szCs w:val="24"/>
        </w:rPr>
        <w:t>项目所在地不涉及生态环境保护目标。</w:t>
      </w:r>
    </w:p>
    <w:p w14:paraId="79BDC9BB">
      <w:pPr>
        <w:pStyle w:val="122"/>
        <w:ind w:firstLine="482"/>
        <w:jc w:val="left"/>
        <w:rPr>
          <w:b/>
          <w:color w:val="auto"/>
        </w:rPr>
      </w:pPr>
      <w:r>
        <w:rPr>
          <w:rFonts w:hint="eastAsia"/>
          <w:b/>
          <w:color w:val="auto"/>
        </w:rPr>
        <w:t>（二）污染物排放标准</w:t>
      </w:r>
    </w:p>
    <w:p w14:paraId="00F11195">
      <w:pPr>
        <w:spacing w:line="360" w:lineRule="auto"/>
        <w:ind w:firstLine="480" w:firstLineChars="200"/>
        <w:rPr>
          <w:color w:val="auto"/>
          <w:sz w:val="24"/>
          <w:szCs w:val="24"/>
        </w:rPr>
      </w:pPr>
      <w:r>
        <w:rPr>
          <w:rFonts w:hint="eastAsia"/>
          <w:color w:val="auto"/>
          <w:sz w:val="24"/>
          <w:szCs w:val="24"/>
        </w:rPr>
        <w:t>1.1 有组织废气</w:t>
      </w:r>
    </w:p>
    <w:p w14:paraId="3B3C4457">
      <w:pPr>
        <w:spacing w:line="360" w:lineRule="auto"/>
        <w:ind w:firstLine="480" w:firstLineChars="200"/>
        <w:rPr>
          <w:color w:val="auto"/>
          <w:sz w:val="24"/>
          <w:szCs w:val="24"/>
        </w:rPr>
      </w:pPr>
      <w:r>
        <w:rPr>
          <w:rFonts w:hint="eastAsia"/>
          <w:color w:val="auto"/>
          <w:sz w:val="24"/>
          <w:szCs w:val="24"/>
        </w:rPr>
        <w:t>本项目涉及的油漆废气排放执行《工业涂装工序大气污染物排放标准》(DB33/2146-2018)表1规定的大气污染物排放限值要求，具体详见下表。</w:t>
      </w:r>
    </w:p>
    <w:p w14:paraId="121694D4">
      <w:pPr>
        <w:pStyle w:val="116"/>
        <w:numPr>
          <w:ilvl w:val="0"/>
          <w:numId w:val="0"/>
        </w:numPr>
        <w:spacing w:before="156"/>
        <w:ind w:left="420" w:leftChars="0" w:hanging="420" w:firstLineChars="0"/>
        <w:rPr>
          <w:color w:val="auto"/>
          <w:lang w:val="en-US"/>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en-US" w:eastAsia="zh-CN" w:bidi="ar-SA"/>
          <w14:shadow w14:blurRad="0" w14:dist="0" w14:dir="0" w14:sx="0" w14:sy="0" w14:kx="0" w14:ky="0" w14:algn="none">
            <w14:srgbClr w14:val="000000"/>
          </w14:shadow>
        </w:rPr>
        <w:t>表4</w:t>
      </w:r>
      <w:r>
        <w:rPr>
          <w:color w:val="auto"/>
        </w:rPr>
        <w:t>工业涂装工序大气污染物排放标准</w:t>
      </w:r>
      <w:r>
        <w:rPr>
          <w:color w:val="auto"/>
          <w:lang w:val="en-US"/>
        </w:rPr>
        <w:t xml:space="preserve"> </w:t>
      </w:r>
      <w:r>
        <w:rPr>
          <w:color w:val="auto"/>
        </w:rPr>
        <w:t>单位：mg/m</w:t>
      </w:r>
      <w:r>
        <w:rPr>
          <w:color w:val="auto"/>
          <w:vertAlign w:val="superscript"/>
        </w:rPr>
        <w:t>3</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306"/>
        <w:gridCol w:w="1871"/>
        <w:gridCol w:w="1801"/>
        <w:gridCol w:w="1961"/>
      </w:tblGrid>
      <w:tr w14:paraId="4299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2" w:type="pct"/>
            <w:vAlign w:val="center"/>
          </w:tcPr>
          <w:p w14:paraId="07583215">
            <w:pPr>
              <w:spacing w:line="240" w:lineRule="atLeast"/>
              <w:jc w:val="center"/>
              <w:rPr>
                <w:color w:val="auto"/>
              </w:rPr>
            </w:pPr>
            <w:r>
              <w:rPr>
                <w:color w:val="auto"/>
              </w:rPr>
              <w:t>序号</w:t>
            </w:r>
          </w:p>
        </w:tc>
        <w:tc>
          <w:tcPr>
            <w:tcW w:w="1352" w:type="pct"/>
            <w:vAlign w:val="center"/>
          </w:tcPr>
          <w:p w14:paraId="5D85F16C">
            <w:pPr>
              <w:spacing w:line="240" w:lineRule="atLeast"/>
              <w:jc w:val="center"/>
              <w:rPr>
                <w:color w:val="auto"/>
              </w:rPr>
            </w:pPr>
            <w:r>
              <w:rPr>
                <w:color w:val="auto"/>
              </w:rPr>
              <w:t>污染物项目</w:t>
            </w:r>
          </w:p>
        </w:tc>
        <w:tc>
          <w:tcPr>
            <w:tcW w:w="1097" w:type="pct"/>
            <w:vAlign w:val="center"/>
          </w:tcPr>
          <w:p w14:paraId="768B9300">
            <w:pPr>
              <w:spacing w:line="240" w:lineRule="atLeast"/>
              <w:jc w:val="center"/>
              <w:rPr>
                <w:color w:val="auto"/>
              </w:rPr>
            </w:pPr>
            <w:r>
              <w:rPr>
                <w:color w:val="auto"/>
              </w:rPr>
              <w:t>排放限值</w:t>
            </w:r>
          </w:p>
        </w:tc>
        <w:tc>
          <w:tcPr>
            <w:tcW w:w="1056" w:type="pct"/>
            <w:vAlign w:val="center"/>
          </w:tcPr>
          <w:p w14:paraId="63934DE0">
            <w:pPr>
              <w:spacing w:line="240" w:lineRule="atLeast"/>
              <w:jc w:val="center"/>
              <w:rPr>
                <w:color w:val="auto"/>
              </w:rPr>
            </w:pPr>
            <w:r>
              <w:rPr>
                <w:color w:val="auto"/>
              </w:rPr>
              <w:t>适用条件</w:t>
            </w:r>
          </w:p>
        </w:tc>
        <w:tc>
          <w:tcPr>
            <w:tcW w:w="1150" w:type="pct"/>
            <w:vAlign w:val="center"/>
          </w:tcPr>
          <w:p w14:paraId="251F735A">
            <w:pPr>
              <w:spacing w:line="240" w:lineRule="atLeast"/>
              <w:jc w:val="center"/>
              <w:rPr>
                <w:color w:val="auto"/>
              </w:rPr>
            </w:pPr>
            <w:r>
              <w:rPr>
                <w:color w:val="auto"/>
              </w:rPr>
              <w:t>污染物排放监控位置</w:t>
            </w:r>
          </w:p>
        </w:tc>
      </w:tr>
      <w:tr w14:paraId="3A4E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2" w:type="pct"/>
            <w:vAlign w:val="center"/>
          </w:tcPr>
          <w:p w14:paraId="040F64FA">
            <w:pPr>
              <w:spacing w:line="240" w:lineRule="atLeast"/>
              <w:jc w:val="center"/>
              <w:rPr>
                <w:color w:val="auto"/>
              </w:rPr>
            </w:pPr>
            <w:r>
              <w:rPr>
                <w:color w:val="auto"/>
              </w:rPr>
              <w:t>1</w:t>
            </w:r>
          </w:p>
        </w:tc>
        <w:tc>
          <w:tcPr>
            <w:tcW w:w="1352" w:type="pct"/>
            <w:shd w:val="clear" w:color="auto" w:fill="auto"/>
            <w:vAlign w:val="center"/>
          </w:tcPr>
          <w:p w14:paraId="5DA171A2">
            <w:pPr>
              <w:spacing w:line="240" w:lineRule="atLeast"/>
              <w:jc w:val="center"/>
              <w:rPr>
                <w:rFonts w:ascii="Times New Roman" w:hAnsi="Times New Roman" w:eastAsia="宋体" w:cs="Times New Roman"/>
                <w:color w:val="auto"/>
                <w:kern w:val="2"/>
                <w:sz w:val="21"/>
                <w:szCs w:val="21"/>
                <w:lang w:val="en-US" w:eastAsia="zh-CN" w:bidi="ar-SA"/>
              </w:rPr>
            </w:pPr>
            <w:r>
              <w:rPr>
                <w:color w:val="auto"/>
              </w:rPr>
              <w:t>总挥发性有机物(其他)</w:t>
            </w:r>
          </w:p>
        </w:tc>
        <w:tc>
          <w:tcPr>
            <w:tcW w:w="1097" w:type="pct"/>
            <w:shd w:val="clear" w:color="auto" w:fill="auto"/>
            <w:vAlign w:val="center"/>
          </w:tcPr>
          <w:p w14:paraId="15913124">
            <w:pPr>
              <w:spacing w:line="240" w:lineRule="atLeast"/>
              <w:jc w:val="center"/>
              <w:rPr>
                <w:rFonts w:ascii="Times New Roman" w:hAnsi="Times New Roman" w:eastAsia="宋体" w:cs="Times New Roman"/>
                <w:color w:val="auto"/>
                <w:kern w:val="2"/>
                <w:sz w:val="21"/>
                <w:szCs w:val="21"/>
                <w:lang w:val="en-US" w:eastAsia="zh-CN" w:bidi="ar-SA"/>
              </w:rPr>
            </w:pPr>
            <w:r>
              <w:rPr>
                <w:color w:val="auto"/>
              </w:rPr>
              <w:t>150</w:t>
            </w:r>
          </w:p>
        </w:tc>
        <w:tc>
          <w:tcPr>
            <w:tcW w:w="1056" w:type="pct"/>
            <w:vMerge w:val="restart"/>
            <w:vAlign w:val="center"/>
          </w:tcPr>
          <w:p w14:paraId="7E16EB05">
            <w:pPr>
              <w:spacing w:line="240" w:lineRule="atLeast"/>
              <w:jc w:val="center"/>
              <w:rPr>
                <w:color w:val="auto"/>
              </w:rPr>
            </w:pPr>
            <w:r>
              <w:rPr>
                <w:color w:val="auto"/>
              </w:rPr>
              <w:t>所有</w:t>
            </w:r>
          </w:p>
        </w:tc>
        <w:tc>
          <w:tcPr>
            <w:tcW w:w="1150" w:type="pct"/>
            <w:vMerge w:val="restart"/>
            <w:vAlign w:val="center"/>
          </w:tcPr>
          <w:p w14:paraId="504320D1">
            <w:pPr>
              <w:spacing w:line="240" w:lineRule="atLeast"/>
              <w:jc w:val="center"/>
              <w:rPr>
                <w:color w:val="auto"/>
              </w:rPr>
            </w:pPr>
            <w:r>
              <w:rPr>
                <w:color w:val="auto"/>
              </w:rPr>
              <w:t>车间或生产设施排气筒</w:t>
            </w:r>
          </w:p>
        </w:tc>
      </w:tr>
      <w:tr w14:paraId="7D5D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342" w:type="pct"/>
            <w:vAlign w:val="center"/>
          </w:tcPr>
          <w:p w14:paraId="7CC6660B">
            <w:pPr>
              <w:spacing w:line="240" w:lineRule="atLeast"/>
              <w:jc w:val="center"/>
              <w:rPr>
                <w:color w:val="auto"/>
              </w:rPr>
            </w:pPr>
            <w:r>
              <w:rPr>
                <w:color w:val="auto"/>
              </w:rPr>
              <w:t>2</w:t>
            </w:r>
          </w:p>
        </w:tc>
        <w:tc>
          <w:tcPr>
            <w:tcW w:w="1352" w:type="pct"/>
            <w:shd w:val="clear" w:color="auto" w:fill="auto"/>
            <w:vAlign w:val="center"/>
          </w:tcPr>
          <w:p w14:paraId="6245AD74">
            <w:pPr>
              <w:spacing w:line="240" w:lineRule="atLeast"/>
              <w:jc w:val="center"/>
              <w:rPr>
                <w:rFonts w:hint="eastAsia" w:ascii="Times New Roman" w:hAnsi="Times New Roman" w:eastAsia="宋体" w:cs="Times New Roman"/>
                <w:color w:val="auto"/>
                <w:kern w:val="2"/>
                <w:sz w:val="21"/>
                <w:szCs w:val="21"/>
                <w:lang w:val="en-US" w:eastAsia="zh-CN" w:bidi="ar-SA"/>
              </w:rPr>
            </w:pPr>
            <w:r>
              <w:rPr>
                <w:rFonts w:hint="eastAsia"/>
                <w:color w:val="auto"/>
                <w:lang w:val="en-US" w:eastAsia="zh-CN"/>
              </w:rPr>
              <w:t>臭气浓度</w:t>
            </w:r>
          </w:p>
        </w:tc>
        <w:tc>
          <w:tcPr>
            <w:tcW w:w="1097" w:type="pct"/>
            <w:shd w:val="clear" w:color="auto" w:fill="auto"/>
            <w:vAlign w:val="center"/>
          </w:tcPr>
          <w:p w14:paraId="261C25EA">
            <w:pPr>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color w:val="auto"/>
                <w:lang w:val="en-US" w:eastAsia="zh-CN"/>
              </w:rPr>
              <w:t>1000（无量纲）</w:t>
            </w:r>
          </w:p>
        </w:tc>
        <w:tc>
          <w:tcPr>
            <w:tcW w:w="1056" w:type="pct"/>
            <w:vMerge w:val="continue"/>
            <w:vAlign w:val="center"/>
          </w:tcPr>
          <w:p w14:paraId="20E755A1">
            <w:pPr>
              <w:spacing w:line="240" w:lineRule="atLeast"/>
              <w:jc w:val="center"/>
              <w:rPr>
                <w:color w:val="auto"/>
              </w:rPr>
            </w:pPr>
          </w:p>
        </w:tc>
        <w:tc>
          <w:tcPr>
            <w:tcW w:w="1150" w:type="pct"/>
            <w:vMerge w:val="continue"/>
            <w:vAlign w:val="center"/>
          </w:tcPr>
          <w:p w14:paraId="65CCD03C">
            <w:pPr>
              <w:spacing w:line="240" w:lineRule="atLeast"/>
              <w:jc w:val="center"/>
              <w:rPr>
                <w:color w:val="auto"/>
              </w:rPr>
            </w:pPr>
          </w:p>
        </w:tc>
      </w:tr>
    </w:tbl>
    <w:p w14:paraId="08908E03">
      <w:pPr>
        <w:spacing w:line="360" w:lineRule="auto"/>
        <w:ind w:firstLine="480" w:firstLineChars="200"/>
        <w:rPr>
          <w:color w:val="auto"/>
          <w:sz w:val="24"/>
          <w:szCs w:val="24"/>
        </w:rPr>
      </w:pPr>
      <w:r>
        <w:rPr>
          <w:rFonts w:hint="eastAsia"/>
          <w:color w:val="auto"/>
          <w:sz w:val="24"/>
          <w:szCs w:val="24"/>
        </w:rPr>
        <w:t>1.2 无组织废气</w:t>
      </w:r>
    </w:p>
    <w:p w14:paraId="2CA4C64F">
      <w:pPr>
        <w:spacing w:line="360" w:lineRule="auto"/>
        <w:ind w:firstLine="480" w:firstLineChars="200"/>
        <w:rPr>
          <w:color w:val="auto"/>
          <w:sz w:val="24"/>
          <w:szCs w:val="24"/>
        </w:rPr>
      </w:pPr>
      <w:r>
        <w:rPr>
          <w:rFonts w:hint="eastAsia"/>
          <w:color w:val="auto"/>
          <w:sz w:val="24"/>
          <w:szCs w:val="24"/>
        </w:rPr>
        <w:t>非甲烷总烃</w:t>
      </w:r>
      <w:r>
        <w:rPr>
          <w:rFonts w:hint="eastAsia"/>
          <w:color w:val="auto"/>
          <w:sz w:val="24"/>
          <w:szCs w:val="24"/>
          <w:lang w:eastAsia="zh-CN"/>
        </w:rPr>
        <w:t>、</w:t>
      </w:r>
      <w:r>
        <w:rPr>
          <w:rFonts w:hint="eastAsia"/>
          <w:color w:val="auto"/>
          <w:sz w:val="24"/>
          <w:szCs w:val="24"/>
          <w:lang w:val="en-US" w:eastAsia="zh-CN"/>
        </w:rPr>
        <w:t>臭气浓度</w:t>
      </w:r>
      <w:r>
        <w:rPr>
          <w:rFonts w:hint="eastAsia"/>
          <w:color w:val="auto"/>
          <w:sz w:val="24"/>
          <w:szCs w:val="24"/>
        </w:rPr>
        <w:t>的厂界排放浓度执行《工业涂装工序大气污染物排放标准》(DB33/2146-2018)，颗粒物执行《大气污染物综合排放标准》（GB 16297-1996），厂区内挥发性有机物排放监控浓度执行《工业涂装工序大气污染物排放标准》(DB33/2146-2018)中排放限值要求，具体见下表。</w:t>
      </w:r>
    </w:p>
    <w:p w14:paraId="48588789">
      <w:pPr>
        <w:pStyle w:val="116"/>
        <w:numPr>
          <w:ilvl w:val="0"/>
          <w:numId w:val="0"/>
        </w:numPr>
        <w:spacing w:before="156"/>
        <w:ind w:left="420" w:leftChars="0" w:hanging="420" w:firstLineChars="0"/>
        <w:rPr>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表5</w:t>
      </w:r>
      <w:r>
        <w:rPr>
          <w:rFonts w:hint="eastAsia"/>
          <w:color w:val="auto"/>
        </w:rPr>
        <w:t xml:space="preserve">厂界无组织排放限值 </w:t>
      </w:r>
      <w:r>
        <w:rPr>
          <w:color w:val="auto"/>
        </w:rPr>
        <w:t xml:space="preserve">        </w:t>
      </w:r>
    </w:p>
    <w:tbl>
      <w:tblPr>
        <w:tblStyle w:val="88"/>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2765"/>
        <w:gridCol w:w="2557"/>
        <w:gridCol w:w="1686"/>
      </w:tblGrid>
      <w:tr w14:paraId="64FD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07546D83">
            <w:pPr>
              <w:snapToGrid w:val="0"/>
              <w:jc w:val="center"/>
              <w:rPr>
                <w:color w:val="auto"/>
              </w:rPr>
            </w:pPr>
            <w:r>
              <w:rPr>
                <w:color w:val="auto"/>
              </w:rPr>
              <w:t>序号</w:t>
            </w:r>
          </w:p>
        </w:tc>
        <w:tc>
          <w:tcPr>
            <w:tcW w:w="1645" w:type="pct"/>
            <w:vAlign w:val="center"/>
          </w:tcPr>
          <w:p w14:paraId="4CF9ECCB">
            <w:pPr>
              <w:snapToGrid w:val="0"/>
              <w:jc w:val="center"/>
              <w:rPr>
                <w:color w:val="auto"/>
              </w:rPr>
            </w:pPr>
            <w:r>
              <w:rPr>
                <w:color w:val="auto"/>
              </w:rPr>
              <w:t>污染物项目</w:t>
            </w:r>
          </w:p>
        </w:tc>
        <w:tc>
          <w:tcPr>
            <w:tcW w:w="1521" w:type="pct"/>
            <w:vAlign w:val="center"/>
          </w:tcPr>
          <w:p w14:paraId="2AFDF60C">
            <w:pPr>
              <w:snapToGrid w:val="0"/>
              <w:jc w:val="center"/>
              <w:rPr>
                <w:color w:val="auto"/>
              </w:rPr>
            </w:pPr>
            <w:r>
              <w:rPr>
                <w:color w:val="auto"/>
              </w:rPr>
              <w:t>限值(mg/m</w:t>
            </w:r>
            <w:r>
              <w:rPr>
                <w:color w:val="auto"/>
                <w:vertAlign w:val="superscript"/>
              </w:rPr>
              <w:t>3</w:t>
            </w:r>
            <w:r>
              <w:rPr>
                <w:color w:val="auto"/>
              </w:rPr>
              <w:t>)</w:t>
            </w:r>
          </w:p>
        </w:tc>
        <w:tc>
          <w:tcPr>
            <w:tcW w:w="1003" w:type="pct"/>
            <w:vAlign w:val="center"/>
          </w:tcPr>
          <w:p w14:paraId="6BD4FD14">
            <w:pPr>
              <w:snapToGrid w:val="0"/>
              <w:jc w:val="center"/>
              <w:rPr>
                <w:color w:val="auto"/>
              </w:rPr>
            </w:pPr>
            <w:r>
              <w:rPr>
                <w:color w:val="auto"/>
              </w:rPr>
              <w:t>标准来源</w:t>
            </w:r>
          </w:p>
        </w:tc>
      </w:tr>
      <w:tr w14:paraId="5006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0" w:type="pct"/>
            <w:vAlign w:val="center"/>
          </w:tcPr>
          <w:p w14:paraId="791A3460">
            <w:pPr>
              <w:snapToGrid w:val="0"/>
              <w:jc w:val="center"/>
              <w:rPr>
                <w:color w:val="auto"/>
              </w:rPr>
            </w:pPr>
            <w:r>
              <w:rPr>
                <w:color w:val="auto"/>
              </w:rPr>
              <w:t>1</w:t>
            </w:r>
          </w:p>
        </w:tc>
        <w:tc>
          <w:tcPr>
            <w:tcW w:w="1645" w:type="pct"/>
            <w:vAlign w:val="center"/>
          </w:tcPr>
          <w:p w14:paraId="7D584533">
            <w:pPr>
              <w:snapToGrid w:val="0"/>
              <w:jc w:val="center"/>
              <w:rPr>
                <w:color w:val="auto"/>
              </w:rPr>
            </w:pPr>
            <w:r>
              <w:rPr>
                <w:color w:val="auto"/>
              </w:rPr>
              <w:t>非甲烷总烃</w:t>
            </w:r>
          </w:p>
        </w:tc>
        <w:tc>
          <w:tcPr>
            <w:tcW w:w="1521" w:type="pct"/>
            <w:vAlign w:val="center"/>
          </w:tcPr>
          <w:p w14:paraId="3E63BF52">
            <w:pPr>
              <w:snapToGrid w:val="0"/>
              <w:jc w:val="center"/>
              <w:rPr>
                <w:color w:val="auto"/>
              </w:rPr>
            </w:pPr>
            <w:r>
              <w:rPr>
                <w:color w:val="auto"/>
              </w:rPr>
              <w:t>4.0</w:t>
            </w:r>
          </w:p>
        </w:tc>
        <w:tc>
          <w:tcPr>
            <w:tcW w:w="1003" w:type="pct"/>
            <w:vMerge w:val="restart"/>
            <w:vAlign w:val="center"/>
          </w:tcPr>
          <w:p w14:paraId="13AF8821">
            <w:pPr>
              <w:snapToGrid w:val="0"/>
              <w:jc w:val="center"/>
              <w:rPr>
                <w:color w:val="auto"/>
              </w:rPr>
            </w:pPr>
            <w:r>
              <w:rPr>
                <w:rFonts w:hint="eastAsia"/>
                <w:color w:val="auto"/>
              </w:rPr>
              <w:t>DB33/2146-2018</w:t>
            </w:r>
          </w:p>
        </w:tc>
      </w:tr>
      <w:tr w14:paraId="6698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5A2167AA">
            <w:pPr>
              <w:snapToGrid w:val="0"/>
              <w:jc w:val="center"/>
              <w:rPr>
                <w:rFonts w:hint="eastAsia" w:eastAsia="宋体"/>
                <w:color w:val="auto"/>
                <w:lang w:val="en-US" w:eastAsia="zh-CN"/>
              </w:rPr>
            </w:pPr>
            <w:r>
              <w:rPr>
                <w:rFonts w:hint="eastAsia"/>
                <w:color w:val="auto"/>
                <w:lang w:val="en-US" w:eastAsia="zh-CN"/>
              </w:rPr>
              <w:t>2</w:t>
            </w:r>
          </w:p>
        </w:tc>
        <w:tc>
          <w:tcPr>
            <w:tcW w:w="1645" w:type="pct"/>
            <w:vAlign w:val="center"/>
          </w:tcPr>
          <w:p w14:paraId="0B22C337">
            <w:pPr>
              <w:snapToGrid w:val="0"/>
              <w:jc w:val="center"/>
              <w:rPr>
                <w:rFonts w:hint="eastAsia" w:eastAsia="宋体"/>
                <w:color w:val="auto"/>
                <w:lang w:val="en-US" w:eastAsia="zh-CN"/>
              </w:rPr>
            </w:pPr>
            <w:r>
              <w:rPr>
                <w:rFonts w:hint="eastAsia"/>
                <w:color w:val="auto"/>
                <w:lang w:val="en-US" w:eastAsia="zh-CN"/>
              </w:rPr>
              <w:t>臭气浓度</w:t>
            </w:r>
          </w:p>
        </w:tc>
        <w:tc>
          <w:tcPr>
            <w:tcW w:w="1521" w:type="pct"/>
            <w:vAlign w:val="center"/>
          </w:tcPr>
          <w:p w14:paraId="62886FD5">
            <w:pPr>
              <w:snapToGrid w:val="0"/>
              <w:jc w:val="center"/>
              <w:rPr>
                <w:rFonts w:hint="default" w:eastAsia="宋体"/>
                <w:color w:val="auto"/>
                <w:lang w:val="en-US" w:eastAsia="zh-CN"/>
              </w:rPr>
            </w:pPr>
            <w:r>
              <w:rPr>
                <w:rFonts w:hint="eastAsia"/>
                <w:color w:val="auto"/>
                <w:lang w:val="en-US" w:eastAsia="zh-CN"/>
              </w:rPr>
              <w:t>20（无量纲）</w:t>
            </w:r>
          </w:p>
        </w:tc>
        <w:tc>
          <w:tcPr>
            <w:tcW w:w="1003" w:type="pct"/>
            <w:vMerge w:val="continue"/>
            <w:vAlign w:val="center"/>
          </w:tcPr>
          <w:p w14:paraId="34D7CD4B">
            <w:pPr>
              <w:snapToGrid w:val="0"/>
              <w:jc w:val="center"/>
              <w:rPr>
                <w:rFonts w:hint="default"/>
                <w:color w:val="auto"/>
                <w:lang w:val="en-US"/>
              </w:rPr>
            </w:pPr>
          </w:p>
        </w:tc>
      </w:tr>
      <w:tr w14:paraId="109E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0" w:type="pct"/>
            <w:vAlign w:val="center"/>
          </w:tcPr>
          <w:p w14:paraId="15A9641A">
            <w:pPr>
              <w:snapToGrid w:val="0"/>
              <w:jc w:val="center"/>
              <w:rPr>
                <w:rFonts w:hint="eastAsia" w:eastAsia="宋体"/>
                <w:color w:val="auto"/>
                <w:lang w:eastAsia="zh-CN"/>
              </w:rPr>
            </w:pPr>
            <w:r>
              <w:rPr>
                <w:rFonts w:hint="eastAsia"/>
                <w:color w:val="auto"/>
                <w:lang w:val="en-US" w:eastAsia="zh-CN"/>
              </w:rPr>
              <w:t>3</w:t>
            </w:r>
          </w:p>
        </w:tc>
        <w:tc>
          <w:tcPr>
            <w:tcW w:w="1645" w:type="pct"/>
            <w:vAlign w:val="center"/>
          </w:tcPr>
          <w:p w14:paraId="1E71E8CD">
            <w:pPr>
              <w:snapToGrid w:val="0"/>
              <w:jc w:val="center"/>
              <w:rPr>
                <w:color w:val="auto"/>
              </w:rPr>
            </w:pPr>
            <w:r>
              <w:rPr>
                <w:color w:val="auto"/>
              </w:rPr>
              <w:t>颗粒物</w:t>
            </w:r>
          </w:p>
        </w:tc>
        <w:tc>
          <w:tcPr>
            <w:tcW w:w="1521" w:type="pct"/>
            <w:vAlign w:val="center"/>
          </w:tcPr>
          <w:p w14:paraId="12FCD286">
            <w:pPr>
              <w:snapToGrid w:val="0"/>
              <w:jc w:val="center"/>
              <w:rPr>
                <w:color w:val="auto"/>
              </w:rPr>
            </w:pPr>
            <w:r>
              <w:rPr>
                <w:color w:val="auto"/>
              </w:rPr>
              <w:t>1.0</w:t>
            </w:r>
          </w:p>
        </w:tc>
        <w:tc>
          <w:tcPr>
            <w:tcW w:w="1003" w:type="pct"/>
            <w:vAlign w:val="center"/>
          </w:tcPr>
          <w:p w14:paraId="08250E30">
            <w:pPr>
              <w:snapToGrid w:val="0"/>
              <w:jc w:val="center"/>
              <w:rPr>
                <w:color w:val="auto"/>
              </w:rPr>
            </w:pPr>
            <w:r>
              <w:rPr>
                <w:rFonts w:hint="eastAsia"/>
                <w:color w:val="auto"/>
              </w:rPr>
              <w:t>GB 16297-1996</w:t>
            </w:r>
          </w:p>
        </w:tc>
      </w:tr>
    </w:tbl>
    <w:p w14:paraId="189B6A14">
      <w:pPr>
        <w:pStyle w:val="116"/>
        <w:numPr>
          <w:ilvl w:val="0"/>
          <w:numId w:val="0"/>
        </w:numPr>
        <w:spacing w:before="156"/>
        <w:ind w:left="420" w:leftChars="0" w:hanging="420" w:firstLineChars="0"/>
        <w:rPr>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表6</w:t>
      </w:r>
      <w:r>
        <w:rPr>
          <w:rFonts w:hint="eastAsia"/>
          <w:color w:val="auto"/>
        </w:rPr>
        <w:t>厂区内无组织排放限值</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03"/>
        <w:gridCol w:w="1721"/>
        <w:gridCol w:w="2850"/>
        <w:gridCol w:w="2448"/>
      </w:tblGrid>
      <w:tr w14:paraId="675635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tcBorders>
              <w:top w:val="single" w:color="auto" w:sz="2" w:space="0"/>
              <w:left w:val="single" w:color="auto" w:sz="2" w:space="0"/>
              <w:bottom w:val="single" w:color="auto" w:sz="2" w:space="0"/>
              <w:right w:val="single" w:color="auto" w:sz="2" w:space="0"/>
            </w:tcBorders>
            <w:vAlign w:val="center"/>
          </w:tcPr>
          <w:p w14:paraId="1D413BA3">
            <w:pPr>
              <w:snapToGrid w:val="0"/>
              <w:jc w:val="center"/>
              <w:rPr>
                <w:color w:val="auto"/>
              </w:rPr>
            </w:pPr>
            <w:r>
              <w:rPr>
                <w:rFonts w:hint="eastAsia"/>
                <w:color w:val="auto"/>
              </w:rPr>
              <w:t>序号</w:t>
            </w:r>
          </w:p>
        </w:tc>
        <w:tc>
          <w:tcPr>
            <w:tcW w:w="1010" w:type="pct"/>
            <w:tcBorders>
              <w:top w:val="single" w:color="auto" w:sz="2" w:space="0"/>
              <w:left w:val="single" w:color="auto" w:sz="2" w:space="0"/>
              <w:bottom w:val="single" w:color="auto" w:sz="2" w:space="0"/>
              <w:right w:val="single" w:color="auto" w:sz="2" w:space="0"/>
            </w:tcBorders>
            <w:vAlign w:val="center"/>
          </w:tcPr>
          <w:p w14:paraId="6A99A2CC">
            <w:pPr>
              <w:snapToGrid w:val="0"/>
              <w:jc w:val="center"/>
              <w:rPr>
                <w:color w:val="auto"/>
              </w:rPr>
            </w:pPr>
            <w:r>
              <w:rPr>
                <w:rFonts w:hint="eastAsia"/>
                <w:color w:val="auto"/>
              </w:rPr>
              <w:t>监控点限值</w:t>
            </w:r>
          </w:p>
        </w:tc>
        <w:tc>
          <w:tcPr>
            <w:tcW w:w="1672" w:type="pct"/>
            <w:tcBorders>
              <w:top w:val="single" w:color="auto" w:sz="2" w:space="0"/>
              <w:left w:val="single" w:color="auto" w:sz="2" w:space="0"/>
              <w:bottom w:val="single" w:color="auto" w:sz="2" w:space="0"/>
              <w:right w:val="single" w:color="auto" w:sz="2" w:space="0"/>
            </w:tcBorders>
            <w:vAlign w:val="center"/>
          </w:tcPr>
          <w:p w14:paraId="230749FF">
            <w:pPr>
              <w:snapToGrid w:val="0"/>
              <w:jc w:val="center"/>
              <w:rPr>
                <w:color w:val="auto"/>
              </w:rPr>
            </w:pPr>
            <w:r>
              <w:rPr>
                <w:rFonts w:hint="eastAsia"/>
                <w:color w:val="auto"/>
              </w:rPr>
              <w:t>限值含义</w:t>
            </w:r>
          </w:p>
        </w:tc>
        <w:tc>
          <w:tcPr>
            <w:tcW w:w="1436" w:type="pct"/>
            <w:tcBorders>
              <w:top w:val="single" w:color="auto" w:sz="2" w:space="0"/>
              <w:left w:val="single" w:color="auto" w:sz="2" w:space="0"/>
              <w:bottom w:val="single" w:color="auto" w:sz="2" w:space="0"/>
              <w:right w:val="single" w:color="auto" w:sz="2" w:space="0"/>
            </w:tcBorders>
            <w:vAlign w:val="center"/>
          </w:tcPr>
          <w:p w14:paraId="69AE85F7">
            <w:pPr>
              <w:snapToGrid w:val="0"/>
              <w:jc w:val="center"/>
              <w:rPr>
                <w:color w:val="auto"/>
              </w:rPr>
            </w:pPr>
            <w:r>
              <w:rPr>
                <w:rFonts w:hint="eastAsia"/>
                <w:color w:val="auto"/>
              </w:rPr>
              <w:t>无组织排放监控位置</w:t>
            </w:r>
          </w:p>
        </w:tc>
      </w:tr>
      <w:tr w14:paraId="2033CB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restart"/>
            <w:tcBorders>
              <w:top w:val="single" w:color="auto" w:sz="2" w:space="0"/>
              <w:left w:val="single" w:color="auto" w:sz="2" w:space="0"/>
              <w:right w:val="single" w:color="auto" w:sz="2" w:space="0"/>
            </w:tcBorders>
            <w:vAlign w:val="center"/>
          </w:tcPr>
          <w:p w14:paraId="71595C4B">
            <w:pPr>
              <w:snapToGrid w:val="0"/>
              <w:jc w:val="center"/>
              <w:rPr>
                <w:color w:val="auto"/>
              </w:rPr>
            </w:pPr>
            <w:r>
              <w:rPr>
                <w:color w:val="auto"/>
              </w:rPr>
              <w:t>NMHC</w:t>
            </w:r>
          </w:p>
        </w:tc>
        <w:tc>
          <w:tcPr>
            <w:tcW w:w="1010" w:type="pct"/>
            <w:tcBorders>
              <w:top w:val="single" w:color="auto" w:sz="2" w:space="0"/>
              <w:left w:val="single" w:color="auto" w:sz="2" w:space="0"/>
              <w:bottom w:val="single" w:color="auto" w:sz="2" w:space="0"/>
              <w:right w:val="single" w:color="auto" w:sz="2" w:space="0"/>
            </w:tcBorders>
            <w:vAlign w:val="center"/>
          </w:tcPr>
          <w:p w14:paraId="0C369D04">
            <w:pPr>
              <w:snapToGrid w:val="0"/>
              <w:jc w:val="center"/>
              <w:rPr>
                <w:color w:val="auto"/>
              </w:rPr>
            </w:pPr>
            <w:r>
              <w:rPr>
                <w:rFonts w:hint="eastAsia"/>
                <w:color w:val="auto"/>
              </w:rPr>
              <w:t>6</w:t>
            </w:r>
          </w:p>
        </w:tc>
        <w:tc>
          <w:tcPr>
            <w:tcW w:w="1672" w:type="pct"/>
            <w:tcBorders>
              <w:top w:val="single" w:color="auto" w:sz="2" w:space="0"/>
              <w:left w:val="single" w:color="auto" w:sz="2" w:space="0"/>
              <w:bottom w:val="single" w:color="auto" w:sz="2" w:space="0"/>
              <w:right w:val="single" w:color="auto" w:sz="2" w:space="0"/>
            </w:tcBorders>
            <w:vAlign w:val="center"/>
          </w:tcPr>
          <w:p w14:paraId="263247FE">
            <w:pPr>
              <w:snapToGrid w:val="0"/>
              <w:jc w:val="center"/>
              <w:rPr>
                <w:color w:val="auto"/>
              </w:rPr>
            </w:pPr>
            <w:r>
              <w:rPr>
                <w:rFonts w:hint="eastAsia"/>
                <w:color w:val="auto"/>
              </w:rPr>
              <w:t>监控点处1小时平均浓度值</w:t>
            </w:r>
          </w:p>
        </w:tc>
        <w:tc>
          <w:tcPr>
            <w:tcW w:w="1436" w:type="pct"/>
            <w:vMerge w:val="restart"/>
            <w:tcBorders>
              <w:top w:val="single" w:color="auto" w:sz="2" w:space="0"/>
              <w:left w:val="single" w:color="auto" w:sz="2" w:space="0"/>
              <w:right w:val="single" w:color="auto" w:sz="2" w:space="0"/>
            </w:tcBorders>
            <w:vAlign w:val="center"/>
          </w:tcPr>
          <w:p w14:paraId="7200B52F">
            <w:pPr>
              <w:snapToGrid w:val="0"/>
              <w:jc w:val="center"/>
              <w:rPr>
                <w:color w:val="auto"/>
              </w:rPr>
            </w:pPr>
            <w:r>
              <w:rPr>
                <w:rFonts w:hint="eastAsia"/>
                <w:color w:val="auto"/>
              </w:rPr>
              <w:t>在厂房外设置监控点</w:t>
            </w:r>
          </w:p>
        </w:tc>
      </w:tr>
      <w:tr w14:paraId="735FB3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continue"/>
            <w:tcBorders>
              <w:left w:val="single" w:color="auto" w:sz="2" w:space="0"/>
              <w:bottom w:val="single" w:color="auto" w:sz="2" w:space="0"/>
              <w:right w:val="single" w:color="auto" w:sz="2" w:space="0"/>
            </w:tcBorders>
            <w:vAlign w:val="center"/>
          </w:tcPr>
          <w:p w14:paraId="7E02939B">
            <w:pPr>
              <w:snapToGrid w:val="0"/>
              <w:jc w:val="center"/>
              <w:rPr>
                <w:color w:val="auto"/>
              </w:rPr>
            </w:pPr>
          </w:p>
        </w:tc>
        <w:tc>
          <w:tcPr>
            <w:tcW w:w="1010" w:type="pct"/>
            <w:tcBorders>
              <w:top w:val="single" w:color="auto" w:sz="2" w:space="0"/>
              <w:left w:val="single" w:color="auto" w:sz="2" w:space="0"/>
              <w:bottom w:val="single" w:color="auto" w:sz="2" w:space="0"/>
              <w:right w:val="single" w:color="auto" w:sz="2" w:space="0"/>
            </w:tcBorders>
            <w:vAlign w:val="center"/>
          </w:tcPr>
          <w:p w14:paraId="43E59D3D">
            <w:pPr>
              <w:snapToGrid w:val="0"/>
              <w:jc w:val="center"/>
              <w:rPr>
                <w:color w:val="auto"/>
              </w:rPr>
            </w:pPr>
            <w:r>
              <w:rPr>
                <w:rFonts w:hint="eastAsia"/>
                <w:color w:val="auto"/>
              </w:rPr>
              <w:t>2</w:t>
            </w:r>
            <w:r>
              <w:rPr>
                <w:color w:val="auto"/>
              </w:rPr>
              <w:t>0</w:t>
            </w:r>
          </w:p>
        </w:tc>
        <w:tc>
          <w:tcPr>
            <w:tcW w:w="1672" w:type="pct"/>
            <w:tcBorders>
              <w:top w:val="single" w:color="auto" w:sz="2" w:space="0"/>
              <w:left w:val="single" w:color="auto" w:sz="2" w:space="0"/>
              <w:bottom w:val="single" w:color="auto" w:sz="2" w:space="0"/>
              <w:right w:val="single" w:color="auto" w:sz="2" w:space="0"/>
            </w:tcBorders>
            <w:vAlign w:val="center"/>
          </w:tcPr>
          <w:p w14:paraId="5ACE17C8">
            <w:pPr>
              <w:snapToGrid w:val="0"/>
              <w:jc w:val="center"/>
              <w:rPr>
                <w:color w:val="auto"/>
              </w:rPr>
            </w:pPr>
            <w:r>
              <w:rPr>
                <w:rFonts w:hint="eastAsia"/>
                <w:color w:val="auto"/>
              </w:rPr>
              <w:t>监控点处任意一次浓度值</w:t>
            </w:r>
          </w:p>
        </w:tc>
        <w:tc>
          <w:tcPr>
            <w:tcW w:w="1436" w:type="pct"/>
            <w:vMerge w:val="continue"/>
            <w:tcBorders>
              <w:left w:val="single" w:color="auto" w:sz="2" w:space="0"/>
              <w:bottom w:val="single" w:color="auto" w:sz="2" w:space="0"/>
              <w:right w:val="single" w:color="auto" w:sz="2" w:space="0"/>
            </w:tcBorders>
            <w:vAlign w:val="center"/>
          </w:tcPr>
          <w:p w14:paraId="2F733FB4">
            <w:pPr>
              <w:snapToGrid w:val="0"/>
              <w:jc w:val="center"/>
              <w:rPr>
                <w:color w:val="auto"/>
              </w:rPr>
            </w:pPr>
          </w:p>
        </w:tc>
      </w:tr>
    </w:tbl>
    <w:p w14:paraId="39718C05">
      <w:pPr>
        <w:pStyle w:val="122"/>
        <w:ind w:firstLine="482"/>
        <w:jc w:val="left"/>
        <w:rPr>
          <w:b/>
          <w:color w:val="auto"/>
        </w:rPr>
      </w:pPr>
      <w:r>
        <w:rPr>
          <w:b/>
          <w:color w:val="auto"/>
        </w:rPr>
        <w:t>2</w:t>
      </w:r>
      <w:r>
        <w:rPr>
          <w:rFonts w:hint="eastAsia"/>
          <w:b/>
          <w:color w:val="auto"/>
        </w:rPr>
        <w:t>、废水</w:t>
      </w:r>
    </w:p>
    <w:p w14:paraId="5415785A">
      <w:pPr>
        <w:spacing w:line="360" w:lineRule="auto"/>
        <w:ind w:firstLine="480" w:firstLineChars="200"/>
        <w:rPr>
          <w:color w:val="auto"/>
          <w:sz w:val="24"/>
          <w:szCs w:val="24"/>
        </w:rPr>
      </w:pPr>
      <w:bookmarkStart w:id="5" w:name="_Hlk162365076"/>
      <w:r>
        <w:rPr>
          <w:rFonts w:hint="eastAsia"/>
          <w:color w:val="auto"/>
          <w:sz w:val="24"/>
          <w:szCs w:val="24"/>
        </w:rPr>
        <w:t>本项目实施后，外排废水为员工生活污水。生活污水经园区内隔油池、化粪池处理后纳管排放，水帘喷淋废水经絮凝沉淀、打捞沉渣后与清洗废水一同进入自建污水处理设施，采用“絮凝沉淀+中和+A/O”工艺处理后纳管排放。生活污水纳管排放</w:t>
      </w:r>
      <w:r>
        <w:rPr>
          <w:rFonts w:hint="eastAsia"/>
          <w:color w:val="auto"/>
          <w:sz w:val="24"/>
          <w:szCs w:val="24"/>
          <w:lang w:eastAsia="zh-CN"/>
        </w:rPr>
        <w:t>，</w:t>
      </w:r>
      <w:r>
        <w:rPr>
          <w:rFonts w:hint="eastAsia"/>
          <w:color w:val="auto"/>
          <w:sz w:val="24"/>
          <w:szCs w:val="24"/>
          <w:lang w:val="en-US" w:eastAsia="zh-CN"/>
        </w:rPr>
        <w:t>全厂设置1个标准排放口，</w:t>
      </w:r>
      <w:r>
        <w:rPr>
          <w:rFonts w:hint="eastAsia"/>
          <w:color w:val="auto"/>
          <w:sz w:val="24"/>
          <w:szCs w:val="24"/>
        </w:rPr>
        <w:t>执行《污水综合排放标准》(GB8978-1996)中的三级标准(其中氨氮、总磷参照执行DB33/887-2013《工业企业废水氮、磷污染物间接排放限值》)。临平净水厂尾水中COD、氨氮、总氮、总磷排放执行《城镇污水处理厂主要水污染物排放标准》(DB33/2169-2018)表1中的排放限值，其余指标执行《城镇污水处理厂污染物排放标准》(GB18918-2002)中的一级A标准，具体详见下表。</w:t>
      </w:r>
    </w:p>
    <w:p w14:paraId="56B6FB0C">
      <w:pPr>
        <w:pStyle w:val="116"/>
        <w:numPr>
          <w:ilvl w:val="0"/>
          <w:numId w:val="0"/>
        </w:numPr>
        <w:spacing w:before="156"/>
        <w:ind w:left="420" w:leftChars="0" w:hanging="420" w:firstLineChars="0"/>
        <w:rPr>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表7</w:t>
      </w:r>
      <w:r>
        <w:rPr>
          <w:color w:val="auto"/>
        </w:rPr>
        <w:t>废水排放标准  单位：mg/L，除pH外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657"/>
        <w:gridCol w:w="994"/>
        <w:gridCol w:w="931"/>
        <w:gridCol w:w="648"/>
        <w:gridCol w:w="1074"/>
        <w:gridCol w:w="808"/>
        <w:gridCol w:w="747"/>
        <w:gridCol w:w="1002"/>
      </w:tblGrid>
      <w:tr w14:paraId="34EE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975" w:type="pct"/>
            <w:vAlign w:val="center"/>
          </w:tcPr>
          <w:p w14:paraId="44C9D9D8">
            <w:pPr>
              <w:snapToGrid w:val="0"/>
              <w:jc w:val="center"/>
              <w:rPr>
                <w:color w:val="auto"/>
              </w:rPr>
            </w:pPr>
            <w:r>
              <w:rPr>
                <w:color w:val="auto"/>
              </w:rPr>
              <w:t>指标</w:t>
            </w:r>
          </w:p>
        </w:tc>
        <w:tc>
          <w:tcPr>
            <w:tcW w:w="386" w:type="pct"/>
            <w:vAlign w:val="center"/>
          </w:tcPr>
          <w:p w14:paraId="0EB70F2F">
            <w:pPr>
              <w:snapToGrid w:val="0"/>
              <w:jc w:val="center"/>
              <w:rPr>
                <w:color w:val="auto"/>
              </w:rPr>
            </w:pPr>
            <w:r>
              <w:rPr>
                <w:color w:val="auto"/>
              </w:rPr>
              <w:t>pH</w:t>
            </w:r>
          </w:p>
        </w:tc>
        <w:tc>
          <w:tcPr>
            <w:tcW w:w="583" w:type="pct"/>
            <w:vAlign w:val="center"/>
          </w:tcPr>
          <w:p w14:paraId="1FCE3E24">
            <w:pPr>
              <w:snapToGrid w:val="0"/>
              <w:jc w:val="center"/>
              <w:rPr>
                <w:color w:val="auto"/>
              </w:rPr>
            </w:pPr>
            <w:r>
              <w:rPr>
                <w:color w:val="auto"/>
              </w:rPr>
              <w:t>COD</w:t>
            </w:r>
            <w:r>
              <w:rPr>
                <w:color w:val="auto"/>
                <w:vertAlign w:val="subscript"/>
              </w:rPr>
              <w:t>Cr</w:t>
            </w:r>
          </w:p>
        </w:tc>
        <w:tc>
          <w:tcPr>
            <w:tcW w:w="546" w:type="pct"/>
            <w:vAlign w:val="center"/>
          </w:tcPr>
          <w:p w14:paraId="4632AA2B">
            <w:pPr>
              <w:snapToGrid w:val="0"/>
              <w:jc w:val="center"/>
              <w:rPr>
                <w:color w:val="auto"/>
              </w:rPr>
            </w:pPr>
            <w:r>
              <w:rPr>
                <w:color w:val="auto"/>
              </w:rPr>
              <w:t>BOD</w:t>
            </w:r>
            <w:r>
              <w:rPr>
                <w:color w:val="auto"/>
                <w:vertAlign w:val="subscript"/>
              </w:rPr>
              <w:t>5</w:t>
            </w:r>
          </w:p>
        </w:tc>
        <w:tc>
          <w:tcPr>
            <w:tcW w:w="380" w:type="pct"/>
            <w:vAlign w:val="center"/>
          </w:tcPr>
          <w:p w14:paraId="20B70B37">
            <w:pPr>
              <w:snapToGrid w:val="0"/>
              <w:jc w:val="center"/>
              <w:rPr>
                <w:color w:val="auto"/>
              </w:rPr>
            </w:pPr>
            <w:r>
              <w:rPr>
                <w:color w:val="auto"/>
              </w:rPr>
              <w:t>SS</w:t>
            </w:r>
          </w:p>
        </w:tc>
        <w:tc>
          <w:tcPr>
            <w:tcW w:w="630" w:type="pct"/>
            <w:vAlign w:val="center"/>
          </w:tcPr>
          <w:p w14:paraId="2935FD6C">
            <w:pPr>
              <w:snapToGrid w:val="0"/>
              <w:jc w:val="center"/>
              <w:rPr>
                <w:color w:val="auto"/>
              </w:rPr>
            </w:pPr>
            <w:r>
              <w:rPr>
                <w:color w:val="auto"/>
              </w:rPr>
              <w:t>氨氮</w:t>
            </w:r>
          </w:p>
        </w:tc>
        <w:tc>
          <w:tcPr>
            <w:tcW w:w="474" w:type="pct"/>
            <w:vAlign w:val="center"/>
          </w:tcPr>
          <w:p w14:paraId="1747D3CE">
            <w:pPr>
              <w:snapToGrid w:val="0"/>
              <w:jc w:val="center"/>
              <w:rPr>
                <w:color w:val="auto"/>
              </w:rPr>
            </w:pPr>
            <w:r>
              <w:rPr>
                <w:color w:val="auto"/>
              </w:rPr>
              <w:t>石油类</w:t>
            </w:r>
          </w:p>
        </w:tc>
        <w:tc>
          <w:tcPr>
            <w:tcW w:w="438" w:type="pct"/>
            <w:vAlign w:val="center"/>
          </w:tcPr>
          <w:p w14:paraId="399548D3">
            <w:pPr>
              <w:snapToGrid w:val="0"/>
              <w:jc w:val="center"/>
              <w:rPr>
                <w:color w:val="auto"/>
              </w:rPr>
            </w:pPr>
            <w:r>
              <w:rPr>
                <w:color w:val="auto"/>
              </w:rPr>
              <w:t>LAS</w:t>
            </w:r>
          </w:p>
        </w:tc>
        <w:tc>
          <w:tcPr>
            <w:tcW w:w="586" w:type="pct"/>
            <w:vAlign w:val="center"/>
          </w:tcPr>
          <w:p w14:paraId="2F1788F7">
            <w:pPr>
              <w:snapToGrid w:val="0"/>
              <w:jc w:val="center"/>
              <w:rPr>
                <w:color w:val="auto"/>
              </w:rPr>
            </w:pPr>
            <w:r>
              <w:rPr>
                <w:color w:val="auto"/>
              </w:rPr>
              <w:t>动植物油</w:t>
            </w:r>
          </w:p>
        </w:tc>
      </w:tr>
      <w:tr w14:paraId="789E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975" w:type="pct"/>
            <w:vAlign w:val="center"/>
          </w:tcPr>
          <w:p w14:paraId="3282B423">
            <w:pPr>
              <w:snapToGrid w:val="0"/>
              <w:jc w:val="center"/>
              <w:rPr>
                <w:color w:val="auto"/>
              </w:rPr>
            </w:pPr>
            <w:r>
              <w:rPr>
                <w:color w:val="auto"/>
              </w:rPr>
              <w:t>纳管标准</w:t>
            </w:r>
          </w:p>
        </w:tc>
        <w:tc>
          <w:tcPr>
            <w:tcW w:w="386" w:type="pct"/>
            <w:vMerge w:val="restart"/>
            <w:vAlign w:val="center"/>
          </w:tcPr>
          <w:p w14:paraId="5B456E64">
            <w:pPr>
              <w:snapToGrid w:val="0"/>
              <w:jc w:val="center"/>
              <w:rPr>
                <w:color w:val="auto"/>
              </w:rPr>
            </w:pPr>
            <w:r>
              <w:rPr>
                <w:color w:val="auto"/>
              </w:rPr>
              <w:t>6~9</w:t>
            </w:r>
          </w:p>
        </w:tc>
        <w:tc>
          <w:tcPr>
            <w:tcW w:w="583" w:type="pct"/>
            <w:vAlign w:val="center"/>
          </w:tcPr>
          <w:p w14:paraId="11A8DDB4">
            <w:pPr>
              <w:snapToGrid w:val="0"/>
              <w:jc w:val="center"/>
              <w:rPr>
                <w:color w:val="auto"/>
              </w:rPr>
            </w:pPr>
            <w:r>
              <w:rPr>
                <w:color w:val="auto"/>
              </w:rPr>
              <w:t>500</w:t>
            </w:r>
          </w:p>
        </w:tc>
        <w:tc>
          <w:tcPr>
            <w:tcW w:w="546" w:type="pct"/>
            <w:vAlign w:val="center"/>
          </w:tcPr>
          <w:p w14:paraId="164E0109">
            <w:pPr>
              <w:snapToGrid w:val="0"/>
              <w:jc w:val="center"/>
              <w:rPr>
                <w:color w:val="auto"/>
              </w:rPr>
            </w:pPr>
            <w:r>
              <w:rPr>
                <w:color w:val="auto"/>
              </w:rPr>
              <w:t>300</w:t>
            </w:r>
          </w:p>
        </w:tc>
        <w:tc>
          <w:tcPr>
            <w:tcW w:w="380" w:type="pct"/>
            <w:vAlign w:val="center"/>
          </w:tcPr>
          <w:p w14:paraId="498A640D">
            <w:pPr>
              <w:snapToGrid w:val="0"/>
              <w:jc w:val="center"/>
              <w:rPr>
                <w:color w:val="auto"/>
              </w:rPr>
            </w:pPr>
            <w:r>
              <w:rPr>
                <w:color w:val="auto"/>
              </w:rPr>
              <w:t>400</w:t>
            </w:r>
          </w:p>
        </w:tc>
        <w:tc>
          <w:tcPr>
            <w:tcW w:w="630" w:type="pct"/>
            <w:vAlign w:val="center"/>
          </w:tcPr>
          <w:p w14:paraId="5D2D1FE3">
            <w:pPr>
              <w:snapToGrid w:val="0"/>
              <w:jc w:val="center"/>
              <w:rPr>
                <w:color w:val="auto"/>
              </w:rPr>
            </w:pPr>
            <w:r>
              <w:rPr>
                <w:color w:val="auto"/>
              </w:rPr>
              <w:t>35</w:t>
            </w:r>
            <w:r>
              <w:rPr>
                <w:rFonts w:hint="eastAsia"/>
                <w:color w:val="auto"/>
              </w:rPr>
              <w:t>①</w:t>
            </w:r>
          </w:p>
        </w:tc>
        <w:tc>
          <w:tcPr>
            <w:tcW w:w="474" w:type="pct"/>
            <w:vAlign w:val="center"/>
          </w:tcPr>
          <w:p w14:paraId="272D2726">
            <w:pPr>
              <w:snapToGrid w:val="0"/>
              <w:jc w:val="center"/>
              <w:rPr>
                <w:color w:val="auto"/>
              </w:rPr>
            </w:pPr>
            <w:r>
              <w:rPr>
                <w:color w:val="auto"/>
              </w:rPr>
              <w:t>20</w:t>
            </w:r>
          </w:p>
        </w:tc>
        <w:tc>
          <w:tcPr>
            <w:tcW w:w="438" w:type="pct"/>
            <w:vAlign w:val="center"/>
          </w:tcPr>
          <w:p w14:paraId="0A43B4ED">
            <w:pPr>
              <w:snapToGrid w:val="0"/>
              <w:jc w:val="center"/>
              <w:rPr>
                <w:color w:val="auto"/>
              </w:rPr>
            </w:pPr>
            <w:r>
              <w:rPr>
                <w:color w:val="auto"/>
              </w:rPr>
              <w:t>20</w:t>
            </w:r>
          </w:p>
        </w:tc>
        <w:tc>
          <w:tcPr>
            <w:tcW w:w="586" w:type="pct"/>
            <w:vAlign w:val="center"/>
          </w:tcPr>
          <w:p w14:paraId="62808C96">
            <w:pPr>
              <w:snapToGrid w:val="0"/>
              <w:jc w:val="center"/>
              <w:rPr>
                <w:color w:val="auto"/>
              </w:rPr>
            </w:pPr>
            <w:r>
              <w:rPr>
                <w:color w:val="auto"/>
              </w:rPr>
              <w:t>100</w:t>
            </w:r>
          </w:p>
        </w:tc>
      </w:tr>
      <w:tr w14:paraId="149F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5" w:type="pct"/>
            <w:vAlign w:val="center"/>
          </w:tcPr>
          <w:p w14:paraId="6A548028">
            <w:pPr>
              <w:snapToGrid w:val="0"/>
              <w:jc w:val="center"/>
              <w:rPr>
                <w:color w:val="auto"/>
              </w:rPr>
            </w:pPr>
            <w:r>
              <w:rPr>
                <w:color w:val="auto"/>
              </w:rPr>
              <w:t>污水厂出水标准</w:t>
            </w:r>
          </w:p>
        </w:tc>
        <w:tc>
          <w:tcPr>
            <w:tcW w:w="386" w:type="pct"/>
            <w:vMerge w:val="continue"/>
            <w:vAlign w:val="center"/>
          </w:tcPr>
          <w:p w14:paraId="46C574FE">
            <w:pPr>
              <w:snapToGrid w:val="0"/>
              <w:jc w:val="center"/>
              <w:rPr>
                <w:color w:val="auto"/>
              </w:rPr>
            </w:pPr>
          </w:p>
        </w:tc>
        <w:tc>
          <w:tcPr>
            <w:tcW w:w="583" w:type="pct"/>
            <w:vAlign w:val="center"/>
          </w:tcPr>
          <w:p w14:paraId="202614C9">
            <w:pPr>
              <w:snapToGrid w:val="0"/>
              <w:jc w:val="center"/>
              <w:rPr>
                <w:color w:val="auto"/>
              </w:rPr>
            </w:pPr>
            <w:r>
              <w:rPr>
                <w:color w:val="auto"/>
              </w:rPr>
              <w:t>40</w:t>
            </w:r>
          </w:p>
        </w:tc>
        <w:tc>
          <w:tcPr>
            <w:tcW w:w="546" w:type="pct"/>
            <w:vAlign w:val="center"/>
          </w:tcPr>
          <w:p w14:paraId="6FF814B2">
            <w:pPr>
              <w:snapToGrid w:val="0"/>
              <w:jc w:val="center"/>
              <w:rPr>
                <w:color w:val="auto"/>
              </w:rPr>
            </w:pPr>
            <w:r>
              <w:rPr>
                <w:color w:val="auto"/>
              </w:rPr>
              <w:t>10</w:t>
            </w:r>
          </w:p>
        </w:tc>
        <w:tc>
          <w:tcPr>
            <w:tcW w:w="380" w:type="pct"/>
            <w:vAlign w:val="center"/>
          </w:tcPr>
          <w:p w14:paraId="1B3EDAEA">
            <w:pPr>
              <w:snapToGrid w:val="0"/>
              <w:jc w:val="center"/>
              <w:rPr>
                <w:color w:val="auto"/>
              </w:rPr>
            </w:pPr>
            <w:r>
              <w:rPr>
                <w:color w:val="auto"/>
              </w:rPr>
              <w:t>10</w:t>
            </w:r>
          </w:p>
        </w:tc>
        <w:tc>
          <w:tcPr>
            <w:tcW w:w="630" w:type="pct"/>
            <w:vAlign w:val="center"/>
          </w:tcPr>
          <w:p w14:paraId="55610C5D">
            <w:pPr>
              <w:snapToGrid w:val="0"/>
              <w:jc w:val="center"/>
              <w:rPr>
                <w:color w:val="auto"/>
              </w:rPr>
            </w:pPr>
            <w:r>
              <w:rPr>
                <w:color w:val="auto"/>
              </w:rPr>
              <w:t>2(4)</w:t>
            </w:r>
            <w:r>
              <w:rPr>
                <w:rFonts w:hint="eastAsia"/>
                <w:color w:val="auto"/>
              </w:rPr>
              <w:t>②</w:t>
            </w:r>
          </w:p>
        </w:tc>
        <w:tc>
          <w:tcPr>
            <w:tcW w:w="474" w:type="pct"/>
            <w:vAlign w:val="center"/>
          </w:tcPr>
          <w:p w14:paraId="07241EF6">
            <w:pPr>
              <w:snapToGrid w:val="0"/>
              <w:jc w:val="center"/>
              <w:rPr>
                <w:color w:val="auto"/>
              </w:rPr>
            </w:pPr>
            <w:r>
              <w:rPr>
                <w:color w:val="auto"/>
              </w:rPr>
              <w:t>1</w:t>
            </w:r>
          </w:p>
        </w:tc>
        <w:tc>
          <w:tcPr>
            <w:tcW w:w="438" w:type="pct"/>
            <w:vAlign w:val="center"/>
          </w:tcPr>
          <w:p w14:paraId="0FC4684F">
            <w:pPr>
              <w:snapToGrid w:val="0"/>
              <w:jc w:val="center"/>
              <w:rPr>
                <w:color w:val="auto"/>
              </w:rPr>
            </w:pPr>
            <w:r>
              <w:rPr>
                <w:color w:val="auto"/>
              </w:rPr>
              <w:t>0.5</w:t>
            </w:r>
          </w:p>
        </w:tc>
        <w:tc>
          <w:tcPr>
            <w:tcW w:w="586" w:type="pct"/>
            <w:vAlign w:val="center"/>
          </w:tcPr>
          <w:p w14:paraId="7CE2673A">
            <w:pPr>
              <w:snapToGrid w:val="0"/>
              <w:jc w:val="center"/>
              <w:rPr>
                <w:color w:val="auto"/>
              </w:rPr>
            </w:pPr>
            <w:r>
              <w:rPr>
                <w:color w:val="auto"/>
              </w:rPr>
              <w:t>1</w:t>
            </w:r>
          </w:p>
        </w:tc>
      </w:tr>
      <w:tr w14:paraId="0CA9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9"/>
            <w:vAlign w:val="center"/>
          </w:tcPr>
          <w:p w14:paraId="360F868F">
            <w:pPr>
              <w:snapToGrid w:val="0"/>
              <w:jc w:val="center"/>
              <w:rPr>
                <w:color w:val="auto"/>
              </w:rPr>
            </w:pPr>
            <w:r>
              <w:rPr>
                <w:color w:val="auto"/>
              </w:rPr>
              <w:t>注：</w:t>
            </w:r>
            <w:r>
              <w:rPr>
                <w:color w:val="auto"/>
              </w:rPr>
              <w:fldChar w:fldCharType="begin"/>
            </w:r>
            <w:r>
              <w:rPr>
                <w:color w:val="auto"/>
              </w:rPr>
              <w:instrText xml:space="preserve"> = 1 \* GB3 </w:instrText>
            </w:r>
            <w:r>
              <w:rPr>
                <w:color w:val="auto"/>
              </w:rPr>
              <w:fldChar w:fldCharType="separate"/>
            </w:r>
            <w:r>
              <w:rPr>
                <w:rFonts w:hint="eastAsia"/>
                <w:color w:val="auto"/>
              </w:rPr>
              <w:t>①</w:t>
            </w:r>
            <w:r>
              <w:rPr>
                <w:color w:val="auto"/>
              </w:rPr>
              <w:fldChar w:fldCharType="end"/>
            </w:r>
            <w:r>
              <w:rPr>
                <w:color w:val="auto"/>
              </w:rPr>
              <w:t>氨氮无三级排放标准，参照执行DB33/887-2013《工业企业废水氮磷污染物间接排放限值》；</w:t>
            </w:r>
            <w:r>
              <w:rPr>
                <w:rFonts w:hint="eastAsia"/>
                <w:color w:val="auto"/>
              </w:rPr>
              <w:t>②</w:t>
            </w:r>
            <w:r>
              <w:rPr>
                <w:color w:val="auto"/>
              </w:rPr>
              <w:t>括号内数值为每年11月1日至次年3月31日执行。</w:t>
            </w:r>
          </w:p>
        </w:tc>
      </w:tr>
      <w:bookmarkEnd w:id="5"/>
    </w:tbl>
    <w:p w14:paraId="6D1C5103">
      <w:pPr>
        <w:pStyle w:val="122"/>
        <w:ind w:firstLine="482"/>
        <w:jc w:val="left"/>
        <w:rPr>
          <w:b/>
          <w:color w:val="auto"/>
        </w:rPr>
      </w:pPr>
      <w:r>
        <w:rPr>
          <w:b/>
          <w:color w:val="auto"/>
        </w:rPr>
        <w:t>3</w:t>
      </w:r>
      <w:r>
        <w:rPr>
          <w:rFonts w:hint="eastAsia"/>
          <w:b/>
          <w:color w:val="auto"/>
        </w:rPr>
        <w:t>、噪声</w:t>
      </w:r>
    </w:p>
    <w:p w14:paraId="725CD593">
      <w:pPr>
        <w:snapToGrid w:val="0"/>
        <w:spacing w:line="360" w:lineRule="auto"/>
        <w:ind w:firstLine="480" w:firstLineChars="200"/>
        <w:rPr>
          <w:color w:val="auto"/>
          <w:sz w:val="24"/>
          <w:szCs w:val="24"/>
        </w:rPr>
      </w:pPr>
      <w:r>
        <w:rPr>
          <w:rFonts w:hint="eastAsia"/>
          <w:color w:val="auto"/>
          <w:sz w:val="24"/>
          <w:szCs w:val="24"/>
          <w:lang w:val="en-US" w:eastAsia="zh-CN"/>
        </w:rPr>
        <w:t>根据《杭州市临平区声环境功能区划分方案（2021~2025）》方案，本项目厂址位于3类声环境功能区，因此项目营运期间，四周厂界噪声应当执行《工业企业厂界环境噪声排放标准》(GB12348-2008)中的3类标准</w:t>
      </w:r>
      <w:r>
        <w:rPr>
          <w:rFonts w:hint="eastAsia"/>
          <w:color w:val="auto"/>
          <w:sz w:val="24"/>
          <w:szCs w:val="24"/>
        </w:rPr>
        <w:t>。</w:t>
      </w:r>
    </w:p>
    <w:p w14:paraId="6E7A6169">
      <w:pPr>
        <w:pStyle w:val="116"/>
        <w:numPr>
          <w:ilvl w:val="0"/>
          <w:numId w:val="0"/>
        </w:numPr>
        <w:spacing w:before="156"/>
        <w:ind w:left="420" w:leftChars="0" w:hanging="420" w:firstLineChars="0"/>
        <w:rPr>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表8</w:t>
      </w:r>
      <w:r>
        <w:rPr>
          <w:color w:val="auto"/>
        </w:rPr>
        <w:t>GB12348-2008</w:t>
      </w:r>
      <w:r>
        <w:rPr>
          <w:rFonts w:hint="eastAsia"/>
          <w:color w:val="auto"/>
        </w:rPr>
        <w:t>《工业企业厂界环境噪声排放标准》</w:t>
      </w:r>
      <w:r>
        <w:rPr>
          <w:color w:val="auto"/>
        </w:rPr>
        <w:t xml:space="preserve"> </w:t>
      </w:r>
      <w:r>
        <w:rPr>
          <w:rFonts w:hint="eastAsia"/>
          <w:color w:val="auto"/>
        </w:rPr>
        <w:t>单位：d</w:t>
      </w:r>
      <w:r>
        <w:rPr>
          <w:color w:val="auto"/>
        </w:rP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4DB6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67F7E078">
            <w:pPr>
              <w:adjustRightInd w:val="0"/>
              <w:snapToGrid w:val="0"/>
              <w:jc w:val="center"/>
              <w:rPr>
                <w:color w:val="auto"/>
              </w:rPr>
            </w:pPr>
            <w:r>
              <w:rPr>
                <w:rFonts w:hint="eastAsia"/>
                <w:color w:val="auto"/>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2B6B4804">
            <w:pPr>
              <w:adjustRightInd w:val="0"/>
              <w:snapToGrid w:val="0"/>
              <w:jc w:val="center"/>
              <w:rPr>
                <w:color w:val="auto"/>
              </w:rPr>
            </w:pPr>
            <w:r>
              <w:rPr>
                <w:rFonts w:hint="eastAsia"/>
                <w:color w:val="auto"/>
              </w:rPr>
              <w:t>等效声级</w:t>
            </w:r>
            <w:r>
              <w:rPr>
                <w:color w:val="auto"/>
              </w:rPr>
              <w:t>Leq</w:t>
            </w:r>
          </w:p>
        </w:tc>
      </w:tr>
      <w:tr w14:paraId="6E5C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07C08E8">
            <w:pPr>
              <w:adjustRightInd w:val="0"/>
              <w:snapToGrid w:val="0"/>
              <w:jc w:val="center"/>
              <w:rPr>
                <w:color w:val="auto"/>
              </w:rPr>
            </w:pPr>
          </w:p>
        </w:tc>
        <w:tc>
          <w:tcPr>
            <w:tcW w:w="2787" w:type="dxa"/>
            <w:tcBorders>
              <w:top w:val="single" w:color="auto" w:sz="4" w:space="0"/>
              <w:left w:val="single" w:color="auto" w:sz="4" w:space="0"/>
              <w:bottom w:val="single" w:color="auto" w:sz="4" w:space="0"/>
              <w:right w:val="single" w:color="auto" w:sz="4" w:space="0"/>
            </w:tcBorders>
            <w:vAlign w:val="center"/>
          </w:tcPr>
          <w:p w14:paraId="616EB10D">
            <w:pPr>
              <w:pStyle w:val="45"/>
              <w:adjustRightInd w:val="0"/>
              <w:snapToGrid w:val="0"/>
              <w:rPr>
                <w:color w:val="auto"/>
                <w:kern w:val="0"/>
                <w:sz w:val="21"/>
                <w:szCs w:val="21"/>
              </w:rPr>
            </w:pPr>
            <w:r>
              <w:rPr>
                <w:rFonts w:hint="eastAsia"/>
                <w:color w:val="auto"/>
                <w:kern w:val="0"/>
                <w:sz w:val="21"/>
                <w:szCs w:val="21"/>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6E8B3AD4">
            <w:pPr>
              <w:pStyle w:val="45"/>
              <w:adjustRightInd w:val="0"/>
              <w:snapToGrid w:val="0"/>
              <w:ind w:left="360" w:hanging="360"/>
              <w:rPr>
                <w:color w:val="auto"/>
                <w:kern w:val="0"/>
                <w:sz w:val="21"/>
                <w:szCs w:val="21"/>
              </w:rPr>
            </w:pPr>
            <w:r>
              <w:rPr>
                <w:rFonts w:hint="eastAsia"/>
                <w:color w:val="auto"/>
                <w:kern w:val="0"/>
                <w:sz w:val="21"/>
                <w:szCs w:val="21"/>
              </w:rPr>
              <w:t>夜间</w:t>
            </w:r>
          </w:p>
        </w:tc>
      </w:tr>
      <w:tr w14:paraId="5106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777A968A">
            <w:pPr>
              <w:adjustRightInd w:val="0"/>
              <w:snapToGrid w:val="0"/>
              <w:jc w:val="center"/>
              <w:rPr>
                <w:color w:val="auto"/>
              </w:rPr>
            </w:pPr>
            <w:r>
              <w:rPr>
                <w:color w:val="auto"/>
              </w:rPr>
              <w:t>3</w:t>
            </w:r>
            <w:r>
              <w:rPr>
                <w:rFonts w:hint="eastAsia"/>
                <w:color w:val="auto"/>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34EE1542">
            <w:pPr>
              <w:adjustRightInd w:val="0"/>
              <w:snapToGrid w:val="0"/>
              <w:jc w:val="center"/>
              <w:rPr>
                <w:color w:val="auto"/>
              </w:rPr>
            </w:pPr>
            <w:r>
              <w:rPr>
                <w:color w:val="auto"/>
              </w:rPr>
              <w:t>65</w:t>
            </w:r>
          </w:p>
        </w:tc>
        <w:tc>
          <w:tcPr>
            <w:tcW w:w="2785" w:type="dxa"/>
            <w:tcBorders>
              <w:top w:val="single" w:color="auto" w:sz="4" w:space="0"/>
              <w:left w:val="single" w:color="auto" w:sz="4" w:space="0"/>
              <w:bottom w:val="single" w:color="auto" w:sz="4" w:space="0"/>
              <w:right w:val="single" w:color="auto" w:sz="4" w:space="0"/>
            </w:tcBorders>
            <w:vAlign w:val="center"/>
          </w:tcPr>
          <w:p w14:paraId="2CB258D3">
            <w:pPr>
              <w:adjustRightInd w:val="0"/>
              <w:snapToGrid w:val="0"/>
              <w:jc w:val="center"/>
              <w:rPr>
                <w:color w:val="auto"/>
              </w:rPr>
            </w:pPr>
            <w:r>
              <w:rPr>
                <w:color w:val="auto"/>
              </w:rPr>
              <w:t>55</w:t>
            </w:r>
          </w:p>
        </w:tc>
      </w:tr>
    </w:tbl>
    <w:p w14:paraId="7ACF34B7">
      <w:pPr>
        <w:pStyle w:val="122"/>
        <w:ind w:firstLine="482"/>
        <w:jc w:val="left"/>
        <w:rPr>
          <w:b/>
          <w:color w:val="auto"/>
        </w:rPr>
      </w:pPr>
      <w:r>
        <w:rPr>
          <w:b/>
          <w:color w:val="auto"/>
        </w:rPr>
        <w:t>4</w:t>
      </w:r>
      <w:r>
        <w:rPr>
          <w:rFonts w:hint="eastAsia"/>
          <w:b/>
          <w:color w:val="auto"/>
        </w:rPr>
        <w:t>、固体废物控制标准</w:t>
      </w:r>
    </w:p>
    <w:p w14:paraId="7A264D75">
      <w:pPr>
        <w:pStyle w:val="122"/>
        <w:ind w:firstLine="480"/>
        <w:rPr>
          <w:b/>
          <w:color w:val="auto"/>
        </w:rPr>
      </w:pPr>
      <w:r>
        <w:rPr>
          <w:rFonts w:hint="eastAsia"/>
          <w:color w:val="auto"/>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2A7680CF">
      <w:pPr>
        <w:pStyle w:val="3"/>
        <w:spacing w:line="360" w:lineRule="auto"/>
        <w:jc w:val="left"/>
        <w:rPr>
          <w:color w:val="auto"/>
        </w:rPr>
      </w:pPr>
      <w:bookmarkStart w:id="6" w:name="_Toc29666"/>
      <w:r>
        <w:rPr>
          <w:rFonts w:hint="eastAsia"/>
          <w:color w:val="auto"/>
        </w:rPr>
        <w:t>四、与</w:t>
      </w:r>
      <w:r>
        <w:rPr>
          <w:rFonts w:hint="eastAsia"/>
          <w:color w:val="auto"/>
          <w:kern w:val="2"/>
          <w:szCs w:val="24"/>
        </w:rPr>
        <w:t>《杭州市生态环境分区管控动态更新方案》</w:t>
      </w:r>
      <w:r>
        <w:rPr>
          <w:rFonts w:hint="eastAsia"/>
          <w:color w:val="auto"/>
        </w:rPr>
        <w:t>及规划环评符合性分析</w:t>
      </w:r>
      <w:bookmarkEnd w:id="6"/>
    </w:p>
    <w:p w14:paraId="1F38500E">
      <w:pPr>
        <w:spacing w:line="360" w:lineRule="auto"/>
        <w:ind w:firstLine="482" w:firstLineChars="200"/>
        <w:jc w:val="left"/>
        <w:outlineLvl w:val="1"/>
        <w:rPr>
          <w:rFonts w:hint="eastAsia" w:eastAsia="宋体"/>
          <w:b/>
          <w:color w:val="auto"/>
          <w:sz w:val="24"/>
          <w:szCs w:val="24"/>
          <w:lang w:eastAsia="zh-CN"/>
        </w:rPr>
      </w:pPr>
      <w:bookmarkStart w:id="7" w:name="_Toc19666"/>
      <w:r>
        <w:rPr>
          <w:rFonts w:hint="eastAsia"/>
          <w:b/>
          <w:color w:val="auto"/>
          <w:sz w:val="24"/>
          <w:szCs w:val="24"/>
          <w:lang w:val="en-US" w:eastAsia="zh-CN"/>
        </w:rPr>
        <w:t>4.1</w:t>
      </w:r>
      <w:r>
        <w:rPr>
          <w:rFonts w:hint="eastAsia"/>
          <w:b/>
          <w:color w:val="auto"/>
          <w:sz w:val="24"/>
          <w:szCs w:val="24"/>
        </w:rPr>
        <w:t>《杭州市生态环境分区管控动态更新方案》</w:t>
      </w:r>
      <w:r>
        <w:rPr>
          <w:rFonts w:hint="eastAsia"/>
          <w:b/>
          <w:color w:val="auto"/>
          <w:sz w:val="24"/>
          <w:szCs w:val="24"/>
          <w:lang w:eastAsia="zh-CN"/>
        </w:rPr>
        <w:t>符合性分析</w:t>
      </w:r>
      <w:bookmarkEnd w:id="7"/>
    </w:p>
    <w:p w14:paraId="4E63EE2B">
      <w:pPr>
        <w:adjustRightInd w:val="0"/>
        <w:snapToGrid w:val="0"/>
        <w:spacing w:line="360" w:lineRule="auto"/>
        <w:ind w:firstLine="480" w:firstLineChars="200"/>
        <w:rPr>
          <w:color w:val="auto"/>
          <w:sz w:val="24"/>
          <w:szCs w:val="24"/>
        </w:rPr>
      </w:pPr>
      <w:r>
        <w:rPr>
          <w:rFonts w:hint="eastAsia"/>
          <w:color w:val="auto"/>
          <w:sz w:val="24"/>
          <w:szCs w:val="24"/>
        </w:rPr>
        <w:t>企业位于杭州市临平经济技术开发区龙船坞路96号开投零壹半导体产业园，根据杭州市生态环境局关于印发《杭州市生态环境分区管控动态更新方案》的通知（杭环发〔2024〕49号）中附件1《杭州市生态环境分区管控动态更新方案》，本项目位于“临平区杭州临平经济技术开发区产业集聚重点管控单元（原杭州余杭经济技术开发区产业集聚重点管控单元）ZH33011320002”内</w:t>
      </w:r>
      <w:r>
        <w:rPr>
          <w:color w:val="auto"/>
          <w:sz w:val="24"/>
          <w:szCs w:val="24"/>
        </w:rPr>
        <w:t>。本项目</w:t>
      </w:r>
      <w:r>
        <w:rPr>
          <w:rFonts w:hint="eastAsia"/>
          <w:color w:val="auto"/>
          <w:sz w:val="24"/>
          <w:szCs w:val="24"/>
        </w:rPr>
        <w:t>与《杭州市生态环境分区管控动态更新方案》中提出的“生态保护红线、环境质量底线、资源利用上线及环境管控单元分类准入清单”简称“三线一单”，</w:t>
      </w:r>
      <w:r>
        <w:rPr>
          <w:color w:val="auto"/>
          <w:sz w:val="24"/>
          <w:szCs w:val="24"/>
        </w:rPr>
        <w:t>符合性分析如下：</w:t>
      </w:r>
    </w:p>
    <w:p w14:paraId="6AB4D397">
      <w:pPr>
        <w:numPr>
          <w:ilvl w:val="0"/>
          <w:numId w:val="0"/>
        </w:numPr>
        <w:adjustRightInd w:val="0"/>
        <w:snapToGrid w:val="0"/>
        <w:ind w:left="420" w:leftChars="0" w:hanging="420" w:firstLineChars="0"/>
        <w:jc w:val="center"/>
        <w:rPr>
          <w:b/>
          <w:color w:val="auto"/>
          <w:lang w:val="zh-CN"/>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表9</w:t>
      </w:r>
      <w:r>
        <w:rPr>
          <w:b/>
          <w:color w:val="auto"/>
          <w:lang w:val="zh-CN"/>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3"/>
        <w:gridCol w:w="4189"/>
        <w:gridCol w:w="2694"/>
        <w:gridCol w:w="514"/>
      </w:tblGrid>
      <w:tr w14:paraId="49AA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36263E3E">
            <w:pPr>
              <w:widowControl/>
              <w:adjustRightInd w:val="0"/>
              <w:snapToGrid w:val="0"/>
              <w:jc w:val="center"/>
              <w:rPr>
                <w:color w:val="auto"/>
                <w:kern w:val="0"/>
                <w:sz w:val="18"/>
                <w:szCs w:val="18"/>
                <w:lang w:bidi="ar"/>
              </w:rPr>
            </w:pPr>
            <w:r>
              <w:rPr>
                <w:color w:val="auto"/>
                <w:kern w:val="0"/>
                <w:sz w:val="18"/>
                <w:szCs w:val="18"/>
                <w:lang w:bidi="ar"/>
              </w:rPr>
              <w:t>三线一单</w:t>
            </w:r>
          </w:p>
        </w:tc>
        <w:tc>
          <w:tcPr>
            <w:tcW w:w="4189" w:type="dxa"/>
            <w:vAlign w:val="center"/>
          </w:tcPr>
          <w:p w14:paraId="742EAA0F">
            <w:pPr>
              <w:widowControl/>
              <w:adjustRightInd w:val="0"/>
              <w:snapToGrid w:val="0"/>
              <w:jc w:val="center"/>
              <w:rPr>
                <w:color w:val="auto"/>
                <w:kern w:val="0"/>
                <w:sz w:val="18"/>
                <w:szCs w:val="18"/>
                <w:lang w:bidi="ar"/>
              </w:rPr>
            </w:pPr>
            <w:r>
              <w:rPr>
                <w:color w:val="auto"/>
                <w:kern w:val="0"/>
                <w:sz w:val="18"/>
                <w:szCs w:val="18"/>
                <w:lang w:bidi="ar"/>
              </w:rPr>
              <w:t>有关要求</w:t>
            </w:r>
          </w:p>
        </w:tc>
        <w:tc>
          <w:tcPr>
            <w:tcW w:w="2694" w:type="dxa"/>
            <w:vAlign w:val="center"/>
          </w:tcPr>
          <w:p w14:paraId="3D3F03FA">
            <w:pPr>
              <w:widowControl/>
              <w:adjustRightInd w:val="0"/>
              <w:snapToGrid w:val="0"/>
              <w:jc w:val="center"/>
              <w:rPr>
                <w:color w:val="auto"/>
                <w:kern w:val="0"/>
                <w:sz w:val="18"/>
                <w:szCs w:val="18"/>
                <w:lang w:bidi="ar"/>
              </w:rPr>
            </w:pPr>
            <w:r>
              <w:rPr>
                <w:color w:val="auto"/>
                <w:kern w:val="0"/>
                <w:sz w:val="18"/>
                <w:szCs w:val="18"/>
                <w:lang w:bidi="ar"/>
              </w:rPr>
              <w:t>本项目情况</w:t>
            </w:r>
          </w:p>
        </w:tc>
        <w:tc>
          <w:tcPr>
            <w:tcW w:w="514" w:type="dxa"/>
            <w:vAlign w:val="center"/>
          </w:tcPr>
          <w:p w14:paraId="3588517B">
            <w:pPr>
              <w:widowControl/>
              <w:adjustRightInd w:val="0"/>
              <w:snapToGrid w:val="0"/>
              <w:jc w:val="center"/>
              <w:rPr>
                <w:color w:val="auto"/>
                <w:kern w:val="0"/>
                <w:sz w:val="18"/>
                <w:szCs w:val="18"/>
                <w:lang w:bidi="ar"/>
              </w:rPr>
            </w:pPr>
            <w:r>
              <w:rPr>
                <w:color w:val="auto"/>
                <w:kern w:val="0"/>
                <w:sz w:val="18"/>
                <w:szCs w:val="18"/>
                <w:lang w:bidi="ar"/>
              </w:rPr>
              <w:t>符合性</w:t>
            </w:r>
          </w:p>
        </w:tc>
      </w:tr>
      <w:tr w14:paraId="7130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352245EE">
            <w:pPr>
              <w:widowControl/>
              <w:adjustRightInd w:val="0"/>
              <w:snapToGrid w:val="0"/>
              <w:jc w:val="center"/>
              <w:rPr>
                <w:color w:val="auto"/>
                <w:kern w:val="0"/>
                <w:sz w:val="18"/>
                <w:szCs w:val="18"/>
                <w:lang w:bidi="ar"/>
              </w:rPr>
            </w:pPr>
            <w:r>
              <w:rPr>
                <w:color w:val="auto"/>
                <w:kern w:val="0"/>
                <w:sz w:val="18"/>
                <w:szCs w:val="18"/>
                <w:lang w:bidi="ar"/>
              </w:rPr>
              <w:t>生态保护红线</w:t>
            </w:r>
          </w:p>
        </w:tc>
        <w:tc>
          <w:tcPr>
            <w:tcW w:w="4189" w:type="dxa"/>
            <w:vAlign w:val="center"/>
          </w:tcPr>
          <w:p w14:paraId="7EE18DE1">
            <w:pPr>
              <w:widowControl/>
              <w:adjustRightInd w:val="0"/>
              <w:snapToGrid w:val="0"/>
              <w:jc w:val="center"/>
              <w:rPr>
                <w:color w:val="auto"/>
                <w:kern w:val="0"/>
                <w:sz w:val="18"/>
                <w:szCs w:val="18"/>
                <w:lang w:bidi="ar"/>
              </w:rPr>
            </w:pPr>
            <w:r>
              <w:rPr>
                <w:color w:val="auto"/>
                <w:kern w:val="0"/>
                <w:sz w:val="18"/>
                <w:szCs w:val="18"/>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2E0CE973">
            <w:pPr>
              <w:widowControl/>
              <w:adjustRightInd w:val="0"/>
              <w:snapToGrid w:val="0"/>
              <w:jc w:val="center"/>
              <w:rPr>
                <w:color w:val="auto"/>
                <w:kern w:val="0"/>
                <w:sz w:val="18"/>
                <w:szCs w:val="18"/>
                <w:lang w:bidi="ar"/>
              </w:rPr>
            </w:pPr>
            <w:r>
              <w:rPr>
                <w:color w:val="auto"/>
                <w:kern w:val="0"/>
                <w:sz w:val="18"/>
                <w:szCs w:val="18"/>
                <w:lang w:bidi="ar"/>
              </w:rPr>
              <w:t>根据</w:t>
            </w:r>
            <w:r>
              <w:rPr>
                <w:rFonts w:hint="eastAsia"/>
                <w:color w:val="auto"/>
                <w:kern w:val="0"/>
                <w:sz w:val="18"/>
                <w:szCs w:val="18"/>
                <w:lang w:bidi="ar"/>
              </w:rPr>
              <w:t>临平区三区三线图</w:t>
            </w:r>
            <w:r>
              <w:rPr>
                <w:color w:val="auto"/>
                <w:kern w:val="0"/>
                <w:sz w:val="18"/>
                <w:szCs w:val="18"/>
                <w:lang w:bidi="ar"/>
              </w:rPr>
              <w:t>，本项目不涉及生态保护红线。</w:t>
            </w:r>
          </w:p>
        </w:tc>
        <w:tc>
          <w:tcPr>
            <w:tcW w:w="514" w:type="dxa"/>
            <w:vAlign w:val="center"/>
          </w:tcPr>
          <w:p w14:paraId="4064AC3B">
            <w:pPr>
              <w:widowControl/>
              <w:adjustRightInd w:val="0"/>
              <w:snapToGrid w:val="0"/>
              <w:jc w:val="center"/>
              <w:rPr>
                <w:color w:val="auto"/>
                <w:kern w:val="0"/>
                <w:sz w:val="18"/>
                <w:szCs w:val="18"/>
                <w:lang w:bidi="ar"/>
              </w:rPr>
            </w:pPr>
            <w:r>
              <w:rPr>
                <w:color w:val="auto"/>
                <w:kern w:val="0"/>
                <w:sz w:val="18"/>
                <w:szCs w:val="18"/>
                <w:lang w:bidi="ar"/>
              </w:rPr>
              <w:t>符合</w:t>
            </w:r>
          </w:p>
        </w:tc>
      </w:tr>
      <w:tr w14:paraId="0FA9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5FC44DEB">
            <w:pPr>
              <w:widowControl/>
              <w:adjustRightInd w:val="0"/>
              <w:snapToGrid w:val="0"/>
              <w:jc w:val="center"/>
              <w:rPr>
                <w:color w:val="auto"/>
                <w:kern w:val="0"/>
                <w:sz w:val="18"/>
                <w:szCs w:val="18"/>
                <w:lang w:bidi="ar"/>
              </w:rPr>
            </w:pPr>
            <w:r>
              <w:rPr>
                <w:color w:val="auto"/>
                <w:kern w:val="0"/>
                <w:sz w:val="18"/>
                <w:szCs w:val="18"/>
                <w:lang w:bidi="ar"/>
              </w:rPr>
              <w:t>环境质量底线</w:t>
            </w:r>
          </w:p>
        </w:tc>
        <w:tc>
          <w:tcPr>
            <w:tcW w:w="443" w:type="dxa"/>
            <w:vAlign w:val="center"/>
          </w:tcPr>
          <w:p w14:paraId="08EE29D5">
            <w:pPr>
              <w:widowControl/>
              <w:adjustRightInd w:val="0"/>
              <w:snapToGrid w:val="0"/>
              <w:jc w:val="center"/>
              <w:rPr>
                <w:color w:val="auto"/>
                <w:kern w:val="0"/>
                <w:sz w:val="18"/>
                <w:szCs w:val="18"/>
                <w:lang w:bidi="ar"/>
              </w:rPr>
            </w:pPr>
            <w:r>
              <w:rPr>
                <w:color w:val="auto"/>
                <w:kern w:val="0"/>
                <w:sz w:val="18"/>
                <w:szCs w:val="18"/>
                <w:lang w:bidi="ar"/>
              </w:rPr>
              <w:t>大气环境质量底线目标</w:t>
            </w:r>
          </w:p>
        </w:tc>
        <w:tc>
          <w:tcPr>
            <w:tcW w:w="4189" w:type="dxa"/>
            <w:vAlign w:val="center"/>
          </w:tcPr>
          <w:p w14:paraId="33C794B7">
            <w:pPr>
              <w:widowControl/>
              <w:adjustRightInd w:val="0"/>
              <w:snapToGrid w:val="0"/>
              <w:jc w:val="center"/>
              <w:rPr>
                <w:color w:val="auto"/>
                <w:kern w:val="0"/>
                <w:sz w:val="18"/>
                <w:szCs w:val="18"/>
                <w:lang w:bidi="ar"/>
              </w:rPr>
            </w:pPr>
            <w:r>
              <w:rPr>
                <w:rFonts w:hint="eastAsia"/>
                <w:color w:val="auto"/>
                <w:kern w:val="0"/>
                <w:sz w:val="18"/>
                <w:szCs w:val="18"/>
                <w:lang w:bidi="ar"/>
              </w:rPr>
              <w:t>2025年，全面消除重污染天气，基本消除中度污染天气，力争O</w:t>
            </w:r>
            <w:r>
              <w:rPr>
                <w:rFonts w:hint="eastAsia"/>
                <w:color w:val="auto"/>
                <w:kern w:val="0"/>
                <w:sz w:val="18"/>
                <w:szCs w:val="18"/>
                <w:vertAlign w:val="subscript"/>
                <w:lang w:bidi="ar"/>
              </w:rPr>
              <w:t>3</w:t>
            </w:r>
            <w:r>
              <w:rPr>
                <w:rFonts w:hint="eastAsia"/>
                <w:color w:val="auto"/>
                <w:kern w:val="0"/>
                <w:sz w:val="18"/>
                <w:szCs w:val="18"/>
                <w:lang w:bidi="ar"/>
              </w:rPr>
              <w:t>浓度达到拐点，PM</w:t>
            </w:r>
            <w:r>
              <w:rPr>
                <w:rFonts w:hint="eastAsia"/>
                <w:color w:val="auto"/>
                <w:kern w:val="0"/>
                <w:sz w:val="18"/>
                <w:szCs w:val="18"/>
                <w:vertAlign w:val="subscript"/>
                <w:lang w:bidi="ar"/>
              </w:rPr>
              <w:t>2.5</w:t>
            </w:r>
            <w:r>
              <w:rPr>
                <w:rFonts w:hint="eastAsia"/>
                <w:color w:val="auto"/>
                <w:kern w:val="0"/>
                <w:sz w:val="18"/>
                <w:szCs w:val="18"/>
                <w:lang w:bidi="ar"/>
              </w:rPr>
              <w:t>年均浓度稳定控制在28微克/立方米以下，努力实现环境空气质量稳定全面达标。</w:t>
            </w:r>
          </w:p>
        </w:tc>
        <w:tc>
          <w:tcPr>
            <w:tcW w:w="2694" w:type="dxa"/>
            <w:vAlign w:val="center"/>
          </w:tcPr>
          <w:p w14:paraId="0AA0FD23">
            <w:pPr>
              <w:widowControl/>
              <w:adjustRightInd w:val="0"/>
              <w:snapToGrid w:val="0"/>
              <w:jc w:val="center"/>
              <w:rPr>
                <w:color w:val="auto"/>
                <w:kern w:val="0"/>
                <w:sz w:val="18"/>
                <w:szCs w:val="18"/>
                <w:lang w:bidi="ar"/>
              </w:rPr>
            </w:pPr>
            <w:r>
              <w:rPr>
                <w:rFonts w:hint="eastAsia"/>
                <w:color w:val="auto"/>
                <w:kern w:val="0"/>
                <w:sz w:val="18"/>
                <w:szCs w:val="18"/>
                <w:lang w:bidi="ar"/>
              </w:rPr>
              <w:t>根据《202</w:t>
            </w:r>
            <w:r>
              <w:rPr>
                <w:rFonts w:hint="eastAsia"/>
                <w:color w:val="auto"/>
                <w:kern w:val="0"/>
                <w:sz w:val="18"/>
                <w:szCs w:val="18"/>
                <w:lang w:val="en-US" w:eastAsia="zh-CN" w:bidi="ar"/>
              </w:rPr>
              <w:t>4</w:t>
            </w:r>
            <w:r>
              <w:rPr>
                <w:rFonts w:hint="eastAsia"/>
                <w:color w:val="auto"/>
                <w:kern w:val="0"/>
                <w:sz w:val="18"/>
                <w:szCs w:val="18"/>
                <w:lang w:bidi="ar"/>
              </w:rPr>
              <w:t>年杭州市临平区生态环境状况公报》，</w:t>
            </w:r>
            <w:r>
              <w:rPr>
                <w:color w:val="auto"/>
                <w:kern w:val="0"/>
                <w:sz w:val="18"/>
                <w:szCs w:val="18"/>
                <w:lang w:bidi="ar"/>
              </w:rPr>
              <w:t>项目所在区域为</w:t>
            </w:r>
            <w:r>
              <w:rPr>
                <w:color w:val="auto"/>
                <w:kern w:val="0"/>
                <w:sz w:val="18"/>
                <w:szCs w:val="18"/>
                <w:lang w:eastAsia="ko-KR" w:bidi="ar"/>
              </w:rPr>
              <w:t>环境空气</w:t>
            </w:r>
            <w:r>
              <w:rPr>
                <w:rFonts w:hint="eastAsia"/>
                <w:color w:val="auto"/>
                <w:kern w:val="0"/>
                <w:sz w:val="18"/>
                <w:szCs w:val="18"/>
                <w:lang w:bidi="ar"/>
              </w:rPr>
              <w:t>质量</w:t>
            </w:r>
            <w:r>
              <w:rPr>
                <w:color w:val="auto"/>
                <w:kern w:val="0"/>
                <w:sz w:val="18"/>
                <w:szCs w:val="18"/>
                <w:lang w:bidi="ar"/>
              </w:rPr>
              <w:t>不达标区域，</w:t>
            </w:r>
            <w:r>
              <w:rPr>
                <w:rFonts w:hint="eastAsia"/>
                <w:color w:val="auto"/>
                <w:kern w:val="0"/>
                <w:sz w:val="18"/>
                <w:szCs w:val="18"/>
                <w:lang w:bidi="ar"/>
              </w:rPr>
              <w:t>超标因子</w:t>
            </w:r>
            <w:r>
              <w:rPr>
                <w:color w:val="auto"/>
                <w:kern w:val="0"/>
                <w:sz w:val="18"/>
                <w:szCs w:val="18"/>
                <w:lang w:bidi="ar"/>
              </w:rPr>
              <w:t>为</w:t>
            </w:r>
            <w:r>
              <w:rPr>
                <w:rFonts w:hint="eastAsia"/>
                <w:color w:val="auto"/>
                <w:kern w:val="0"/>
                <w:sz w:val="18"/>
                <w:szCs w:val="18"/>
                <w:lang w:bidi="ar"/>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color w:val="auto"/>
                <w:kern w:val="0"/>
                <w:sz w:val="18"/>
                <w:szCs w:val="18"/>
                <w:vertAlign w:val="subscript"/>
                <w:lang w:bidi="ar"/>
              </w:rPr>
              <w:t>2.5</w:t>
            </w:r>
            <w:r>
              <w:rPr>
                <w:rFonts w:hint="eastAsia"/>
                <w:color w:val="auto"/>
                <w:kern w:val="0"/>
                <w:sz w:val="18"/>
                <w:szCs w:val="18"/>
                <w:lang w:bidi="ar"/>
              </w:rPr>
              <w:t>和O</w:t>
            </w:r>
            <w:r>
              <w:rPr>
                <w:rFonts w:hint="eastAsia"/>
                <w:color w:val="auto"/>
                <w:kern w:val="0"/>
                <w:sz w:val="18"/>
                <w:szCs w:val="18"/>
                <w:vertAlign w:val="subscript"/>
                <w:lang w:bidi="ar"/>
              </w:rPr>
              <w:t>3</w:t>
            </w:r>
            <w:r>
              <w:rPr>
                <w:rFonts w:hint="eastAsia"/>
                <w:color w:val="auto"/>
                <w:kern w:val="0"/>
                <w:sz w:val="18"/>
                <w:szCs w:val="18"/>
                <w:lang w:bidi="ar"/>
              </w:rPr>
              <w:t>协同控制为主线，强化大气多污染物协同控制和区域协同治理，抓好VOCs和NOx协同减排，推进空气质量全面达标。</w:t>
            </w:r>
          </w:p>
        </w:tc>
        <w:tc>
          <w:tcPr>
            <w:tcW w:w="514" w:type="dxa"/>
            <w:vAlign w:val="center"/>
          </w:tcPr>
          <w:p w14:paraId="5D1BD439">
            <w:pPr>
              <w:widowControl/>
              <w:adjustRightInd w:val="0"/>
              <w:snapToGrid w:val="0"/>
              <w:jc w:val="center"/>
              <w:rPr>
                <w:color w:val="auto"/>
                <w:kern w:val="0"/>
                <w:sz w:val="18"/>
                <w:szCs w:val="18"/>
                <w:lang w:bidi="ar"/>
              </w:rPr>
            </w:pPr>
            <w:r>
              <w:rPr>
                <w:color w:val="auto"/>
                <w:kern w:val="0"/>
                <w:sz w:val="18"/>
                <w:szCs w:val="18"/>
                <w:lang w:bidi="ar"/>
              </w:rPr>
              <w:t>符合</w:t>
            </w:r>
          </w:p>
        </w:tc>
      </w:tr>
      <w:tr w14:paraId="45F7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70815B83">
            <w:pPr>
              <w:widowControl/>
              <w:adjustRightInd w:val="0"/>
              <w:snapToGrid w:val="0"/>
              <w:jc w:val="center"/>
              <w:rPr>
                <w:color w:val="auto"/>
                <w:kern w:val="0"/>
                <w:sz w:val="18"/>
                <w:szCs w:val="18"/>
                <w:lang w:bidi="ar"/>
              </w:rPr>
            </w:pPr>
          </w:p>
        </w:tc>
        <w:tc>
          <w:tcPr>
            <w:tcW w:w="443" w:type="dxa"/>
            <w:vAlign w:val="center"/>
          </w:tcPr>
          <w:p w14:paraId="2DA0A8B4">
            <w:pPr>
              <w:widowControl/>
              <w:adjustRightInd w:val="0"/>
              <w:snapToGrid w:val="0"/>
              <w:jc w:val="center"/>
              <w:rPr>
                <w:color w:val="auto"/>
                <w:kern w:val="0"/>
                <w:sz w:val="18"/>
                <w:szCs w:val="18"/>
                <w:lang w:bidi="ar"/>
              </w:rPr>
            </w:pPr>
            <w:r>
              <w:rPr>
                <w:color w:val="auto"/>
                <w:kern w:val="0"/>
                <w:sz w:val="18"/>
                <w:szCs w:val="18"/>
                <w:lang w:bidi="ar"/>
              </w:rPr>
              <w:t>水环境质量底线目标</w:t>
            </w:r>
          </w:p>
        </w:tc>
        <w:tc>
          <w:tcPr>
            <w:tcW w:w="4189" w:type="dxa"/>
            <w:vAlign w:val="center"/>
          </w:tcPr>
          <w:p w14:paraId="0774BB77">
            <w:pPr>
              <w:widowControl/>
              <w:adjustRightInd w:val="0"/>
              <w:snapToGrid w:val="0"/>
              <w:jc w:val="center"/>
              <w:rPr>
                <w:color w:val="auto"/>
                <w:kern w:val="0"/>
                <w:sz w:val="18"/>
                <w:szCs w:val="18"/>
                <w:lang w:bidi="ar"/>
              </w:rPr>
            </w:pPr>
            <w:r>
              <w:rPr>
                <w:rFonts w:hint="eastAsia"/>
                <w:color w:val="auto"/>
                <w:kern w:val="0"/>
                <w:sz w:val="18"/>
                <w:szCs w:val="18"/>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24486EF1">
            <w:pPr>
              <w:widowControl/>
              <w:adjustRightInd w:val="0"/>
              <w:snapToGrid w:val="0"/>
              <w:jc w:val="center"/>
              <w:rPr>
                <w:color w:val="auto"/>
                <w:kern w:val="0"/>
                <w:sz w:val="18"/>
                <w:szCs w:val="18"/>
                <w:lang w:bidi="ar"/>
              </w:rPr>
            </w:pPr>
            <w:r>
              <w:rPr>
                <w:rFonts w:hint="eastAsia"/>
                <w:color w:val="auto"/>
                <w:kern w:val="0"/>
                <w:sz w:val="18"/>
                <w:szCs w:val="18"/>
                <w:lang w:bidi="ar"/>
              </w:rPr>
              <w:t>根据《202</w:t>
            </w:r>
            <w:r>
              <w:rPr>
                <w:rFonts w:hint="eastAsia"/>
                <w:color w:val="auto"/>
                <w:kern w:val="0"/>
                <w:sz w:val="18"/>
                <w:szCs w:val="18"/>
                <w:lang w:val="en-US" w:eastAsia="zh-CN" w:bidi="ar"/>
              </w:rPr>
              <w:t>4</w:t>
            </w:r>
            <w:r>
              <w:rPr>
                <w:rFonts w:hint="eastAsia"/>
                <w:color w:val="auto"/>
                <w:kern w:val="0"/>
                <w:sz w:val="18"/>
                <w:szCs w:val="18"/>
                <w:lang w:bidi="ar"/>
              </w:rPr>
              <w:t>年杭州市临平区生态环境状况公报》，临平区运河流域塘栖大桥、武林头、五杭运河大桥、博陆-桐乡，上塘河流域保障桥、星桥等8个区控以上断面水质功能区达标率为100%；Ⅲ类水比例为100%，项目</w:t>
            </w:r>
            <w:r>
              <w:rPr>
                <w:color w:val="auto"/>
                <w:kern w:val="0"/>
                <w:sz w:val="18"/>
                <w:szCs w:val="18"/>
                <w:lang w:bidi="ar"/>
              </w:rPr>
              <w:t>周边地表水及纳污水体</w:t>
            </w:r>
            <w:r>
              <w:rPr>
                <w:rFonts w:hint="eastAsia"/>
                <w:color w:val="auto"/>
                <w:kern w:val="0"/>
                <w:sz w:val="18"/>
                <w:szCs w:val="18"/>
                <w:lang w:bidi="ar"/>
              </w:rPr>
              <w:t>水质可</w:t>
            </w:r>
            <w:r>
              <w:rPr>
                <w:color w:val="auto"/>
                <w:kern w:val="0"/>
                <w:sz w:val="18"/>
                <w:szCs w:val="18"/>
                <w:lang w:bidi="ar"/>
              </w:rPr>
              <w:t>满足相应</w:t>
            </w:r>
            <w:r>
              <w:rPr>
                <w:rFonts w:hint="eastAsia"/>
                <w:color w:val="auto"/>
                <w:kern w:val="0"/>
                <w:sz w:val="18"/>
                <w:szCs w:val="18"/>
                <w:lang w:bidi="ar"/>
              </w:rPr>
              <w:t>标准</w:t>
            </w:r>
            <w:r>
              <w:rPr>
                <w:color w:val="auto"/>
                <w:kern w:val="0"/>
                <w:sz w:val="18"/>
                <w:szCs w:val="18"/>
                <w:lang w:bidi="ar"/>
              </w:rPr>
              <w:t>要求。</w:t>
            </w:r>
            <w:r>
              <w:rPr>
                <w:rFonts w:hint="eastAsia"/>
                <w:color w:val="auto"/>
                <w:kern w:val="0"/>
                <w:sz w:val="18"/>
                <w:szCs w:val="18"/>
                <w:lang w:bidi="ar"/>
              </w:rPr>
              <w:t>本项目生活污水</w:t>
            </w:r>
            <w:r>
              <w:rPr>
                <w:color w:val="auto"/>
                <w:kern w:val="0"/>
                <w:sz w:val="18"/>
                <w:szCs w:val="18"/>
                <w:lang w:bidi="ar"/>
              </w:rPr>
              <w:t>经预处理后纳管排放，不会突破水环境质量底线</w:t>
            </w:r>
            <w:r>
              <w:rPr>
                <w:rFonts w:hint="eastAsia"/>
                <w:color w:val="auto"/>
                <w:kern w:val="0"/>
                <w:sz w:val="18"/>
                <w:szCs w:val="18"/>
                <w:lang w:bidi="ar"/>
              </w:rPr>
              <w:t>。</w:t>
            </w:r>
          </w:p>
        </w:tc>
        <w:tc>
          <w:tcPr>
            <w:tcW w:w="514" w:type="dxa"/>
            <w:vAlign w:val="center"/>
          </w:tcPr>
          <w:p w14:paraId="09D4DB8F">
            <w:pPr>
              <w:widowControl/>
              <w:adjustRightInd w:val="0"/>
              <w:snapToGrid w:val="0"/>
              <w:jc w:val="center"/>
              <w:rPr>
                <w:color w:val="auto"/>
                <w:kern w:val="0"/>
                <w:sz w:val="18"/>
                <w:szCs w:val="18"/>
                <w:lang w:bidi="ar"/>
              </w:rPr>
            </w:pPr>
            <w:r>
              <w:rPr>
                <w:color w:val="auto"/>
                <w:kern w:val="0"/>
                <w:sz w:val="18"/>
                <w:szCs w:val="18"/>
                <w:lang w:bidi="ar"/>
              </w:rPr>
              <w:t>符合</w:t>
            </w:r>
          </w:p>
        </w:tc>
      </w:tr>
      <w:tr w14:paraId="4B16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D6B5269">
            <w:pPr>
              <w:widowControl/>
              <w:adjustRightInd w:val="0"/>
              <w:snapToGrid w:val="0"/>
              <w:jc w:val="center"/>
              <w:rPr>
                <w:color w:val="auto"/>
                <w:kern w:val="0"/>
                <w:sz w:val="18"/>
                <w:szCs w:val="18"/>
                <w:lang w:bidi="ar"/>
              </w:rPr>
            </w:pPr>
          </w:p>
        </w:tc>
        <w:tc>
          <w:tcPr>
            <w:tcW w:w="443" w:type="dxa"/>
            <w:vAlign w:val="center"/>
          </w:tcPr>
          <w:p w14:paraId="29456E4C">
            <w:pPr>
              <w:widowControl/>
              <w:adjustRightInd w:val="0"/>
              <w:snapToGrid w:val="0"/>
              <w:jc w:val="center"/>
              <w:rPr>
                <w:color w:val="auto"/>
                <w:kern w:val="0"/>
                <w:sz w:val="18"/>
                <w:szCs w:val="18"/>
                <w:lang w:bidi="ar"/>
              </w:rPr>
            </w:pPr>
            <w:r>
              <w:rPr>
                <w:color w:val="auto"/>
                <w:kern w:val="0"/>
                <w:sz w:val="18"/>
                <w:szCs w:val="18"/>
                <w:lang w:bidi="ar"/>
              </w:rPr>
              <w:t>土壤环境风险防控底线目标</w:t>
            </w:r>
          </w:p>
        </w:tc>
        <w:tc>
          <w:tcPr>
            <w:tcW w:w="4189" w:type="dxa"/>
            <w:vAlign w:val="center"/>
          </w:tcPr>
          <w:p w14:paraId="67A51F84">
            <w:pPr>
              <w:widowControl/>
              <w:adjustRightInd w:val="0"/>
              <w:snapToGrid w:val="0"/>
              <w:jc w:val="center"/>
              <w:rPr>
                <w:color w:val="auto"/>
                <w:kern w:val="0"/>
                <w:sz w:val="18"/>
                <w:szCs w:val="18"/>
                <w:lang w:bidi="ar"/>
              </w:rPr>
            </w:pPr>
            <w:r>
              <w:rPr>
                <w:rFonts w:hint="eastAsia"/>
                <w:color w:val="auto"/>
                <w:kern w:val="0"/>
                <w:sz w:val="18"/>
                <w:szCs w:val="18"/>
                <w:lang w:bidi="ar"/>
              </w:rPr>
              <w:t>2025 年，土壤环境质量稳中向好，受污染耕地安全利用率达到省下达目标，重点建设用地安全利用率达到 97%以上。</w:t>
            </w:r>
          </w:p>
        </w:tc>
        <w:tc>
          <w:tcPr>
            <w:tcW w:w="2694" w:type="dxa"/>
            <w:vAlign w:val="center"/>
          </w:tcPr>
          <w:p w14:paraId="44B6F6DA">
            <w:pPr>
              <w:widowControl/>
              <w:adjustRightInd w:val="0"/>
              <w:snapToGrid w:val="0"/>
              <w:jc w:val="center"/>
              <w:rPr>
                <w:color w:val="auto"/>
                <w:kern w:val="0"/>
                <w:sz w:val="18"/>
                <w:szCs w:val="18"/>
                <w:lang w:bidi="ar"/>
              </w:rPr>
            </w:pPr>
            <w:r>
              <w:rPr>
                <w:color w:val="auto"/>
                <w:kern w:val="0"/>
                <w:sz w:val="18"/>
                <w:szCs w:val="18"/>
                <w:lang w:bidi="ar"/>
              </w:rPr>
              <w:t>车间内地面</w:t>
            </w:r>
            <w:r>
              <w:rPr>
                <w:rFonts w:hint="eastAsia"/>
                <w:color w:val="auto"/>
                <w:kern w:val="0"/>
                <w:sz w:val="18"/>
                <w:szCs w:val="18"/>
                <w:lang w:bidi="ar"/>
              </w:rPr>
              <w:t>采取必要的</w:t>
            </w:r>
            <w:r>
              <w:rPr>
                <w:color w:val="auto"/>
                <w:kern w:val="0"/>
                <w:sz w:val="18"/>
                <w:szCs w:val="18"/>
                <w:lang w:bidi="ar"/>
              </w:rPr>
              <w:t>防腐防渗</w:t>
            </w:r>
            <w:r>
              <w:rPr>
                <w:rFonts w:hint="eastAsia"/>
                <w:color w:val="auto"/>
                <w:kern w:val="0"/>
                <w:sz w:val="18"/>
                <w:szCs w:val="18"/>
                <w:lang w:bidi="ar"/>
              </w:rPr>
              <w:t>措施</w:t>
            </w:r>
            <w:r>
              <w:rPr>
                <w:color w:val="auto"/>
                <w:kern w:val="0"/>
                <w:sz w:val="18"/>
                <w:szCs w:val="18"/>
                <w:lang w:bidi="ar"/>
              </w:rPr>
              <w:t>，</w:t>
            </w:r>
            <w:r>
              <w:rPr>
                <w:rFonts w:hint="eastAsia"/>
                <w:color w:val="auto"/>
                <w:kern w:val="0"/>
                <w:sz w:val="18"/>
                <w:szCs w:val="18"/>
                <w:lang w:bidi="ar"/>
              </w:rPr>
              <w:t>土壤</w:t>
            </w:r>
            <w:r>
              <w:rPr>
                <w:color w:val="auto"/>
                <w:kern w:val="0"/>
                <w:sz w:val="18"/>
                <w:szCs w:val="18"/>
                <w:lang w:bidi="ar"/>
              </w:rPr>
              <w:t>环境污染风险可控，不会突破土壤环境质量底线。</w:t>
            </w:r>
          </w:p>
        </w:tc>
        <w:tc>
          <w:tcPr>
            <w:tcW w:w="514" w:type="dxa"/>
            <w:vAlign w:val="center"/>
          </w:tcPr>
          <w:p w14:paraId="3A28D240">
            <w:pPr>
              <w:widowControl/>
              <w:adjustRightInd w:val="0"/>
              <w:snapToGrid w:val="0"/>
              <w:jc w:val="center"/>
              <w:rPr>
                <w:color w:val="auto"/>
                <w:kern w:val="0"/>
                <w:sz w:val="18"/>
                <w:szCs w:val="18"/>
                <w:lang w:bidi="ar"/>
              </w:rPr>
            </w:pPr>
            <w:r>
              <w:rPr>
                <w:color w:val="auto"/>
                <w:kern w:val="0"/>
                <w:sz w:val="18"/>
                <w:szCs w:val="18"/>
                <w:lang w:bidi="ar"/>
              </w:rPr>
              <w:t>符合</w:t>
            </w:r>
          </w:p>
        </w:tc>
      </w:tr>
      <w:tr w14:paraId="7528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42A6CC6F">
            <w:pPr>
              <w:widowControl/>
              <w:adjustRightInd w:val="0"/>
              <w:snapToGrid w:val="0"/>
              <w:jc w:val="center"/>
              <w:rPr>
                <w:color w:val="auto"/>
                <w:kern w:val="0"/>
                <w:sz w:val="18"/>
                <w:szCs w:val="18"/>
                <w:lang w:bidi="ar"/>
              </w:rPr>
            </w:pPr>
            <w:r>
              <w:rPr>
                <w:color w:val="auto"/>
                <w:kern w:val="0"/>
                <w:sz w:val="18"/>
                <w:szCs w:val="18"/>
                <w:lang w:bidi="ar"/>
              </w:rPr>
              <w:t>资源利用上线</w:t>
            </w:r>
          </w:p>
        </w:tc>
        <w:tc>
          <w:tcPr>
            <w:tcW w:w="443" w:type="dxa"/>
            <w:vAlign w:val="center"/>
          </w:tcPr>
          <w:p w14:paraId="13FD855C">
            <w:pPr>
              <w:widowControl/>
              <w:adjustRightInd w:val="0"/>
              <w:snapToGrid w:val="0"/>
              <w:jc w:val="center"/>
              <w:rPr>
                <w:color w:val="auto"/>
                <w:kern w:val="0"/>
                <w:sz w:val="18"/>
                <w:szCs w:val="18"/>
                <w:lang w:bidi="ar"/>
              </w:rPr>
            </w:pPr>
            <w:r>
              <w:rPr>
                <w:color w:val="auto"/>
                <w:kern w:val="0"/>
                <w:sz w:val="18"/>
                <w:szCs w:val="18"/>
                <w:lang w:bidi="ar"/>
              </w:rPr>
              <w:t>能源（煤炭）资源上线目标</w:t>
            </w:r>
          </w:p>
        </w:tc>
        <w:tc>
          <w:tcPr>
            <w:tcW w:w="4189" w:type="dxa"/>
            <w:vAlign w:val="center"/>
          </w:tcPr>
          <w:p w14:paraId="7FF1D563">
            <w:pPr>
              <w:widowControl/>
              <w:adjustRightInd w:val="0"/>
              <w:snapToGrid w:val="0"/>
              <w:jc w:val="center"/>
              <w:rPr>
                <w:color w:val="auto"/>
                <w:kern w:val="0"/>
                <w:sz w:val="18"/>
                <w:szCs w:val="18"/>
                <w:lang w:bidi="ar"/>
              </w:rPr>
            </w:pPr>
            <w:r>
              <w:rPr>
                <w:color w:val="auto"/>
                <w:kern w:val="0"/>
                <w:sz w:val="18"/>
                <w:szCs w:val="18"/>
                <w:lang w:bidi="ar"/>
              </w:rPr>
              <w:t xml:space="preserve">通过一手抓能源供应保障，一手抓能源结构优化，到 2025年实现“三保两降两升”的主要发展目标。 </w:t>
            </w:r>
          </w:p>
          <w:p w14:paraId="7B94354A">
            <w:pPr>
              <w:widowControl/>
              <w:adjustRightInd w:val="0"/>
              <w:snapToGrid w:val="0"/>
              <w:jc w:val="center"/>
              <w:rPr>
                <w:color w:val="auto"/>
                <w:kern w:val="0"/>
                <w:sz w:val="18"/>
                <w:szCs w:val="18"/>
                <w:lang w:bidi="ar"/>
              </w:rPr>
            </w:pPr>
            <w:r>
              <w:rPr>
                <w:color w:val="auto"/>
                <w:kern w:val="0"/>
                <w:sz w:val="18"/>
                <w:szCs w:val="18"/>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7FCD61AC">
            <w:pPr>
              <w:widowControl/>
              <w:adjustRightInd w:val="0"/>
              <w:snapToGrid w:val="0"/>
              <w:jc w:val="center"/>
              <w:rPr>
                <w:color w:val="auto"/>
                <w:kern w:val="0"/>
                <w:sz w:val="18"/>
                <w:szCs w:val="18"/>
                <w:lang w:bidi="ar"/>
              </w:rPr>
            </w:pPr>
            <w:r>
              <w:rPr>
                <w:color w:val="auto"/>
                <w:kern w:val="0"/>
                <w:sz w:val="18"/>
                <w:szCs w:val="18"/>
                <w:lang w:bidi="ar"/>
              </w:rPr>
              <w:t xml:space="preserve">——“两降”：即单位 GDP 能耗、煤炭消费量进一步下降。“十四五”期间，全市单位 GDP 能耗累计降幅不低于 15%，煤炭消费下降目标达到省要求。 </w:t>
            </w:r>
          </w:p>
          <w:p w14:paraId="05290530">
            <w:pPr>
              <w:widowControl/>
              <w:adjustRightInd w:val="0"/>
              <w:snapToGrid w:val="0"/>
              <w:jc w:val="center"/>
              <w:rPr>
                <w:color w:val="auto"/>
                <w:kern w:val="0"/>
                <w:sz w:val="18"/>
                <w:szCs w:val="18"/>
                <w:lang w:bidi="ar"/>
              </w:rPr>
            </w:pPr>
            <w:r>
              <w:rPr>
                <w:color w:val="auto"/>
                <w:kern w:val="0"/>
                <w:sz w:val="18"/>
                <w:szCs w:val="18"/>
                <w:lang w:bidi="ar"/>
              </w:rPr>
              <w:t xml:space="preserve">——“两升”：即清洁能源占比、非化石能源占比进一步提升。到 2025 年，全市清洁能源占比不低于 68%，非化石能源占比不低于 20%。 </w:t>
            </w:r>
          </w:p>
        </w:tc>
        <w:tc>
          <w:tcPr>
            <w:tcW w:w="2694" w:type="dxa"/>
            <w:vAlign w:val="center"/>
          </w:tcPr>
          <w:p w14:paraId="11B8C61A">
            <w:pPr>
              <w:widowControl/>
              <w:adjustRightInd w:val="0"/>
              <w:snapToGrid w:val="0"/>
              <w:jc w:val="center"/>
              <w:rPr>
                <w:color w:val="auto"/>
                <w:kern w:val="0"/>
                <w:sz w:val="18"/>
                <w:szCs w:val="18"/>
                <w:lang w:bidi="ar"/>
              </w:rPr>
            </w:pPr>
            <w:r>
              <w:rPr>
                <w:color w:val="auto"/>
                <w:kern w:val="0"/>
                <w:sz w:val="18"/>
                <w:szCs w:val="18"/>
                <w:lang w:bidi="ar"/>
              </w:rPr>
              <w:t>本项目所需能源为电</w:t>
            </w:r>
            <w:r>
              <w:rPr>
                <w:rFonts w:hint="eastAsia"/>
                <w:color w:val="auto"/>
                <w:kern w:val="0"/>
                <w:sz w:val="18"/>
                <w:szCs w:val="18"/>
                <w:lang w:bidi="ar"/>
              </w:rPr>
              <w:t>、天然气</w:t>
            </w:r>
            <w:r>
              <w:rPr>
                <w:color w:val="auto"/>
                <w:kern w:val="0"/>
                <w:sz w:val="18"/>
                <w:szCs w:val="18"/>
                <w:lang w:bidi="ar"/>
              </w:rPr>
              <w:t>，用量不大，不会突破区域能源利用上线。</w:t>
            </w:r>
          </w:p>
        </w:tc>
        <w:tc>
          <w:tcPr>
            <w:tcW w:w="514" w:type="dxa"/>
            <w:vAlign w:val="center"/>
          </w:tcPr>
          <w:p w14:paraId="789487BE">
            <w:pPr>
              <w:widowControl/>
              <w:adjustRightInd w:val="0"/>
              <w:snapToGrid w:val="0"/>
              <w:jc w:val="center"/>
              <w:rPr>
                <w:color w:val="auto"/>
                <w:kern w:val="0"/>
                <w:sz w:val="18"/>
                <w:szCs w:val="18"/>
                <w:lang w:bidi="ar"/>
              </w:rPr>
            </w:pPr>
            <w:r>
              <w:rPr>
                <w:color w:val="auto"/>
                <w:kern w:val="0"/>
                <w:sz w:val="18"/>
                <w:szCs w:val="18"/>
                <w:lang w:bidi="ar"/>
              </w:rPr>
              <w:t>符合</w:t>
            </w:r>
          </w:p>
        </w:tc>
      </w:tr>
      <w:tr w14:paraId="5E78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2D29450B">
            <w:pPr>
              <w:widowControl/>
              <w:adjustRightInd w:val="0"/>
              <w:snapToGrid w:val="0"/>
              <w:jc w:val="center"/>
              <w:rPr>
                <w:color w:val="auto"/>
                <w:kern w:val="0"/>
                <w:sz w:val="18"/>
                <w:szCs w:val="18"/>
                <w:lang w:bidi="ar"/>
              </w:rPr>
            </w:pPr>
          </w:p>
        </w:tc>
        <w:tc>
          <w:tcPr>
            <w:tcW w:w="443" w:type="dxa"/>
            <w:vAlign w:val="center"/>
          </w:tcPr>
          <w:p w14:paraId="234A9063">
            <w:pPr>
              <w:widowControl/>
              <w:adjustRightInd w:val="0"/>
              <w:snapToGrid w:val="0"/>
              <w:jc w:val="center"/>
              <w:rPr>
                <w:color w:val="auto"/>
                <w:kern w:val="0"/>
                <w:sz w:val="18"/>
                <w:szCs w:val="18"/>
                <w:lang w:bidi="ar"/>
              </w:rPr>
            </w:pPr>
            <w:r>
              <w:rPr>
                <w:color w:val="auto"/>
                <w:kern w:val="0"/>
                <w:sz w:val="18"/>
                <w:szCs w:val="18"/>
                <w:lang w:bidi="ar"/>
              </w:rPr>
              <w:t>水资源利用上线目标</w:t>
            </w:r>
          </w:p>
        </w:tc>
        <w:tc>
          <w:tcPr>
            <w:tcW w:w="4189" w:type="dxa"/>
            <w:vAlign w:val="center"/>
          </w:tcPr>
          <w:p w14:paraId="7E91F430">
            <w:pPr>
              <w:widowControl/>
              <w:adjustRightInd w:val="0"/>
              <w:snapToGrid w:val="0"/>
              <w:jc w:val="center"/>
              <w:rPr>
                <w:color w:val="auto"/>
                <w:kern w:val="0"/>
                <w:sz w:val="18"/>
                <w:szCs w:val="18"/>
                <w:lang w:bidi="ar"/>
              </w:rPr>
            </w:pPr>
            <w:r>
              <w:rPr>
                <w:color w:val="auto"/>
                <w:kern w:val="0"/>
                <w:sz w:val="18"/>
                <w:szCs w:val="18"/>
                <w:lang w:bidi="ar"/>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4051C78E">
            <w:pPr>
              <w:widowControl/>
              <w:adjustRightInd w:val="0"/>
              <w:snapToGrid w:val="0"/>
              <w:jc w:val="center"/>
              <w:rPr>
                <w:color w:val="auto"/>
                <w:kern w:val="0"/>
                <w:sz w:val="18"/>
                <w:szCs w:val="18"/>
                <w:lang w:bidi="ar"/>
              </w:rPr>
            </w:pPr>
            <w:r>
              <w:rPr>
                <w:color w:val="auto"/>
                <w:kern w:val="0"/>
                <w:sz w:val="18"/>
                <w:szCs w:val="18"/>
                <w:lang w:bidi="ar"/>
              </w:rPr>
              <w:t>本项目用水量</w:t>
            </w:r>
            <w:r>
              <w:rPr>
                <w:rFonts w:hint="eastAsia"/>
                <w:color w:val="auto"/>
                <w:kern w:val="0"/>
                <w:sz w:val="18"/>
                <w:szCs w:val="18"/>
                <w:lang w:bidi="ar"/>
              </w:rPr>
              <w:t>较小</w:t>
            </w:r>
            <w:r>
              <w:rPr>
                <w:color w:val="auto"/>
                <w:kern w:val="0"/>
                <w:sz w:val="18"/>
                <w:szCs w:val="18"/>
                <w:lang w:bidi="ar"/>
              </w:rPr>
              <w:t>不会突破区域水资源利用上线。</w:t>
            </w:r>
          </w:p>
        </w:tc>
        <w:tc>
          <w:tcPr>
            <w:tcW w:w="514" w:type="dxa"/>
            <w:vAlign w:val="center"/>
          </w:tcPr>
          <w:p w14:paraId="1C615EA4">
            <w:pPr>
              <w:widowControl/>
              <w:adjustRightInd w:val="0"/>
              <w:snapToGrid w:val="0"/>
              <w:jc w:val="center"/>
              <w:rPr>
                <w:color w:val="auto"/>
                <w:kern w:val="0"/>
                <w:sz w:val="18"/>
                <w:szCs w:val="18"/>
                <w:lang w:bidi="ar"/>
              </w:rPr>
            </w:pPr>
            <w:r>
              <w:rPr>
                <w:color w:val="auto"/>
                <w:kern w:val="0"/>
                <w:sz w:val="18"/>
                <w:szCs w:val="18"/>
                <w:lang w:bidi="ar"/>
              </w:rPr>
              <w:t>符合</w:t>
            </w:r>
          </w:p>
        </w:tc>
      </w:tr>
      <w:tr w14:paraId="5B85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F160B93">
            <w:pPr>
              <w:widowControl/>
              <w:adjustRightInd w:val="0"/>
              <w:snapToGrid w:val="0"/>
              <w:jc w:val="center"/>
              <w:rPr>
                <w:color w:val="auto"/>
                <w:kern w:val="0"/>
                <w:sz w:val="18"/>
                <w:szCs w:val="18"/>
                <w:lang w:bidi="ar"/>
              </w:rPr>
            </w:pPr>
          </w:p>
        </w:tc>
        <w:tc>
          <w:tcPr>
            <w:tcW w:w="443" w:type="dxa"/>
            <w:vAlign w:val="center"/>
          </w:tcPr>
          <w:p w14:paraId="1BC6DC6C">
            <w:pPr>
              <w:widowControl/>
              <w:adjustRightInd w:val="0"/>
              <w:snapToGrid w:val="0"/>
              <w:jc w:val="center"/>
              <w:rPr>
                <w:color w:val="auto"/>
                <w:kern w:val="0"/>
                <w:sz w:val="18"/>
                <w:szCs w:val="18"/>
                <w:lang w:bidi="ar"/>
              </w:rPr>
            </w:pPr>
            <w:r>
              <w:rPr>
                <w:color w:val="auto"/>
                <w:kern w:val="0"/>
                <w:sz w:val="18"/>
                <w:szCs w:val="18"/>
                <w:lang w:bidi="ar"/>
              </w:rPr>
              <w:t>土地资源利用上线目标</w:t>
            </w:r>
          </w:p>
        </w:tc>
        <w:tc>
          <w:tcPr>
            <w:tcW w:w="4189" w:type="dxa"/>
            <w:vAlign w:val="center"/>
          </w:tcPr>
          <w:p w14:paraId="3702E2CB">
            <w:pPr>
              <w:widowControl/>
              <w:adjustRightInd w:val="0"/>
              <w:snapToGrid w:val="0"/>
              <w:jc w:val="center"/>
              <w:rPr>
                <w:color w:val="auto"/>
                <w:kern w:val="0"/>
                <w:sz w:val="18"/>
                <w:szCs w:val="18"/>
                <w:lang w:bidi="ar"/>
              </w:rPr>
            </w:pPr>
            <w:r>
              <w:rPr>
                <w:rFonts w:hint="eastAsia"/>
                <w:color w:val="auto"/>
                <w:kern w:val="0"/>
                <w:sz w:val="18"/>
                <w:szCs w:val="18"/>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color w:val="auto"/>
                <w:kern w:val="0"/>
                <w:sz w:val="18"/>
                <w:szCs w:val="18"/>
                <w:lang w:bidi="ar"/>
              </w:rPr>
              <w:t>。</w:t>
            </w:r>
          </w:p>
        </w:tc>
        <w:tc>
          <w:tcPr>
            <w:tcW w:w="2694" w:type="dxa"/>
            <w:vAlign w:val="center"/>
          </w:tcPr>
          <w:p w14:paraId="04C34B22">
            <w:pPr>
              <w:widowControl/>
              <w:adjustRightInd w:val="0"/>
              <w:snapToGrid w:val="0"/>
              <w:jc w:val="center"/>
              <w:rPr>
                <w:color w:val="auto"/>
                <w:kern w:val="0"/>
                <w:sz w:val="18"/>
                <w:szCs w:val="18"/>
                <w:lang w:bidi="ar"/>
              </w:rPr>
            </w:pPr>
            <w:r>
              <w:rPr>
                <w:color w:val="auto"/>
                <w:kern w:val="0"/>
                <w:sz w:val="18"/>
                <w:szCs w:val="18"/>
                <w:lang w:bidi="ar"/>
              </w:rPr>
              <w:t>项目位于</w:t>
            </w:r>
            <w:r>
              <w:rPr>
                <w:rFonts w:hint="eastAsia"/>
                <w:color w:val="auto"/>
                <w:kern w:val="0"/>
                <w:sz w:val="18"/>
                <w:szCs w:val="18"/>
                <w:lang w:bidi="ar"/>
              </w:rPr>
              <w:t>杭州市临平区经济技术开发区</w:t>
            </w:r>
            <w:r>
              <w:rPr>
                <w:color w:val="auto"/>
                <w:kern w:val="0"/>
                <w:sz w:val="18"/>
                <w:szCs w:val="18"/>
                <w:lang w:bidi="ar"/>
              </w:rPr>
              <w:t>，</w:t>
            </w:r>
            <w:r>
              <w:rPr>
                <w:rFonts w:hint="eastAsia"/>
                <w:color w:val="auto"/>
                <w:kern w:val="0"/>
                <w:sz w:val="18"/>
                <w:szCs w:val="18"/>
                <w:lang w:bidi="ar"/>
              </w:rPr>
              <w:t>用地性质为工业用地。</w:t>
            </w:r>
          </w:p>
          <w:p w14:paraId="53261278">
            <w:pPr>
              <w:widowControl/>
              <w:adjustRightInd w:val="0"/>
              <w:snapToGrid w:val="0"/>
              <w:jc w:val="center"/>
              <w:rPr>
                <w:color w:val="auto"/>
                <w:kern w:val="0"/>
                <w:sz w:val="18"/>
                <w:szCs w:val="18"/>
                <w:lang w:bidi="ar"/>
              </w:rPr>
            </w:pPr>
            <w:r>
              <w:rPr>
                <w:rFonts w:hint="eastAsia"/>
                <w:color w:val="auto"/>
                <w:kern w:val="0"/>
                <w:sz w:val="18"/>
                <w:szCs w:val="18"/>
                <w:lang w:bidi="ar"/>
              </w:rPr>
              <w:t>本项目在已建厂房内实施，无需新征用地</w:t>
            </w:r>
            <w:r>
              <w:rPr>
                <w:color w:val="auto"/>
                <w:kern w:val="0"/>
                <w:sz w:val="18"/>
                <w:szCs w:val="18"/>
                <w:lang w:bidi="ar"/>
              </w:rPr>
              <w:t>。</w:t>
            </w:r>
          </w:p>
          <w:p w14:paraId="769F6B7E">
            <w:pPr>
              <w:widowControl/>
              <w:adjustRightInd w:val="0"/>
              <w:snapToGrid w:val="0"/>
              <w:jc w:val="center"/>
              <w:rPr>
                <w:color w:val="auto"/>
                <w:kern w:val="0"/>
                <w:sz w:val="18"/>
                <w:szCs w:val="18"/>
                <w:lang w:bidi="ar"/>
              </w:rPr>
            </w:pPr>
            <w:r>
              <w:rPr>
                <w:rFonts w:hint="eastAsia"/>
                <w:color w:val="auto"/>
                <w:kern w:val="0"/>
                <w:sz w:val="18"/>
                <w:szCs w:val="18"/>
                <w:lang w:bidi="ar"/>
              </w:rPr>
              <w:t>项目</w:t>
            </w:r>
            <w:r>
              <w:rPr>
                <w:color w:val="auto"/>
                <w:kern w:val="0"/>
                <w:sz w:val="18"/>
                <w:szCs w:val="18"/>
                <w:lang w:bidi="ar"/>
              </w:rPr>
              <w:t>用地不会突破土地利用资源上线。</w:t>
            </w:r>
          </w:p>
        </w:tc>
        <w:tc>
          <w:tcPr>
            <w:tcW w:w="514" w:type="dxa"/>
            <w:vAlign w:val="center"/>
          </w:tcPr>
          <w:p w14:paraId="5CEBC22C">
            <w:pPr>
              <w:widowControl/>
              <w:adjustRightInd w:val="0"/>
              <w:snapToGrid w:val="0"/>
              <w:jc w:val="center"/>
              <w:rPr>
                <w:color w:val="auto"/>
                <w:kern w:val="0"/>
                <w:sz w:val="18"/>
                <w:szCs w:val="18"/>
                <w:lang w:bidi="ar"/>
              </w:rPr>
            </w:pPr>
            <w:r>
              <w:rPr>
                <w:color w:val="auto"/>
                <w:kern w:val="0"/>
                <w:sz w:val="18"/>
                <w:szCs w:val="18"/>
                <w:lang w:bidi="ar"/>
              </w:rPr>
              <w:t>符合</w:t>
            </w:r>
          </w:p>
        </w:tc>
      </w:tr>
      <w:tr w14:paraId="3646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19572149">
            <w:pPr>
              <w:widowControl/>
              <w:adjustRightInd w:val="0"/>
              <w:snapToGrid w:val="0"/>
              <w:jc w:val="center"/>
              <w:rPr>
                <w:color w:val="auto"/>
                <w:kern w:val="0"/>
                <w:sz w:val="18"/>
                <w:szCs w:val="18"/>
                <w:lang w:bidi="ar"/>
              </w:rPr>
            </w:pPr>
            <w:r>
              <w:rPr>
                <w:color w:val="auto"/>
                <w:kern w:val="0"/>
                <w:sz w:val="18"/>
                <w:szCs w:val="18"/>
                <w:lang w:bidi="ar"/>
              </w:rPr>
              <w:t>生态环境准入清单</w:t>
            </w:r>
          </w:p>
        </w:tc>
        <w:tc>
          <w:tcPr>
            <w:tcW w:w="6883" w:type="dxa"/>
            <w:gridSpan w:val="2"/>
            <w:vAlign w:val="center"/>
          </w:tcPr>
          <w:p w14:paraId="3EA4BD9E">
            <w:pPr>
              <w:widowControl/>
              <w:adjustRightInd w:val="0"/>
              <w:snapToGrid w:val="0"/>
              <w:jc w:val="center"/>
              <w:rPr>
                <w:color w:val="auto"/>
                <w:kern w:val="0"/>
                <w:sz w:val="18"/>
                <w:szCs w:val="18"/>
                <w:lang w:bidi="ar"/>
              </w:rPr>
            </w:pPr>
            <w:r>
              <w:rPr>
                <w:color w:val="auto"/>
                <w:kern w:val="0"/>
                <w:sz w:val="18"/>
                <w:szCs w:val="18"/>
                <w:lang w:bidi="ar"/>
              </w:rPr>
              <w:t>本项目位于</w:t>
            </w:r>
            <w:r>
              <w:rPr>
                <w:rFonts w:hint="eastAsia"/>
                <w:color w:val="auto"/>
                <w:kern w:val="0"/>
                <w:sz w:val="18"/>
                <w:szCs w:val="18"/>
                <w:lang w:bidi="ar"/>
              </w:rPr>
              <w:t>“临平区杭州临平经济技术开发区产业集聚重点管控单元（原杭州余杭经济技术开发区产业集聚重点管控单元）ZH33011320002”</w:t>
            </w:r>
            <w:r>
              <w:rPr>
                <w:color w:val="auto"/>
                <w:kern w:val="0"/>
                <w:sz w:val="18"/>
                <w:szCs w:val="18"/>
                <w:lang w:bidi="ar"/>
              </w:rPr>
              <w:t>，符合环境管控单元准入清单要求，具体见</w:t>
            </w:r>
            <w:r>
              <w:rPr>
                <w:rFonts w:hint="eastAsia"/>
                <w:color w:val="auto"/>
                <w:kern w:val="0"/>
                <w:sz w:val="18"/>
                <w:szCs w:val="18"/>
                <w:lang w:bidi="ar"/>
              </w:rPr>
              <w:t>下</w:t>
            </w:r>
            <w:r>
              <w:rPr>
                <w:color w:val="auto"/>
                <w:kern w:val="0"/>
                <w:sz w:val="18"/>
                <w:szCs w:val="18"/>
                <w:lang w:bidi="ar"/>
              </w:rPr>
              <w:t>表。</w:t>
            </w:r>
          </w:p>
        </w:tc>
        <w:tc>
          <w:tcPr>
            <w:tcW w:w="514" w:type="dxa"/>
            <w:vAlign w:val="center"/>
          </w:tcPr>
          <w:p w14:paraId="510B36E8">
            <w:pPr>
              <w:widowControl/>
              <w:adjustRightInd w:val="0"/>
              <w:snapToGrid w:val="0"/>
              <w:jc w:val="center"/>
              <w:rPr>
                <w:color w:val="auto"/>
                <w:kern w:val="0"/>
                <w:sz w:val="18"/>
                <w:szCs w:val="18"/>
                <w:lang w:bidi="ar"/>
              </w:rPr>
            </w:pPr>
            <w:r>
              <w:rPr>
                <w:color w:val="auto"/>
                <w:kern w:val="0"/>
                <w:sz w:val="18"/>
                <w:szCs w:val="18"/>
                <w:lang w:bidi="ar"/>
              </w:rPr>
              <w:t>符合</w:t>
            </w:r>
          </w:p>
        </w:tc>
      </w:tr>
    </w:tbl>
    <w:p w14:paraId="3F38460A">
      <w:pPr>
        <w:numPr>
          <w:ilvl w:val="0"/>
          <w:numId w:val="0"/>
        </w:numPr>
        <w:adjustRightInd w:val="0"/>
        <w:snapToGrid w:val="0"/>
        <w:spacing w:line="360" w:lineRule="auto"/>
        <w:ind w:left="420" w:leftChars="0" w:hanging="420" w:firstLineChars="0"/>
        <w:jc w:val="center"/>
        <w:rPr>
          <w:b/>
          <w:color w:val="auto"/>
          <w:lang w:val="zh-CN"/>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表10</w:t>
      </w:r>
      <w:r>
        <w:rPr>
          <w:rFonts w:hint="eastAsia"/>
          <w:b/>
          <w:color w:val="auto"/>
          <w:lang w:val="zh-CN"/>
        </w:rPr>
        <w:t>环境管控单元分类准入清单</w:t>
      </w:r>
      <w:r>
        <w:rPr>
          <w:b/>
          <w:color w:val="auto"/>
          <w:lang w:val="zh-CN"/>
        </w:rPr>
        <w:t>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2"/>
        <w:gridCol w:w="535"/>
        <w:gridCol w:w="731"/>
        <w:gridCol w:w="715"/>
        <w:gridCol w:w="2376"/>
        <w:gridCol w:w="2167"/>
        <w:gridCol w:w="490"/>
      </w:tblGrid>
      <w:tr w14:paraId="6FB3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721" w:type="dxa"/>
            <w:gridSpan w:val="3"/>
            <w:vAlign w:val="center"/>
          </w:tcPr>
          <w:p w14:paraId="6CE3B6D6">
            <w:pPr>
              <w:widowControl/>
              <w:adjustRightInd w:val="0"/>
              <w:snapToGrid w:val="0"/>
              <w:jc w:val="center"/>
              <w:rPr>
                <w:color w:val="auto"/>
                <w:kern w:val="0"/>
                <w:sz w:val="18"/>
                <w:szCs w:val="18"/>
                <w:lang w:bidi="ar"/>
              </w:rPr>
            </w:pPr>
            <w:r>
              <w:rPr>
                <w:color w:val="auto"/>
                <w:kern w:val="0"/>
                <w:sz w:val="18"/>
                <w:szCs w:val="18"/>
                <w:lang w:bidi="ar"/>
              </w:rPr>
              <w:t>环境管控单元空间</w:t>
            </w:r>
          </w:p>
        </w:tc>
        <w:tc>
          <w:tcPr>
            <w:tcW w:w="2944" w:type="dxa"/>
            <w:gridSpan w:val="2"/>
            <w:vMerge w:val="restart"/>
            <w:vAlign w:val="center"/>
          </w:tcPr>
          <w:p w14:paraId="76EA1B56">
            <w:pPr>
              <w:widowControl/>
              <w:adjustRightInd w:val="0"/>
              <w:snapToGrid w:val="0"/>
              <w:jc w:val="center"/>
              <w:rPr>
                <w:color w:val="auto"/>
                <w:kern w:val="0"/>
                <w:sz w:val="18"/>
                <w:szCs w:val="18"/>
                <w:lang w:bidi="ar"/>
              </w:rPr>
            </w:pPr>
            <w:r>
              <w:rPr>
                <w:color w:val="auto"/>
                <w:kern w:val="0"/>
                <w:sz w:val="18"/>
                <w:szCs w:val="18"/>
                <w:lang w:bidi="ar"/>
              </w:rPr>
              <w:t>管控要求</w:t>
            </w:r>
          </w:p>
        </w:tc>
        <w:tc>
          <w:tcPr>
            <w:tcW w:w="2064" w:type="dxa"/>
            <w:vMerge w:val="restart"/>
            <w:vAlign w:val="center"/>
          </w:tcPr>
          <w:p w14:paraId="0E27AC27">
            <w:pPr>
              <w:widowControl/>
              <w:adjustRightInd w:val="0"/>
              <w:snapToGrid w:val="0"/>
              <w:jc w:val="center"/>
              <w:rPr>
                <w:color w:val="auto"/>
                <w:kern w:val="0"/>
                <w:sz w:val="18"/>
                <w:szCs w:val="18"/>
                <w:lang w:bidi="ar"/>
              </w:rPr>
            </w:pPr>
            <w:r>
              <w:rPr>
                <w:color w:val="auto"/>
                <w:kern w:val="0"/>
                <w:sz w:val="18"/>
                <w:szCs w:val="18"/>
                <w:lang w:bidi="ar"/>
              </w:rPr>
              <w:t>本项目情况</w:t>
            </w:r>
          </w:p>
        </w:tc>
        <w:tc>
          <w:tcPr>
            <w:tcW w:w="466" w:type="dxa"/>
            <w:vMerge w:val="restart"/>
            <w:vAlign w:val="center"/>
          </w:tcPr>
          <w:p w14:paraId="23041C07">
            <w:pPr>
              <w:widowControl/>
              <w:adjustRightInd w:val="0"/>
              <w:snapToGrid w:val="0"/>
              <w:jc w:val="center"/>
              <w:rPr>
                <w:color w:val="auto"/>
                <w:kern w:val="0"/>
                <w:sz w:val="18"/>
                <w:szCs w:val="18"/>
                <w:lang w:bidi="ar"/>
              </w:rPr>
            </w:pPr>
            <w:r>
              <w:rPr>
                <w:color w:val="auto"/>
                <w:kern w:val="0"/>
                <w:sz w:val="18"/>
                <w:szCs w:val="18"/>
                <w:lang w:bidi="ar"/>
              </w:rPr>
              <w:t>符合性</w:t>
            </w:r>
          </w:p>
        </w:tc>
      </w:tr>
      <w:tr w14:paraId="287E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Align w:val="center"/>
          </w:tcPr>
          <w:p w14:paraId="658EE0AF">
            <w:pPr>
              <w:widowControl/>
              <w:adjustRightInd w:val="0"/>
              <w:snapToGrid w:val="0"/>
              <w:jc w:val="center"/>
              <w:rPr>
                <w:color w:val="auto"/>
                <w:kern w:val="0"/>
                <w:sz w:val="18"/>
                <w:szCs w:val="18"/>
                <w:lang w:bidi="ar"/>
              </w:rPr>
            </w:pPr>
            <w:r>
              <w:rPr>
                <w:color w:val="auto"/>
                <w:kern w:val="0"/>
                <w:sz w:val="18"/>
                <w:szCs w:val="18"/>
                <w:lang w:bidi="ar"/>
              </w:rPr>
              <w:t>编码</w:t>
            </w:r>
          </w:p>
        </w:tc>
        <w:tc>
          <w:tcPr>
            <w:tcW w:w="509" w:type="dxa"/>
            <w:vAlign w:val="center"/>
          </w:tcPr>
          <w:p w14:paraId="354E810D">
            <w:pPr>
              <w:widowControl/>
              <w:adjustRightInd w:val="0"/>
              <w:snapToGrid w:val="0"/>
              <w:jc w:val="center"/>
              <w:rPr>
                <w:color w:val="auto"/>
                <w:kern w:val="0"/>
                <w:sz w:val="18"/>
                <w:szCs w:val="18"/>
                <w:lang w:bidi="ar"/>
              </w:rPr>
            </w:pPr>
            <w:r>
              <w:rPr>
                <w:color w:val="auto"/>
                <w:kern w:val="0"/>
                <w:sz w:val="18"/>
                <w:szCs w:val="18"/>
                <w:lang w:bidi="ar"/>
              </w:rPr>
              <w:t>名称</w:t>
            </w:r>
          </w:p>
        </w:tc>
        <w:tc>
          <w:tcPr>
            <w:tcW w:w="696" w:type="dxa"/>
            <w:vAlign w:val="center"/>
          </w:tcPr>
          <w:p w14:paraId="1FB9A3A5">
            <w:pPr>
              <w:widowControl/>
              <w:adjustRightInd w:val="0"/>
              <w:snapToGrid w:val="0"/>
              <w:jc w:val="center"/>
              <w:rPr>
                <w:color w:val="auto"/>
                <w:kern w:val="0"/>
                <w:sz w:val="18"/>
                <w:szCs w:val="18"/>
                <w:lang w:bidi="ar"/>
              </w:rPr>
            </w:pPr>
            <w:r>
              <w:rPr>
                <w:color w:val="auto"/>
                <w:kern w:val="0"/>
                <w:sz w:val="18"/>
                <w:szCs w:val="18"/>
                <w:lang w:bidi="ar"/>
              </w:rPr>
              <w:t>分类</w:t>
            </w:r>
          </w:p>
        </w:tc>
        <w:tc>
          <w:tcPr>
            <w:tcW w:w="2944" w:type="dxa"/>
            <w:gridSpan w:val="2"/>
            <w:vMerge w:val="continue"/>
            <w:vAlign w:val="center"/>
          </w:tcPr>
          <w:p w14:paraId="2FC7B534">
            <w:pPr>
              <w:widowControl/>
              <w:adjustRightInd w:val="0"/>
              <w:snapToGrid w:val="0"/>
              <w:jc w:val="center"/>
              <w:rPr>
                <w:color w:val="auto"/>
                <w:kern w:val="0"/>
                <w:sz w:val="18"/>
                <w:szCs w:val="18"/>
                <w:lang w:bidi="ar"/>
              </w:rPr>
            </w:pPr>
          </w:p>
        </w:tc>
        <w:tc>
          <w:tcPr>
            <w:tcW w:w="2064" w:type="dxa"/>
            <w:vMerge w:val="continue"/>
            <w:vAlign w:val="center"/>
          </w:tcPr>
          <w:p w14:paraId="1B7F5194">
            <w:pPr>
              <w:widowControl/>
              <w:adjustRightInd w:val="0"/>
              <w:snapToGrid w:val="0"/>
              <w:jc w:val="center"/>
              <w:rPr>
                <w:color w:val="auto"/>
                <w:kern w:val="0"/>
                <w:sz w:val="18"/>
                <w:szCs w:val="18"/>
                <w:lang w:bidi="ar"/>
              </w:rPr>
            </w:pPr>
          </w:p>
        </w:tc>
        <w:tc>
          <w:tcPr>
            <w:tcW w:w="466" w:type="dxa"/>
            <w:vMerge w:val="continue"/>
            <w:vAlign w:val="center"/>
          </w:tcPr>
          <w:p w14:paraId="7E694B64">
            <w:pPr>
              <w:widowControl/>
              <w:adjustRightInd w:val="0"/>
              <w:snapToGrid w:val="0"/>
              <w:jc w:val="center"/>
              <w:rPr>
                <w:color w:val="auto"/>
                <w:kern w:val="0"/>
                <w:sz w:val="18"/>
                <w:szCs w:val="18"/>
                <w:lang w:bidi="ar"/>
              </w:rPr>
            </w:pPr>
          </w:p>
        </w:tc>
      </w:tr>
      <w:tr w14:paraId="7E75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restart"/>
            <w:vAlign w:val="center"/>
          </w:tcPr>
          <w:p w14:paraId="0D1509B6">
            <w:pPr>
              <w:widowControl/>
              <w:adjustRightInd w:val="0"/>
              <w:snapToGrid w:val="0"/>
              <w:jc w:val="center"/>
              <w:rPr>
                <w:color w:val="auto"/>
                <w:kern w:val="0"/>
                <w:sz w:val="18"/>
                <w:szCs w:val="18"/>
                <w:lang w:bidi="ar"/>
              </w:rPr>
            </w:pPr>
            <w:r>
              <w:rPr>
                <w:rFonts w:hint="eastAsia"/>
                <w:color w:val="auto"/>
                <w:kern w:val="0"/>
                <w:sz w:val="18"/>
                <w:szCs w:val="18"/>
                <w:lang w:bidi="ar"/>
              </w:rPr>
              <w:t>ZH33011320002</w:t>
            </w:r>
          </w:p>
        </w:tc>
        <w:tc>
          <w:tcPr>
            <w:tcW w:w="509" w:type="dxa"/>
            <w:vMerge w:val="restart"/>
            <w:vAlign w:val="center"/>
          </w:tcPr>
          <w:p w14:paraId="7B224B1A">
            <w:pPr>
              <w:widowControl/>
              <w:adjustRightInd w:val="0"/>
              <w:snapToGrid w:val="0"/>
              <w:jc w:val="center"/>
              <w:rPr>
                <w:color w:val="auto"/>
                <w:kern w:val="0"/>
                <w:sz w:val="18"/>
                <w:szCs w:val="18"/>
                <w:lang w:bidi="ar"/>
              </w:rPr>
            </w:pPr>
            <w:r>
              <w:rPr>
                <w:rFonts w:hint="eastAsia"/>
                <w:color w:val="auto"/>
                <w:kern w:val="0"/>
                <w:sz w:val="18"/>
                <w:szCs w:val="18"/>
                <w:lang w:bidi="ar"/>
              </w:rPr>
              <w:t>临平区杭州临平经济技术开发区产业集聚重点管控单元（原杭州余杭经济技术开发区产业集聚重点管控单元）</w:t>
            </w:r>
          </w:p>
        </w:tc>
        <w:tc>
          <w:tcPr>
            <w:tcW w:w="696" w:type="dxa"/>
            <w:vMerge w:val="restart"/>
            <w:vAlign w:val="center"/>
          </w:tcPr>
          <w:p w14:paraId="6DA8294A">
            <w:pPr>
              <w:widowControl/>
              <w:adjustRightInd w:val="0"/>
              <w:snapToGrid w:val="0"/>
              <w:jc w:val="center"/>
              <w:rPr>
                <w:color w:val="auto"/>
                <w:kern w:val="0"/>
                <w:sz w:val="18"/>
                <w:szCs w:val="18"/>
                <w:lang w:bidi="ar"/>
              </w:rPr>
            </w:pPr>
            <w:r>
              <w:rPr>
                <w:color w:val="auto"/>
                <w:kern w:val="0"/>
                <w:sz w:val="18"/>
                <w:szCs w:val="18"/>
                <w:lang w:bidi="ar"/>
              </w:rPr>
              <w:t>重点管控单元</w:t>
            </w:r>
          </w:p>
        </w:tc>
        <w:tc>
          <w:tcPr>
            <w:tcW w:w="681" w:type="dxa"/>
            <w:vAlign w:val="center"/>
          </w:tcPr>
          <w:p w14:paraId="6744FE08">
            <w:pPr>
              <w:widowControl/>
              <w:adjustRightInd w:val="0"/>
              <w:snapToGrid w:val="0"/>
              <w:jc w:val="center"/>
              <w:rPr>
                <w:color w:val="auto"/>
                <w:kern w:val="0"/>
                <w:sz w:val="18"/>
                <w:szCs w:val="18"/>
                <w:lang w:bidi="ar"/>
              </w:rPr>
            </w:pPr>
            <w:r>
              <w:rPr>
                <w:color w:val="auto"/>
                <w:kern w:val="0"/>
                <w:sz w:val="18"/>
                <w:szCs w:val="18"/>
                <w:lang w:bidi="ar"/>
              </w:rPr>
              <w:t>空间布局</w:t>
            </w:r>
            <w:r>
              <w:rPr>
                <w:rFonts w:hint="eastAsia"/>
                <w:color w:val="auto"/>
                <w:kern w:val="0"/>
                <w:sz w:val="18"/>
                <w:szCs w:val="18"/>
                <w:lang w:bidi="ar"/>
              </w:rPr>
              <w:t>引导</w:t>
            </w:r>
          </w:p>
        </w:tc>
        <w:tc>
          <w:tcPr>
            <w:tcW w:w="2263" w:type="dxa"/>
            <w:vAlign w:val="center"/>
          </w:tcPr>
          <w:p w14:paraId="5CD26660">
            <w:pPr>
              <w:widowControl/>
              <w:adjustRightInd w:val="0"/>
              <w:snapToGrid w:val="0"/>
              <w:jc w:val="center"/>
              <w:rPr>
                <w:color w:val="auto"/>
                <w:kern w:val="0"/>
                <w:sz w:val="18"/>
                <w:szCs w:val="18"/>
                <w:lang w:bidi="ar"/>
              </w:rPr>
            </w:pPr>
            <w:r>
              <w:rPr>
                <w:rFonts w:hint="eastAsia"/>
                <w:color w:val="auto"/>
                <w:kern w:val="0"/>
                <w:sz w:val="18"/>
                <w:szCs w:val="18"/>
                <w:lang w:bidi="ar"/>
              </w:rPr>
              <w:t>根据产业集聚区块的功能定位，建立分区差别化的产业准入条件。合理规划布局居住、医疗卫生、文化教育等功能区块，与工业区块、工业企业之间设置防护绿地、生活绿地等隔离带。</w:t>
            </w:r>
          </w:p>
        </w:tc>
        <w:tc>
          <w:tcPr>
            <w:tcW w:w="2064" w:type="dxa"/>
            <w:vAlign w:val="center"/>
          </w:tcPr>
          <w:p w14:paraId="0EAE592E">
            <w:pPr>
              <w:widowControl/>
              <w:adjustRightInd w:val="0"/>
              <w:snapToGrid w:val="0"/>
              <w:jc w:val="center"/>
              <w:rPr>
                <w:color w:val="auto"/>
                <w:kern w:val="0"/>
                <w:sz w:val="18"/>
                <w:szCs w:val="18"/>
                <w:lang w:bidi="ar"/>
              </w:rPr>
            </w:pPr>
            <w:r>
              <w:rPr>
                <w:rFonts w:hint="eastAsia"/>
                <w:color w:val="auto"/>
                <w:kern w:val="0"/>
                <w:sz w:val="18"/>
                <w:szCs w:val="18"/>
                <w:lang w:bidi="ar"/>
              </w:rPr>
              <w:t>项目位于临平区杭州临平经济技术开发区产业集聚重</w:t>
            </w:r>
            <w:r>
              <w:rPr>
                <w:rFonts w:hint="eastAsia"/>
                <w:color w:val="auto"/>
                <w:kern w:val="0"/>
                <w:sz w:val="18"/>
                <w:szCs w:val="18"/>
                <w:lang w:val="en-US" w:eastAsia="zh-CN" w:bidi="ar"/>
              </w:rPr>
              <w:t>点管控单元</w:t>
            </w:r>
            <w:r>
              <w:rPr>
                <w:rFonts w:hint="eastAsia"/>
                <w:color w:val="auto"/>
                <w:kern w:val="0"/>
                <w:sz w:val="18"/>
                <w:szCs w:val="18"/>
                <w:lang w:bidi="ar"/>
              </w:rPr>
              <w:t>（ZH33011320002），企业与敏感点之间有道路和绿化带隔离。</w:t>
            </w:r>
          </w:p>
        </w:tc>
        <w:tc>
          <w:tcPr>
            <w:tcW w:w="466" w:type="dxa"/>
            <w:vAlign w:val="center"/>
          </w:tcPr>
          <w:p w14:paraId="519FE731">
            <w:pPr>
              <w:widowControl/>
              <w:adjustRightInd w:val="0"/>
              <w:snapToGrid w:val="0"/>
              <w:jc w:val="center"/>
              <w:rPr>
                <w:color w:val="auto"/>
                <w:kern w:val="0"/>
                <w:sz w:val="18"/>
                <w:szCs w:val="18"/>
                <w:lang w:bidi="ar"/>
              </w:rPr>
            </w:pPr>
            <w:r>
              <w:rPr>
                <w:color w:val="auto"/>
                <w:kern w:val="0"/>
                <w:sz w:val="18"/>
                <w:szCs w:val="18"/>
                <w:lang w:bidi="ar"/>
              </w:rPr>
              <w:t>符合</w:t>
            </w:r>
          </w:p>
        </w:tc>
      </w:tr>
      <w:tr w14:paraId="51E4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6F51204E">
            <w:pPr>
              <w:widowControl/>
              <w:adjustRightInd w:val="0"/>
              <w:snapToGrid w:val="0"/>
              <w:jc w:val="center"/>
              <w:rPr>
                <w:color w:val="auto"/>
                <w:kern w:val="0"/>
                <w:sz w:val="18"/>
                <w:szCs w:val="18"/>
                <w:lang w:bidi="ar"/>
              </w:rPr>
            </w:pPr>
          </w:p>
        </w:tc>
        <w:tc>
          <w:tcPr>
            <w:tcW w:w="509" w:type="dxa"/>
            <w:vMerge w:val="continue"/>
            <w:vAlign w:val="center"/>
          </w:tcPr>
          <w:p w14:paraId="16514D65">
            <w:pPr>
              <w:widowControl/>
              <w:adjustRightInd w:val="0"/>
              <w:snapToGrid w:val="0"/>
              <w:jc w:val="center"/>
              <w:rPr>
                <w:color w:val="auto"/>
                <w:kern w:val="0"/>
                <w:sz w:val="18"/>
                <w:szCs w:val="18"/>
                <w:lang w:bidi="ar"/>
              </w:rPr>
            </w:pPr>
          </w:p>
        </w:tc>
        <w:tc>
          <w:tcPr>
            <w:tcW w:w="696" w:type="dxa"/>
            <w:vMerge w:val="continue"/>
            <w:vAlign w:val="center"/>
          </w:tcPr>
          <w:p w14:paraId="4812D550">
            <w:pPr>
              <w:widowControl/>
              <w:adjustRightInd w:val="0"/>
              <w:snapToGrid w:val="0"/>
              <w:jc w:val="center"/>
              <w:rPr>
                <w:color w:val="auto"/>
                <w:kern w:val="0"/>
                <w:sz w:val="18"/>
                <w:szCs w:val="18"/>
                <w:lang w:bidi="ar"/>
              </w:rPr>
            </w:pPr>
          </w:p>
        </w:tc>
        <w:tc>
          <w:tcPr>
            <w:tcW w:w="681" w:type="dxa"/>
            <w:vAlign w:val="center"/>
          </w:tcPr>
          <w:p w14:paraId="158E2BB1">
            <w:pPr>
              <w:widowControl/>
              <w:adjustRightInd w:val="0"/>
              <w:snapToGrid w:val="0"/>
              <w:jc w:val="center"/>
              <w:rPr>
                <w:color w:val="auto"/>
                <w:kern w:val="0"/>
                <w:sz w:val="18"/>
                <w:szCs w:val="18"/>
                <w:lang w:bidi="ar"/>
              </w:rPr>
            </w:pPr>
            <w:r>
              <w:rPr>
                <w:color w:val="auto"/>
                <w:kern w:val="0"/>
                <w:sz w:val="18"/>
                <w:szCs w:val="18"/>
                <w:lang w:bidi="ar"/>
              </w:rPr>
              <w:t>污染物排放管控</w:t>
            </w:r>
          </w:p>
        </w:tc>
        <w:tc>
          <w:tcPr>
            <w:tcW w:w="2263" w:type="dxa"/>
            <w:vAlign w:val="center"/>
          </w:tcPr>
          <w:p w14:paraId="0A2EDFAC">
            <w:pPr>
              <w:widowControl/>
              <w:adjustRightInd w:val="0"/>
              <w:snapToGrid w:val="0"/>
              <w:jc w:val="center"/>
              <w:rPr>
                <w:color w:val="auto"/>
                <w:kern w:val="0"/>
                <w:sz w:val="18"/>
                <w:szCs w:val="18"/>
                <w:lang w:bidi="ar"/>
              </w:rPr>
            </w:pPr>
            <w:r>
              <w:rPr>
                <w:rFonts w:hint="eastAsia"/>
                <w:color w:val="auto"/>
                <w:kern w:val="0"/>
                <w:sz w:val="18"/>
                <w:szCs w:val="18"/>
                <w:lang w:bidi="ar"/>
              </w:rPr>
              <w:t>严格实施污染物总量控制制度，根据区域环境质量改善目标，削减污染物排放总量。所有企业实现雨污分流。</w:t>
            </w:r>
          </w:p>
        </w:tc>
        <w:tc>
          <w:tcPr>
            <w:tcW w:w="2064" w:type="dxa"/>
            <w:vAlign w:val="center"/>
          </w:tcPr>
          <w:p w14:paraId="43479011">
            <w:pPr>
              <w:widowControl/>
              <w:adjustRightInd w:val="0"/>
              <w:snapToGrid w:val="0"/>
              <w:jc w:val="center"/>
              <w:rPr>
                <w:color w:val="auto"/>
                <w:kern w:val="0"/>
                <w:sz w:val="18"/>
                <w:szCs w:val="18"/>
                <w:lang w:bidi="ar"/>
              </w:rPr>
            </w:pPr>
            <w:r>
              <w:rPr>
                <w:rFonts w:hint="eastAsia"/>
                <w:color w:val="auto"/>
                <w:kern w:val="0"/>
                <w:sz w:val="18"/>
                <w:szCs w:val="18"/>
                <w:lang w:bidi="ar"/>
              </w:rPr>
              <w:t>企业已实现雨污分流；项目废水、废气、噪声经相应处理措施处理后均能达标排放。本项目实施后全厂污染物控制指标总量不新增。</w:t>
            </w:r>
          </w:p>
        </w:tc>
        <w:tc>
          <w:tcPr>
            <w:tcW w:w="466" w:type="dxa"/>
            <w:vAlign w:val="center"/>
          </w:tcPr>
          <w:p w14:paraId="2B6EBA10">
            <w:pPr>
              <w:widowControl/>
              <w:adjustRightInd w:val="0"/>
              <w:snapToGrid w:val="0"/>
              <w:jc w:val="center"/>
              <w:rPr>
                <w:color w:val="auto"/>
                <w:kern w:val="0"/>
                <w:sz w:val="18"/>
                <w:szCs w:val="18"/>
                <w:lang w:bidi="ar"/>
              </w:rPr>
            </w:pPr>
            <w:r>
              <w:rPr>
                <w:color w:val="auto"/>
                <w:kern w:val="0"/>
                <w:sz w:val="18"/>
                <w:szCs w:val="18"/>
                <w:lang w:bidi="ar"/>
              </w:rPr>
              <w:t>符合</w:t>
            </w:r>
          </w:p>
        </w:tc>
      </w:tr>
      <w:tr w14:paraId="68C8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4FF8C01C">
            <w:pPr>
              <w:widowControl/>
              <w:adjustRightInd w:val="0"/>
              <w:snapToGrid w:val="0"/>
              <w:jc w:val="center"/>
              <w:rPr>
                <w:color w:val="auto"/>
                <w:kern w:val="0"/>
                <w:sz w:val="18"/>
                <w:szCs w:val="18"/>
                <w:lang w:bidi="ar"/>
              </w:rPr>
            </w:pPr>
          </w:p>
        </w:tc>
        <w:tc>
          <w:tcPr>
            <w:tcW w:w="509" w:type="dxa"/>
            <w:vMerge w:val="continue"/>
            <w:vAlign w:val="center"/>
          </w:tcPr>
          <w:p w14:paraId="14EED4A1">
            <w:pPr>
              <w:widowControl/>
              <w:adjustRightInd w:val="0"/>
              <w:snapToGrid w:val="0"/>
              <w:jc w:val="center"/>
              <w:rPr>
                <w:color w:val="auto"/>
                <w:kern w:val="0"/>
                <w:sz w:val="18"/>
                <w:szCs w:val="18"/>
                <w:lang w:bidi="ar"/>
              </w:rPr>
            </w:pPr>
          </w:p>
        </w:tc>
        <w:tc>
          <w:tcPr>
            <w:tcW w:w="696" w:type="dxa"/>
            <w:vMerge w:val="continue"/>
            <w:vAlign w:val="center"/>
          </w:tcPr>
          <w:p w14:paraId="295FF1E4">
            <w:pPr>
              <w:widowControl/>
              <w:adjustRightInd w:val="0"/>
              <w:snapToGrid w:val="0"/>
              <w:jc w:val="center"/>
              <w:rPr>
                <w:color w:val="auto"/>
                <w:kern w:val="0"/>
                <w:sz w:val="18"/>
                <w:szCs w:val="18"/>
                <w:lang w:bidi="ar"/>
              </w:rPr>
            </w:pPr>
          </w:p>
        </w:tc>
        <w:tc>
          <w:tcPr>
            <w:tcW w:w="681" w:type="dxa"/>
            <w:vAlign w:val="center"/>
          </w:tcPr>
          <w:p w14:paraId="60CF83A7">
            <w:pPr>
              <w:widowControl/>
              <w:adjustRightInd w:val="0"/>
              <w:snapToGrid w:val="0"/>
              <w:jc w:val="center"/>
              <w:rPr>
                <w:color w:val="auto"/>
                <w:kern w:val="0"/>
                <w:sz w:val="18"/>
                <w:szCs w:val="18"/>
                <w:lang w:bidi="ar"/>
              </w:rPr>
            </w:pPr>
            <w:r>
              <w:rPr>
                <w:color w:val="auto"/>
                <w:kern w:val="0"/>
                <w:sz w:val="18"/>
                <w:szCs w:val="18"/>
                <w:lang w:bidi="ar"/>
              </w:rPr>
              <w:t>环境风险防控</w:t>
            </w:r>
          </w:p>
        </w:tc>
        <w:tc>
          <w:tcPr>
            <w:tcW w:w="2263" w:type="dxa"/>
            <w:vAlign w:val="center"/>
          </w:tcPr>
          <w:p w14:paraId="13FA96FB">
            <w:pPr>
              <w:widowControl/>
              <w:adjustRightInd w:val="0"/>
              <w:snapToGrid w:val="0"/>
              <w:jc w:val="center"/>
              <w:rPr>
                <w:color w:val="auto"/>
                <w:kern w:val="0"/>
                <w:sz w:val="18"/>
                <w:szCs w:val="18"/>
                <w:lang w:bidi="ar"/>
              </w:rPr>
            </w:pPr>
            <w:r>
              <w:rPr>
                <w:rFonts w:hint="eastAsia"/>
                <w:color w:val="auto"/>
                <w:kern w:val="0"/>
                <w:sz w:val="18"/>
                <w:szCs w:val="18"/>
                <w:lang w:bidi="ar"/>
              </w:rPr>
              <w:t>强化工业集聚区企业环境风险防范设施设备建设和正常运行监管，加强重点环境风险管控企业应急预案制定，建立常态化的企业隐患排查整治监管机制，加强风险防控体系建设。</w:t>
            </w:r>
          </w:p>
        </w:tc>
        <w:tc>
          <w:tcPr>
            <w:tcW w:w="2064" w:type="dxa"/>
            <w:vAlign w:val="center"/>
          </w:tcPr>
          <w:p w14:paraId="0F7ED196">
            <w:pPr>
              <w:widowControl/>
              <w:adjustRightInd w:val="0"/>
              <w:snapToGrid w:val="0"/>
              <w:jc w:val="center"/>
              <w:rPr>
                <w:color w:val="auto"/>
                <w:kern w:val="0"/>
                <w:sz w:val="18"/>
                <w:szCs w:val="18"/>
                <w:lang w:bidi="ar"/>
              </w:rPr>
            </w:pPr>
            <w:r>
              <w:rPr>
                <w:rFonts w:hint="eastAsia"/>
                <w:color w:val="auto"/>
                <w:kern w:val="0"/>
                <w:sz w:val="18"/>
                <w:szCs w:val="18"/>
                <w:lang w:bidi="ar"/>
              </w:rPr>
              <w:t>企业已按要求编制有针对性的突发环境事件应急预案，落实各项风险防范措施，建设风险防控体系。符合环境风险防控要求。</w:t>
            </w:r>
          </w:p>
        </w:tc>
        <w:tc>
          <w:tcPr>
            <w:tcW w:w="466" w:type="dxa"/>
            <w:vAlign w:val="center"/>
          </w:tcPr>
          <w:p w14:paraId="0F3B1607">
            <w:pPr>
              <w:widowControl/>
              <w:adjustRightInd w:val="0"/>
              <w:snapToGrid w:val="0"/>
              <w:jc w:val="center"/>
              <w:rPr>
                <w:color w:val="auto"/>
                <w:kern w:val="0"/>
                <w:sz w:val="18"/>
                <w:szCs w:val="18"/>
                <w:lang w:bidi="ar"/>
              </w:rPr>
            </w:pPr>
            <w:r>
              <w:rPr>
                <w:color w:val="auto"/>
                <w:kern w:val="0"/>
                <w:sz w:val="18"/>
                <w:szCs w:val="18"/>
                <w:lang w:bidi="ar"/>
              </w:rPr>
              <w:t>符合</w:t>
            </w:r>
          </w:p>
        </w:tc>
      </w:tr>
      <w:tr w14:paraId="2482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770684CE">
            <w:pPr>
              <w:widowControl/>
              <w:adjustRightInd w:val="0"/>
              <w:snapToGrid w:val="0"/>
              <w:jc w:val="center"/>
              <w:rPr>
                <w:color w:val="auto"/>
                <w:kern w:val="0"/>
                <w:sz w:val="18"/>
                <w:szCs w:val="18"/>
                <w:lang w:bidi="ar"/>
              </w:rPr>
            </w:pPr>
          </w:p>
        </w:tc>
        <w:tc>
          <w:tcPr>
            <w:tcW w:w="509" w:type="dxa"/>
            <w:vMerge w:val="continue"/>
            <w:vAlign w:val="center"/>
          </w:tcPr>
          <w:p w14:paraId="5021D510">
            <w:pPr>
              <w:widowControl/>
              <w:adjustRightInd w:val="0"/>
              <w:snapToGrid w:val="0"/>
              <w:jc w:val="center"/>
              <w:rPr>
                <w:color w:val="auto"/>
                <w:kern w:val="0"/>
                <w:sz w:val="18"/>
                <w:szCs w:val="18"/>
                <w:lang w:bidi="ar"/>
              </w:rPr>
            </w:pPr>
          </w:p>
        </w:tc>
        <w:tc>
          <w:tcPr>
            <w:tcW w:w="696" w:type="dxa"/>
            <w:vMerge w:val="continue"/>
            <w:vAlign w:val="center"/>
          </w:tcPr>
          <w:p w14:paraId="3CF794F7">
            <w:pPr>
              <w:widowControl/>
              <w:adjustRightInd w:val="0"/>
              <w:snapToGrid w:val="0"/>
              <w:jc w:val="center"/>
              <w:rPr>
                <w:color w:val="auto"/>
                <w:kern w:val="0"/>
                <w:sz w:val="18"/>
                <w:szCs w:val="18"/>
                <w:lang w:bidi="ar"/>
              </w:rPr>
            </w:pPr>
          </w:p>
        </w:tc>
        <w:tc>
          <w:tcPr>
            <w:tcW w:w="681" w:type="dxa"/>
            <w:vAlign w:val="center"/>
          </w:tcPr>
          <w:p w14:paraId="011A8C85">
            <w:pPr>
              <w:widowControl/>
              <w:adjustRightInd w:val="0"/>
              <w:snapToGrid w:val="0"/>
              <w:jc w:val="center"/>
              <w:rPr>
                <w:color w:val="auto"/>
                <w:kern w:val="0"/>
                <w:sz w:val="18"/>
                <w:szCs w:val="18"/>
                <w:lang w:bidi="ar"/>
              </w:rPr>
            </w:pPr>
            <w:r>
              <w:rPr>
                <w:color w:val="auto"/>
                <w:kern w:val="0"/>
                <w:sz w:val="18"/>
                <w:szCs w:val="18"/>
                <w:lang w:bidi="ar"/>
              </w:rPr>
              <w:t>资源开发效率要求</w:t>
            </w:r>
          </w:p>
        </w:tc>
        <w:tc>
          <w:tcPr>
            <w:tcW w:w="2263" w:type="dxa"/>
            <w:vAlign w:val="center"/>
          </w:tcPr>
          <w:p w14:paraId="728D740C">
            <w:pPr>
              <w:widowControl/>
              <w:adjustRightInd w:val="0"/>
              <w:snapToGrid w:val="0"/>
              <w:jc w:val="center"/>
              <w:rPr>
                <w:color w:val="auto"/>
                <w:kern w:val="0"/>
                <w:sz w:val="18"/>
                <w:szCs w:val="18"/>
                <w:lang w:bidi="ar"/>
              </w:rPr>
            </w:pPr>
            <w:r>
              <w:rPr>
                <w:rFonts w:hint="eastAsia"/>
                <w:color w:val="auto"/>
                <w:kern w:val="0"/>
                <w:sz w:val="18"/>
                <w:szCs w:val="18"/>
                <w:lang w:bidi="ar"/>
              </w:rPr>
              <w:t>/</w:t>
            </w:r>
          </w:p>
        </w:tc>
        <w:tc>
          <w:tcPr>
            <w:tcW w:w="2064" w:type="dxa"/>
            <w:vAlign w:val="center"/>
          </w:tcPr>
          <w:p w14:paraId="37A9F73B">
            <w:pPr>
              <w:widowControl/>
              <w:adjustRightInd w:val="0"/>
              <w:snapToGrid w:val="0"/>
              <w:jc w:val="center"/>
              <w:rPr>
                <w:color w:val="auto"/>
                <w:kern w:val="0"/>
                <w:sz w:val="18"/>
                <w:szCs w:val="18"/>
                <w:lang w:bidi="ar"/>
              </w:rPr>
            </w:pPr>
            <w:r>
              <w:rPr>
                <w:rFonts w:hint="eastAsia"/>
                <w:color w:val="auto"/>
                <w:kern w:val="0"/>
                <w:sz w:val="18"/>
                <w:szCs w:val="18"/>
                <w:lang w:bidi="ar"/>
              </w:rPr>
              <w:t>/</w:t>
            </w:r>
          </w:p>
        </w:tc>
        <w:tc>
          <w:tcPr>
            <w:tcW w:w="466" w:type="dxa"/>
            <w:vAlign w:val="center"/>
          </w:tcPr>
          <w:p w14:paraId="0E7E7604">
            <w:pPr>
              <w:widowControl/>
              <w:adjustRightInd w:val="0"/>
              <w:snapToGrid w:val="0"/>
              <w:jc w:val="center"/>
              <w:rPr>
                <w:color w:val="auto"/>
                <w:kern w:val="0"/>
                <w:sz w:val="18"/>
                <w:szCs w:val="18"/>
                <w:lang w:bidi="ar"/>
              </w:rPr>
            </w:pPr>
            <w:r>
              <w:rPr>
                <w:rFonts w:hint="eastAsia"/>
                <w:color w:val="auto"/>
                <w:kern w:val="0"/>
                <w:sz w:val="18"/>
                <w:szCs w:val="18"/>
                <w:lang w:bidi="ar"/>
              </w:rPr>
              <w:t>/</w:t>
            </w:r>
          </w:p>
        </w:tc>
      </w:tr>
    </w:tbl>
    <w:p w14:paraId="3303039F">
      <w:pPr>
        <w:adjustRightInd w:val="0"/>
        <w:snapToGrid w:val="0"/>
        <w:spacing w:line="360" w:lineRule="auto"/>
        <w:ind w:firstLine="480" w:firstLineChars="200"/>
        <w:rPr>
          <w:snapToGrid w:val="0"/>
          <w:color w:val="auto"/>
          <w:sz w:val="24"/>
        </w:rPr>
      </w:pPr>
      <w:r>
        <w:rPr>
          <w:snapToGrid w:val="0"/>
          <w:color w:val="auto"/>
          <w:sz w:val="24"/>
        </w:rPr>
        <w:t>综上分析，项目建设符合</w:t>
      </w:r>
      <w:r>
        <w:rPr>
          <w:rFonts w:hint="eastAsia"/>
          <w:snapToGrid w:val="0"/>
          <w:color w:val="auto"/>
          <w:sz w:val="24"/>
        </w:rPr>
        <w:t>《杭州市生态环境分区管控动态更新方案》</w:t>
      </w:r>
      <w:r>
        <w:rPr>
          <w:snapToGrid w:val="0"/>
          <w:color w:val="auto"/>
          <w:sz w:val="24"/>
        </w:rPr>
        <w:t>管控要求。</w:t>
      </w:r>
    </w:p>
    <w:p w14:paraId="15AEC354">
      <w:pPr>
        <w:spacing w:line="360" w:lineRule="auto"/>
        <w:ind w:firstLine="482" w:firstLineChars="200"/>
        <w:jc w:val="left"/>
        <w:outlineLvl w:val="1"/>
        <w:rPr>
          <w:rFonts w:hint="eastAsia"/>
          <w:b/>
          <w:color w:val="auto"/>
          <w:sz w:val="24"/>
          <w:szCs w:val="24"/>
          <w:lang w:val="en-US" w:eastAsia="zh-CN"/>
        </w:rPr>
      </w:pPr>
      <w:bookmarkStart w:id="8" w:name="_Toc16557"/>
      <w:r>
        <w:rPr>
          <w:rFonts w:hint="eastAsia"/>
          <w:b/>
          <w:color w:val="auto"/>
          <w:sz w:val="24"/>
          <w:szCs w:val="24"/>
          <w:lang w:val="en-US" w:eastAsia="zh-CN"/>
        </w:rPr>
        <w:t>4.2《杭州余杭经济技术开发区总体规划修编（2020-2035年）环境影响报告书》符合性分析</w:t>
      </w:r>
      <w:bookmarkEnd w:id="8"/>
    </w:p>
    <w:p w14:paraId="6C883BD0">
      <w:pPr>
        <w:spacing w:line="360" w:lineRule="auto"/>
        <w:ind w:firstLine="480" w:firstLineChars="200"/>
        <w:rPr>
          <w:color w:val="auto"/>
          <w:sz w:val="24"/>
          <w:szCs w:val="24"/>
        </w:rPr>
      </w:pPr>
      <w:r>
        <w:rPr>
          <w:color w:val="auto"/>
          <w:sz w:val="24"/>
          <w:szCs w:val="24"/>
        </w:rPr>
        <w:t>本报告根据《杭州余杭经济技术开发区总体规划修编（2020-2035年）环境影响报告书》对规划环评相关内容进行分析。</w:t>
      </w:r>
    </w:p>
    <w:p w14:paraId="416B93A6">
      <w:pPr>
        <w:spacing w:line="360" w:lineRule="auto"/>
        <w:ind w:firstLine="482" w:firstLineChars="200"/>
        <w:rPr>
          <w:b/>
          <w:color w:val="auto"/>
          <w:sz w:val="24"/>
          <w:szCs w:val="24"/>
        </w:rPr>
      </w:pPr>
      <w:r>
        <w:rPr>
          <w:b/>
          <w:color w:val="auto"/>
          <w:sz w:val="24"/>
          <w:szCs w:val="24"/>
        </w:rPr>
        <w:t>1、开发区生态空间清单符合性分析</w:t>
      </w:r>
    </w:p>
    <w:p w14:paraId="570C0F29">
      <w:pPr>
        <w:spacing w:line="360" w:lineRule="auto"/>
        <w:ind w:firstLine="480" w:firstLineChars="200"/>
        <w:rPr>
          <w:color w:val="auto"/>
          <w:sz w:val="24"/>
          <w:szCs w:val="24"/>
        </w:rPr>
      </w:pPr>
      <w:r>
        <w:rPr>
          <w:rFonts w:hint="eastAsia"/>
          <w:color w:val="auto"/>
          <w:sz w:val="24"/>
          <w:szCs w:val="24"/>
        </w:rPr>
        <w:t>本项目最近的敏感点为厂界</w:t>
      </w:r>
      <w:r>
        <w:rPr>
          <w:rFonts w:hint="eastAsia"/>
          <w:color w:val="auto"/>
          <w:sz w:val="24"/>
          <w:szCs w:val="24"/>
          <w:lang w:val="en-US" w:eastAsia="zh-CN"/>
        </w:rPr>
        <w:t>西</w:t>
      </w:r>
      <w:r>
        <w:rPr>
          <w:rFonts w:hint="eastAsia"/>
          <w:color w:val="auto"/>
          <w:sz w:val="24"/>
          <w:szCs w:val="24"/>
        </w:rPr>
        <w:t>侧</w:t>
      </w:r>
      <w:r>
        <w:rPr>
          <w:rFonts w:hint="eastAsia"/>
          <w:color w:val="auto"/>
          <w:sz w:val="24"/>
          <w:szCs w:val="24"/>
          <w:lang w:val="en-US" w:eastAsia="zh-CN"/>
        </w:rPr>
        <w:t>340</w:t>
      </w:r>
      <w:r>
        <w:rPr>
          <w:rFonts w:hint="eastAsia"/>
          <w:color w:val="auto"/>
          <w:sz w:val="24"/>
          <w:szCs w:val="24"/>
        </w:rPr>
        <w:t>m朱家角康乐小区，企业与敏感点之间有道路和绿化带隔离。各类污染物均可达标排放，对环境污染不大</w:t>
      </w:r>
      <w:r>
        <w:rPr>
          <w:color w:val="auto"/>
          <w:sz w:val="24"/>
          <w:szCs w:val="24"/>
        </w:rPr>
        <w:t>。</w:t>
      </w:r>
    </w:p>
    <w:p w14:paraId="04AE7928">
      <w:pPr>
        <w:spacing w:line="360" w:lineRule="auto"/>
        <w:ind w:firstLine="480" w:firstLineChars="200"/>
        <w:rPr>
          <w:color w:val="auto"/>
          <w:sz w:val="24"/>
          <w:szCs w:val="24"/>
        </w:rPr>
      </w:pPr>
      <w:r>
        <w:rPr>
          <w:color w:val="auto"/>
          <w:sz w:val="24"/>
          <w:szCs w:val="24"/>
        </w:rPr>
        <w:t>本项目各类污染物经处理后均可达标排放，新增总量不大，不会影响区域环境质量改善目标。企业实现雨污分流。</w:t>
      </w:r>
    </w:p>
    <w:p w14:paraId="346A9E2B">
      <w:pPr>
        <w:spacing w:line="360" w:lineRule="auto"/>
        <w:ind w:firstLine="480" w:firstLineChars="200"/>
        <w:rPr>
          <w:color w:val="auto"/>
          <w:sz w:val="24"/>
          <w:szCs w:val="24"/>
        </w:rPr>
      </w:pPr>
      <w:r>
        <w:rPr>
          <w:color w:val="auto"/>
          <w:sz w:val="24"/>
          <w:szCs w:val="24"/>
        </w:rPr>
        <w:t>要求企业编制有针对性的突发环境事件应急预案，落实各项风险防范措施，与区域环境风险防控体系形成应急联动。</w:t>
      </w:r>
    </w:p>
    <w:p w14:paraId="794298A8">
      <w:pPr>
        <w:spacing w:line="360" w:lineRule="auto"/>
        <w:ind w:firstLine="480" w:firstLineChars="200"/>
        <w:rPr>
          <w:color w:val="auto"/>
          <w:sz w:val="24"/>
          <w:szCs w:val="24"/>
        </w:rPr>
      </w:pPr>
      <w:r>
        <w:rPr>
          <w:color w:val="auto"/>
          <w:sz w:val="24"/>
          <w:szCs w:val="24"/>
        </w:rPr>
        <w:t>因此，项目符合生态空间管控要求。</w:t>
      </w:r>
    </w:p>
    <w:p w14:paraId="0AE75859">
      <w:pPr>
        <w:spacing w:line="360" w:lineRule="auto"/>
        <w:ind w:firstLine="482" w:firstLineChars="200"/>
        <w:rPr>
          <w:b/>
          <w:color w:val="auto"/>
          <w:sz w:val="24"/>
          <w:szCs w:val="24"/>
        </w:rPr>
      </w:pPr>
      <w:r>
        <w:rPr>
          <w:b/>
          <w:color w:val="auto"/>
          <w:sz w:val="24"/>
          <w:szCs w:val="24"/>
        </w:rPr>
        <w:t>2、开发区现有问题整改措施清单符合性分析</w:t>
      </w:r>
    </w:p>
    <w:p w14:paraId="683516C9">
      <w:pPr>
        <w:spacing w:line="360" w:lineRule="auto"/>
        <w:ind w:firstLine="480" w:firstLineChars="200"/>
        <w:rPr>
          <w:color w:val="auto"/>
          <w:sz w:val="24"/>
          <w:szCs w:val="24"/>
        </w:rPr>
      </w:pPr>
      <w:r>
        <w:rPr>
          <w:color w:val="auto"/>
          <w:sz w:val="24"/>
          <w:szCs w:val="24"/>
        </w:rPr>
        <w:t>对照规划环评现有问题清单，企业现有厂区不在整改之列，企业现有项目已落实原审批提出的污染防治措施，经检测其排放的废气、废水及噪声均可满足相关标准要求，符合现有问题整改措施清单要求。</w:t>
      </w:r>
    </w:p>
    <w:p w14:paraId="57B80FA9">
      <w:pPr>
        <w:adjustRightInd w:val="0"/>
        <w:snapToGrid w:val="0"/>
        <w:spacing w:line="360" w:lineRule="auto"/>
        <w:ind w:firstLine="482" w:firstLineChars="200"/>
        <w:rPr>
          <w:b/>
          <w:color w:val="auto"/>
          <w:sz w:val="24"/>
          <w:szCs w:val="24"/>
        </w:rPr>
      </w:pPr>
      <w:r>
        <w:rPr>
          <w:b/>
          <w:color w:val="auto"/>
          <w:sz w:val="24"/>
          <w:szCs w:val="24"/>
        </w:rPr>
        <w:t>3、污染物排放总量管控限值清单符合性分析</w:t>
      </w:r>
    </w:p>
    <w:p w14:paraId="4B3D9CC9">
      <w:pPr>
        <w:adjustRightInd w:val="0"/>
        <w:snapToGrid w:val="0"/>
        <w:spacing w:line="360" w:lineRule="auto"/>
        <w:ind w:firstLine="482" w:firstLineChars="200"/>
        <w:rPr>
          <w:snapToGrid w:val="0"/>
          <w:color w:val="auto"/>
          <w:sz w:val="24"/>
        </w:rPr>
      </w:pPr>
      <w:r>
        <w:rPr>
          <w:b/>
          <w:snapToGrid w:val="0"/>
          <w:color w:val="auto"/>
          <w:sz w:val="24"/>
        </w:rPr>
        <w:t>符合性分析：</w:t>
      </w:r>
      <w:r>
        <w:rPr>
          <w:color w:val="auto"/>
          <w:sz w:val="24"/>
          <w:szCs w:val="24"/>
        </w:rPr>
        <w:t>本项目实施后，</w:t>
      </w:r>
      <w:r>
        <w:rPr>
          <w:rFonts w:hint="eastAsia"/>
          <w:color w:val="auto"/>
          <w:sz w:val="24"/>
          <w:szCs w:val="24"/>
        </w:rPr>
        <w:t>全厂污染物COD排放量0.</w:t>
      </w:r>
      <w:r>
        <w:rPr>
          <w:rFonts w:hint="eastAsia"/>
          <w:color w:val="auto"/>
          <w:sz w:val="24"/>
          <w:szCs w:val="24"/>
          <w:lang w:val="en-US" w:eastAsia="zh-CN"/>
        </w:rPr>
        <w:t>115</w:t>
      </w:r>
      <w:r>
        <w:rPr>
          <w:rFonts w:hint="eastAsia"/>
          <w:color w:val="auto"/>
          <w:sz w:val="24"/>
          <w:szCs w:val="24"/>
        </w:rPr>
        <w:t>t/a，氨氮（NH</w:t>
      </w:r>
      <w:r>
        <w:rPr>
          <w:rFonts w:hint="eastAsia"/>
          <w:color w:val="auto"/>
          <w:sz w:val="24"/>
          <w:szCs w:val="24"/>
          <w:vertAlign w:val="subscript"/>
        </w:rPr>
        <w:t>3</w:t>
      </w:r>
      <w:r>
        <w:rPr>
          <w:rFonts w:hint="eastAsia"/>
          <w:color w:val="auto"/>
          <w:sz w:val="24"/>
          <w:szCs w:val="24"/>
        </w:rPr>
        <w:t>-N）排放量0.00</w:t>
      </w:r>
      <w:r>
        <w:rPr>
          <w:rFonts w:hint="eastAsia"/>
          <w:color w:val="auto"/>
          <w:sz w:val="24"/>
          <w:szCs w:val="24"/>
          <w:lang w:val="en-US" w:eastAsia="zh-CN"/>
        </w:rPr>
        <w:t>6</w:t>
      </w:r>
      <w:r>
        <w:rPr>
          <w:rFonts w:hint="eastAsia"/>
          <w:color w:val="auto"/>
          <w:sz w:val="24"/>
          <w:szCs w:val="24"/>
        </w:rPr>
        <w:t>t/a，</w:t>
      </w:r>
      <w:r>
        <w:rPr>
          <w:rFonts w:hint="eastAsia"/>
          <w:color w:val="auto"/>
          <w:sz w:val="24"/>
          <w:szCs w:val="24"/>
          <w:lang w:val="en-US" w:eastAsia="zh-CN"/>
        </w:rPr>
        <w:t>工业烟粉尘（颗粒物）排放量0.001t/a，</w:t>
      </w:r>
      <w:r>
        <w:rPr>
          <w:rFonts w:hint="eastAsia"/>
          <w:color w:val="auto"/>
          <w:sz w:val="24"/>
          <w:szCs w:val="24"/>
        </w:rPr>
        <w:t>挥发性有机物（</w:t>
      </w:r>
      <w:r>
        <w:rPr>
          <w:color w:val="auto"/>
          <w:sz w:val="24"/>
          <w:szCs w:val="24"/>
        </w:rPr>
        <w:t>VOCs</w:t>
      </w:r>
      <w:r>
        <w:rPr>
          <w:rFonts w:hint="eastAsia"/>
          <w:color w:val="auto"/>
          <w:sz w:val="24"/>
          <w:szCs w:val="24"/>
        </w:rPr>
        <w:t>）</w:t>
      </w:r>
      <w:r>
        <w:rPr>
          <w:color w:val="auto"/>
          <w:sz w:val="24"/>
          <w:szCs w:val="24"/>
        </w:rPr>
        <w:t>排放量</w:t>
      </w:r>
      <w:r>
        <w:rPr>
          <w:rFonts w:hint="eastAsia"/>
          <w:color w:val="auto"/>
          <w:sz w:val="24"/>
          <w:szCs w:val="24"/>
        </w:rPr>
        <w:t>0.</w:t>
      </w:r>
      <w:r>
        <w:rPr>
          <w:rFonts w:hint="eastAsia"/>
          <w:color w:val="auto"/>
          <w:sz w:val="24"/>
          <w:szCs w:val="24"/>
          <w:lang w:val="en-US" w:eastAsia="zh-CN"/>
        </w:rPr>
        <w:t>047</w:t>
      </w:r>
      <w:r>
        <w:rPr>
          <w:color w:val="auto"/>
          <w:sz w:val="24"/>
          <w:szCs w:val="24"/>
        </w:rPr>
        <w:t>t/a</w:t>
      </w:r>
      <w:r>
        <w:rPr>
          <w:snapToGrid w:val="0"/>
          <w:color w:val="auto"/>
          <w:sz w:val="24"/>
        </w:rPr>
        <w:t>。</w:t>
      </w:r>
    </w:p>
    <w:p w14:paraId="15B4B56C">
      <w:pPr>
        <w:adjustRightInd w:val="0"/>
        <w:snapToGrid w:val="0"/>
        <w:spacing w:line="360" w:lineRule="auto"/>
        <w:ind w:firstLine="480" w:firstLineChars="200"/>
        <w:rPr>
          <w:color w:val="auto"/>
          <w:sz w:val="24"/>
          <w:szCs w:val="24"/>
        </w:rPr>
      </w:pPr>
      <w:r>
        <w:rPr>
          <w:color w:val="auto"/>
          <w:sz w:val="24"/>
          <w:szCs w:val="24"/>
        </w:rPr>
        <w:t>本项目实施后，</w:t>
      </w:r>
      <w:r>
        <w:rPr>
          <w:rFonts w:hint="eastAsia"/>
          <w:color w:val="auto"/>
          <w:sz w:val="24"/>
          <w:szCs w:val="24"/>
        </w:rPr>
        <w:t>全厂新增污染物总量指标可在区域内进行削减替代，不会突破开发区污染物排放总量管控限值</w:t>
      </w:r>
      <w:r>
        <w:rPr>
          <w:color w:val="auto"/>
          <w:sz w:val="24"/>
          <w:szCs w:val="24"/>
        </w:rPr>
        <w:t>。</w:t>
      </w:r>
    </w:p>
    <w:p w14:paraId="50A0A103">
      <w:pPr>
        <w:spacing w:line="360" w:lineRule="auto"/>
        <w:ind w:firstLine="482" w:firstLineChars="200"/>
        <w:rPr>
          <w:b/>
          <w:color w:val="auto"/>
          <w:sz w:val="24"/>
          <w:szCs w:val="24"/>
        </w:rPr>
      </w:pPr>
      <w:r>
        <w:rPr>
          <w:b/>
          <w:color w:val="auto"/>
          <w:sz w:val="24"/>
          <w:szCs w:val="24"/>
        </w:rPr>
        <w:t>4、开发区规划优化调整建议清单符合性分析</w:t>
      </w:r>
    </w:p>
    <w:p w14:paraId="3D4DD372">
      <w:pPr>
        <w:spacing w:line="360" w:lineRule="auto"/>
        <w:ind w:firstLine="480" w:firstLineChars="200"/>
        <w:rPr>
          <w:color w:val="auto"/>
          <w:sz w:val="24"/>
          <w:szCs w:val="24"/>
        </w:rPr>
      </w:pPr>
      <w:r>
        <w:rPr>
          <w:rFonts w:hint="eastAsia"/>
          <w:color w:val="auto"/>
          <w:sz w:val="24"/>
          <w:szCs w:val="24"/>
        </w:rPr>
        <w:t>本项目不新增用地，利用园区内现有车间，用地性质符合区域用地规划，项目位于集中的工业区内，距离最近敏感点约3</w:t>
      </w:r>
      <w:r>
        <w:rPr>
          <w:rFonts w:hint="eastAsia"/>
          <w:color w:val="auto"/>
          <w:sz w:val="24"/>
          <w:szCs w:val="24"/>
          <w:lang w:val="en-US" w:eastAsia="zh-CN"/>
        </w:rPr>
        <w:t>4</w:t>
      </w:r>
      <w:r>
        <w:rPr>
          <w:rFonts w:hint="eastAsia"/>
          <w:color w:val="auto"/>
          <w:sz w:val="24"/>
          <w:szCs w:val="24"/>
        </w:rPr>
        <w:t>0米，有道路和绿化带隔离；项目用地范围内不涉及永久基本农田，不在禁建区和限建区。本项目主要进行通用设备制造业</w:t>
      </w:r>
      <w:bookmarkStart w:id="54" w:name="_GoBack"/>
      <w:bookmarkEnd w:id="54"/>
      <w:r>
        <w:rPr>
          <w:rFonts w:hint="eastAsia"/>
          <w:color w:val="auto"/>
          <w:sz w:val="24"/>
          <w:szCs w:val="24"/>
        </w:rPr>
        <w:t>，符合园区产业定位，生产废水经企业自建污水处理系统预处理，生活污水经园区内化粪池预处理后与生产废水纳入市政管网进入临平净水厂处理。因此不涉及园区规划优化调整建议相关内容，符合相关要求。</w:t>
      </w:r>
      <w:r>
        <w:rPr>
          <w:color w:val="auto"/>
          <w:sz w:val="24"/>
          <w:szCs w:val="24"/>
        </w:rPr>
        <w:t>通过对照上表分析，本项目不涉及优化调整建议清单中的内容，符合相关要求。</w:t>
      </w:r>
    </w:p>
    <w:p w14:paraId="6DB590B5">
      <w:pPr>
        <w:spacing w:line="360" w:lineRule="auto"/>
        <w:ind w:firstLine="482" w:firstLineChars="200"/>
        <w:rPr>
          <w:b/>
          <w:bCs/>
          <w:color w:val="auto"/>
          <w:kern w:val="0"/>
          <w:sz w:val="24"/>
          <w:szCs w:val="24"/>
        </w:rPr>
      </w:pPr>
      <w:r>
        <w:rPr>
          <w:b/>
          <w:bCs/>
          <w:color w:val="auto"/>
          <w:kern w:val="0"/>
          <w:sz w:val="24"/>
          <w:szCs w:val="24"/>
        </w:rPr>
        <w:t>5、环境准入条件清单符合性分析</w:t>
      </w:r>
    </w:p>
    <w:p w14:paraId="5F28FAB3">
      <w:pPr>
        <w:numPr>
          <w:ilvl w:val="0"/>
          <w:numId w:val="0"/>
        </w:numPr>
        <w:adjustRightInd w:val="0"/>
        <w:snapToGrid w:val="0"/>
        <w:spacing w:before="156" w:beforeLines="50"/>
        <w:ind w:left="420" w:leftChars="0" w:hanging="420" w:firstLineChars="0"/>
        <w:jc w:val="center"/>
        <w:rPr>
          <w:rFonts w:hint="eastAsia" w:ascii="Times New Roman" w:hAnsi="Times New Roman" w:eastAsia="宋体" w:cs="Times New Roman"/>
          <w:b/>
          <w:color w:val="auto"/>
          <w:lang w:val="zh-CN"/>
        </w:rPr>
      </w:pPr>
      <w:bookmarkStart w:id="9" w:name="_Hlk68127454"/>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表11</w:t>
      </w:r>
      <w:r>
        <w:rPr>
          <w:rFonts w:hint="eastAsia" w:ascii="Times New Roman" w:hAnsi="Times New Roman" w:eastAsia="宋体" w:cs="Times New Roman"/>
          <w:b/>
          <w:color w:val="auto"/>
          <w:lang w:val="zh-CN"/>
        </w:rPr>
        <w:t>环境准入条件清单</w:t>
      </w:r>
    </w:p>
    <w:tbl>
      <w:tblPr>
        <w:tblStyle w:val="88"/>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412"/>
        <w:gridCol w:w="384"/>
        <w:gridCol w:w="479"/>
        <w:gridCol w:w="2746"/>
        <w:gridCol w:w="1444"/>
        <w:gridCol w:w="952"/>
        <w:gridCol w:w="1945"/>
      </w:tblGrid>
      <w:tr w14:paraId="25AEB6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0" w:type="auto"/>
            <w:vAlign w:val="center"/>
          </w:tcPr>
          <w:p w14:paraId="183FD80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产业类型</w:t>
            </w:r>
          </w:p>
        </w:tc>
        <w:tc>
          <w:tcPr>
            <w:tcW w:w="0" w:type="auto"/>
            <w:vAlign w:val="center"/>
          </w:tcPr>
          <w:p w14:paraId="7125FFB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分类</w:t>
            </w:r>
          </w:p>
        </w:tc>
        <w:tc>
          <w:tcPr>
            <w:tcW w:w="0" w:type="auto"/>
            <w:vAlign w:val="center"/>
          </w:tcPr>
          <w:p w14:paraId="5AF60E3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项目类别</w:t>
            </w:r>
          </w:p>
        </w:tc>
        <w:tc>
          <w:tcPr>
            <w:tcW w:w="0" w:type="auto"/>
            <w:vAlign w:val="center"/>
          </w:tcPr>
          <w:p w14:paraId="1B97EAE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行业清单</w:t>
            </w:r>
          </w:p>
        </w:tc>
        <w:tc>
          <w:tcPr>
            <w:tcW w:w="0" w:type="auto"/>
            <w:vAlign w:val="center"/>
          </w:tcPr>
          <w:p w14:paraId="267C5484">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工艺清单</w:t>
            </w:r>
          </w:p>
        </w:tc>
        <w:tc>
          <w:tcPr>
            <w:tcW w:w="0" w:type="auto"/>
            <w:vAlign w:val="center"/>
          </w:tcPr>
          <w:p w14:paraId="50287249">
            <w:pPr>
              <w:adjustRightInd w:val="0"/>
              <w:snapToGri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产品清单</w:t>
            </w:r>
          </w:p>
        </w:tc>
        <w:tc>
          <w:tcPr>
            <w:tcW w:w="0" w:type="auto"/>
            <w:vAlign w:val="center"/>
          </w:tcPr>
          <w:p w14:paraId="4FC3D18B">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符合性</w:t>
            </w:r>
          </w:p>
        </w:tc>
      </w:tr>
      <w:tr w14:paraId="50D0F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327" w:hRule="atLeast"/>
          <w:jc w:val="center"/>
        </w:trPr>
        <w:tc>
          <w:tcPr>
            <w:tcW w:w="0" w:type="auto"/>
            <w:vMerge w:val="restart"/>
            <w:vAlign w:val="center"/>
          </w:tcPr>
          <w:p w14:paraId="0BFBBD2A">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规划主导产业</w:t>
            </w:r>
          </w:p>
        </w:tc>
        <w:tc>
          <w:tcPr>
            <w:tcW w:w="0" w:type="auto"/>
            <w:vAlign w:val="center"/>
          </w:tcPr>
          <w:p w14:paraId="3FCC9A7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禁止准入类</w:t>
            </w:r>
          </w:p>
        </w:tc>
        <w:tc>
          <w:tcPr>
            <w:tcW w:w="0" w:type="auto"/>
            <w:vAlign w:val="center"/>
          </w:tcPr>
          <w:p w14:paraId="132D22C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通用设备制造业34</w:t>
            </w:r>
          </w:p>
        </w:tc>
        <w:tc>
          <w:tcPr>
            <w:tcW w:w="0" w:type="auto"/>
            <w:vAlign w:val="center"/>
          </w:tcPr>
          <w:p w14:paraId="0EB27C0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p>
        </w:tc>
        <w:tc>
          <w:tcPr>
            <w:tcW w:w="0" w:type="auto"/>
            <w:vAlign w:val="center"/>
          </w:tcPr>
          <w:p w14:paraId="1E80CBE3">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1、有电镀工艺的；</w:t>
            </w:r>
          </w:p>
          <w:p w14:paraId="06C88198">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2、有钝化工艺的热镀锌；</w:t>
            </w:r>
          </w:p>
          <w:p w14:paraId="07FEB2B8">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3、有电路板腐蚀工艺的；</w:t>
            </w:r>
          </w:p>
          <w:p w14:paraId="123D9C2D">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4、有不锈钢或铜材酸洗工艺的；</w:t>
            </w:r>
          </w:p>
          <w:p w14:paraId="14B45798">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5、使用高挥发性有机物含量的溶剂型涂料的</w:t>
            </w:r>
          </w:p>
        </w:tc>
        <w:tc>
          <w:tcPr>
            <w:tcW w:w="0" w:type="auto"/>
            <w:vAlign w:val="center"/>
          </w:tcPr>
          <w:p w14:paraId="5B3C03F1">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1、铅酸蓄电池制造(除电池组装外)；</w:t>
            </w:r>
          </w:p>
          <w:p w14:paraId="27117C30">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2、汞干电池制造；</w:t>
            </w:r>
          </w:p>
          <w:p w14:paraId="375CCF0F">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3、单纯塑料配件生产项目</w:t>
            </w:r>
          </w:p>
        </w:tc>
        <w:tc>
          <w:tcPr>
            <w:tcW w:w="0" w:type="auto"/>
            <w:vAlign w:val="center"/>
          </w:tcPr>
          <w:p w14:paraId="3422D2A8">
            <w:pPr>
              <w:adjustRightInd w:val="0"/>
              <w:snapToGri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不涉及</w:t>
            </w:r>
          </w:p>
        </w:tc>
      </w:tr>
      <w:tr w14:paraId="2FA44E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327" w:hRule="atLeast"/>
          <w:jc w:val="center"/>
        </w:trPr>
        <w:tc>
          <w:tcPr>
            <w:tcW w:w="0" w:type="auto"/>
            <w:vMerge w:val="continue"/>
            <w:vAlign w:val="center"/>
          </w:tcPr>
          <w:p w14:paraId="707B3521">
            <w:pPr>
              <w:adjustRightInd w:val="0"/>
              <w:snapToGrid w:val="0"/>
              <w:jc w:val="center"/>
              <w:rPr>
                <w:rFonts w:hint="eastAsia" w:ascii="Times New Roman" w:hAnsi="Times New Roman" w:eastAsia="宋体" w:cs="Times New Roman"/>
                <w:color w:val="auto"/>
                <w:highlight w:val="none"/>
                <w:lang w:val="en-US" w:eastAsia="zh-CN"/>
              </w:rPr>
            </w:pPr>
          </w:p>
        </w:tc>
        <w:tc>
          <w:tcPr>
            <w:tcW w:w="0" w:type="auto"/>
            <w:vAlign w:val="center"/>
          </w:tcPr>
          <w:p w14:paraId="3732099C">
            <w:pPr>
              <w:adjustRightInd w:val="0"/>
              <w:snapToGrid w:val="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限制准入类</w:t>
            </w:r>
          </w:p>
        </w:tc>
        <w:tc>
          <w:tcPr>
            <w:tcW w:w="0" w:type="auto"/>
            <w:vAlign w:val="center"/>
          </w:tcPr>
          <w:p w14:paraId="63CC87EA">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通用设备制造业34</w:t>
            </w:r>
          </w:p>
        </w:tc>
        <w:tc>
          <w:tcPr>
            <w:tcW w:w="0" w:type="auto"/>
            <w:vAlign w:val="center"/>
          </w:tcPr>
          <w:p w14:paraId="357D7305">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单位用地投资强度、单位用地产值、单位能耗增加值、单位排放增加值、单位产值水耗、单位产值碳排放等指标中有1项或多项未达到相关行业环境准入指标限值的，具体详见表</w:t>
            </w:r>
            <w:r>
              <w:rPr>
                <w:rFonts w:hint="eastAsia" w:cs="Times New Roman"/>
                <w:color w:val="auto"/>
                <w:highlight w:val="none"/>
                <w:lang w:val="en-US" w:eastAsia="zh-CN"/>
              </w:rPr>
              <w:t>12</w:t>
            </w:r>
          </w:p>
        </w:tc>
        <w:tc>
          <w:tcPr>
            <w:tcW w:w="0" w:type="auto"/>
            <w:shd w:val="clear" w:color="auto" w:fill="auto"/>
            <w:vAlign w:val="center"/>
          </w:tcPr>
          <w:p w14:paraId="089F6ED9">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 xml:space="preserve">1、使用有机涂层的(含喷漆、喷粉、喷塑、浸塑和电泳等)； </w:t>
            </w:r>
          </w:p>
          <w:p w14:paraId="09094BDD">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2、使用低挥发性有机物含量的溶剂型涂料的；</w:t>
            </w:r>
          </w:p>
          <w:p w14:paraId="4278CB3C">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3、涉及属GB8978中规定的第一类污染物的重金属排放的；</w:t>
            </w:r>
          </w:p>
          <w:p w14:paraId="53CA43F9">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4、有酸洗(不锈钢、铜材酸洗除外)、磷化工艺的；</w:t>
            </w:r>
          </w:p>
          <w:p w14:paraId="1B422824">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5、有铸造工艺的；</w:t>
            </w:r>
          </w:p>
          <w:p w14:paraId="3995C00F">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6、使用化学方式进行热处理的；</w:t>
            </w:r>
          </w:p>
          <w:p w14:paraId="49363BF8">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7、有油淬火、亚硝酸盐冷却工艺的；</w:t>
            </w:r>
          </w:p>
          <w:p w14:paraId="0BE95F0A">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8、涉及为自身配套的塑料加工工艺的；</w:t>
            </w:r>
          </w:p>
          <w:p w14:paraId="4FD98F2D">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9、集成电路生产涉及的电化学气相沉积法等工艺</w:t>
            </w:r>
          </w:p>
        </w:tc>
        <w:tc>
          <w:tcPr>
            <w:tcW w:w="0" w:type="auto"/>
            <w:shd w:val="clear" w:color="auto" w:fill="auto"/>
            <w:vAlign w:val="center"/>
          </w:tcPr>
          <w:p w14:paraId="683DD06D">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1、半导体材料制造；</w:t>
            </w:r>
          </w:p>
          <w:p w14:paraId="5F29987A">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2、电子化工材料制造</w:t>
            </w:r>
          </w:p>
        </w:tc>
        <w:tc>
          <w:tcPr>
            <w:tcW w:w="0" w:type="auto"/>
            <w:vAlign w:val="center"/>
          </w:tcPr>
          <w:p w14:paraId="557253AA">
            <w:pPr>
              <w:adjustRightInd w:val="0"/>
              <w:snapToGri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本项目涉及使用</w:t>
            </w:r>
            <w:r>
              <w:rPr>
                <w:rFonts w:hint="eastAsia" w:ascii="Times New Roman" w:hAnsi="Times New Roman" w:eastAsia="宋体" w:cs="Times New Roman"/>
                <w:color w:val="auto"/>
                <w:highlight w:val="none"/>
                <w:lang w:eastAsia="zh-CN"/>
              </w:rPr>
              <w:t>有机涂层，</w:t>
            </w:r>
            <w:r>
              <w:rPr>
                <w:rFonts w:hint="eastAsia" w:ascii="Times New Roman" w:hAnsi="Times New Roman" w:eastAsia="宋体" w:cs="Times New Roman"/>
                <w:color w:val="auto"/>
                <w:highlight w:val="none"/>
                <w:lang w:val="en-US" w:eastAsia="zh-CN"/>
              </w:rPr>
              <w:t>涉及</w:t>
            </w:r>
            <w:r>
              <w:rPr>
                <w:rFonts w:hint="eastAsia" w:ascii="Times New Roman" w:hAnsi="Times New Roman" w:eastAsia="宋体" w:cs="Times New Roman"/>
                <w:color w:val="auto"/>
                <w:highlight w:val="none"/>
                <w:lang w:eastAsia="zh-CN"/>
              </w:rPr>
              <w:t>使用低挥发性有机物含量的溶剂型涂料，</w:t>
            </w:r>
            <w:r>
              <w:rPr>
                <w:rFonts w:hint="eastAsia" w:ascii="Times New Roman" w:hAnsi="Times New Roman" w:eastAsia="宋体" w:cs="Times New Roman"/>
                <w:color w:val="auto"/>
                <w:highlight w:val="none"/>
                <w:lang w:val="en-US" w:eastAsia="zh-CN"/>
              </w:rPr>
              <w:t>涉及亚硝酸盐冷却工艺，因此属于限制准入类</w:t>
            </w:r>
          </w:p>
        </w:tc>
      </w:tr>
    </w:tbl>
    <w:p w14:paraId="25880CE5">
      <w:pPr>
        <w:numPr>
          <w:ilvl w:val="0"/>
          <w:numId w:val="0"/>
        </w:numPr>
        <w:adjustRightInd w:val="0"/>
        <w:snapToGrid w:val="0"/>
        <w:spacing w:before="156" w:beforeLines="50"/>
        <w:ind w:left="420" w:leftChars="0" w:hanging="420" w:firstLineChars="0"/>
        <w:jc w:val="cente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en-US" w:eastAsia="zh-CN" w:bidi="ar-SA"/>
          <w14:shadow w14:blurRad="0" w14:dist="0" w14:dir="0" w14:sx="0" w14:sy="0" w14:kx="0" w14:ky="0" w14:algn="none">
            <w14:srgbClr w14:val="000000"/>
          </w14:shadow>
        </w:rPr>
        <w:t xml:space="preserve">表12 </w:t>
      </w: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开发区主导产业环境准入指标限值</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4"/>
        <w:gridCol w:w="1704"/>
        <w:gridCol w:w="1704"/>
      </w:tblGrid>
      <w:tr w14:paraId="5A92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Align w:val="center"/>
          </w:tcPr>
          <w:p w14:paraId="393EA00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产业类型</w:t>
            </w:r>
          </w:p>
        </w:tc>
        <w:tc>
          <w:tcPr>
            <w:tcW w:w="1703" w:type="dxa"/>
            <w:vAlign w:val="center"/>
          </w:tcPr>
          <w:p w14:paraId="4917C8D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环境准入指标限值</w:t>
            </w:r>
          </w:p>
        </w:tc>
        <w:tc>
          <w:tcPr>
            <w:tcW w:w="1704" w:type="dxa"/>
            <w:vAlign w:val="center"/>
          </w:tcPr>
          <w:p w14:paraId="4D5085B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规划环评要求</w:t>
            </w:r>
          </w:p>
        </w:tc>
        <w:tc>
          <w:tcPr>
            <w:tcW w:w="1704" w:type="dxa"/>
            <w:vAlign w:val="center"/>
          </w:tcPr>
          <w:p w14:paraId="315591F1">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本项目情况</w:t>
            </w:r>
          </w:p>
        </w:tc>
        <w:tc>
          <w:tcPr>
            <w:tcW w:w="1704" w:type="dxa"/>
            <w:vAlign w:val="center"/>
          </w:tcPr>
          <w:p w14:paraId="1195B9B2">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相符性</w:t>
            </w:r>
          </w:p>
        </w:tc>
      </w:tr>
      <w:tr w14:paraId="4DAA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restart"/>
            <w:vAlign w:val="center"/>
          </w:tcPr>
          <w:p w14:paraId="26E1A6FA">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通用设备制造业</w:t>
            </w:r>
          </w:p>
        </w:tc>
        <w:tc>
          <w:tcPr>
            <w:tcW w:w="1703" w:type="dxa"/>
            <w:vAlign w:val="center"/>
          </w:tcPr>
          <w:p w14:paraId="36726953">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单位用地投资强度(万元/亩)</w:t>
            </w:r>
          </w:p>
        </w:tc>
        <w:tc>
          <w:tcPr>
            <w:tcW w:w="1704" w:type="dxa"/>
            <w:vAlign w:val="center"/>
          </w:tcPr>
          <w:p w14:paraId="231D319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≥500</w:t>
            </w:r>
          </w:p>
        </w:tc>
        <w:tc>
          <w:tcPr>
            <w:tcW w:w="1704" w:type="dxa"/>
            <w:vAlign w:val="center"/>
          </w:tcPr>
          <w:p w14:paraId="07B4B52B">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601.14</w:t>
            </w:r>
          </w:p>
        </w:tc>
        <w:tc>
          <w:tcPr>
            <w:tcW w:w="1704" w:type="dxa"/>
            <w:vAlign w:val="center"/>
          </w:tcPr>
          <w:p w14:paraId="24F87F8E">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42BE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43D07883">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5C5A69F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单位用地产值(万元/亩)</w:t>
            </w:r>
          </w:p>
        </w:tc>
        <w:tc>
          <w:tcPr>
            <w:tcW w:w="1704" w:type="dxa"/>
            <w:vAlign w:val="center"/>
          </w:tcPr>
          <w:p w14:paraId="097305C0">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≥850</w:t>
            </w:r>
          </w:p>
        </w:tc>
        <w:tc>
          <w:tcPr>
            <w:tcW w:w="1704" w:type="dxa"/>
            <w:vAlign w:val="center"/>
          </w:tcPr>
          <w:p w14:paraId="3F56DA56">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1203.94</w:t>
            </w:r>
          </w:p>
        </w:tc>
        <w:tc>
          <w:tcPr>
            <w:tcW w:w="1704" w:type="dxa"/>
            <w:vAlign w:val="center"/>
          </w:tcPr>
          <w:p w14:paraId="5D88CFF5">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351A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63DBB8C2">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41EFD12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单位能耗增加值(万元/吨标煤)</w:t>
            </w:r>
          </w:p>
        </w:tc>
        <w:tc>
          <w:tcPr>
            <w:tcW w:w="1704" w:type="dxa"/>
            <w:vAlign w:val="center"/>
          </w:tcPr>
          <w:p w14:paraId="2E921E7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≥5.5 </w:t>
            </w:r>
          </w:p>
        </w:tc>
        <w:tc>
          <w:tcPr>
            <w:tcW w:w="1704" w:type="dxa"/>
            <w:vAlign w:val="center"/>
          </w:tcPr>
          <w:p w14:paraId="095172AF">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13.725</w:t>
            </w:r>
          </w:p>
        </w:tc>
        <w:tc>
          <w:tcPr>
            <w:tcW w:w="1704" w:type="dxa"/>
            <w:vAlign w:val="center"/>
          </w:tcPr>
          <w:p w14:paraId="2C0CE79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0D60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1C5F5559">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273861C3">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单位排放增加值(万元/吨)</w:t>
            </w:r>
          </w:p>
        </w:tc>
        <w:tc>
          <w:tcPr>
            <w:tcW w:w="1704" w:type="dxa"/>
            <w:vAlign w:val="center"/>
          </w:tcPr>
          <w:p w14:paraId="2C6FF4C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≥4700</w:t>
            </w:r>
          </w:p>
        </w:tc>
        <w:tc>
          <w:tcPr>
            <w:tcW w:w="1704" w:type="dxa"/>
            <w:vAlign w:val="center"/>
          </w:tcPr>
          <w:p w14:paraId="26BF266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17877.733</w:t>
            </w:r>
          </w:p>
        </w:tc>
        <w:tc>
          <w:tcPr>
            <w:tcW w:w="1704" w:type="dxa"/>
            <w:vAlign w:val="center"/>
          </w:tcPr>
          <w:p w14:paraId="4B79D64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0466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510B4CB8">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795D3A5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单位产值水耗(立方米/万元增加值)</w:t>
            </w:r>
          </w:p>
        </w:tc>
        <w:tc>
          <w:tcPr>
            <w:tcW w:w="1704" w:type="dxa"/>
            <w:vAlign w:val="center"/>
          </w:tcPr>
          <w:p w14:paraId="609E2F8D">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≤2.5 </w:t>
            </w:r>
          </w:p>
        </w:tc>
        <w:tc>
          <w:tcPr>
            <w:tcW w:w="1704" w:type="dxa"/>
            <w:vAlign w:val="center"/>
          </w:tcPr>
          <w:p w14:paraId="7E975120">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0.105</w:t>
            </w:r>
          </w:p>
        </w:tc>
        <w:tc>
          <w:tcPr>
            <w:tcW w:w="1704" w:type="dxa"/>
            <w:vAlign w:val="center"/>
          </w:tcPr>
          <w:p w14:paraId="1A3BFD1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6CD8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05559E26">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5B94EE7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单位产值碳排放(kgCO2/万元)</w:t>
            </w:r>
          </w:p>
        </w:tc>
        <w:tc>
          <w:tcPr>
            <w:tcW w:w="1704" w:type="dxa"/>
            <w:vAlign w:val="center"/>
          </w:tcPr>
          <w:p w14:paraId="548970CC">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53.07</w:t>
            </w:r>
          </w:p>
        </w:tc>
        <w:tc>
          <w:tcPr>
            <w:tcW w:w="1704" w:type="dxa"/>
            <w:vAlign w:val="center"/>
          </w:tcPr>
          <w:p w14:paraId="6898020F">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1.593</w:t>
            </w:r>
          </w:p>
        </w:tc>
        <w:tc>
          <w:tcPr>
            <w:tcW w:w="1704" w:type="dxa"/>
            <w:vAlign w:val="center"/>
          </w:tcPr>
          <w:p w14:paraId="0F352EC5">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bl>
    <w:p w14:paraId="697D56DA">
      <w:pPr>
        <w:spacing w:line="360" w:lineRule="auto"/>
        <w:ind w:firstLine="480" w:firstLineChars="200"/>
        <w:rPr>
          <w:color w:val="auto"/>
          <w:sz w:val="24"/>
          <w:szCs w:val="24"/>
        </w:rPr>
      </w:pPr>
      <w:r>
        <w:rPr>
          <w:rFonts w:hint="eastAsia"/>
          <w:color w:val="auto"/>
          <w:sz w:val="24"/>
          <w:szCs w:val="24"/>
        </w:rPr>
        <w:t>本项目对照《杭州余杭经济技术开发区总体规划修编（2020-2035 年）环境影响报告书》中开发区环境准入清单，本项目不涉及禁止准入相关工艺，属于限制类准入项目。根据《杭州余杭经济技术开发区总体规划修编（2020-2035 年）环境影响报告书》，列入限制类清单的主要是符合开发区产业发展导向，但含有一定环境污染隐患的建设项目，将其中污染较高、环境风险较大的工艺或产品归为限制类。此类项目如需建设，须履行严格的环评论证程序，并在开发区限制总体发展规模。同时必须满足以下准入条件：一是要符合开发区规划主导产业；二是要通过开发区“一事一议”审批(由管委会对项目准入严格把关，必要时并须经开发区党工委审议通过)；三是要满足开发区污染物总量控制要求。具体相符性对照情况详见下表。</w:t>
      </w:r>
    </w:p>
    <w:p w14:paraId="1CB5AF83">
      <w:pPr>
        <w:numPr>
          <w:ilvl w:val="0"/>
          <w:numId w:val="0"/>
        </w:numPr>
        <w:adjustRightInd w:val="0"/>
        <w:snapToGrid w:val="0"/>
        <w:spacing w:before="156" w:beforeLines="50"/>
        <w:ind w:left="420" w:leftChars="0" w:hanging="420" w:firstLineChars="0"/>
        <w:jc w:val="cente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en-US" w:eastAsia="zh-CN" w:bidi="ar-SA"/>
          <w14:shadow w14:blurRad="0" w14:dist="0" w14:dir="0" w14:sx="0" w14:sy="0" w14:kx="0" w14:ky="0" w14:algn="none">
            <w14:srgbClr w14:val="000000"/>
          </w14:shadow>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en-US" w:eastAsia="zh-CN" w:bidi="ar-SA"/>
          <w14:shadow w14:blurRad="0" w14:dist="0" w14:dir="0" w14:sx="0" w14:sy="0" w14:kx="0" w14:ky="0" w14:algn="none">
            <w14:srgbClr w14:val="000000"/>
          </w14:shadow>
        </w:rPr>
        <w:t>表13 开发区限制类准入项目准入条件</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3370"/>
        <w:gridCol w:w="3472"/>
        <w:gridCol w:w="978"/>
      </w:tblGrid>
      <w:tr w14:paraId="1AB7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445D0F6C">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序号</w:t>
            </w:r>
          </w:p>
        </w:tc>
        <w:tc>
          <w:tcPr>
            <w:tcW w:w="3370" w:type="dxa"/>
            <w:vAlign w:val="center"/>
          </w:tcPr>
          <w:p w14:paraId="2627E52C">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准入条件</w:t>
            </w:r>
          </w:p>
        </w:tc>
        <w:tc>
          <w:tcPr>
            <w:tcW w:w="3472" w:type="dxa"/>
            <w:vAlign w:val="center"/>
          </w:tcPr>
          <w:p w14:paraId="5053A095">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本项目情况</w:t>
            </w:r>
          </w:p>
        </w:tc>
        <w:tc>
          <w:tcPr>
            <w:tcW w:w="978" w:type="dxa"/>
            <w:vAlign w:val="center"/>
          </w:tcPr>
          <w:p w14:paraId="2D711A4A">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相符性</w:t>
            </w:r>
          </w:p>
        </w:tc>
      </w:tr>
      <w:tr w14:paraId="1E30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68E2B2B7">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1</w:t>
            </w:r>
          </w:p>
        </w:tc>
        <w:tc>
          <w:tcPr>
            <w:tcW w:w="3370" w:type="dxa"/>
            <w:vAlign w:val="center"/>
          </w:tcPr>
          <w:p w14:paraId="50EBDA2A">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rPr>
              <w:t>要符合开发区规划主导产业</w:t>
            </w:r>
          </w:p>
        </w:tc>
        <w:tc>
          <w:tcPr>
            <w:tcW w:w="3472" w:type="dxa"/>
            <w:vAlign w:val="center"/>
          </w:tcPr>
          <w:p w14:paraId="544710FA">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本项目生产部分为通用设备制造业34，属于开发区规划主导产业</w:t>
            </w:r>
          </w:p>
        </w:tc>
        <w:tc>
          <w:tcPr>
            <w:tcW w:w="978" w:type="dxa"/>
            <w:vAlign w:val="center"/>
          </w:tcPr>
          <w:p w14:paraId="440B5D6E">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相符</w:t>
            </w:r>
          </w:p>
        </w:tc>
      </w:tr>
      <w:tr w14:paraId="4673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59811934">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2</w:t>
            </w:r>
          </w:p>
        </w:tc>
        <w:tc>
          <w:tcPr>
            <w:tcW w:w="3370" w:type="dxa"/>
            <w:vAlign w:val="center"/>
          </w:tcPr>
          <w:p w14:paraId="1AA165CB">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rPr>
              <w:t>要通过开发区“一事一议”审批(由管委会对项目准入严格把关，必要时并须经开发区党工委审议通过)</w:t>
            </w:r>
          </w:p>
        </w:tc>
        <w:tc>
          <w:tcPr>
            <w:tcW w:w="3472" w:type="dxa"/>
            <w:vAlign w:val="center"/>
          </w:tcPr>
          <w:p w14:paraId="1360C46C">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本项目已通过</w:t>
            </w:r>
            <w:r>
              <w:rPr>
                <w:rFonts w:hint="eastAsia" w:ascii="Times New Roman" w:hAnsi="Times New Roman"/>
                <w:color w:val="auto"/>
                <w:highlight w:val="none"/>
              </w:rPr>
              <w:t>开发区“一事一议”审批</w:t>
            </w:r>
          </w:p>
        </w:tc>
        <w:tc>
          <w:tcPr>
            <w:tcW w:w="978" w:type="dxa"/>
            <w:vAlign w:val="center"/>
          </w:tcPr>
          <w:p w14:paraId="37F14883">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相符</w:t>
            </w:r>
          </w:p>
        </w:tc>
      </w:tr>
      <w:tr w14:paraId="70C3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53EFE8A1">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3</w:t>
            </w:r>
          </w:p>
        </w:tc>
        <w:tc>
          <w:tcPr>
            <w:tcW w:w="3370" w:type="dxa"/>
            <w:vAlign w:val="center"/>
          </w:tcPr>
          <w:p w14:paraId="2C5BF8AD">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rPr>
              <w:t>要满足开发区污染物总量控制要求</w:t>
            </w:r>
          </w:p>
        </w:tc>
        <w:tc>
          <w:tcPr>
            <w:tcW w:w="3472" w:type="dxa"/>
            <w:vAlign w:val="center"/>
          </w:tcPr>
          <w:p w14:paraId="182DC6A5">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vertAlign w:val="baseline"/>
                <w:lang w:eastAsia="zh-CN"/>
              </w:rPr>
              <w:t>新增污染物总量指标可在区域内进行削减替代，不会突破开发区污染物排放总量管控限值</w:t>
            </w:r>
          </w:p>
        </w:tc>
        <w:tc>
          <w:tcPr>
            <w:tcW w:w="978" w:type="dxa"/>
            <w:vAlign w:val="center"/>
          </w:tcPr>
          <w:p w14:paraId="7C42C1D4">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项目</w:t>
            </w:r>
          </w:p>
        </w:tc>
      </w:tr>
    </w:tbl>
    <w:p w14:paraId="479FC3DD">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综上，本项目经对照开</w:t>
      </w:r>
      <w:r>
        <w:rPr>
          <w:rFonts w:hint="eastAsia" w:ascii="Times New Roman" w:hAnsi="Times New Roman" w:eastAsia="宋体" w:cs="Times New Roman"/>
          <w:color w:val="auto"/>
          <w:sz w:val="24"/>
          <w:szCs w:val="24"/>
        </w:rPr>
        <w:t>发区主导产业环境准入指标限值</w:t>
      </w:r>
      <w:r>
        <w:rPr>
          <w:rFonts w:hint="eastAsia" w:ascii="Times New Roman" w:hAnsi="Times New Roman" w:eastAsia="宋体" w:cs="Times New Roman"/>
          <w:color w:val="auto"/>
          <w:sz w:val="24"/>
          <w:szCs w:val="24"/>
          <w:lang w:val="en-US" w:eastAsia="zh-CN"/>
        </w:rPr>
        <w:t>和开发区限制类准入项目准入条件</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本项目各项指标均符合</w:t>
      </w:r>
      <w:r>
        <w:rPr>
          <w:rFonts w:hint="eastAsia" w:ascii="Times New Roman" w:hAnsi="Times New Roman" w:eastAsia="宋体" w:cs="Times New Roman"/>
          <w:color w:val="auto"/>
          <w:sz w:val="24"/>
          <w:szCs w:val="24"/>
        </w:rPr>
        <w:t>准入</w:t>
      </w:r>
      <w:r>
        <w:rPr>
          <w:rFonts w:hint="eastAsia" w:ascii="Times New Roman" w:hAnsi="Times New Roman" w:eastAsia="宋体" w:cs="Times New Roman"/>
          <w:color w:val="auto"/>
          <w:sz w:val="24"/>
          <w:szCs w:val="24"/>
          <w:lang w:val="en-US" w:eastAsia="zh-CN"/>
        </w:rPr>
        <w:t>要求</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因此</w:t>
      </w:r>
      <w:r>
        <w:rPr>
          <w:rFonts w:hint="eastAsia" w:ascii="Times New Roman" w:hAnsi="Times New Roman" w:eastAsia="宋体" w:cs="Times New Roman"/>
          <w:color w:val="auto"/>
          <w:sz w:val="24"/>
          <w:szCs w:val="24"/>
        </w:rPr>
        <w:t>符合规划环评要求。</w:t>
      </w:r>
    </w:p>
    <w:bookmarkEnd w:id="9"/>
    <w:p w14:paraId="5729DF75">
      <w:pPr>
        <w:spacing w:line="360" w:lineRule="auto"/>
        <w:ind w:firstLine="482" w:firstLineChars="200"/>
        <w:rPr>
          <w:b/>
          <w:color w:val="auto"/>
          <w:sz w:val="24"/>
          <w:szCs w:val="24"/>
        </w:rPr>
      </w:pPr>
      <w:r>
        <w:rPr>
          <w:b/>
          <w:color w:val="auto"/>
          <w:sz w:val="24"/>
          <w:szCs w:val="24"/>
        </w:rPr>
        <w:t>6、环境标准清单符合性分析</w:t>
      </w:r>
    </w:p>
    <w:p w14:paraId="7C6E741A">
      <w:pPr>
        <w:numPr>
          <w:ilvl w:val="0"/>
          <w:numId w:val="0"/>
        </w:numPr>
        <w:adjustRightInd w:val="0"/>
        <w:snapToGrid w:val="0"/>
        <w:spacing w:before="156" w:beforeLines="50"/>
        <w:ind w:left="420" w:leftChars="0" w:hanging="420" w:firstLineChars="0"/>
        <w:jc w:val="center"/>
        <w:rPr>
          <w:b/>
          <w:color w:val="auto"/>
          <w:lang w:val="zh-CN"/>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表12</w:t>
      </w:r>
      <w:r>
        <w:rPr>
          <w:b/>
          <w:color w:val="auto"/>
          <w:lang w:val="zh-CN"/>
        </w:rPr>
        <w:t>环境标准清单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497"/>
        <w:gridCol w:w="801"/>
        <w:gridCol w:w="6303"/>
        <w:gridCol w:w="761"/>
      </w:tblGrid>
      <w:tr w14:paraId="15CA34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3468F92A">
            <w:pPr>
              <w:jc w:val="center"/>
              <w:rPr>
                <w:color w:val="auto"/>
                <w:sz w:val="18"/>
                <w:szCs w:val="18"/>
              </w:rPr>
            </w:pPr>
            <w:r>
              <w:rPr>
                <w:color w:val="auto"/>
                <w:sz w:val="18"/>
                <w:szCs w:val="18"/>
              </w:rPr>
              <w:t>序号</w:t>
            </w:r>
          </w:p>
        </w:tc>
        <w:tc>
          <w:tcPr>
            <w:tcW w:w="479" w:type="pct"/>
            <w:vAlign w:val="center"/>
          </w:tcPr>
          <w:p w14:paraId="3A2B9381">
            <w:pPr>
              <w:jc w:val="center"/>
              <w:rPr>
                <w:color w:val="auto"/>
                <w:sz w:val="18"/>
                <w:szCs w:val="18"/>
              </w:rPr>
            </w:pPr>
            <w:r>
              <w:rPr>
                <w:color w:val="auto"/>
                <w:sz w:val="18"/>
                <w:szCs w:val="18"/>
              </w:rPr>
              <w:t>类别</w:t>
            </w:r>
          </w:p>
        </w:tc>
        <w:tc>
          <w:tcPr>
            <w:tcW w:w="3768" w:type="pct"/>
            <w:vAlign w:val="center"/>
          </w:tcPr>
          <w:p w14:paraId="34C68E23">
            <w:pPr>
              <w:jc w:val="center"/>
              <w:rPr>
                <w:color w:val="auto"/>
                <w:sz w:val="18"/>
                <w:szCs w:val="18"/>
              </w:rPr>
            </w:pPr>
            <w:r>
              <w:rPr>
                <w:color w:val="auto"/>
                <w:sz w:val="18"/>
                <w:szCs w:val="18"/>
              </w:rPr>
              <w:t>主要内容</w:t>
            </w:r>
          </w:p>
        </w:tc>
        <w:tc>
          <w:tcPr>
            <w:tcW w:w="455" w:type="pct"/>
            <w:vAlign w:val="center"/>
          </w:tcPr>
          <w:p w14:paraId="40479920">
            <w:pPr>
              <w:jc w:val="center"/>
              <w:rPr>
                <w:color w:val="auto"/>
                <w:sz w:val="18"/>
                <w:szCs w:val="18"/>
              </w:rPr>
            </w:pPr>
            <w:r>
              <w:rPr>
                <w:color w:val="auto"/>
                <w:sz w:val="18"/>
                <w:szCs w:val="18"/>
              </w:rPr>
              <w:t>符合性</w:t>
            </w:r>
          </w:p>
        </w:tc>
      </w:tr>
      <w:tr w14:paraId="23BB97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restart"/>
            <w:vAlign w:val="center"/>
          </w:tcPr>
          <w:p w14:paraId="094323A4">
            <w:pPr>
              <w:jc w:val="center"/>
              <w:rPr>
                <w:color w:val="auto"/>
                <w:sz w:val="18"/>
                <w:szCs w:val="18"/>
              </w:rPr>
            </w:pPr>
            <w:r>
              <w:rPr>
                <w:color w:val="auto"/>
                <w:sz w:val="18"/>
                <w:szCs w:val="18"/>
              </w:rPr>
              <w:t>1</w:t>
            </w:r>
          </w:p>
        </w:tc>
        <w:tc>
          <w:tcPr>
            <w:tcW w:w="479" w:type="pct"/>
            <w:vMerge w:val="restart"/>
            <w:vAlign w:val="center"/>
          </w:tcPr>
          <w:p w14:paraId="6FBAFA61">
            <w:pPr>
              <w:jc w:val="center"/>
              <w:rPr>
                <w:color w:val="auto"/>
                <w:sz w:val="18"/>
                <w:szCs w:val="18"/>
              </w:rPr>
            </w:pPr>
            <w:r>
              <w:rPr>
                <w:color w:val="auto"/>
                <w:sz w:val="18"/>
                <w:szCs w:val="18"/>
              </w:rPr>
              <w:t>空间准入标准</w:t>
            </w:r>
          </w:p>
        </w:tc>
        <w:tc>
          <w:tcPr>
            <w:tcW w:w="3768" w:type="pct"/>
            <w:vAlign w:val="center"/>
          </w:tcPr>
          <w:p w14:paraId="73245718">
            <w:pPr>
              <w:rPr>
                <w:b/>
                <w:color w:val="auto"/>
                <w:sz w:val="18"/>
                <w:szCs w:val="18"/>
              </w:rPr>
            </w:pPr>
            <w:r>
              <w:rPr>
                <w:b/>
                <w:color w:val="auto"/>
                <w:kern w:val="0"/>
                <w:sz w:val="18"/>
                <w:szCs w:val="18"/>
              </w:rPr>
              <w:t>余杭区杭州余杭经济技术开发区产业集聚重点管控单ZH33011020007</w:t>
            </w:r>
          </w:p>
          <w:p w14:paraId="542E174C">
            <w:pPr>
              <w:rPr>
                <w:color w:val="auto"/>
                <w:sz w:val="18"/>
                <w:szCs w:val="18"/>
              </w:rPr>
            </w:pPr>
            <w:r>
              <w:rPr>
                <w:b/>
                <w:color w:val="auto"/>
                <w:sz w:val="18"/>
                <w:szCs w:val="18"/>
              </w:rPr>
              <w:t>空间布局约束：</w:t>
            </w:r>
            <w:r>
              <w:rPr>
                <w:color w:val="auto"/>
                <w:sz w:val="18"/>
                <w:szCs w:val="18"/>
              </w:rPr>
              <w:t>根据产业集聚区块的功能定位，建立分区差别化的产业准入条件。合理规划居住区与工业功能区，在居住区和工业区、工业企业之间设置防护绿地、生活绿地等隔离带。</w:t>
            </w:r>
          </w:p>
          <w:p w14:paraId="0740A7E3">
            <w:pPr>
              <w:rPr>
                <w:b/>
                <w:color w:val="auto"/>
                <w:sz w:val="18"/>
                <w:szCs w:val="18"/>
              </w:rPr>
            </w:pPr>
            <w:r>
              <w:rPr>
                <w:b/>
                <w:color w:val="auto"/>
                <w:sz w:val="18"/>
                <w:szCs w:val="18"/>
              </w:rPr>
              <w:t>污染排放管控：</w:t>
            </w:r>
            <w:r>
              <w:rPr>
                <w:color w:val="auto"/>
                <w:sz w:val="18"/>
                <w:szCs w:val="18"/>
              </w:rPr>
              <w:t>严格实施污染物总量控制制度，根据区域环境质量改善目标，削减污染物排放总量。所有企业实现雨污分流。</w:t>
            </w:r>
          </w:p>
          <w:p w14:paraId="56756ACF">
            <w:pPr>
              <w:rPr>
                <w:color w:val="auto"/>
                <w:sz w:val="18"/>
                <w:szCs w:val="18"/>
              </w:rPr>
            </w:pPr>
            <w:r>
              <w:rPr>
                <w:b/>
                <w:color w:val="auto"/>
                <w:sz w:val="18"/>
                <w:szCs w:val="18"/>
              </w:rPr>
              <w:t>环境风险防控：</w:t>
            </w:r>
            <w:r>
              <w:rPr>
                <w:color w:val="auto"/>
                <w:sz w:val="18"/>
                <w:szCs w:val="18"/>
              </w:rPr>
              <w:t>强化工业集聚区企业环境风险防范设施设备建设和正常运行监管，加强重点环境风险管控企业应急预案制定，建立常态化的企业隐患排查整治监管机制，加强风险防控体系建设。</w:t>
            </w:r>
          </w:p>
        </w:tc>
        <w:tc>
          <w:tcPr>
            <w:tcW w:w="455" w:type="pct"/>
            <w:vAlign w:val="center"/>
          </w:tcPr>
          <w:p w14:paraId="718F5BA4">
            <w:pPr>
              <w:rPr>
                <w:color w:val="auto"/>
                <w:sz w:val="18"/>
                <w:szCs w:val="18"/>
              </w:rPr>
            </w:pPr>
            <w:r>
              <w:rPr>
                <w:color w:val="auto"/>
                <w:sz w:val="18"/>
                <w:szCs w:val="18"/>
              </w:rPr>
              <w:t>符合。</w:t>
            </w:r>
          </w:p>
        </w:tc>
      </w:tr>
      <w:tr w14:paraId="6FD619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continue"/>
            <w:vAlign w:val="center"/>
          </w:tcPr>
          <w:p w14:paraId="6EB457BF">
            <w:pPr>
              <w:jc w:val="center"/>
              <w:rPr>
                <w:color w:val="auto"/>
                <w:sz w:val="18"/>
                <w:szCs w:val="18"/>
              </w:rPr>
            </w:pPr>
          </w:p>
        </w:tc>
        <w:tc>
          <w:tcPr>
            <w:tcW w:w="479" w:type="pct"/>
            <w:vMerge w:val="continue"/>
            <w:vAlign w:val="center"/>
          </w:tcPr>
          <w:p w14:paraId="179721F1">
            <w:pPr>
              <w:jc w:val="center"/>
              <w:rPr>
                <w:color w:val="auto"/>
                <w:sz w:val="18"/>
                <w:szCs w:val="18"/>
              </w:rPr>
            </w:pPr>
          </w:p>
        </w:tc>
        <w:tc>
          <w:tcPr>
            <w:tcW w:w="3768" w:type="pct"/>
            <w:vAlign w:val="center"/>
          </w:tcPr>
          <w:p w14:paraId="1BFDCF3A">
            <w:pPr>
              <w:rPr>
                <w:b/>
                <w:color w:val="auto"/>
                <w:kern w:val="0"/>
                <w:sz w:val="18"/>
                <w:szCs w:val="18"/>
              </w:rPr>
            </w:pPr>
            <w:r>
              <w:rPr>
                <w:b/>
                <w:color w:val="auto"/>
                <w:sz w:val="18"/>
                <w:szCs w:val="18"/>
              </w:rPr>
              <w:t>环境准入条件清单：</w:t>
            </w:r>
            <w:r>
              <w:rPr>
                <w:bCs/>
                <w:color w:val="auto"/>
                <w:kern w:val="0"/>
                <w:sz w:val="18"/>
                <w:szCs w:val="18"/>
              </w:rPr>
              <w:t>具体详见清单5环境准入条件清单。</w:t>
            </w:r>
          </w:p>
        </w:tc>
        <w:tc>
          <w:tcPr>
            <w:tcW w:w="455" w:type="pct"/>
            <w:vAlign w:val="center"/>
          </w:tcPr>
          <w:p w14:paraId="7303B225">
            <w:pPr>
              <w:rPr>
                <w:color w:val="auto"/>
                <w:sz w:val="18"/>
                <w:szCs w:val="18"/>
              </w:rPr>
            </w:pPr>
          </w:p>
        </w:tc>
      </w:tr>
      <w:tr w14:paraId="17C697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03A1BD0F">
            <w:pPr>
              <w:jc w:val="center"/>
              <w:rPr>
                <w:color w:val="auto"/>
                <w:sz w:val="18"/>
                <w:szCs w:val="18"/>
              </w:rPr>
            </w:pPr>
            <w:r>
              <w:rPr>
                <w:color w:val="auto"/>
                <w:sz w:val="18"/>
                <w:szCs w:val="18"/>
              </w:rPr>
              <w:t>2</w:t>
            </w:r>
          </w:p>
        </w:tc>
        <w:tc>
          <w:tcPr>
            <w:tcW w:w="479" w:type="pct"/>
            <w:vAlign w:val="center"/>
          </w:tcPr>
          <w:p w14:paraId="6EDEA942">
            <w:pPr>
              <w:jc w:val="center"/>
              <w:rPr>
                <w:color w:val="auto"/>
                <w:sz w:val="18"/>
                <w:szCs w:val="18"/>
              </w:rPr>
            </w:pPr>
            <w:r>
              <w:rPr>
                <w:color w:val="auto"/>
                <w:sz w:val="18"/>
                <w:szCs w:val="18"/>
              </w:rPr>
              <w:t>污染物排放标准</w:t>
            </w:r>
          </w:p>
        </w:tc>
        <w:tc>
          <w:tcPr>
            <w:tcW w:w="3768" w:type="pct"/>
            <w:vAlign w:val="center"/>
          </w:tcPr>
          <w:p w14:paraId="6F104DBF">
            <w:pPr>
              <w:rPr>
                <w:bCs/>
                <w:color w:val="auto"/>
                <w:kern w:val="0"/>
                <w:sz w:val="18"/>
                <w:szCs w:val="18"/>
              </w:rPr>
            </w:pPr>
            <w:r>
              <w:rPr>
                <w:b/>
                <w:bCs/>
                <w:color w:val="auto"/>
                <w:kern w:val="0"/>
                <w:sz w:val="18"/>
                <w:szCs w:val="18"/>
              </w:rPr>
              <w:t>废水：</w:t>
            </w:r>
            <w:r>
              <w:rPr>
                <w:rFonts w:hint="eastAsia" w:ascii="宋体" w:hAnsi="宋体" w:cs="宋体"/>
                <w:bCs/>
                <w:color w:val="auto"/>
                <w:kern w:val="0"/>
                <w:sz w:val="18"/>
                <w:szCs w:val="18"/>
              </w:rPr>
              <w:t>①</w:t>
            </w:r>
            <w:r>
              <w:rPr>
                <w:bCs/>
                <w:color w:val="auto"/>
                <w:kern w:val="0"/>
                <w:sz w:val="18"/>
                <w:szCs w:val="18"/>
              </w:rPr>
              <w:t>综合排放标准：纳管废水执行《污水综合排放标准》(GB8978-1996)表4中的三级标准，其中工业废水中氨氮、总磷参照执行《工业企业废水氮、磷污染物间接排放限值》(DB33/887-2013)，非工业废水中氨氮、总磷参照执行《污水排入城镇下水道水质标准》(GB/T31962-2015)。临平净水厂、塘栖污水处理厂现状尾水排放执行《城镇污水处理厂污染物排放标准》(GB18918-2002)中的一级A标准，待清洁排放技术改造完成后应执行《城镇污水处理厂主要水污染物排放标准》(DB33/2169-2018)中表1标准；拟建的临平北污水厂尾水排放执行《城镇污水处理厂主要水污染物排放标准》(DB33/2169-2018)中表2标准。</w:t>
            </w:r>
          </w:p>
          <w:p w14:paraId="5F83937E">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行业排放标准：化学合成类制药企业废水排放执行《化学合成类制药工业水污染物排放标准》(GB21904-2008)；生物制药企业废水排放执行《生物制药工业污染物排放标准》(DB33/923-2014)；纺织染整企业废水排放执行《纺织染整工业水污染物排放标准》(GB4287-2012)及其修改单；合成树脂企业废水排放执行《合成树脂工业污染物排放标准》(GB31572-2015)；电池工业企业废水排放执行《电池工业污染物排放标准》(GB30484-2013)。</w:t>
            </w:r>
          </w:p>
          <w:p w14:paraId="55BE3365">
            <w:pPr>
              <w:rPr>
                <w:bCs/>
                <w:color w:val="auto"/>
                <w:kern w:val="0"/>
                <w:sz w:val="18"/>
                <w:szCs w:val="18"/>
              </w:rPr>
            </w:pPr>
            <w:r>
              <w:rPr>
                <w:b/>
                <w:bCs/>
                <w:color w:val="auto"/>
                <w:kern w:val="0"/>
                <w:sz w:val="18"/>
                <w:szCs w:val="18"/>
              </w:rPr>
              <w:t>废气；</w:t>
            </w:r>
            <w:r>
              <w:rPr>
                <w:rFonts w:hint="eastAsia" w:ascii="宋体" w:hAnsi="宋体" w:cs="宋体"/>
                <w:bCs/>
                <w:color w:val="auto"/>
                <w:kern w:val="0"/>
                <w:sz w:val="18"/>
                <w:szCs w:val="18"/>
              </w:rPr>
              <w:t>①</w:t>
            </w:r>
            <w:r>
              <w:rPr>
                <w:bCs/>
                <w:color w:val="auto"/>
                <w:kern w:val="0"/>
                <w:sz w:val="18"/>
                <w:szCs w:val="18"/>
              </w:rPr>
              <w:t>综合排放标准：企业工艺废气污染物排放执行《大气污染物综合排放标准》(GB16297-1996)中的二级标准，GB16297-1996中无标准限值的，根据环函[2003]363号，有组织废气排放浓度参照执行《工作场所有害因素职业接触限值化学有害因素》(GBZ2.1-2007)中8小时加权平均容许浓度，场界无组织监控浓度按照居住区标准的4倍执行；氨气、硫化氢等恶臭污染物以及无量纲恶臭排放执行《恶臭污染物排放标准》(GB14554-93)中的新改扩建二级标准；企业自备锅炉废气排放执行《锅炉大气污染物排放标准》(GB13271-2014)中表3规定的大气污染物特别排放限值，工业炉窑废气排放按照《浙江省工业炉窑大气污染综合治理实施方案》(浙环函[2019]315号)要求执行，原则上按照颗粒物、二氧化硫、氮氧化物排放限值分别不高于30、200、300mg/m</w:t>
            </w:r>
            <w:r>
              <w:rPr>
                <w:bCs/>
                <w:color w:val="auto"/>
                <w:kern w:val="0"/>
                <w:sz w:val="18"/>
                <w:szCs w:val="18"/>
                <w:vertAlign w:val="superscript"/>
              </w:rPr>
              <w:t>3</w:t>
            </w:r>
            <w:r>
              <w:rPr>
                <w:bCs/>
                <w:color w:val="auto"/>
                <w:kern w:val="0"/>
                <w:sz w:val="18"/>
                <w:szCs w:val="18"/>
              </w:rPr>
              <w:t>；厂区内的VOCs无组织排放监控点浓度执行《挥发性有机物无组织排放控制标准》(GB37822-2019)中表A.1规定的特别排放限值。</w:t>
            </w:r>
          </w:p>
          <w:p w14:paraId="7CC695BC">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行业排放标准：化学合成类制药企业废气排放执行《化学合成类制药工业大气污染物排放标准》(DB33/2015-2016)；生物制药类企业废气排放执行《生物制药工业污染物排放标准》(DB33/923-2014)；纺织染整企业废气排放执行《纺织染整工业大气污染物排放标准》(DB33/962-2015)；合成树脂企业废气排放执行《合成树脂工业污染物排放标准》(GB31572-2015)；电池工业企业废气排放执行《电池工业污染物排放标准》(GB30484-2013)；工业涂装工序废气污染物排放执行《工业涂装工序大气污染物排放标准》(DB33/2146-2018)；泛能网项目燃气轮机组废气排放执行《火电厂大气污染物排放标准》(GB13223-2011)，燃气锅炉(单台出力65t/h以下)废气排放执行《锅炉大气污染物排放标准》(GB13271-2014)；涉及国家排放标准中特别排放限值的行业，按照《浙江省生态环境厅关于执行国家排放标准大气污染物特别排放限值的通告》(浙环发[2019]14号)执行。</w:t>
            </w:r>
          </w:p>
          <w:p w14:paraId="696B4AA6">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生活源废气排放标准：宾馆、酒店等自备锅炉燃料废气排放执行《锅炉大气污染物排放标准》(GB13271-2014)；餐饮业单位及企事业单位食堂油烟废气排放执行《饮食业油烟排放标准(试行)》(GB18483-2001)。</w:t>
            </w:r>
          </w:p>
          <w:p w14:paraId="541BBE29">
            <w:pPr>
              <w:rPr>
                <w:bCs/>
                <w:color w:val="auto"/>
                <w:kern w:val="0"/>
                <w:sz w:val="18"/>
                <w:szCs w:val="18"/>
              </w:rPr>
            </w:pPr>
            <w:r>
              <w:rPr>
                <w:b/>
                <w:bCs/>
                <w:color w:val="auto"/>
                <w:kern w:val="0"/>
                <w:sz w:val="18"/>
                <w:szCs w:val="18"/>
              </w:rPr>
              <w:t>噪声：</w:t>
            </w:r>
            <w:r>
              <w:rPr>
                <w:rFonts w:hint="eastAsia" w:ascii="宋体" w:hAnsi="宋体" w:cs="宋体"/>
                <w:bCs/>
                <w:color w:val="auto"/>
                <w:kern w:val="0"/>
                <w:sz w:val="18"/>
                <w:szCs w:val="18"/>
              </w:rPr>
              <w:t>①</w:t>
            </w:r>
            <w:r>
              <w:rPr>
                <w:bCs/>
                <w:color w:val="auto"/>
                <w:kern w:val="0"/>
                <w:sz w:val="18"/>
                <w:szCs w:val="18"/>
              </w:rPr>
              <w:t>工业企业：工业企业厂界环境噪声排放执行《工业企业厂界环境噪声排放标准》(GB12348-2008)；</w:t>
            </w:r>
          </w:p>
          <w:p w14:paraId="475B0E66">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社会生活：营业性文化娱乐场所、商业经营活动中使用的向环境排放噪声的设备、设施产生的噪声执行《社会生活环境噪声排放标准》(GB22337-2008)；</w:t>
            </w:r>
          </w:p>
          <w:p w14:paraId="0B44414A">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建筑施工：施工期噪声执行《建筑施工场界环境噪声排放标准》(GB12523-2011)。</w:t>
            </w:r>
          </w:p>
          <w:p w14:paraId="54896C61">
            <w:pPr>
              <w:rPr>
                <w:bCs/>
                <w:color w:val="auto"/>
                <w:kern w:val="0"/>
                <w:sz w:val="18"/>
                <w:szCs w:val="18"/>
              </w:rPr>
            </w:pPr>
            <w:bookmarkStart w:id="10" w:name="_Hlk80086447"/>
            <w:r>
              <w:rPr>
                <w:b/>
                <w:bCs/>
                <w:color w:val="auto"/>
                <w:kern w:val="0"/>
                <w:sz w:val="18"/>
                <w:szCs w:val="18"/>
              </w:rPr>
              <w:t>固废：</w:t>
            </w:r>
            <w:r>
              <w:rPr>
                <w:rFonts w:hint="eastAsia" w:ascii="宋体" w:hAnsi="宋体" w:cs="宋体"/>
                <w:bCs/>
                <w:color w:val="auto"/>
                <w:kern w:val="0"/>
                <w:sz w:val="18"/>
                <w:szCs w:val="18"/>
              </w:rPr>
              <w:t>①</w:t>
            </w:r>
            <w:r>
              <w:rPr>
                <w:bCs/>
                <w:color w:val="auto"/>
                <w:kern w:val="0"/>
                <w:sz w:val="18"/>
                <w:szCs w:val="18"/>
              </w:rPr>
              <w:t>固体废物鉴别执行《固体废物鉴别标准通则》(GB34330-2017)；</w:t>
            </w:r>
          </w:p>
          <w:p w14:paraId="370F9D6E">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一般工业固体废物厂内暂存、处置执行《一般工业固体废物贮存、处置污染控制标准》(GB18599-2001)及修改单；</w:t>
            </w:r>
          </w:p>
          <w:p w14:paraId="6D1756C8">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危险废物厂内暂存执行《危险废物贮存污染控制标准》(GB18597-2001)及修改单；</w:t>
            </w:r>
          </w:p>
          <w:p w14:paraId="33691DFC">
            <w:pPr>
              <w:rPr>
                <w:bCs/>
                <w:color w:val="auto"/>
                <w:kern w:val="0"/>
                <w:sz w:val="18"/>
                <w:szCs w:val="18"/>
              </w:rPr>
            </w:pPr>
            <w:r>
              <w:rPr>
                <w:rFonts w:hint="eastAsia" w:ascii="宋体" w:hAnsi="宋体" w:cs="宋体"/>
                <w:bCs/>
                <w:color w:val="auto"/>
                <w:kern w:val="0"/>
                <w:sz w:val="18"/>
                <w:szCs w:val="18"/>
              </w:rPr>
              <w:t>④</w:t>
            </w:r>
            <w:r>
              <w:rPr>
                <w:bCs/>
                <w:color w:val="auto"/>
                <w:kern w:val="0"/>
                <w:sz w:val="18"/>
                <w:szCs w:val="18"/>
              </w:rPr>
              <w:t>危险废物处置执行《危险废物填埋污染控制标准》(GB18598-2001)或《危险废物焚烧污染控制标准》(GB18484-2001)等有关规定</w:t>
            </w:r>
            <w:bookmarkEnd w:id="10"/>
            <w:r>
              <w:rPr>
                <w:bCs/>
                <w:color w:val="auto"/>
                <w:kern w:val="0"/>
                <w:sz w:val="18"/>
                <w:szCs w:val="18"/>
              </w:rPr>
              <w:t>。</w:t>
            </w:r>
          </w:p>
        </w:tc>
        <w:tc>
          <w:tcPr>
            <w:tcW w:w="455" w:type="pct"/>
            <w:vAlign w:val="center"/>
          </w:tcPr>
          <w:p w14:paraId="62B0129A">
            <w:pPr>
              <w:rPr>
                <w:color w:val="auto"/>
                <w:sz w:val="18"/>
                <w:szCs w:val="18"/>
              </w:rPr>
            </w:pPr>
            <w:r>
              <w:rPr>
                <w:color w:val="auto"/>
                <w:sz w:val="18"/>
                <w:szCs w:val="18"/>
              </w:rPr>
              <w:t>符合。项目污染物采取相应措施后可达到相应标准限值要求。</w:t>
            </w:r>
          </w:p>
        </w:tc>
      </w:tr>
      <w:tr w14:paraId="289390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38B99478">
            <w:pPr>
              <w:jc w:val="center"/>
              <w:rPr>
                <w:color w:val="auto"/>
                <w:sz w:val="18"/>
                <w:szCs w:val="18"/>
              </w:rPr>
            </w:pPr>
            <w:r>
              <w:rPr>
                <w:color w:val="auto"/>
                <w:sz w:val="18"/>
                <w:szCs w:val="18"/>
              </w:rPr>
              <w:t>3</w:t>
            </w:r>
          </w:p>
        </w:tc>
        <w:tc>
          <w:tcPr>
            <w:tcW w:w="479" w:type="pct"/>
            <w:vAlign w:val="center"/>
          </w:tcPr>
          <w:p w14:paraId="42819E01">
            <w:pPr>
              <w:jc w:val="center"/>
              <w:rPr>
                <w:color w:val="auto"/>
                <w:sz w:val="18"/>
                <w:szCs w:val="18"/>
              </w:rPr>
            </w:pPr>
            <w:r>
              <w:rPr>
                <w:color w:val="auto"/>
                <w:sz w:val="18"/>
                <w:szCs w:val="18"/>
              </w:rPr>
              <w:t>环境质量管控标准</w:t>
            </w:r>
          </w:p>
        </w:tc>
        <w:tc>
          <w:tcPr>
            <w:tcW w:w="3768" w:type="pct"/>
            <w:vAlign w:val="center"/>
          </w:tcPr>
          <w:p w14:paraId="0197611C">
            <w:pPr>
              <w:rPr>
                <w:bCs/>
                <w:color w:val="auto"/>
                <w:kern w:val="0"/>
                <w:sz w:val="18"/>
                <w:szCs w:val="18"/>
              </w:rPr>
            </w:pPr>
            <w:r>
              <w:rPr>
                <w:b/>
                <w:bCs/>
                <w:color w:val="auto"/>
                <w:kern w:val="0"/>
                <w:sz w:val="18"/>
                <w:szCs w:val="18"/>
              </w:rPr>
              <w:t>污染物排放总量管控限值：</w:t>
            </w:r>
            <w:r>
              <w:rPr>
                <w:rFonts w:hint="eastAsia" w:ascii="宋体" w:hAnsi="宋体" w:cs="宋体"/>
                <w:bCs/>
                <w:color w:val="auto"/>
                <w:kern w:val="0"/>
                <w:sz w:val="18"/>
                <w:szCs w:val="18"/>
              </w:rPr>
              <w:t>①</w:t>
            </w:r>
            <w:r>
              <w:rPr>
                <w:bCs/>
                <w:color w:val="auto"/>
                <w:kern w:val="0"/>
                <w:sz w:val="18"/>
                <w:szCs w:val="18"/>
              </w:rPr>
              <w:t>水污染物总量管控限值：COD</w:t>
            </w:r>
            <w:r>
              <w:rPr>
                <w:bCs/>
                <w:color w:val="auto"/>
                <w:kern w:val="0"/>
                <w:sz w:val="18"/>
                <w:szCs w:val="18"/>
                <w:vertAlign w:val="subscript"/>
              </w:rPr>
              <w:t>Cr</w:t>
            </w:r>
            <w:r>
              <w:rPr>
                <w:bCs/>
                <w:color w:val="auto"/>
                <w:kern w:val="0"/>
                <w:sz w:val="18"/>
                <w:szCs w:val="18"/>
              </w:rPr>
              <w:t>1821.25t/a，NH</w:t>
            </w:r>
            <w:r>
              <w:rPr>
                <w:bCs/>
                <w:color w:val="auto"/>
                <w:kern w:val="0"/>
                <w:sz w:val="18"/>
                <w:szCs w:val="18"/>
                <w:vertAlign w:val="subscript"/>
              </w:rPr>
              <w:t>3</w:t>
            </w:r>
            <w:r>
              <w:rPr>
                <w:bCs/>
                <w:color w:val="auto"/>
                <w:kern w:val="0"/>
                <w:sz w:val="18"/>
                <w:szCs w:val="18"/>
              </w:rPr>
              <w:t>-N185.33t/a，TP19.11t/a；</w:t>
            </w:r>
          </w:p>
          <w:p w14:paraId="2775335C">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大气污染物总量管控限值：SO</w:t>
            </w:r>
            <w:r>
              <w:rPr>
                <w:bCs/>
                <w:color w:val="auto"/>
                <w:kern w:val="0"/>
                <w:sz w:val="18"/>
                <w:szCs w:val="18"/>
                <w:vertAlign w:val="subscript"/>
              </w:rPr>
              <w:t>2</w:t>
            </w:r>
            <w:r>
              <w:rPr>
                <w:bCs/>
                <w:color w:val="auto"/>
                <w:kern w:val="0"/>
                <w:sz w:val="18"/>
                <w:szCs w:val="18"/>
              </w:rPr>
              <w:t>56.32t/a，NO</w:t>
            </w:r>
            <w:r>
              <w:rPr>
                <w:bCs/>
                <w:color w:val="auto"/>
                <w:kern w:val="0"/>
                <w:sz w:val="18"/>
                <w:szCs w:val="18"/>
                <w:vertAlign w:val="subscript"/>
              </w:rPr>
              <w:t>x</w:t>
            </w:r>
            <w:r>
              <w:rPr>
                <w:bCs/>
                <w:color w:val="auto"/>
                <w:kern w:val="0"/>
                <w:sz w:val="18"/>
                <w:szCs w:val="18"/>
              </w:rPr>
              <w:t>473.88t/a，烟粉尘</w:t>
            </w:r>
            <w:r>
              <w:rPr>
                <w:color w:val="auto"/>
                <w:sz w:val="18"/>
                <w:szCs w:val="18"/>
              </w:rPr>
              <w:t>340.10</w:t>
            </w:r>
            <w:r>
              <w:rPr>
                <w:bCs/>
                <w:color w:val="auto"/>
                <w:kern w:val="0"/>
                <w:sz w:val="18"/>
                <w:szCs w:val="18"/>
              </w:rPr>
              <w:t>t/a，VOCs</w:t>
            </w:r>
            <w:r>
              <w:rPr>
                <w:color w:val="auto"/>
                <w:sz w:val="18"/>
                <w:szCs w:val="18"/>
              </w:rPr>
              <w:t>1031.56</w:t>
            </w:r>
            <w:r>
              <w:rPr>
                <w:bCs/>
                <w:color w:val="auto"/>
                <w:kern w:val="0"/>
                <w:sz w:val="18"/>
                <w:szCs w:val="18"/>
              </w:rPr>
              <w:t>t/a；</w:t>
            </w:r>
          </w:p>
          <w:p w14:paraId="56400F23">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危险废物总量管控限值：1.77万t/a。</w:t>
            </w:r>
          </w:p>
          <w:p w14:paraId="72919854">
            <w:pPr>
              <w:rPr>
                <w:bCs/>
                <w:color w:val="auto"/>
                <w:kern w:val="0"/>
                <w:sz w:val="18"/>
                <w:szCs w:val="18"/>
              </w:rPr>
            </w:pPr>
            <w:r>
              <w:rPr>
                <w:b/>
                <w:bCs/>
                <w:color w:val="auto"/>
                <w:kern w:val="0"/>
                <w:sz w:val="18"/>
                <w:szCs w:val="18"/>
              </w:rPr>
              <w:t>大气环境</w:t>
            </w:r>
            <w:r>
              <w:rPr>
                <w:bCs/>
                <w:color w:val="auto"/>
                <w:kern w:val="0"/>
                <w:sz w:val="18"/>
                <w:szCs w:val="18"/>
              </w:rPr>
              <w:t>：基本污染物执行《环境空气质量标准》(GB3095-2012)及其修改单中的二级标准；对于GB3095-2012中无规划的特殊空气污染物，参照执行《环境影响评价技术导则大气环境》(HJ2.2-2018)中附录D其他污染物空气质量浓度参考限值，该附录中没有规定的参照执行前苏联CH-145-71居民区大气中有害物质的最大允许浓度，非甲烷总烃以《大气污染物综合排放标准详解》中Cm取值规定作为质量标准参考值，铅执行《大气中铅及其无机化合物的卫生标准》(GB7355-87)。</w:t>
            </w:r>
          </w:p>
          <w:p w14:paraId="568DB22B">
            <w:pPr>
              <w:rPr>
                <w:bCs/>
                <w:color w:val="auto"/>
                <w:spacing w:val="-2"/>
                <w:kern w:val="0"/>
                <w:sz w:val="18"/>
                <w:szCs w:val="18"/>
              </w:rPr>
            </w:pPr>
            <w:r>
              <w:rPr>
                <w:b/>
                <w:bCs/>
                <w:color w:val="auto"/>
                <w:kern w:val="0"/>
                <w:sz w:val="18"/>
                <w:szCs w:val="18"/>
              </w:rPr>
              <w:t>水环境：</w:t>
            </w:r>
            <w:r>
              <w:rPr>
                <w:rFonts w:hint="eastAsia" w:ascii="宋体" w:hAnsi="宋体" w:cs="宋体"/>
                <w:bCs/>
                <w:color w:val="auto"/>
                <w:spacing w:val="-2"/>
                <w:kern w:val="0"/>
                <w:sz w:val="18"/>
                <w:szCs w:val="18"/>
              </w:rPr>
              <w:t>①</w:t>
            </w:r>
            <w:r>
              <w:rPr>
                <w:bCs/>
                <w:color w:val="auto"/>
                <w:spacing w:val="-2"/>
                <w:kern w:val="0"/>
                <w:sz w:val="18"/>
                <w:szCs w:val="18"/>
              </w:rPr>
              <w:t>地表水环境：京杭运河(杭嘉湖14)、禾丰港(杭嘉湖44)、亭趾港(杭嘉湖46)水质执行《地表水环境质量标准》(GB3838-2002)中的Ⅲ类水质标准；内排河(杭嘉湖35)、禾丰港(杭嘉湖43)、亭趾港(杭嘉湖45)执行GB3838-2002中的Ⅳ类水质标准；备用水源喜庵港(杭嘉湖49)执行GB3838-2002中的Ⅱ类、Ⅲ类水质标准；钱塘江(钱塘江191)执行GB3838-2002中的Ⅲ类水质标准。</w:t>
            </w:r>
          </w:p>
          <w:p w14:paraId="14F90BF1">
            <w:pPr>
              <w:rPr>
                <w:bCs/>
                <w:color w:val="auto"/>
                <w:spacing w:val="-2"/>
                <w:kern w:val="0"/>
                <w:sz w:val="18"/>
                <w:szCs w:val="18"/>
              </w:rPr>
            </w:pPr>
            <w:r>
              <w:rPr>
                <w:rFonts w:hint="eastAsia" w:ascii="宋体" w:hAnsi="宋体" w:cs="宋体"/>
                <w:bCs/>
                <w:color w:val="auto"/>
                <w:spacing w:val="-2"/>
                <w:kern w:val="0"/>
                <w:sz w:val="18"/>
                <w:szCs w:val="18"/>
              </w:rPr>
              <w:t>②</w:t>
            </w:r>
            <w:r>
              <w:rPr>
                <w:bCs/>
                <w:color w:val="auto"/>
                <w:spacing w:val="-2"/>
                <w:kern w:val="0"/>
                <w:sz w:val="18"/>
                <w:szCs w:val="18"/>
              </w:rPr>
              <w:t>地下水环境：区域地下水环境执行《地下水质量标准》(GB/T14848-2017)。</w:t>
            </w:r>
          </w:p>
          <w:p w14:paraId="314BDABE">
            <w:pPr>
              <w:rPr>
                <w:bCs/>
                <w:color w:val="auto"/>
                <w:kern w:val="0"/>
                <w:sz w:val="18"/>
                <w:szCs w:val="18"/>
              </w:rPr>
            </w:pPr>
            <w:r>
              <w:rPr>
                <w:b/>
                <w:bCs/>
                <w:color w:val="auto"/>
                <w:kern w:val="0"/>
                <w:sz w:val="18"/>
                <w:szCs w:val="18"/>
              </w:rPr>
              <w:t>声环境：</w:t>
            </w:r>
            <w:r>
              <w:rPr>
                <w:bCs/>
                <w:color w:val="auto"/>
                <w:kern w:val="0"/>
                <w:sz w:val="18"/>
                <w:szCs w:val="18"/>
              </w:rPr>
              <w:t>根据《杭州市余杭区声环境功能区划分方案》，开发区内301、302两个区块执行《声环境质量标准》(GB3096-2008)中的3类标准，交通干线道路、城市有轨交通(地面段)、内河航道及其两侧区域执行GB3096-2008中的4a类标准，铁路干线及其两侧区域执行GB3096-2008中的4b类标准，其他区域执行GB3096-2008中的2类标准。</w:t>
            </w:r>
          </w:p>
          <w:p w14:paraId="46137BB9">
            <w:pPr>
              <w:rPr>
                <w:bCs/>
                <w:color w:val="auto"/>
                <w:kern w:val="0"/>
                <w:sz w:val="18"/>
                <w:szCs w:val="18"/>
              </w:rPr>
            </w:pPr>
            <w:r>
              <w:rPr>
                <w:b/>
                <w:bCs/>
                <w:color w:val="auto"/>
                <w:kern w:val="0"/>
                <w:sz w:val="18"/>
                <w:szCs w:val="18"/>
              </w:rPr>
              <w:t>土壤环境：</w:t>
            </w:r>
            <w:r>
              <w:rPr>
                <w:bCs/>
                <w:color w:val="auto"/>
                <w:kern w:val="0"/>
                <w:sz w:val="18"/>
                <w:szCs w:val="18"/>
              </w:rPr>
              <w:t>开发区内居住用地、中小学用地、医疗卫生用地、社会福利设施用地等第一类建设用地执行《土壤环境质量建设用地土壤污染风险管控标准(试行)》(GB36600-2018)中的第一类用地筛选值，工业用地、物流仓储用地、商业服务业设施用地、道路与交通设施用地、公用设施用地等第二类建设用地执行GB36600-2018中的第二类用地筛选值；农业用地土壤环境执行《土壤环境质量农用地土壤污染风险管控标准(试行)》(GB15618-2018)中相关风险筛选值标准。</w:t>
            </w:r>
          </w:p>
        </w:tc>
        <w:tc>
          <w:tcPr>
            <w:tcW w:w="455" w:type="pct"/>
            <w:vAlign w:val="center"/>
          </w:tcPr>
          <w:p w14:paraId="747E33BB">
            <w:pPr>
              <w:rPr>
                <w:color w:val="auto"/>
                <w:sz w:val="18"/>
                <w:szCs w:val="18"/>
              </w:rPr>
            </w:pPr>
            <w:r>
              <w:rPr>
                <w:color w:val="auto"/>
                <w:sz w:val="18"/>
                <w:szCs w:val="18"/>
              </w:rPr>
              <w:t>符合。项目实施后污染物总量可得到区域削减，不会导致区域环境质量降低，同时随着区域环境整治提升计划的实施以及严格总量控制等措施，预计区域环境质量可逐步达到环境质量底线要求。</w:t>
            </w:r>
          </w:p>
        </w:tc>
      </w:tr>
      <w:tr w14:paraId="18618A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40244341">
            <w:pPr>
              <w:jc w:val="center"/>
              <w:rPr>
                <w:color w:val="auto"/>
                <w:sz w:val="18"/>
                <w:szCs w:val="18"/>
              </w:rPr>
            </w:pPr>
            <w:r>
              <w:rPr>
                <w:color w:val="auto"/>
                <w:sz w:val="18"/>
                <w:szCs w:val="18"/>
              </w:rPr>
              <w:t>4</w:t>
            </w:r>
          </w:p>
        </w:tc>
        <w:tc>
          <w:tcPr>
            <w:tcW w:w="479" w:type="pct"/>
            <w:vAlign w:val="center"/>
          </w:tcPr>
          <w:p w14:paraId="4A34EEFA">
            <w:pPr>
              <w:jc w:val="center"/>
              <w:rPr>
                <w:color w:val="auto"/>
                <w:sz w:val="18"/>
                <w:szCs w:val="18"/>
              </w:rPr>
            </w:pPr>
            <w:r>
              <w:rPr>
                <w:bCs/>
                <w:color w:val="auto"/>
                <w:kern w:val="0"/>
                <w:sz w:val="18"/>
                <w:szCs w:val="18"/>
              </w:rPr>
              <w:t>行业准入标准</w:t>
            </w:r>
          </w:p>
        </w:tc>
        <w:tc>
          <w:tcPr>
            <w:tcW w:w="3768" w:type="pct"/>
            <w:vAlign w:val="center"/>
          </w:tcPr>
          <w:p w14:paraId="6BC0C8E8">
            <w:pPr>
              <w:jc w:val="left"/>
              <w:rPr>
                <w:bCs/>
                <w:color w:val="auto"/>
                <w:kern w:val="0"/>
                <w:sz w:val="18"/>
                <w:szCs w:val="18"/>
              </w:rPr>
            </w:pPr>
            <w:r>
              <w:rPr>
                <w:b/>
                <w:bCs/>
                <w:color w:val="auto"/>
                <w:kern w:val="0"/>
                <w:sz w:val="18"/>
                <w:szCs w:val="18"/>
              </w:rPr>
              <w:t>区内涉及行业需执行的环境准入条件、环境准入指导意见，以及行业准入条件、技术规范等：</w:t>
            </w:r>
            <w:r>
              <w:rPr>
                <w:rFonts w:hint="eastAsia" w:ascii="宋体" w:hAnsi="宋体" w:cs="宋体"/>
                <w:bCs/>
                <w:color w:val="auto"/>
                <w:kern w:val="0"/>
                <w:sz w:val="18"/>
                <w:szCs w:val="18"/>
              </w:rPr>
              <w:t>①</w:t>
            </w:r>
            <w:r>
              <w:rPr>
                <w:bCs/>
                <w:color w:val="auto"/>
                <w:kern w:val="0"/>
                <w:sz w:val="18"/>
                <w:szCs w:val="18"/>
              </w:rPr>
              <w:t>国家：《新能源汽车生产企业及产品准入管理规定》(工信部令39号)、《汽车产业发展政策(2009年修订)》(工信部、国家发改委2009年第10号令)、《挥发性有机物(VOCs)污染防治技术政策》(环保部公告2013年第31号)、《重点行业挥发性有机物综合治理方案》(环大气[2019]53号)等；</w:t>
            </w:r>
          </w:p>
          <w:p w14:paraId="5DE84F2F">
            <w:pPr>
              <w:jc w:val="left"/>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地方：《浙江省化学原料药产业环境准入指导意见(修订)》(浙环发[2016]12号)、《浙江省印染产业环境准入指导意见(修订)》(浙环发[2016]12号)、《浙江省热电联产行业环境准入指导意见(修订)》(浙环发[2016]12号)、《浙江省啤酒产业环境准入指导意见(修订)》(浙环发[2016]12号)、《浙江省挥发性有机物污染整治方案》(浙环发[2013]54号)、《浙江省涂装行业挥发性有机物污染整治规范》(浙环函[2015]402号)、《关于转发&lt;杭州市化纤行业挥发性有机物污染整治规范(试行)&gt;等12个行业VOCs污染整治规范的通知》(浙环办函[2016]56号)、《浙江省挥发性有机物深化治理与减排工作方案(2017-2020年)》(浙环发[2017]41号)等。</w:t>
            </w:r>
          </w:p>
        </w:tc>
        <w:tc>
          <w:tcPr>
            <w:tcW w:w="455" w:type="pct"/>
            <w:vAlign w:val="center"/>
          </w:tcPr>
          <w:p w14:paraId="3432B549">
            <w:pPr>
              <w:rPr>
                <w:color w:val="auto"/>
                <w:sz w:val="18"/>
                <w:szCs w:val="18"/>
              </w:rPr>
            </w:pPr>
            <w:r>
              <w:rPr>
                <w:color w:val="auto"/>
                <w:sz w:val="18"/>
                <w:szCs w:val="18"/>
              </w:rPr>
              <w:t>符合，项目符合有关行业准入条件要求。</w:t>
            </w:r>
          </w:p>
        </w:tc>
      </w:tr>
    </w:tbl>
    <w:p w14:paraId="711DBABD">
      <w:pPr>
        <w:adjustRightInd w:val="0"/>
        <w:snapToGrid w:val="0"/>
        <w:spacing w:line="360" w:lineRule="auto"/>
        <w:ind w:firstLine="482" w:firstLineChars="200"/>
        <w:rPr>
          <w:color w:val="auto"/>
          <w:sz w:val="24"/>
          <w:szCs w:val="24"/>
        </w:rPr>
      </w:pPr>
      <w:r>
        <w:rPr>
          <w:b/>
          <w:color w:val="auto"/>
          <w:sz w:val="24"/>
          <w:szCs w:val="24"/>
        </w:rPr>
        <w:t>符合性分析：</w:t>
      </w:r>
      <w:r>
        <w:rPr>
          <w:color w:val="auto"/>
          <w:sz w:val="24"/>
          <w:szCs w:val="24"/>
        </w:rPr>
        <w:t>综上分析可知，项目的建设符合</w:t>
      </w:r>
      <w:r>
        <w:rPr>
          <w:rFonts w:hint="eastAsia"/>
          <w:color w:val="auto"/>
          <w:sz w:val="24"/>
          <w:szCs w:val="24"/>
        </w:rPr>
        <w:t>《杭州余杭经济技术开发区总体规划修编（2020-2035年）环境影响报告书》</w:t>
      </w:r>
      <w:r>
        <w:rPr>
          <w:color w:val="auto"/>
          <w:sz w:val="24"/>
          <w:szCs w:val="24"/>
        </w:rPr>
        <w:t>“六张清单”相关要求。</w:t>
      </w:r>
    </w:p>
    <w:p w14:paraId="1C91D2A8">
      <w:pPr>
        <w:spacing w:line="360" w:lineRule="auto"/>
        <w:ind w:firstLine="482" w:firstLineChars="200"/>
        <w:rPr>
          <w:b/>
          <w:color w:val="auto"/>
          <w:sz w:val="24"/>
          <w:szCs w:val="24"/>
        </w:rPr>
      </w:pPr>
      <w:r>
        <w:rPr>
          <w:b/>
          <w:color w:val="auto"/>
          <w:sz w:val="24"/>
          <w:szCs w:val="24"/>
        </w:rPr>
        <w:t>7、规划环评审查意见符合性分析</w:t>
      </w:r>
    </w:p>
    <w:p w14:paraId="214B4363">
      <w:pPr>
        <w:spacing w:line="360" w:lineRule="auto"/>
        <w:ind w:firstLine="480" w:firstLineChars="200"/>
        <w:rPr>
          <w:rFonts w:hint="eastAsia"/>
          <w:color w:val="auto"/>
        </w:rPr>
      </w:pPr>
      <w:r>
        <w:rPr>
          <w:color w:val="auto"/>
          <w:sz w:val="24"/>
          <w:szCs w:val="24"/>
        </w:rPr>
        <w:t>《杭州余杭经济技术开发区总体规划修编（2020-2035年）环境影响报告书》于2022年5月1日获得由生态环境部出具的批复（环审[2022]50号），经对照，项目建设地址位于工业区块，符合生态空间清单，经对照符合规划环评环境准入条件清单要求</w:t>
      </w:r>
      <w:r>
        <w:rPr>
          <w:rFonts w:hint="eastAsia"/>
          <w:color w:val="auto"/>
        </w:rPr>
        <w:t>。</w:t>
      </w:r>
    </w:p>
    <w:p w14:paraId="65E44E4E">
      <w:pPr>
        <w:spacing w:line="360" w:lineRule="auto"/>
        <w:outlineLvl w:val="1"/>
        <w:rPr>
          <w:b/>
          <w:color w:val="auto"/>
          <w:sz w:val="24"/>
        </w:rPr>
      </w:pPr>
      <w:bookmarkStart w:id="11" w:name="_Toc19787"/>
      <w:r>
        <w:rPr>
          <w:b/>
          <w:color w:val="auto"/>
          <w:sz w:val="24"/>
        </w:rPr>
        <w:t>4.</w:t>
      </w:r>
      <w:r>
        <w:rPr>
          <w:rFonts w:hint="eastAsia"/>
          <w:b/>
          <w:color w:val="auto"/>
          <w:sz w:val="24"/>
          <w:lang w:val="en-US" w:eastAsia="zh-CN"/>
        </w:rPr>
        <w:t>3</w:t>
      </w:r>
      <w:r>
        <w:rPr>
          <w:b/>
          <w:color w:val="auto"/>
          <w:sz w:val="24"/>
        </w:rPr>
        <w:t>《浙江省“十四五”挥发性有机物综合治理方案》符合性分析</w:t>
      </w:r>
      <w:bookmarkEnd w:id="11"/>
    </w:p>
    <w:p w14:paraId="62689A97">
      <w:pPr>
        <w:topLinePunct/>
        <w:autoSpaceDE w:val="0"/>
        <w:autoSpaceDN w:val="0"/>
        <w:adjustRightInd w:val="0"/>
        <w:snapToGrid w:val="0"/>
        <w:spacing w:line="360" w:lineRule="auto"/>
        <w:ind w:firstLine="480" w:firstLineChars="200"/>
        <w:rPr>
          <w:color w:val="auto"/>
          <w:kern w:val="0"/>
          <w:sz w:val="24"/>
        </w:rPr>
      </w:pPr>
      <w:r>
        <w:rPr>
          <w:color w:val="auto"/>
          <w:kern w:val="0"/>
          <w:sz w:val="24"/>
        </w:rPr>
        <w:t>为深入推进“十四五”挥发性有机物治理，进一步改善环境空气质量，浙江省生态环境厅制定了《浙江省“十四五”挥发性有机物综合治理方案》(浙环发[2021]10号)。本项目与该方案中相关要求符合性</w:t>
      </w:r>
      <w:r>
        <w:rPr>
          <w:color w:val="auto"/>
          <w:kern w:val="0"/>
          <w:sz w:val="24"/>
          <w:szCs w:val="24"/>
        </w:rPr>
        <w:t>分析详见下表。</w:t>
      </w:r>
    </w:p>
    <w:p w14:paraId="5F40E093">
      <w:pPr>
        <w:numPr>
          <w:ilvl w:val="0"/>
          <w:numId w:val="0"/>
        </w:numPr>
        <w:adjustRightInd w:val="0"/>
        <w:snapToGrid w:val="0"/>
        <w:spacing w:before="156" w:beforeLines="50"/>
        <w:ind w:left="420" w:leftChars="0" w:hanging="420" w:firstLineChars="0"/>
        <w:jc w:val="center"/>
        <w:rPr>
          <w:rFonts w:ascii="Times New Roman" w:hAnsi="Times New Roman" w:eastAsia="宋体" w:cs="Times New Roman"/>
          <w:b/>
          <w:color w:val="auto"/>
          <w:lang w:val="zh-CN"/>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表13</w:t>
      </w:r>
      <w:r>
        <w:rPr>
          <w:rFonts w:ascii="Times New Roman" w:hAnsi="Times New Roman" w:eastAsia="宋体" w:cs="Times New Roman"/>
          <w:b/>
          <w:color w:val="auto"/>
          <w:lang w:val="zh-CN"/>
        </w:rPr>
        <w:t>《浙江省“十四五”挥发性有机物综合治理方案》符合性分析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9"/>
        <w:gridCol w:w="4920"/>
        <w:gridCol w:w="2295"/>
        <w:gridCol w:w="572"/>
      </w:tblGrid>
      <w:tr w14:paraId="78DC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6D987536">
            <w:pPr>
              <w:widowControl/>
              <w:adjustRightInd w:val="0"/>
              <w:snapToGrid w:val="0"/>
              <w:jc w:val="center"/>
              <w:rPr>
                <w:color w:val="auto"/>
                <w:kern w:val="0"/>
                <w:sz w:val="18"/>
                <w:szCs w:val="18"/>
                <w:lang w:bidi="ar"/>
              </w:rPr>
            </w:pPr>
            <w:r>
              <w:rPr>
                <w:color w:val="auto"/>
                <w:kern w:val="0"/>
                <w:sz w:val="18"/>
                <w:szCs w:val="18"/>
                <w:lang w:bidi="ar"/>
              </w:rPr>
              <w:t>项目</w:t>
            </w:r>
          </w:p>
        </w:tc>
        <w:tc>
          <w:tcPr>
            <w:tcW w:w="2958" w:type="pct"/>
            <w:vAlign w:val="center"/>
          </w:tcPr>
          <w:p w14:paraId="233D5AB1">
            <w:pPr>
              <w:widowControl/>
              <w:adjustRightInd w:val="0"/>
              <w:snapToGrid w:val="0"/>
              <w:jc w:val="center"/>
              <w:rPr>
                <w:color w:val="auto"/>
                <w:kern w:val="0"/>
                <w:sz w:val="18"/>
                <w:szCs w:val="18"/>
                <w:lang w:bidi="ar"/>
              </w:rPr>
            </w:pPr>
            <w:r>
              <w:rPr>
                <w:color w:val="auto"/>
                <w:kern w:val="0"/>
                <w:sz w:val="18"/>
                <w:szCs w:val="18"/>
                <w:lang w:bidi="ar"/>
              </w:rPr>
              <w:t>方案要求（部分内容）</w:t>
            </w:r>
          </w:p>
        </w:tc>
        <w:tc>
          <w:tcPr>
            <w:tcW w:w="1380" w:type="pct"/>
            <w:vAlign w:val="center"/>
          </w:tcPr>
          <w:p w14:paraId="08C05A8D">
            <w:pPr>
              <w:widowControl/>
              <w:adjustRightInd w:val="0"/>
              <w:snapToGrid w:val="0"/>
              <w:jc w:val="center"/>
              <w:rPr>
                <w:color w:val="auto"/>
                <w:kern w:val="0"/>
                <w:sz w:val="18"/>
                <w:szCs w:val="18"/>
                <w:lang w:bidi="ar"/>
              </w:rPr>
            </w:pPr>
            <w:r>
              <w:rPr>
                <w:color w:val="auto"/>
                <w:kern w:val="0"/>
                <w:sz w:val="18"/>
                <w:szCs w:val="18"/>
                <w:lang w:bidi="ar"/>
              </w:rPr>
              <w:t>本项目情况</w:t>
            </w:r>
          </w:p>
        </w:tc>
        <w:tc>
          <w:tcPr>
            <w:tcW w:w="344" w:type="pct"/>
            <w:vAlign w:val="center"/>
          </w:tcPr>
          <w:p w14:paraId="0D54A728">
            <w:pPr>
              <w:widowControl/>
              <w:adjustRightInd w:val="0"/>
              <w:snapToGrid w:val="0"/>
              <w:jc w:val="center"/>
              <w:rPr>
                <w:color w:val="auto"/>
                <w:kern w:val="0"/>
                <w:sz w:val="18"/>
                <w:szCs w:val="18"/>
                <w:lang w:bidi="ar"/>
              </w:rPr>
            </w:pPr>
            <w:r>
              <w:rPr>
                <w:color w:val="auto"/>
                <w:kern w:val="0"/>
                <w:sz w:val="18"/>
                <w:szCs w:val="18"/>
                <w:lang w:bidi="ar"/>
              </w:rPr>
              <w:t>是否</w:t>
            </w:r>
          </w:p>
          <w:p w14:paraId="72A962B3">
            <w:pPr>
              <w:widowControl/>
              <w:adjustRightInd w:val="0"/>
              <w:snapToGrid w:val="0"/>
              <w:jc w:val="center"/>
              <w:rPr>
                <w:color w:val="auto"/>
                <w:kern w:val="0"/>
                <w:sz w:val="18"/>
                <w:szCs w:val="18"/>
                <w:lang w:bidi="ar"/>
              </w:rPr>
            </w:pPr>
            <w:r>
              <w:rPr>
                <w:color w:val="auto"/>
                <w:kern w:val="0"/>
                <w:sz w:val="18"/>
                <w:szCs w:val="18"/>
                <w:lang w:bidi="ar"/>
              </w:rPr>
              <w:t>符合</w:t>
            </w:r>
          </w:p>
        </w:tc>
      </w:tr>
      <w:tr w14:paraId="56BC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7F1594D8">
            <w:pPr>
              <w:widowControl/>
              <w:adjustRightInd w:val="0"/>
              <w:snapToGrid w:val="0"/>
              <w:jc w:val="center"/>
              <w:rPr>
                <w:color w:val="auto"/>
                <w:kern w:val="0"/>
                <w:sz w:val="18"/>
                <w:szCs w:val="18"/>
                <w:lang w:bidi="ar"/>
              </w:rPr>
            </w:pPr>
            <w:r>
              <w:rPr>
                <w:color w:val="auto"/>
                <w:kern w:val="0"/>
                <w:sz w:val="18"/>
                <w:szCs w:val="18"/>
                <w:lang w:bidi="ar"/>
              </w:rPr>
              <w:t>优化产业结构</w:t>
            </w:r>
          </w:p>
        </w:tc>
        <w:tc>
          <w:tcPr>
            <w:tcW w:w="2958" w:type="pct"/>
            <w:vAlign w:val="center"/>
          </w:tcPr>
          <w:p w14:paraId="335A46DD">
            <w:pPr>
              <w:widowControl/>
              <w:adjustRightInd w:val="0"/>
              <w:snapToGrid w:val="0"/>
              <w:jc w:val="center"/>
              <w:rPr>
                <w:color w:val="auto"/>
                <w:kern w:val="0"/>
                <w:sz w:val="18"/>
                <w:szCs w:val="18"/>
                <w:lang w:bidi="ar"/>
              </w:rPr>
            </w:pPr>
            <w:r>
              <w:rPr>
                <w:color w:val="auto"/>
                <w:kern w:val="0"/>
                <w:sz w:val="18"/>
                <w:szCs w:val="18"/>
                <w:lang w:bidi="ar"/>
              </w:rPr>
              <w:t>引导石化、化工、工业涂装、包装印刷、合成革、化纤、纺织印染等重点行业合理布局，限制高VOCs排放化工类建设项目，禁止建设生产和使用VOCs含量限值不符合国家标准的涂料、油墨、胶粘剂、清洗剂等项目。贯彻落实《产业结构调整指导目录》《国家鼓励的有毒有害原料（产品）替代品目录》，依法依规淘汰涉VOCs排放工艺和装备，加大引导退出限制类工艺和装备力度，从源头减少涉VOCs污染物产生。</w:t>
            </w:r>
          </w:p>
        </w:tc>
        <w:tc>
          <w:tcPr>
            <w:tcW w:w="1380" w:type="pct"/>
            <w:vAlign w:val="center"/>
          </w:tcPr>
          <w:p w14:paraId="1108D188">
            <w:pPr>
              <w:widowControl/>
              <w:adjustRightInd w:val="0"/>
              <w:snapToGrid w:val="0"/>
              <w:jc w:val="center"/>
              <w:rPr>
                <w:color w:val="auto"/>
                <w:kern w:val="0"/>
                <w:sz w:val="18"/>
                <w:szCs w:val="18"/>
                <w:lang w:bidi="ar"/>
              </w:rPr>
            </w:pPr>
            <w:r>
              <w:rPr>
                <w:color w:val="auto"/>
                <w:kern w:val="0"/>
                <w:sz w:val="18"/>
                <w:szCs w:val="18"/>
                <w:lang w:bidi="ar"/>
              </w:rPr>
              <w:t>本项目为</w:t>
            </w:r>
            <w:r>
              <w:rPr>
                <w:rFonts w:hint="eastAsia"/>
                <w:color w:val="auto"/>
                <w:kern w:val="0"/>
                <w:sz w:val="18"/>
                <w:szCs w:val="18"/>
                <w:lang w:val="en-US" w:eastAsia="zh-CN" w:bidi="ar"/>
              </w:rPr>
              <w:t>通用设备制造</w:t>
            </w:r>
            <w:r>
              <w:rPr>
                <w:color w:val="auto"/>
                <w:kern w:val="0"/>
                <w:sz w:val="18"/>
                <w:szCs w:val="18"/>
                <w:lang w:bidi="ar"/>
              </w:rPr>
              <w:t>业，不属于高VOCs 排放类项目，项目涉及</w:t>
            </w:r>
            <w:r>
              <w:rPr>
                <w:rFonts w:hint="eastAsia"/>
                <w:color w:val="auto"/>
                <w:kern w:val="0"/>
                <w:sz w:val="18"/>
                <w:szCs w:val="18"/>
                <w:lang w:val="en-US" w:eastAsia="zh-CN" w:bidi="ar"/>
              </w:rPr>
              <w:t>使用</w:t>
            </w:r>
            <w:r>
              <w:rPr>
                <w:color w:val="auto"/>
                <w:kern w:val="0"/>
                <w:sz w:val="18"/>
                <w:szCs w:val="18"/>
                <w:lang w:bidi="ar"/>
              </w:rPr>
              <w:t>使用VOCs含量限值符合国家标准的涂料</w:t>
            </w:r>
            <w:r>
              <w:rPr>
                <w:rFonts w:hint="eastAsia"/>
                <w:color w:val="auto"/>
                <w:kern w:val="0"/>
                <w:sz w:val="18"/>
                <w:szCs w:val="18"/>
                <w:lang w:eastAsia="zh-CN" w:bidi="ar"/>
              </w:rPr>
              <w:t>，</w:t>
            </w:r>
            <w:r>
              <w:rPr>
                <w:color w:val="auto"/>
                <w:kern w:val="0"/>
                <w:sz w:val="18"/>
                <w:szCs w:val="18"/>
                <w:lang w:bidi="ar"/>
              </w:rPr>
              <w:t>不</w:t>
            </w:r>
            <w:r>
              <w:rPr>
                <w:rFonts w:hint="eastAsia"/>
                <w:color w:val="auto"/>
                <w:kern w:val="0"/>
                <w:sz w:val="18"/>
                <w:szCs w:val="18"/>
                <w:lang w:val="en-US" w:eastAsia="zh-CN" w:bidi="ar"/>
              </w:rPr>
              <w:t>涉及使用</w:t>
            </w:r>
            <w:r>
              <w:rPr>
                <w:color w:val="auto"/>
                <w:kern w:val="0"/>
                <w:sz w:val="18"/>
                <w:szCs w:val="18"/>
                <w:lang w:bidi="ar"/>
              </w:rPr>
              <w:t>油墨、胶粘剂、清洗剂</w:t>
            </w:r>
            <w:r>
              <w:rPr>
                <w:rFonts w:hint="eastAsia"/>
                <w:color w:val="auto"/>
                <w:kern w:val="0"/>
                <w:sz w:val="18"/>
                <w:szCs w:val="18"/>
                <w:lang w:val="en-US" w:eastAsia="zh-CN" w:bidi="ar"/>
              </w:rPr>
              <w:t>等原料</w:t>
            </w:r>
            <w:r>
              <w:rPr>
                <w:color w:val="auto"/>
                <w:kern w:val="0"/>
                <w:sz w:val="18"/>
                <w:szCs w:val="18"/>
                <w:lang w:bidi="ar"/>
              </w:rPr>
              <w:t>，项目不属于《产业结构调整指导目录》中限制、淘汰类，不涉及《国家鼓励的有毒有害原料(产品)替代品目录》中所列原料，不属于限制类工艺。</w:t>
            </w:r>
          </w:p>
        </w:tc>
        <w:tc>
          <w:tcPr>
            <w:tcW w:w="344" w:type="pct"/>
            <w:vAlign w:val="center"/>
          </w:tcPr>
          <w:p w14:paraId="32387C72">
            <w:pPr>
              <w:widowControl/>
              <w:adjustRightInd w:val="0"/>
              <w:snapToGrid w:val="0"/>
              <w:jc w:val="center"/>
              <w:rPr>
                <w:color w:val="auto"/>
                <w:kern w:val="0"/>
                <w:sz w:val="18"/>
                <w:szCs w:val="18"/>
                <w:lang w:bidi="ar"/>
              </w:rPr>
            </w:pPr>
            <w:r>
              <w:rPr>
                <w:color w:val="auto"/>
                <w:kern w:val="0"/>
                <w:sz w:val="18"/>
                <w:szCs w:val="18"/>
                <w:lang w:bidi="ar"/>
              </w:rPr>
              <w:t>符合</w:t>
            </w:r>
          </w:p>
        </w:tc>
      </w:tr>
      <w:tr w14:paraId="3F47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2095549C">
            <w:pPr>
              <w:widowControl/>
              <w:adjustRightInd w:val="0"/>
              <w:snapToGrid w:val="0"/>
              <w:jc w:val="center"/>
              <w:rPr>
                <w:color w:val="auto"/>
                <w:kern w:val="0"/>
                <w:sz w:val="18"/>
                <w:szCs w:val="18"/>
                <w:lang w:bidi="ar"/>
              </w:rPr>
            </w:pPr>
            <w:r>
              <w:rPr>
                <w:color w:val="auto"/>
                <w:kern w:val="0"/>
                <w:sz w:val="18"/>
                <w:szCs w:val="18"/>
                <w:lang w:bidi="ar"/>
              </w:rPr>
              <w:t>严格环境准入</w:t>
            </w:r>
          </w:p>
        </w:tc>
        <w:tc>
          <w:tcPr>
            <w:tcW w:w="2958" w:type="pct"/>
            <w:vAlign w:val="center"/>
          </w:tcPr>
          <w:p w14:paraId="467EE6CB">
            <w:pPr>
              <w:widowControl/>
              <w:adjustRightInd w:val="0"/>
              <w:snapToGrid w:val="0"/>
              <w:jc w:val="center"/>
              <w:rPr>
                <w:color w:val="auto"/>
                <w:kern w:val="0"/>
                <w:sz w:val="18"/>
                <w:szCs w:val="18"/>
                <w:lang w:bidi="ar"/>
              </w:rPr>
            </w:pPr>
            <w:r>
              <w:rPr>
                <w:color w:val="auto"/>
                <w:kern w:val="0"/>
                <w:sz w:val="18"/>
                <w:szCs w:val="18"/>
                <w:lang w:bidi="ar"/>
              </w:rPr>
              <w:t>严格执行“三线一单”为核心的生态环境分区管控体系，制（修）订纺织印染（数码喷印）等行业绿色准入指导意见。严格执行建设项目新增VOCs排放量区域削减替代规定，削减措施原则上应优先来源于纳入排污许可管理的排污单位采取的治理措施，并与建设项目位于同一设区市。上一年度环境空气质量达标的区域，对石化等行业的建设项目VOCs排放量实行等量削减；上一年度环境空气质量不达标的区域，对石化等行业的建设项目VOCs排放量实行2倍量削减，直至达标后的下一年再恢复等量削减。</w:t>
            </w:r>
          </w:p>
        </w:tc>
        <w:tc>
          <w:tcPr>
            <w:tcW w:w="1380" w:type="pct"/>
            <w:vAlign w:val="center"/>
          </w:tcPr>
          <w:p w14:paraId="1AE10838">
            <w:pPr>
              <w:widowControl/>
              <w:adjustRightInd w:val="0"/>
              <w:snapToGrid w:val="0"/>
              <w:jc w:val="center"/>
              <w:rPr>
                <w:color w:val="auto"/>
                <w:kern w:val="0"/>
                <w:sz w:val="18"/>
                <w:szCs w:val="18"/>
                <w:lang w:bidi="ar"/>
              </w:rPr>
            </w:pPr>
            <w:r>
              <w:rPr>
                <w:color w:val="auto"/>
                <w:kern w:val="0"/>
                <w:sz w:val="18"/>
                <w:szCs w:val="18"/>
                <w:lang w:bidi="ar"/>
              </w:rPr>
              <w:t>本项目符合“三线一单”相关要求，</w:t>
            </w:r>
            <w:r>
              <w:rPr>
                <w:rFonts w:hint="eastAsia"/>
                <w:color w:val="auto"/>
                <w:kern w:val="0"/>
                <w:sz w:val="18"/>
                <w:szCs w:val="18"/>
                <w:lang w:val="en-US" w:eastAsia="zh-CN" w:bidi="ar"/>
              </w:rPr>
              <w:t>本项目为迁建项目，</w:t>
            </w:r>
            <w:r>
              <w:rPr>
                <w:color w:val="auto"/>
                <w:kern w:val="0"/>
                <w:sz w:val="18"/>
                <w:szCs w:val="18"/>
                <w:lang w:bidi="ar"/>
              </w:rPr>
              <w:t>项目实施后，</w:t>
            </w:r>
            <w:r>
              <w:rPr>
                <w:rFonts w:hint="eastAsia"/>
                <w:color w:val="auto"/>
                <w:kern w:val="0"/>
                <w:sz w:val="18"/>
                <w:szCs w:val="18"/>
                <w:lang w:val="en-US" w:eastAsia="zh-CN" w:bidi="ar"/>
              </w:rPr>
              <w:t>不</w:t>
            </w:r>
            <w:r>
              <w:rPr>
                <w:color w:val="auto"/>
                <w:kern w:val="0"/>
                <w:sz w:val="18"/>
                <w:szCs w:val="18"/>
                <w:lang w:bidi="ar"/>
              </w:rPr>
              <w:t>新增VOCs排放量</w:t>
            </w:r>
            <w:r>
              <w:rPr>
                <w:rFonts w:hint="eastAsia"/>
                <w:color w:val="auto"/>
                <w:kern w:val="0"/>
                <w:sz w:val="18"/>
                <w:szCs w:val="18"/>
                <w:lang w:eastAsia="zh-CN" w:bidi="ar"/>
              </w:rPr>
              <w:t>，总量得到区域削减，总量不新增</w:t>
            </w:r>
            <w:r>
              <w:rPr>
                <w:color w:val="auto"/>
                <w:kern w:val="0"/>
                <w:sz w:val="18"/>
                <w:szCs w:val="18"/>
                <w:lang w:bidi="ar"/>
              </w:rPr>
              <w:t>。</w:t>
            </w:r>
          </w:p>
        </w:tc>
        <w:tc>
          <w:tcPr>
            <w:tcW w:w="344" w:type="pct"/>
            <w:vAlign w:val="center"/>
          </w:tcPr>
          <w:p w14:paraId="50752604">
            <w:pPr>
              <w:widowControl/>
              <w:adjustRightInd w:val="0"/>
              <w:snapToGrid w:val="0"/>
              <w:jc w:val="center"/>
              <w:rPr>
                <w:color w:val="auto"/>
                <w:kern w:val="0"/>
                <w:sz w:val="18"/>
                <w:szCs w:val="18"/>
                <w:lang w:bidi="ar"/>
              </w:rPr>
            </w:pPr>
            <w:r>
              <w:rPr>
                <w:color w:val="auto"/>
                <w:kern w:val="0"/>
                <w:sz w:val="18"/>
                <w:szCs w:val="18"/>
                <w:lang w:bidi="ar"/>
              </w:rPr>
              <w:t>符合</w:t>
            </w:r>
          </w:p>
        </w:tc>
      </w:tr>
      <w:tr w14:paraId="50F5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064D1803">
            <w:pPr>
              <w:widowControl/>
              <w:adjustRightInd w:val="0"/>
              <w:snapToGrid w:val="0"/>
              <w:jc w:val="center"/>
              <w:rPr>
                <w:color w:val="auto"/>
                <w:kern w:val="0"/>
                <w:sz w:val="18"/>
                <w:szCs w:val="18"/>
                <w:lang w:bidi="ar"/>
              </w:rPr>
            </w:pPr>
            <w:r>
              <w:rPr>
                <w:color w:val="auto"/>
                <w:kern w:val="0"/>
                <w:sz w:val="18"/>
                <w:szCs w:val="18"/>
                <w:lang w:bidi="ar"/>
              </w:rPr>
              <w:t>全面提升生产工艺绿色化水平</w:t>
            </w:r>
          </w:p>
        </w:tc>
        <w:tc>
          <w:tcPr>
            <w:tcW w:w="2958" w:type="pct"/>
            <w:vAlign w:val="center"/>
          </w:tcPr>
          <w:p w14:paraId="7AD37B41">
            <w:pPr>
              <w:widowControl/>
              <w:adjustRightInd w:val="0"/>
              <w:snapToGrid w:val="0"/>
              <w:jc w:val="center"/>
              <w:rPr>
                <w:color w:val="auto"/>
                <w:kern w:val="0"/>
                <w:sz w:val="18"/>
                <w:szCs w:val="18"/>
                <w:lang w:bidi="ar"/>
              </w:rPr>
            </w:pPr>
            <w:r>
              <w:rPr>
                <w:color w:val="auto"/>
                <w:kern w:val="0"/>
                <w:sz w:val="18"/>
                <w:szCs w:val="18"/>
                <w:lang w:bidi="ar"/>
              </w:rPr>
              <w:t>工业涂装行业重点推进使用紧凑式涂装工艺，推广采用辊涂、静电喷涂、高压无气喷涂、空气辅助无气喷涂、热喷涂、超临界二氧化碳喷涂等技术，鼓励企业采用自动化、智能化喷涂设备替代人工喷涂，减少使用空气喷涂技术。鼓励生产工艺装备落后、在既有基础上整改困难的企业推倒重建，从车间布局、工艺装备等方面全面提升治理水平。</w:t>
            </w:r>
          </w:p>
        </w:tc>
        <w:tc>
          <w:tcPr>
            <w:tcW w:w="1380" w:type="pct"/>
            <w:vAlign w:val="center"/>
          </w:tcPr>
          <w:p w14:paraId="3FB5A258">
            <w:pPr>
              <w:widowControl/>
              <w:adjustRightInd w:val="0"/>
              <w:snapToGrid w:val="0"/>
              <w:jc w:val="center"/>
              <w:rPr>
                <w:color w:val="auto"/>
                <w:kern w:val="0"/>
                <w:sz w:val="18"/>
                <w:szCs w:val="18"/>
                <w:lang w:bidi="ar"/>
              </w:rPr>
            </w:pPr>
            <w:r>
              <w:rPr>
                <w:color w:val="auto"/>
                <w:kern w:val="0"/>
                <w:sz w:val="18"/>
                <w:szCs w:val="18"/>
                <w:lang w:bidi="ar"/>
              </w:rPr>
              <w:t>本项目不属于石化、化工、包装印刷等行业，</w:t>
            </w:r>
            <w:r>
              <w:rPr>
                <w:rFonts w:hint="eastAsia"/>
                <w:color w:val="auto"/>
                <w:kern w:val="0"/>
                <w:sz w:val="18"/>
                <w:szCs w:val="18"/>
                <w:lang w:val="en-US" w:eastAsia="zh-CN" w:bidi="ar"/>
              </w:rPr>
              <w:t>属于工业涂装行业，采用</w:t>
            </w:r>
            <w:r>
              <w:rPr>
                <w:color w:val="auto"/>
                <w:kern w:val="0"/>
                <w:sz w:val="18"/>
                <w:szCs w:val="18"/>
                <w:lang w:bidi="ar"/>
              </w:rPr>
              <w:t>静电喷涂</w:t>
            </w:r>
            <w:r>
              <w:rPr>
                <w:rFonts w:hint="eastAsia"/>
                <w:color w:val="auto"/>
                <w:kern w:val="0"/>
                <w:sz w:val="18"/>
                <w:szCs w:val="18"/>
                <w:lang w:val="en-US" w:eastAsia="zh-CN" w:bidi="ar"/>
              </w:rPr>
              <w:t>技术，</w:t>
            </w:r>
            <w:r>
              <w:rPr>
                <w:color w:val="auto"/>
                <w:kern w:val="0"/>
                <w:sz w:val="18"/>
                <w:szCs w:val="18"/>
                <w:lang w:bidi="ar"/>
              </w:rPr>
              <w:t>且本项目设备、工艺先进、采用密闭化、自动化、管道化等技术。</w:t>
            </w:r>
          </w:p>
        </w:tc>
        <w:tc>
          <w:tcPr>
            <w:tcW w:w="344" w:type="pct"/>
            <w:vAlign w:val="center"/>
          </w:tcPr>
          <w:p w14:paraId="6EA36789">
            <w:pPr>
              <w:widowControl/>
              <w:adjustRightInd w:val="0"/>
              <w:snapToGrid w:val="0"/>
              <w:jc w:val="center"/>
              <w:rPr>
                <w:color w:val="auto"/>
                <w:kern w:val="0"/>
                <w:sz w:val="18"/>
                <w:szCs w:val="18"/>
                <w:lang w:bidi="ar"/>
              </w:rPr>
            </w:pPr>
            <w:r>
              <w:rPr>
                <w:color w:val="auto"/>
                <w:kern w:val="0"/>
                <w:sz w:val="18"/>
                <w:szCs w:val="18"/>
                <w:lang w:bidi="ar"/>
              </w:rPr>
              <w:t>符合</w:t>
            </w:r>
          </w:p>
        </w:tc>
      </w:tr>
      <w:tr w14:paraId="7EAB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4D5DF4CD">
            <w:pPr>
              <w:widowControl/>
              <w:adjustRightInd w:val="0"/>
              <w:snapToGrid w:val="0"/>
              <w:jc w:val="center"/>
              <w:rPr>
                <w:color w:val="auto"/>
                <w:kern w:val="0"/>
                <w:sz w:val="18"/>
                <w:szCs w:val="18"/>
                <w:lang w:bidi="ar"/>
              </w:rPr>
            </w:pPr>
            <w:r>
              <w:rPr>
                <w:color w:val="auto"/>
                <w:kern w:val="0"/>
                <w:sz w:val="18"/>
                <w:szCs w:val="18"/>
                <w:lang w:bidi="ar"/>
              </w:rPr>
              <w:t>大力推进低VOCs含量原辅材料的源头替代</w:t>
            </w:r>
          </w:p>
        </w:tc>
        <w:tc>
          <w:tcPr>
            <w:tcW w:w="2958" w:type="pct"/>
            <w:vAlign w:val="center"/>
          </w:tcPr>
          <w:p w14:paraId="30836014">
            <w:pPr>
              <w:widowControl/>
              <w:adjustRightInd w:val="0"/>
              <w:snapToGrid w:val="0"/>
              <w:jc w:val="center"/>
              <w:rPr>
                <w:color w:val="auto"/>
                <w:kern w:val="0"/>
                <w:sz w:val="18"/>
                <w:szCs w:val="18"/>
                <w:lang w:bidi="ar"/>
              </w:rPr>
            </w:pPr>
            <w:r>
              <w:rPr>
                <w:color w:val="auto"/>
                <w:kern w:val="0"/>
                <w:sz w:val="18"/>
                <w:szCs w:val="18"/>
                <w:lang w:bidi="ar"/>
              </w:rPr>
              <w:t>全面排查使用溶剂型工业涂料、油墨、胶粘剂、清洗剂等原辅材料的企业，各地应结合本地产业特点和本方案指导目录，制定低VOCs含量原辅材料源头替代实施计划，明确分行业源头替代时间表，按照“可替尽替、应代尽代”的原则，实施一批替代溶剂型原辅材料的项目。加快低VOCs含量原辅材料研发、生产和应用，在更多技术成熟领域逐渐推广使用低VOCs含量原辅材料，到2025年，溶剂型工业涂料、油墨、胶粘剂等使用量下降比例达到国家要求。</w:t>
            </w:r>
          </w:p>
        </w:tc>
        <w:tc>
          <w:tcPr>
            <w:tcW w:w="1380" w:type="pct"/>
            <w:vAlign w:val="center"/>
          </w:tcPr>
          <w:p w14:paraId="23DD49AF">
            <w:pPr>
              <w:widowControl/>
              <w:adjustRightInd w:val="0"/>
              <w:snapToGrid w:val="0"/>
              <w:jc w:val="center"/>
              <w:rPr>
                <w:color w:val="auto"/>
                <w:kern w:val="0"/>
                <w:sz w:val="18"/>
                <w:szCs w:val="18"/>
                <w:lang w:bidi="ar"/>
              </w:rPr>
            </w:pPr>
            <w:r>
              <w:rPr>
                <w:color w:val="auto"/>
                <w:kern w:val="0"/>
                <w:sz w:val="18"/>
                <w:szCs w:val="18"/>
                <w:lang w:bidi="ar"/>
              </w:rPr>
              <w:t>本项目涉及</w:t>
            </w:r>
            <w:r>
              <w:rPr>
                <w:rFonts w:hint="eastAsia"/>
                <w:color w:val="auto"/>
                <w:kern w:val="0"/>
                <w:sz w:val="18"/>
                <w:szCs w:val="18"/>
                <w:lang w:val="en-US" w:eastAsia="zh-CN" w:bidi="ar"/>
              </w:rPr>
              <w:t>使用的溶剂型涂料、水性涂料均为</w:t>
            </w:r>
            <w:r>
              <w:rPr>
                <w:color w:val="auto"/>
                <w:kern w:val="0"/>
                <w:sz w:val="18"/>
                <w:szCs w:val="18"/>
                <w:lang w:bidi="ar"/>
              </w:rPr>
              <w:t>符合国家标准的</w:t>
            </w:r>
            <w:r>
              <w:rPr>
                <w:rFonts w:hint="eastAsia"/>
                <w:color w:val="auto"/>
                <w:kern w:val="0"/>
                <w:sz w:val="18"/>
                <w:szCs w:val="18"/>
                <w:lang w:val="en-US" w:eastAsia="zh-CN" w:bidi="ar"/>
              </w:rPr>
              <w:t>低VOCs含量</w:t>
            </w:r>
            <w:r>
              <w:rPr>
                <w:color w:val="auto"/>
                <w:kern w:val="0"/>
                <w:sz w:val="18"/>
                <w:szCs w:val="18"/>
                <w:lang w:bidi="ar"/>
              </w:rPr>
              <w:t>涂料</w:t>
            </w:r>
            <w:r>
              <w:rPr>
                <w:rFonts w:hint="eastAsia"/>
                <w:color w:val="auto"/>
                <w:kern w:val="0"/>
                <w:sz w:val="18"/>
                <w:szCs w:val="18"/>
                <w:lang w:eastAsia="zh-CN" w:bidi="ar"/>
              </w:rPr>
              <w:t>，</w:t>
            </w:r>
            <w:r>
              <w:rPr>
                <w:rFonts w:hint="eastAsia"/>
                <w:color w:val="auto"/>
                <w:kern w:val="0"/>
                <w:sz w:val="18"/>
                <w:szCs w:val="18"/>
                <w:lang w:val="en-US" w:eastAsia="zh-CN" w:bidi="ar"/>
              </w:rPr>
              <w:t>不涉及使用</w:t>
            </w:r>
            <w:r>
              <w:rPr>
                <w:color w:val="auto"/>
                <w:kern w:val="0"/>
                <w:sz w:val="18"/>
                <w:szCs w:val="18"/>
                <w:lang w:bidi="ar"/>
              </w:rPr>
              <w:t>油墨、胶粘剂、清洗剂等原辅材料的使用。</w:t>
            </w:r>
          </w:p>
        </w:tc>
        <w:tc>
          <w:tcPr>
            <w:tcW w:w="344" w:type="pct"/>
            <w:vAlign w:val="center"/>
          </w:tcPr>
          <w:p w14:paraId="7C3D8980">
            <w:pPr>
              <w:widowControl/>
              <w:adjustRightInd w:val="0"/>
              <w:snapToGrid w:val="0"/>
              <w:jc w:val="center"/>
              <w:rPr>
                <w:color w:val="auto"/>
                <w:kern w:val="0"/>
                <w:sz w:val="18"/>
                <w:szCs w:val="18"/>
                <w:lang w:bidi="ar"/>
              </w:rPr>
            </w:pPr>
            <w:r>
              <w:rPr>
                <w:color w:val="auto"/>
                <w:kern w:val="0"/>
                <w:sz w:val="18"/>
                <w:szCs w:val="18"/>
                <w:lang w:bidi="ar"/>
              </w:rPr>
              <w:t>符合</w:t>
            </w:r>
          </w:p>
        </w:tc>
      </w:tr>
      <w:tr w14:paraId="0EF3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336CA886">
            <w:pPr>
              <w:widowControl/>
              <w:adjustRightInd w:val="0"/>
              <w:snapToGrid w:val="0"/>
              <w:jc w:val="center"/>
              <w:rPr>
                <w:color w:val="auto"/>
                <w:kern w:val="0"/>
                <w:sz w:val="18"/>
                <w:szCs w:val="18"/>
                <w:lang w:bidi="ar"/>
              </w:rPr>
            </w:pPr>
            <w:r>
              <w:rPr>
                <w:color w:val="auto"/>
                <w:kern w:val="0"/>
                <w:sz w:val="18"/>
                <w:szCs w:val="18"/>
                <w:lang w:bidi="ar"/>
              </w:rPr>
              <w:t>严格控制无组织排放</w:t>
            </w:r>
          </w:p>
        </w:tc>
        <w:tc>
          <w:tcPr>
            <w:tcW w:w="2958" w:type="pct"/>
            <w:vAlign w:val="center"/>
          </w:tcPr>
          <w:p w14:paraId="718B82A5">
            <w:pPr>
              <w:widowControl/>
              <w:adjustRightInd w:val="0"/>
              <w:snapToGrid w:val="0"/>
              <w:jc w:val="center"/>
              <w:rPr>
                <w:color w:val="auto"/>
                <w:kern w:val="0"/>
                <w:sz w:val="18"/>
                <w:szCs w:val="18"/>
                <w:lang w:bidi="ar"/>
              </w:rPr>
            </w:pPr>
            <w:r>
              <w:rPr>
                <w:color w:val="auto"/>
                <w:kern w:val="0"/>
                <w:sz w:val="18"/>
                <w:szCs w:val="18"/>
                <w:lang w:bidi="ar"/>
              </w:rPr>
              <w:t>在保证安全前提下，加强含VOCs物料全方位、全链条、全环节密闭管理，做好VOCs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VOCs无组织排放位置控制风速应不低于0.3米/秒。对VOCs物料储罐和污水集输、储存、处理设施开展排查，督促企业按要求开展专项治理。</w:t>
            </w:r>
          </w:p>
        </w:tc>
        <w:tc>
          <w:tcPr>
            <w:tcW w:w="1380" w:type="pct"/>
            <w:vAlign w:val="center"/>
          </w:tcPr>
          <w:p w14:paraId="30BA3033">
            <w:pPr>
              <w:widowControl/>
              <w:adjustRightInd w:val="0"/>
              <w:snapToGrid w:val="0"/>
              <w:jc w:val="center"/>
              <w:rPr>
                <w:color w:val="auto"/>
                <w:kern w:val="0"/>
                <w:sz w:val="18"/>
                <w:szCs w:val="18"/>
                <w:lang w:bidi="ar"/>
              </w:rPr>
            </w:pPr>
            <w:r>
              <w:rPr>
                <w:color w:val="auto"/>
                <w:kern w:val="0"/>
                <w:sz w:val="18"/>
                <w:szCs w:val="18"/>
                <w:lang w:bidi="ar"/>
              </w:rPr>
              <w:t>本项目采用</w:t>
            </w:r>
            <w:r>
              <w:rPr>
                <w:rFonts w:hint="eastAsia"/>
                <w:color w:val="auto"/>
                <w:kern w:val="0"/>
                <w:sz w:val="18"/>
                <w:szCs w:val="18"/>
                <w:lang w:val="en-US" w:eastAsia="zh-CN" w:bidi="ar"/>
              </w:rPr>
              <w:t>一体化密闭式喷涂设备，设备喷涂廊道整体密闭负压</w:t>
            </w:r>
            <w:r>
              <w:rPr>
                <w:color w:val="auto"/>
                <w:kern w:val="0"/>
                <w:sz w:val="18"/>
                <w:szCs w:val="18"/>
                <w:lang w:bidi="ar"/>
              </w:rPr>
              <w:t>收集废气。</w:t>
            </w:r>
          </w:p>
        </w:tc>
        <w:tc>
          <w:tcPr>
            <w:tcW w:w="344" w:type="pct"/>
            <w:vAlign w:val="center"/>
          </w:tcPr>
          <w:p w14:paraId="1EE682AC">
            <w:pPr>
              <w:widowControl/>
              <w:adjustRightInd w:val="0"/>
              <w:snapToGrid w:val="0"/>
              <w:jc w:val="center"/>
              <w:rPr>
                <w:color w:val="auto"/>
                <w:kern w:val="0"/>
                <w:sz w:val="18"/>
                <w:szCs w:val="18"/>
                <w:lang w:bidi="ar"/>
              </w:rPr>
            </w:pPr>
            <w:r>
              <w:rPr>
                <w:color w:val="auto"/>
                <w:kern w:val="0"/>
                <w:sz w:val="18"/>
                <w:szCs w:val="18"/>
                <w:lang w:bidi="ar"/>
              </w:rPr>
              <w:t>符合</w:t>
            </w:r>
          </w:p>
        </w:tc>
      </w:tr>
      <w:tr w14:paraId="1906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30DDF7DE">
            <w:pPr>
              <w:widowControl/>
              <w:adjustRightInd w:val="0"/>
              <w:snapToGrid w:val="0"/>
              <w:jc w:val="center"/>
              <w:rPr>
                <w:color w:val="auto"/>
                <w:kern w:val="0"/>
                <w:sz w:val="18"/>
                <w:szCs w:val="18"/>
                <w:lang w:bidi="ar"/>
              </w:rPr>
            </w:pPr>
            <w:r>
              <w:rPr>
                <w:color w:val="auto"/>
                <w:kern w:val="0"/>
                <w:sz w:val="18"/>
                <w:szCs w:val="18"/>
                <w:lang w:bidi="ar"/>
              </w:rPr>
              <w:t>建设适宜高效的治理设施</w:t>
            </w:r>
          </w:p>
        </w:tc>
        <w:tc>
          <w:tcPr>
            <w:tcW w:w="2958" w:type="pct"/>
            <w:vAlign w:val="center"/>
          </w:tcPr>
          <w:p w14:paraId="1E0E44AF">
            <w:pPr>
              <w:widowControl/>
              <w:adjustRightInd w:val="0"/>
              <w:snapToGrid w:val="0"/>
              <w:jc w:val="center"/>
              <w:rPr>
                <w:color w:val="auto"/>
                <w:kern w:val="0"/>
                <w:sz w:val="18"/>
                <w:szCs w:val="18"/>
                <w:lang w:bidi="ar"/>
              </w:rPr>
            </w:pPr>
            <w:r>
              <w:rPr>
                <w:color w:val="auto"/>
                <w:kern w:val="0"/>
                <w:sz w:val="18"/>
                <w:szCs w:val="18"/>
                <w:lang w:bidi="ar"/>
              </w:rPr>
              <w:t>企业新建治理设施或对现有治理设施实施改造，应结合排放VOCs产生特征、生产工况等合理选择治理技术，对治理难度大、单一治理工艺难以稳定达标的，要采用多种技术的组合工艺。采用活性炭吸附技术的，吸附装置和活性炭应符合相关技术要求，并按要求足量添加、定期更换活性炭。组织开展使用光催化、光氧化、低温等离子、一次性活性炭或上述组合技术等VOCs治理设施排查，对达不到要求的，应当更换或升级改造，实现稳定达标排放。到2025 年，完成5000家低效VOCs治理设施改造升级，石化行业的VOCs综合去除效率达到70%以上，化工、工业涂装、包装印刷、合成革等行业的VOCs综合去除效率达到60%以上。</w:t>
            </w:r>
          </w:p>
        </w:tc>
        <w:tc>
          <w:tcPr>
            <w:tcW w:w="1380" w:type="pct"/>
            <w:vAlign w:val="center"/>
          </w:tcPr>
          <w:p w14:paraId="7DEF473D">
            <w:pPr>
              <w:widowControl/>
              <w:adjustRightInd w:val="0"/>
              <w:snapToGrid w:val="0"/>
              <w:jc w:val="center"/>
              <w:rPr>
                <w:color w:val="auto"/>
                <w:kern w:val="0"/>
                <w:sz w:val="18"/>
                <w:szCs w:val="18"/>
                <w:lang w:bidi="ar"/>
              </w:rPr>
            </w:pPr>
            <w:r>
              <w:rPr>
                <w:color w:val="auto"/>
                <w:kern w:val="0"/>
                <w:sz w:val="18"/>
                <w:szCs w:val="18"/>
                <w:lang w:bidi="ar"/>
              </w:rPr>
              <w:t>本项目有机废气采用</w:t>
            </w:r>
            <w:r>
              <w:rPr>
                <w:rFonts w:hint="eastAsia"/>
                <w:color w:val="auto"/>
                <w:kern w:val="0"/>
                <w:sz w:val="18"/>
                <w:szCs w:val="18"/>
                <w:lang w:eastAsia="zh-CN" w:bidi="ar"/>
              </w:rPr>
              <w:t>“活性炭吸附+脱附催化燃烧”</w:t>
            </w:r>
            <w:r>
              <w:rPr>
                <w:color w:val="auto"/>
                <w:kern w:val="0"/>
                <w:sz w:val="18"/>
                <w:szCs w:val="18"/>
                <w:lang w:bidi="ar"/>
              </w:rPr>
              <w:t>装置处理，属于可行技术，VOCs综合去除效率可达到</w:t>
            </w:r>
            <w:r>
              <w:rPr>
                <w:rFonts w:hint="eastAsia"/>
                <w:color w:val="auto"/>
                <w:kern w:val="0"/>
                <w:sz w:val="18"/>
                <w:szCs w:val="18"/>
                <w:lang w:val="en-US" w:eastAsia="zh-CN" w:bidi="ar"/>
              </w:rPr>
              <w:t>75</w:t>
            </w:r>
            <w:r>
              <w:rPr>
                <w:color w:val="auto"/>
                <w:kern w:val="0"/>
                <w:sz w:val="18"/>
                <w:szCs w:val="18"/>
                <w:lang w:bidi="ar"/>
              </w:rPr>
              <w:t>%以上。</w:t>
            </w:r>
          </w:p>
        </w:tc>
        <w:tc>
          <w:tcPr>
            <w:tcW w:w="344" w:type="pct"/>
            <w:vAlign w:val="center"/>
          </w:tcPr>
          <w:p w14:paraId="03021603">
            <w:pPr>
              <w:widowControl/>
              <w:adjustRightInd w:val="0"/>
              <w:snapToGrid w:val="0"/>
              <w:jc w:val="center"/>
              <w:rPr>
                <w:color w:val="auto"/>
                <w:kern w:val="0"/>
                <w:sz w:val="18"/>
                <w:szCs w:val="18"/>
                <w:lang w:bidi="ar"/>
              </w:rPr>
            </w:pPr>
            <w:r>
              <w:rPr>
                <w:color w:val="auto"/>
                <w:kern w:val="0"/>
                <w:sz w:val="18"/>
                <w:szCs w:val="18"/>
                <w:lang w:bidi="ar"/>
              </w:rPr>
              <w:t>符合</w:t>
            </w:r>
          </w:p>
        </w:tc>
      </w:tr>
      <w:tr w14:paraId="3B63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28321145">
            <w:pPr>
              <w:widowControl/>
              <w:adjustRightInd w:val="0"/>
              <w:snapToGrid w:val="0"/>
              <w:jc w:val="center"/>
              <w:rPr>
                <w:color w:val="auto"/>
                <w:kern w:val="0"/>
                <w:sz w:val="18"/>
                <w:szCs w:val="18"/>
                <w:lang w:bidi="ar"/>
              </w:rPr>
            </w:pPr>
            <w:r>
              <w:rPr>
                <w:color w:val="auto"/>
                <w:kern w:val="0"/>
                <w:sz w:val="18"/>
                <w:szCs w:val="18"/>
                <w:lang w:bidi="ar"/>
              </w:rPr>
              <w:t>加强治理设施运行管理</w:t>
            </w:r>
          </w:p>
        </w:tc>
        <w:tc>
          <w:tcPr>
            <w:tcW w:w="2958" w:type="pct"/>
            <w:vAlign w:val="center"/>
          </w:tcPr>
          <w:p w14:paraId="5C98755C">
            <w:pPr>
              <w:widowControl/>
              <w:adjustRightInd w:val="0"/>
              <w:snapToGrid w:val="0"/>
              <w:jc w:val="center"/>
              <w:rPr>
                <w:color w:val="auto"/>
                <w:kern w:val="0"/>
                <w:sz w:val="18"/>
                <w:szCs w:val="18"/>
                <w:lang w:bidi="ar"/>
              </w:rPr>
            </w:pPr>
            <w:r>
              <w:rPr>
                <w:color w:val="auto"/>
                <w:kern w:val="0"/>
                <w:sz w:val="18"/>
                <w:szCs w:val="18"/>
                <w:lang w:bidi="ar"/>
              </w:rPr>
              <w:t>按照治理设施较生产设备“先启后停”的原则提升治理设施投运率。根据处理工艺要求，在治理设施达到正常运行条件后方可启动生产设备，在生产设备停止、残留VOCs收集处理完毕后，方可停运治理设施。VOCs治理设施发生故障或检修时，对应生产设备应停止运行，待检修完毕后投入使用；因安全等因素生产设备不能停止或不能及时停止运行的，应设置废气应急处理设施或采取其他替代措施。</w:t>
            </w:r>
          </w:p>
        </w:tc>
        <w:tc>
          <w:tcPr>
            <w:tcW w:w="1380" w:type="pct"/>
            <w:vAlign w:val="center"/>
          </w:tcPr>
          <w:p w14:paraId="20CC13FB">
            <w:pPr>
              <w:widowControl/>
              <w:adjustRightInd w:val="0"/>
              <w:snapToGrid w:val="0"/>
              <w:jc w:val="center"/>
              <w:rPr>
                <w:color w:val="auto"/>
                <w:kern w:val="0"/>
                <w:sz w:val="18"/>
                <w:szCs w:val="18"/>
                <w:lang w:bidi="ar"/>
              </w:rPr>
            </w:pPr>
            <w:r>
              <w:rPr>
                <w:color w:val="auto"/>
                <w:kern w:val="0"/>
                <w:sz w:val="18"/>
                <w:szCs w:val="18"/>
                <w:lang w:bidi="ar"/>
              </w:rPr>
              <w:t>要求建设单位在运营过程中待治理设施达到正常运行条件后方可启动生产设备，在生产设备停止、残留VOCs收集处理完毕后，方可停运治理设施。VOCs治理设施发生故障或检修时，对应生产设备应停止运行，待检修完毕后投入使用。</w:t>
            </w:r>
          </w:p>
        </w:tc>
        <w:tc>
          <w:tcPr>
            <w:tcW w:w="344" w:type="pct"/>
            <w:vAlign w:val="center"/>
          </w:tcPr>
          <w:p w14:paraId="36687763">
            <w:pPr>
              <w:widowControl/>
              <w:adjustRightInd w:val="0"/>
              <w:snapToGrid w:val="0"/>
              <w:jc w:val="center"/>
              <w:rPr>
                <w:color w:val="auto"/>
                <w:kern w:val="0"/>
                <w:sz w:val="18"/>
                <w:szCs w:val="18"/>
                <w:lang w:bidi="ar"/>
              </w:rPr>
            </w:pPr>
            <w:r>
              <w:rPr>
                <w:color w:val="auto"/>
                <w:kern w:val="0"/>
                <w:sz w:val="18"/>
                <w:szCs w:val="18"/>
                <w:lang w:bidi="ar"/>
              </w:rPr>
              <w:t>符合</w:t>
            </w:r>
          </w:p>
        </w:tc>
      </w:tr>
      <w:tr w14:paraId="0808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318" w:type="pct"/>
            <w:vAlign w:val="center"/>
          </w:tcPr>
          <w:p w14:paraId="19D0DD24">
            <w:pPr>
              <w:widowControl/>
              <w:adjustRightInd w:val="0"/>
              <w:snapToGrid w:val="0"/>
              <w:jc w:val="center"/>
              <w:rPr>
                <w:color w:val="auto"/>
                <w:kern w:val="0"/>
                <w:sz w:val="18"/>
                <w:szCs w:val="18"/>
                <w:lang w:bidi="ar"/>
              </w:rPr>
            </w:pPr>
            <w:r>
              <w:rPr>
                <w:color w:val="auto"/>
                <w:kern w:val="0"/>
                <w:sz w:val="18"/>
                <w:szCs w:val="18"/>
                <w:lang w:bidi="ar"/>
              </w:rPr>
              <w:t>规范应急旁路排放管理</w:t>
            </w:r>
          </w:p>
        </w:tc>
        <w:tc>
          <w:tcPr>
            <w:tcW w:w="2958" w:type="pct"/>
            <w:vAlign w:val="center"/>
          </w:tcPr>
          <w:p w14:paraId="4A1903A1">
            <w:pPr>
              <w:widowControl/>
              <w:adjustRightInd w:val="0"/>
              <w:snapToGrid w:val="0"/>
              <w:jc w:val="center"/>
              <w:rPr>
                <w:color w:val="auto"/>
                <w:kern w:val="0"/>
                <w:sz w:val="18"/>
                <w:szCs w:val="18"/>
                <w:lang w:bidi="ar"/>
              </w:rPr>
            </w:pPr>
            <w:r>
              <w:rPr>
                <w:color w:val="auto"/>
                <w:kern w:val="0"/>
                <w:sz w:val="18"/>
                <w:szCs w:val="18"/>
                <w:lang w:bidi="ar"/>
              </w:rPr>
              <w:t>推动取消石化、化工、工业涂装、包装印刷、纺织印染等行业非必要的含VOCs排放的旁路。因安全等因素确须保留的，企业应将保留的应急旁路报当地生态环境部门。应急旁路在非紧急情况下保持关闭，并通过铅封、安装监控（如流量、温度、压差、阀门开度、视频等）设施等加强监管，开启后应做好台账记录并及时向当地生态环境部门报告。</w:t>
            </w:r>
          </w:p>
        </w:tc>
        <w:tc>
          <w:tcPr>
            <w:tcW w:w="1380" w:type="pct"/>
            <w:vAlign w:val="center"/>
          </w:tcPr>
          <w:p w14:paraId="2E4274E3">
            <w:pPr>
              <w:widowControl/>
              <w:adjustRightInd w:val="0"/>
              <w:snapToGrid w:val="0"/>
              <w:jc w:val="center"/>
              <w:rPr>
                <w:color w:val="auto"/>
                <w:kern w:val="0"/>
                <w:sz w:val="18"/>
                <w:szCs w:val="18"/>
                <w:lang w:bidi="ar"/>
              </w:rPr>
            </w:pPr>
            <w:r>
              <w:rPr>
                <w:color w:val="auto"/>
                <w:kern w:val="0"/>
                <w:sz w:val="18"/>
                <w:szCs w:val="18"/>
                <w:lang w:bidi="ar"/>
              </w:rPr>
              <w:t>项目不设置VOCs排放旁路，一旦废气处理设施发生故障，建设单位应立即停产。</w:t>
            </w:r>
          </w:p>
        </w:tc>
        <w:tc>
          <w:tcPr>
            <w:tcW w:w="344" w:type="pct"/>
            <w:vAlign w:val="center"/>
          </w:tcPr>
          <w:p w14:paraId="10E8355A">
            <w:pPr>
              <w:widowControl/>
              <w:adjustRightInd w:val="0"/>
              <w:snapToGrid w:val="0"/>
              <w:jc w:val="center"/>
              <w:rPr>
                <w:color w:val="auto"/>
                <w:kern w:val="0"/>
                <w:sz w:val="18"/>
                <w:szCs w:val="18"/>
                <w:lang w:bidi="ar"/>
              </w:rPr>
            </w:pPr>
            <w:r>
              <w:rPr>
                <w:color w:val="auto"/>
                <w:kern w:val="0"/>
                <w:sz w:val="18"/>
                <w:szCs w:val="18"/>
                <w:lang w:bidi="ar"/>
              </w:rPr>
              <w:t>符合</w:t>
            </w:r>
          </w:p>
        </w:tc>
      </w:tr>
    </w:tbl>
    <w:p w14:paraId="085C346A">
      <w:pPr>
        <w:spacing w:line="360" w:lineRule="auto"/>
        <w:ind w:firstLine="480" w:firstLineChars="200"/>
        <w:rPr>
          <w:color w:val="auto"/>
          <w:kern w:val="0"/>
          <w:sz w:val="24"/>
        </w:rPr>
      </w:pPr>
      <w:r>
        <w:rPr>
          <w:color w:val="auto"/>
          <w:kern w:val="0"/>
          <w:sz w:val="24"/>
        </w:rPr>
        <w:t>由上表对比分析可知，本项目符合《浙江省“十四五”挥发性有机物综合治理方案》中相关要求，要求企业加强管理，落实该方案相关要求。</w:t>
      </w:r>
    </w:p>
    <w:p w14:paraId="77C1CE62">
      <w:pPr>
        <w:spacing w:line="360" w:lineRule="auto"/>
        <w:outlineLvl w:val="1"/>
        <w:rPr>
          <w:rFonts w:hint="eastAsia" w:eastAsia="宋体"/>
          <w:b/>
          <w:color w:val="auto"/>
          <w:sz w:val="24"/>
          <w:lang w:eastAsia="zh-CN"/>
        </w:rPr>
      </w:pPr>
      <w:bookmarkStart w:id="12" w:name="_Toc598"/>
      <w:r>
        <w:rPr>
          <w:rFonts w:hint="eastAsia"/>
          <w:b/>
          <w:color w:val="auto"/>
          <w:sz w:val="24"/>
          <w:lang w:val="en-US" w:eastAsia="zh-CN"/>
        </w:rPr>
        <w:t>4.4《临平经济技术开发区异味重点企业整治提升方案暨行业提级增效管控标准》</w:t>
      </w:r>
      <w:r>
        <w:rPr>
          <w:rFonts w:hint="eastAsia"/>
          <w:b/>
          <w:color w:val="auto"/>
          <w:sz w:val="24"/>
          <w:lang w:eastAsia="zh-CN"/>
        </w:rPr>
        <w:t>符合性分析</w:t>
      </w:r>
      <w:bookmarkEnd w:id="12"/>
    </w:p>
    <w:p w14:paraId="0D693C6F">
      <w:pPr>
        <w:pStyle w:val="120"/>
        <w:adjustRightInd w:val="0"/>
        <w:snapToGrid w:val="0"/>
        <w:spacing w:line="360" w:lineRule="auto"/>
        <w:ind w:firstLine="48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企业实际为通用设备制造，主要污染物由喷漆涂装工序产生，本次整治提升参照《临平经济技术开发区异味重点企业整治提升方案暨行业提级增效管控标准》内工业涂装类现有企业评价指标进行分析，企业实际符合情况如下表所示。</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7"/>
        <w:gridCol w:w="340"/>
        <w:gridCol w:w="4220"/>
        <w:gridCol w:w="1810"/>
        <w:gridCol w:w="1347"/>
      </w:tblGrid>
      <w:tr w14:paraId="1BF3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27" w:type="dxa"/>
            <w:vMerge w:val="restart"/>
            <w:shd w:val="clear" w:color="auto" w:fill="FFFFFF"/>
            <w:noWrap w:val="0"/>
            <w:tcMar>
              <w:top w:w="10" w:type="dxa"/>
              <w:left w:w="10" w:type="dxa"/>
              <w:right w:w="10" w:type="dxa"/>
            </w:tcMar>
            <w:vAlign w:val="center"/>
          </w:tcPr>
          <w:p w14:paraId="196793CE">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项目</w:t>
            </w:r>
          </w:p>
        </w:tc>
        <w:tc>
          <w:tcPr>
            <w:tcW w:w="6370" w:type="dxa"/>
            <w:gridSpan w:val="3"/>
            <w:shd w:val="clear" w:color="auto" w:fill="FFFFFF"/>
            <w:noWrap w:val="0"/>
            <w:tcMar>
              <w:top w:w="10" w:type="dxa"/>
              <w:left w:w="10" w:type="dxa"/>
              <w:right w:w="10" w:type="dxa"/>
            </w:tcMar>
            <w:vAlign w:val="center"/>
          </w:tcPr>
          <w:p w14:paraId="0FA8E8BB">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标准要求</w:t>
            </w:r>
          </w:p>
        </w:tc>
        <w:tc>
          <w:tcPr>
            <w:tcW w:w="1347" w:type="dxa"/>
            <w:vMerge w:val="restart"/>
            <w:shd w:val="clear" w:color="auto" w:fill="FFFFFF"/>
            <w:noWrap w:val="0"/>
            <w:tcMar>
              <w:top w:w="10" w:type="dxa"/>
              <w:left w:w="10" w:type="dxa"/>
              <w:right w:w="10" w:type="dxa"/>
            </w:tcMar>
            <w:vAlign w:val="center"/>
          </w:tcPr>
          <w:p w14:paraId="48F2B5F9">
            <w:pPr>
              <w:widowControl/>
              <w:adjustRightInd w:val="0"/>
              <w:snapToGrid w:val="0"/>
              <w:jc w:val="center"/>
              <w:rPr>
                <w:rFonts w:hint="default"/>
                <w:color w:val="auto"/>
                <w:kern w:val="0"/>
                <w:sz w:val="18"/>
                <w:szCs w:val="18"/>
                <w:lang w:val="en-US" w:bidi="ar"/>
              </w:rPr>
            </w:pPr>
            <w:r>
              <w:rPr>
                <w:rFonts w:hint="eastAsia"/>
                <w:color w:val="auto"/>
                <w:kern w:val="0"/>
                <w:sz w:val="18"/>
                <w:szCs w:val="18"/>
                <w:lang w:val="en-US" w:eastAsia="zh-CN" w:bidi="ar"/>
              </w:rPr>
              <w:t>现状实际情况</w:t>
            </w:r>
          </w:p>
        </w:tc>
      </w:tr>
      <w:tr w14:paraId="0A6E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27" w:type="dxa"/>
            <w:vMerge w:val="continue"/>
            <w:shd w:val="clear" w:color="auto" w:fill="FFFFFF"/>
            <w:noWrap w:val="0"/>
            <w:tcMar>
              <w:top w:w="10" w:type="dxa"/>
              <w:left w:w="10" w:type="dxa"/>
              <w:right w:w="10" w:type="dxa"/>
            </w:tcMar>
            <w:vAlign w:val="center"/>
          </w:tcPr>
          <w:p w14:paraId="35E3F17C">
            <w:pPr>
              <w:widowControl/>
              <w:adjustRightInd w:val="0"/>
              <w:snapToGrid w:val="0"/>
              <w:jc w:val="center"/>
              <w:rPr>
                <w:rFonts w:hint="default"/>
                <w:color w:val="auto"/>
                <w:kern w:val="0"/>
                <w:sz w:val="18"/>
                <w:szCs w:val="18"/>
                <w:lang w:bidi="ar"/>
              </w:rPr>
            </w:pPr>
          </w:p>
        </w:tc>
        <w:tc>
          <w:tcPr>
            <w:tcW w:w="340" w:type="dxa"/>
            <w:shd w:val="clear" w:color="auto" w:fill="FFFFFF"/>
            <w:noWrap w:val="0"/>
            <w:tcMar>
              <w:top w:w="10" w:type="dxa"/>
              <w:left w:w="10" w:type="dxa"/>
              <w:right w:w="10" w:type="dxa"/>
            </w:tcMar>
            <w:vAlign w:val="center"/>
          </w:tcPr>
          <w:p w14:paraId="5E65728F">
            <w:pPr>
              <w:widowControl/>
              <w:adjustRightInd w:val="0"/>
              <w:snapToGrid w:val="0"/>
              <w:jc w:val="center"/>
              <w:rPr>
                <w:rFonts w:hint="default"/>
                <w:color w:val="auto"/>
                <w:kern w:val="0"/>
                <w:sz w:val="18"/>
                <w:szCs w:val="18"/>
                <w:lang w:bidi="ar"/>
              </w:rPr>
            </w:pPr>
          </w:p>
        </w:tc>
        <w:tc>
          <w:tcPr>
            <w:tcW w:w="4220" w:type="dxa"/>
            <w:shd w:val="clear" w:color="auto" w:fill="FFFFFF"/>
            <w:noWrap w:val="0"/>
            <w:tcMar>
              <w:top w:w="10" w:type="dxa"/>
              <w:left w:w="10" w:type="dxa"/>
              <w:right w:w="10" w:type="dxa"/>
            </w:tcMar>
            <w:vAlign w:val="center"/>
          </w:tcPr>
          <w:p w14:paraId="30D2795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后期引进企业审批要求</w:t>
            </w:r>
          </w:p>
        </w:tc>
        <w:tc>
          <w:tcPr>
            <w:tcW w:w="1810" w:type="dxa"/>
            <w:shd w:val="clear" w:color="auto" w:fill="FFFFFF"/>
            <w:noWrap w:val="0"/>
            <w:tcMar>
              <w:top w:w="10" w:type="dxa"/>
              <w:left w:w="10" w:type="dxa"/>
              <w:right w:w="10" w:type="dxa"/>
            </w:tcMar>
            <w:vAlign w:val="center"/>
          </w:tcPr>
          <w:p w14:paraId="2138099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一厂一策问题</w:t>
            </w:r>
          </w:p>
        </w:tc>
        <w:tc>
          <w:tcPr>
            <w:tcW w:w="1347" w:type="dxa"/>
            <w:vMerge w:val="continue"/>
            <w:shd w:val="clear" w:color="auto" w:fill="FFFFFF"/>
            <w:noWrap w:val="0"/>
            <w:tcMar>
              <w:top w:w="10" w:type="dxa"/>
              <w:left w:w="10" w:type="dxa"/>
              <w:right w:w="10" w:type="dxa"/>
            </w:tcMar>
            <w:vAlign w:val="center"/>
          </w:tcPr>
          <w:p w14:paraId="3BC3B3F5">
            <w:pPr>
              <w:widowControl/>
              <w:adjustRightInd w:val="0"/>
              <w:snapToGrid w:val="0"/>
              <w:jc w:val="center"/>
              <w:rPr>
                <w:rFonts w:hint="default"/>
                <w:color w:val="auto"/>
                <w:kern w:val="0"/>
                <w:sz w:val="18"/>
                <w:szCs w:val="18"/>
                <w:lang w:bidi="ar"/>
              </w:rPr>
            </w:pPr>
          </w:p>
        </w:tc>
      </w:tr>
      <w:tr w14:paraId="7CF8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jc w:val="center"/>
        </w:trPr>
        <w:tc>
          <w:tcPr>
            <w:tcW w:w="527" w:type="dxa"/>
            <w:shd w:val="clear" w:color="auto" w:fill="FFFFFF"/>
            <w:noWrap w:val="0"/>
            <w:tcMar>
              <w:top w:w="10" w:type="dxa"/>
              <w:left w:w="10" w:type="dxa"/>
              <w:right w:w="10" w:type="dxa"/>
            </w:tcMar>
            <w:vAlign w:val="center"/>
          </w:tcPr>
          <w:p w14:paraId="223724FA">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原辅料管控</w:t>
            </w:r>
          </w:p>
        </w:tc>
        <w:tc>
          <w:tcPr>
            <w:tcW w:w="340" w:type="dxa"/>
            <w:shd w:val="clear" w:color="auto" w:fill="FFFFFF"/>
            <w:noWrap w:val="0"/>
            <w:tcMar>
              <w:top w:w="10" w:type="dxa"/>
              <w:left w:w="10" w:type="dxa"/>
              <w:right w:w="10" w:type="dxa"/>
            </w:tcMar>
            <w:vAlign w:val="center"/>
          </w:tcPr>
          <w:p w14:paraId="04EDF9F7">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1</w:t>
            </w:r>
          </w:p>
        </w:tc>
        <w:tc>
          <w:tcPr>
            <w:tcW w:w="4220" w:type="dxa"/>
            <w:shd w:val="clear" w:color="auto" w:fill="FFFFFF"/>
            <w:noWrap w:val="0"/>
            <w:tcMar>
              <w:top w:w="10" w:type="dxa"/>
              <w:left w:w="10" w:type="dxa"/>
              <w:right w:w="10" w:type="dxa"/>
            </w:tcMar>
            <w:vAlign w:val="center"/>
          </w:tcPr>
          <w:p w14:paraId="7AF5D96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①所使用水性、无溶剂、辐射固化涂料需</w:t>
            </w:r>
            <w:r>
              <w:rPr>
                <w:rFonts w:hint="default"/>
                <w:color w:val="auto"/>
                <w:kern w:val="0"/>
                <w:sz w:val="18"/>
                <w:szCs w:val="18"/>
                <w:lang w:val="en-US" w:eastAsia="zh-CN" w:bidi="ar"/>
              </w:rPr>
              <w:t>符合《工业防护涂料中有害物质限量》（GB30981-2020）</w:t>
            </w:r>
            <w:r>
              <w:rPr>
                <w:rFonts w:hint="eastAsia"/>
                <w:color w:val="auto"/>
                <w:kern w:val="0"/>
                <w:sz w:val="18"/>
                <w:szCs w:val="18"/>
                <w:lang w:val="en-US" w:eastAsia="zh-CN" w:bidi="ar"/>
              </w:rPr>
              <w:t>、</w:t>
            </w:r>
            <w:r>
              <w:rPr>
                <w:rFonts w:hint="default"/>
                <w:color w:val="auto"/>
                <w:kern w:val="0"/>
                <w:sz w:val="18"/>
                <w:szCs w:val="18"/>
                <w:lang w:val="en-US" w:eastAsia="zh-CN" w:bidi="ar"/>
              </w:rPr>
              <w:t>《车辆涂 料中有害物质限量》（GB24409-2020）、《木器涂料中有害物质限量》（GB18581-2020）</w:t>
            </w:r>
            <w:r>
              <w:rPr>
                <w:rFonts w:hint="eastAsia"/>
                <w:color w:val="auto"/>
                <w:kern w:val="0"/>
                <w:sz w:val="18"/>
                <w:szCs w:val="18"/>
                <w:lang w:val="en-US" w:eastAsia="zh-CN" w:bidi="ar"/>
              </w:rPr>
              <w:t>、</w:t>
            </w:r>
            <w:r>
              <w:rPr>
                <w:rFonts w:hint="default"/>
                <w:color w:val="auto"/>
                <w:kern w:val="0"/>
                <w:sz w:val="18"/>
                <w:szCs w:val="18"/>
                <w:lang w:val="en-US" w:eastAsia="zh-CN" w:bidi="ar"/>
              </w:rPr>
              <w:t>《船舶涂料中有害物质限量》 （GB38469-2019）等标准规定。</w:t>
            </w:r>
          </w:p>
          <w:p w14:paraId="30BE050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②所使用溶剂型涂料需符合《低挥发性有机化合物含量涂料产品技术要求》（GB/T 38597-2020）规定</w:t>
            </w:r>
            <w:r>
              <w:rPr>
                <w:rFonts w:hint="default"/>
                <w:color w:val="auto"/>
                <w:kern w:val="0"/>
                <w:sz w:val="18"/>
                <w:szCs w:val="18"/>
                <w:lang w:val="en-US" w:eastAsia="zh-CN" w:bidi="ar"/>
              </w:rPr>
              <w:t>。</w:t>
            </w:r>
          </w:p>
        </w:tc>
        <w:tc>
          <w:tcPr>
            <w:tcW w:w="1810" w:type="dxa"/>
            <w:shd w:val="clear" w:color="auto" w:fill="FFFFFF"/>
            <w:noWrap w:val="0"/>
            <w:tcMar>
              <w:top w:w="10" w:type="dxa"/>
              <w:left w:w="10" w:type="dxa"/>
              <w:right w:w="10" w:type="dxa"/>
            </w:tcMar>
            <w:vAlign w:val="center"/>
          </w:tcPr>
          <w:p w14:paraId="6C055EE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涉及</w:t>
            </w:r>
            <w:r>
              <w:rPr>
                <w:rFonts w:hint="default"/>
                <w:color w:val="auto"/>
                <w:kern w:val="0"/>
                <w:sz w:val="18"/>
                <w:szCs w:val="18"/>
                <w:lang w:bidi="ar"/>
              </w:rPr>
              <w:t>使用</w:t>
            </w:r>
            <w:r>
              <w:rPr>
                <w:rFonts w:hint="eastAsia"/>
                <w:color w:val="auto"/>
                <w:kern w:val="0"/>
                <w:sz w:val="18"/>
                <w:szCs w:val="18"/>
                <w:lang w:val="en-US" w:eastAsia="zh-CN" w:bidi="ar"/>
              </w:rPr>
              <w:t>溶剂型和水性涂料，</w:t>
            </w:r>
            <w:r>
              <w:rPr>
                <w:rFonts w:hint="default"/>
                <w:color w:val="auto"/>
                <w:kern w:val="0"/>
                <w:sz w:val="18"/>
                <w:szCs w:val="18"/>
                <w:lang w:bidi="ar"/>
              </w:rPr>
              <w:t>符合《低挥发性有机化合物含量涂料产品技术要求》（GB/T 38597-2020）</w:t>
            </w:r>
            <w:r>
              <w:rPr>
                <w:rFonts w:hint="default"/>
                <w:color w:val="auto"/>
                <w:kern w:val="0"/>
                <w:sz w:val="18"/>
                <w:szCs w:val="18"/>
                <w:lang w:val="en-US" w:eastAsia="zh-CN" w:bidi="ar"/>
              </w:rPr>
              <w:t>标准规定的涂料产品</w:t>
            </w:r>
          </w:p>
        </w:tc>
        <w:tc>
          <w:tcPr>
            <w:tcW w:w="1347" w:type="dxa"/>
            <w:shd w:val="clear" w:color="auto" w:fill="FFFFFF"/>
            <w:noWrap w:val="0"/>
            <w:tcMar>
              <w:top w:w="10" w:type="dxa"/>
              <w:left w:w="10" w:type="dxa"/>
              <w:right w:w="10" w:type="dxa"/>
            </w:tcMar>
            <w:vAlign w:val="center"/>
          </w:tcPr>
          <w:p w14:paraId="040D38F3">
            <w:pPr>
              <w:widowControl/>
              <w:adjustRightInd w:val="0"/>
              <w:snapToGrid w:val="0"/>
              <w:jc w:val="center"/>
              <w:rPr>
                <w:rFonts w:hint="eastAsia" w:eastAsia="宋体"/>
                <w:color w:val="auto"/>
                <w:kern w:val="0"/>
                <w:sz w:val="18"/>
                <w:szCs w:val="18"/>
                <w:lang w:eastAsia="zh-CN" w:bidi="ar"/>
              </w:rPr>
            </w:pPr>
            <w:r>
              <w:rPr>
                <w:rFonts w:hint="eastAsia"/>
                <w:color w:val="auto"/>
                <w:kern w:val="0"/>
                <w:sz w:val="18"/>
                <w:szCs w:val="18"/>
                <w:lang w:val="en-US" w:eastAsia="zh-CN" w:bidi="ar"/>
              </w:rPr>
              <w:t>相符</w:t>
            </w:r>
          </w:p>
        </w:tc>
      </w:tr>
      <w:tr w14:paraId="6BC4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jc w:val="center"/>
        </w:trPr>
        <w:tc>
          <w:tcPr>
            <w:tcW w:w="527" w:type="dxa"/>
            <w:vMerge w:val="restart"/>
            <w:shd w:val="clear" w:color="auto" w:fill="auto"/>
            <w:noWrap w:val="0"/>
            <w:tcMar>
              <w:top w:w="10" w:type="dxa"/>
              <w:left w:w="10" w:type="dxa"/>
              <w:right w:w="10" w:type="dxa"/>
            </w:tcMar>
            <w:vAlign w:val="center"/>
          </w:tcPr>
          <w:p w14:paraId="0BA280FB">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工艺装备水平及过程管控</w:t>
            </w:r>
          </w:p>
        </w:tc>
        <w:tc>
          <w:tcPr>
            <w:tcW w:w="340" w:type="dxa"/>
            <w:shd w:val="clear" w:color="auto" w:fill="auto"/>
            <w:noWrap w:val="0"/>
            <w:tcMar>
              <w:top w:w="10" w:type="dxa"/>
              <w:left w:w="10" w:type="dxa"/>
              <w:right w:w="10" w:type="dxa"/>
            </w:tcMar>
            <w:vAlign w:val="center"/>
          </w:tcPr>
          <w:p w14:paraId="24A24E9C">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2</w:t>
            </w:r>
          </w:p>
        </w:tc>
        <w:tc>
          <w:tcPr>
            <w:tcW w:w="4220" w:type="dxa"/>
            <w:shd w:val="clear" w:color="auto" w:fill="FFFFFF"/>
            <w:noWrap w:val="0"/>
            <w:tcMar>
              <w:top w:w="10" w:type="dxa"/>
              <w:left w:w="10" w:type="dxa"/>
              <w:right w:w="10" w:type="dxa"/>
            </w:tcMar>
            <w:vAlign w:val="center"/>
          </w:tcPr>
          <w:p w14:paraId="3840BFE6">
            <w:pPr>
              <w:widowControl/>
              <w:adjustRightInd w:val="0"/>
              <w:snapToGrid w:val="0"/>
              <w:jc w:val="center"/>
              <w:rPr>
                <w:rFonts w:hint="eastAsia"/>
                <w:color w:val="auto"/>
                <w:spacing w:val="0"/>
                <w:kern w:val="0"/>
                <w:sz w:val="18"/>
                <w:szCs w:val="18"/>
                <w:lang w:bidi="ar"/>
              </w:rPr>
            </w:pPr>
            <w:r>
              <w:rPr>
                <w:rFonts w:hint="eastAsia"/>
                <w:color w:val="auto"/>
                <w:spacing w:val="0"/>
                <w:kern w:val="0"/>
                <w:sz w:val="18"/>
                <w:szCs w:val="18"/>
                <w:lang w:bidi="ar"/>
              </w:rPr>
              <w:t>采用静电喷涂、自动喷涂、高压无气喷涂或高流低压</w:t>
            </w:r>
          </w:p>
          <w:p w14:paraId="2A498C15">
            <w:pPr>
              <w:widowControl/>
              <w:adjustRightInd w:val="0"/>
              <w:snapToGrid w:val="0"/>
              <w:jc w:val="center"/>
              <w:rPr>
                <w:rFonts w:hint="default"/>
                <w:color w:val="auto"/>
                <w:kern w:val="0"/>
                <w:sz w:val="18"/>
                <w:szCs w:val="18"/>
                <w:lang w:val="en-US" w:eastAsia="zh-CN" w:bidi="ar"/>
              </w:rPr>
            </w:pPr>
            <w:r>
              <w:rPr>
                <w:rFonts w:hint="eastAsia"/>
                <w:color w:val="auto"/>
                <w:spacing w:val="0"/>
                <w:kern w:val="0"/>
                <w:sz w:val="18"/>
                <w:szCs w:val="18"/>
                <w:lang w:bidi="ar"/>
              </w:rPr>
              <w:t>（HVLP）喷枪等高效涂装技术，禁止使用手动空气喷涂技术</w:t>
            </w:r>
            <w:r>
              <w:rPr>
                <w:color w:val="auto"/>
                <w:spacing w:val="0"/>
                <w:kern w:val="0"/>
                <w:sz w:val="18"/>
                <w:szCs w:val="18"/>
                <w:lang w:bidi="ar"/>
              </w:rPr>
              <w:t>。</w:t>
            </w:r>
          </w:p>
        </w:tc>
        <w:tc>
          <w:tcPr>
            <w:tcW w:w="1810" w:type="dxa"/>
            <w:shd w:val="clear" w:color="auto" w:fill="FFFFFF"/>
            <w:noWrap w:val="0"/>
            <w:tcMar>
              <w:top w:w="10" w:type="dxa"/>
              <w:left w:w="10" w:type="dxa"/>
              <w:right w:w="10" w:type="dxa"/>
            </w:tcMar>
            <w:vAlign w:val="center"/>
          </w:tcPr>
          <w:p w14:paraId="54827ABE">
            <w:pPr>
              <w:widowControl/>
              <w:adjustRightInd w:val="0"/>
              <w:snapToGrid w:val="0"/>
              <w:jc w:val="center"/>
              <w:rPr>
                <w:rFonts w:hint="eastAsia" w:eastAsia="宋体"/>
                <w:color w:val="auto"/>
                <w:kern w:val="0"/>
                <w:sz w:val="18"/>
                <w:szCs w:val="18"/>
                <w:lang w:val="en-US" w:eastAsia="zh-CN" w:bidi="ar"/>
              </w:rPr>
            </w:pPr>
            <w:r>
              <w:rPr>
                <w:rFonts w:hint="eastAsia"/>
                <w:color w:val="auto"/>
                <w:kern w:val="0"/>
                <w:sz w:val="18"/>
                <w:szCs w:val="18"/>
                <w:lang w:val="en-US" w:eastAsia="zh-CN" w:bidi="ar"/>
              </w:rPr>
              <w:t>涉及工业涂装，采用自动喷涂</w:t>
            </w:r>
            <w:r>
              <w:rPr>
                <w:color w:val="auto"/>
                <w:spacing w:val="0"/>
                <w:kern w:val="0"/>
                <w:sz w:val="18"/>
                <w:szCs w:val="18"/>
                <w:lang w:bidi="ar"/>
              </w:rPr>
              <w:t>高效涂装技术</w:t>
            </w:r>
            <w:r>
              <w:rPr>
                <w:rFonts w:hint="eastAsia"/>
                <w:color w:val="auto"/>
                <w:spacing w:val="0"/>
                <w:kern w:val="0"/>
                <w:sz w:val="18"/>
                <w:szCs w:val="18"/>
                <w:lang w:eastAsia="zh-CN" w:bidi="ar"/>
              </w:rPr>
              <w:t>，</w:t>
            </w:r>
            <w:r>
              <w:rPr>
                <w:rFonts w:hint="eastAsia"/>
                <w:color w:val="auto"/>
                <w:spacing w:val="0"/>
                <w:kern w:val="0"/>
                <w:sz w:val="18"/>
                <w:szCs w:val="18"/>
                <w:lang w:val="en-US" w:eastAsia="zh-CN" w:bidi="ar"/>
              </w:rPr>
              <w:t>不</w:t>
            </w:r>
            <w:r>
              <w:rPr>
                <w:color w:val="auto"/>
                <w:spacing w:val="0"/>
                <w:kern w:val="0"/>
                <w:sz w:val="18"/>
                <w:szCs w:val="18"/>
                <w:lang w:bidi="ar"/>
              </w:rPr>
              <w:t>使用手动空气喷涂技术</w:t>
            </w:r>
            <w:r>
              <w:rPr>
                <w:rFonts w:hint="eastAsia"/>
                <w:color w:val="auto"/>
                <w:spacing w:val="0"/>
                <w:kern w:val="0"/>
                <w:sz w:val="18"/>
                <w:szCs w:val="18"/>
                <w:lang w:eastAsia="zh-CN" w:bidi="ar"/>
              </w:rPr>
              <w:t>。</w:t>
            </w:r>
          </w:p>
        </w:tc>
        <w:tc>
          <w:tcPr>
            <w:tcW w:w="1347" w:type="dxa"/>
            <w:noWrap w:val="0"/>
            <w:tcMar>
              <w:top w:w="10" w:type="dxa"/>
              <w:left w:w="10" w:type="dxa"/>
              <w:right w:w="10" w:type="dxa"/>
            </w:tcMar>
            <w:vAlign w:val="center"/>
          </w:tcPr>
          <w:p w14:paraId="276337CB">
            <w:pPr>
              <w:widowControl/>
              <w:adjustRightInd w:val="0"/>
              <w:snapToGrid w:val="0"/>
              <w:jc w:val="center"/>
              <w:rPr>
                <w:rFonts w:hint="eastAsia" w:eastAsia="宋体"/>
                <w:color w:val="auto"/>
                <w:kern w:val="0"/>
                <w:sz w:val="18"/>
                <w:szCs w:val="18"/>
                <w:lang w:eastAsia="zh-CN" w:bidi="ar"/>
              </w:rPr>
            </w:pPr>
            <w:r>
              <w:rPr>
                <w:rFonts w:hint="eastAsia"/>
                <w:color w:val="auto"/>
                <w:kern w:val="0"/>
                <w:sz w:val="18"/>
                <w:szCs w:val="18"/>
                <w:lang w:val="en-US" w:eastAsia="zh-CN" w:bidi="ar"/>
              </w:rPr>
              <w:t>相符</w:t>
            </w:r>
          </w:p>
        </w:tc>
      </w:tr>
      <w:tr w14:paraId="0A5B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jc w:val="center"/>
        </w:trPr>
        <w:tc>
          <w:tcPr>
            <w:tcW w:w="527" w:type="dxa"/>
            <w:vMerge w:val="continue"/>
            <w:shd w:val="clear" w:color="auto" w:fill="auto"/>
            <w:noWrap w:val="0"/>
            <w:tcMar>
              <w:top w:w="10" w:type="dxa"/>
              <w:left w:w="10" w:type="dxa"/>
              <w:right w:w="10" w:type="dxa"/>
            </w:tcMar>
            <w:vAlign w:val="center"/>
          </w:tcPr>
          <w:p w14:paraId="7DA00280">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6F0DEA1C">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3</w:t>
            </w:r>
          </w:p>
        </w:tc>
        <w:tc>
          <w:tcPr>
            <w:tcW w:w="4220" w:type="dxa"/>
            <w:shd w:val="clear" w:color="auto" w:fill="FFFFFF"/>
            <w:noWrap w:val="0"/>
            <w:tcMar>
              <w:top w:w="10" w:type="dxa"/>
              <w:left w:w="10" w:type="dxa"/>
              <w:right w:w="10" w:type="dxa"/>
            </w:tcMar>
            <w:vAlign w:val="center"/>
          </w:tcPr>
          <w:p w14:paraId="03171A71">
            <w:pPr>
              <w:widowControl/>
              <w:adjustRightInd w:val="0"/>
              <w:snapToGrid w:val="0"/>
              <w:jc w:val="center"/>
              <w:rPr>
                <w:rFonts w:hint="default"/>
                <w:color w:val="auto"/>
                <w:kern w:val="0"/>
                <w:sz w:val="18"/>
                <w:szCs w:val="18"/>
                <w:lang w:bidi="ar"/>
              </w:rPr>
            </w:pPr>
            <w:r>
              <w:rPr>
                <w:color w:val="auto"/>
                <w:spacing w:val="0"/>
                <w:kern w:val="0"/>
                <w:sz w:val="18"/>
                <w:szCs w:val="18"/>
                <w:lang w:bidi="ar"/>
              </w:rPr>
              <w:t xml:space="preserve">鼓励建设干式喷漆房，优先使用全自动喷漆和循环风工艺；使用湿式喷漆房时，循环水泵间和刮渣间应密闭，废气排至 </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kern w:val="0"/>
                <w:sz w:val="18"/>
                <w:szCs w:val="18"/>
                <w:lang w:bidi="ar"/>
              </w:rPr>
              <w:t xml:space="preserve"> </w:t>
            </w:r>
            <w:r>
              <w:rPr>
                <w:color w:val="auto"/>
                <w:spacing w:val="0"/>
                <w:kern w:val="0"/>
                <w:sz w:val="18"/>
                <w:szCs w:val="18"/>
                <w:lang w:bidi="ar"/>
              </w:rPr>
              <w:t xml:space="preserve">废气收集处理系统，周边不得存在恶臭异味泄露点位，循环水更换周期不得超过 </w:t>
            </w:r>
            <w:r>
              <w:rPr>
                <w:rFonts w:ascii="Times New Roman" w:hAnsi="Times New Roman" w:eastAsia="宋体" w:cs="Times New Roman"/>
                <w:color w:val="auto"/>
                <w:spacing w:val="0"/>
                <w:kern w:val="0"/>
                <w:sz w:val="18"/>
                <w:szCs w:val="18"/>
                <w:lang w:bidi="ar"/>
              </w:rPr>
              <w:t xml:space="preserve">2 </w:t>
            </w:r>
            <w:r>
              <w:rPr>
                <w:color w:val="auto"/>
                <w:spacing w:val="0"/>
                <w:kern w:val="0"/>
                <w:sz w:val="18"/>
                <w:szCs w:val="18"/>
                <w:lang w:bidi="ar"/>
              </w:rPr>
              <w:t>个月且做好台账记录。</w:t>
            </w:r>
          </w:p>
        </w:tc>
        <w:tc>
          <w:tcPr>
            <w:tcW w:w="1810" w:type="dxa"/>
            <w:shd w:val="clear" w:color="auto" w:fill="FFFFFF"/>
            <w:noWrap w:val="0"/>
            <w:tcMar>
              <w:top w:w="10" w:type="dxa"/>
              <w:left w:w="10" w:type="dxa"/>
              <w:right w:w="10" w:type="dxa"/>
            </w:tcMar>
            <w:vAlign w:val="center"/>
          </w:tcPr>
          <w:p w14:paraId="736DFEE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本项目不设置喷漆房，使用全自动一体化喷涂设备，设备内自带水帘，整体密闭负压</w:t>
            </w:r>
            <w:r>
              <w:rPr>
                <w:rFonts w:hint="default"/>
                <w:color w:val="auto"/>
                <w:kern w:val="0"/>
                <w:sz w:val="18"/>
                <w:szCs w:val="18"/>
                <w:lang w:bidi="ar"/>
              </w:rPr>
              <w:t>，循环水泵间和刮渣间密闭，废气排至 VOCs 废气收集处理系统，周边不存在恶臭异味泄露点位，循环水更换周期</w:t>
            </w:r>
            <w:r>
              <w:rPr>
                <w:rFonts w:hint="eastAsia"/>
                <w:color w:val="auto"/>
                <w:kern w:val="0"/>
                <w:sz w:val="18"/>
                <w:szCs w:val="18"/>
                <w:lang w:val="en-US" w:eastAsia="zh-CN" w:bidi="ar"/>
              </w:rPr>
              <w:t>为1</w:t>
            </w:r>
            <w:r>
              <w:rPr>
                <w:rFonts w:hint="default"/>
                <w:color w:val="auto"/>
                <w:kern w:val="0"/>
                <w:sz w:val="18"/>
                <w:szCs w:val="18"/>
                <w:lang w:bidi="ar"/>
              </w:rPr>
              <w:t>个月</w:t>
            </w:r>
            <w:r>
              <w:rPr>
                <w:rFonts w:hint="eastAsia"/>
                <w:color w:val="auto"/>
                <w:kern w:val="0"/>
                <w:sz w:val="18"/>
                <w:szCs w:val="18"/>
                <w:lang w:eastAsia="zh-CN" w:bidi="ar"/>
              </w:rPr>
              <w:t>，</w:t>
            </w:r>
            <w:r>
              <w:rPr>
                <w:rFonts w:hint="default"/>
                <w:color w:val="auto"/>
                <w:kern w:val="0"/>
                <w:sz w:val="18"/>
                <w:szCs w:val="18"/>
                <w:lang w:bidi="ar"/>
              </w:rPr>
              <w:t>且做好台账记录</w:t>
            </w:r>
          </w:p>
        </w:tc>
        <w:tc>
          <w:tcPr>
            <w:tcW w:w="1347" w:type="dxa"/>
            <w:noWrap w:val="0"/>
            <w:tcMar>
              <w:top w:w="10" w:type="dxa"/>
              <w:left w:w="10" w:type="dxa"/>
              <w:right w:w="10" w:type="dxa"/>
            </w:tcMar>
            <w:vAlign w:val="center"/>
          </w:tcPr>
          <w:p w14:paraId="21DFB868">
            <w:pPr>
              <w:widowControl/>
              <w:adjustRightInd w:val="0"/>
              <w:snapToGrid w:val="0"/>
              <w:jc w:val="center"/>
              <w:rPr>
                <w:rFonts w:hint="eastAsia" w:eastAsia="宋体"/>
                <w:color w:val="auto"/>
                <w:kern w:val="0"/>
                <w:sz w:val="18"/>
                <w:szCs w:val="18"/>
                <w:lang w:eastAsia="zh-CN" w:bidi="ar"/>
              </w:rPr>
            </w:pPr>
            <w:r>
              <w:rPr>
                <w:rFonts w:hint="eastAsia"/>
                <w:color w:val="auto"/>
                <w:kern w:val="0"/>
                <w:sz w:val="18"/>
                <w:szCs w:val="18"/>
                <w:lang w:val="en-US" w:eastAsia="zh-CN" w:bidi="ar"/>
              </w:rPr>
              <w:t>相符</w:t>
            </w:r>
          </w:p>
        </w:tc>
      </w:tr>
      <w:tr w14:paraId="4E6C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27" w:type="dxa"/>
            <w:vMerge w:val="continue"/>
            <w:shd w:val="clear" w:color="auto" w:fill="auto"/>
            <w:noWrap w:val="0"/>
            <w:tcMar>
              <w:top w:w="10" w:type="dxa"/>
              <w:left w:w="10" w:type="dxa"/>
              <w:right w:w="10" w:type="dxa"/>
            </w:tcMar>
            <w:vAlign w:val="center"/>
          </w:tcPr>
          <w:p w14:paraId="0BA8DE6A">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795929FE">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4</w:t>
            </w:r>
          </w:p>
        </w:tc>
        <w:tc>
          <w:tcPr>
            <w:tcW w:w="4220" w:type="dxa"/>
            <w:shd w:val="clear" w:color="auto" w:fill="FFFFFF"/>
            <w:noWrap w:val="0"/>
            <w:tcMar>
              <w:top w:w="10" w:type="dxa"/>
              <w:left w:w="10" w:type="dxa"/>
              <w:right w:w="10" w:type="dxa"/>
            </w:tcMar>
            <w:vAlign w:val="top"/>
          </w:tcPr>
          <w:p w14:paraId="04C0F13A">
            <w:pPr>
              <w:widowControl/>
              <w:adjustRightInd w:val="0"/>
              <w:snapToGrid w:val="0"/>
              <w:jc w:val="center"/>
              <w:rPr>
                <w:rFonts w:hint="default"/>
                <w:color w:val="auto"/>
                <w:kern w:val="0"/>
                <w:sz w:val="18"/>
                <w:szCs w:val="18"/>
                <w:lang w:val="en-US" w:eastAsia="zh-CN" w:bidi="ar"/>
              </w:rPr>
            </w:pPr>
            <w:r>
              <w:rPr>
                <w:color w:val="auto"/>
                <w:spacing w:val="0"/>
                <w:kern w:val="0"/>
                <w:sz w:val="18"/>
                <w:szCs w:val="18"/>
                <w:lang w:bidi="ar"/>
              </w:rPr>
              <w:t>表面处理（酸洗、磷化、 电镀、退火）等涉异味工序应密闭操作，现场存在明显异味的需废气收集至处理系统。</w:t>
            </w:r>
          </w:p>
        </w:tc>
        <w:tc>
          <w:tcPr>
            <w:tcW w:w="1810" w:type="dxa"/>
            <w:shd w:val="clear" w:color="auto" w:fill="FFFFFF"/>
            <w:noWrap w:val="0"/>
            <w:tcMar>
              <w:top w:w="10" w:type="dxa"/>
              <w:left w:w="10" w:type="dxa"/>
              <w:right w:w="10" w:type="dxa"/>
            </w:tcMar>
            <w:vAlign w:val="center"/>
          </w:tcPr>
          <w:p w14:paraId="7EC9577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6C9B1103">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43B9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27" w:type="dxa"/>
            <w:vMerge w:val="continue"/>
            <w:shd w:val="clear" w:color="auto" w:fill="auto"/>
            <w:noWrap w:val="0"/>
            <w:tcMar>
              <w:top w:w="10" w:type="dxa"/>
              <w:left w:w="10" w:type="dxa"/>
              <w:right w:w="10" w:type="dxa"/>
            </w:tcMar>
            <w:vAlign w:val="center"/>
          </w:tcPr>
          <w:p w14:paraId="76F15E6C">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26F558A4">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5</w:t>
            </w:r>
          </w:p>
        </w:tc>
        <w:tc>
          <w:tcPr>
            <w:tcW w:w="4220" w:type="dxa"/>
            <w:shd w:val="clear" w:color="auto" w:fill="FFFFFF"/>
            <w:noWrap w:val="0"/>
            <w:tcMar>
              <w:top w:w="10" w:type="dxa"/>
              <w:left w:w="10" w:type="dxa"/>
              <w:right w:w="10" w:type="dxa"/>
            </w:tcMar>
            <w:vAlign w:val="top"/>
          </w:tcPr>
          <w:p w14:paraId="0A4989B2">
            <w:pPr>
              <w:widowControl/>
              <w:adjustRightInd w:val="0"/>
              <w:snapToGrid w:val="0"/>
              <w:jc w:val="center"/>
              <w:rPr>
                <w:rFonts w:hint="default"/>
                <w:color w:val="auto"/>
                <w:kern w:val="0"/>
                <w:sz w:val="18"/>
                <w:szCs w:val="18"/>
                <w:lang w:val="en-US" w:eastAsia="zh-CN" w:bidi="ar"/>
              </w:rPr>
            </w:pPr>
            <w:r>
              <w:rPr>
                <w:color w:val="auto"/>
                <w:spacing w:val="0"/>
                <w:kern w:val="0"/>
                <w:sz w:val="18"/>
                <w:szCs w:val="18"/>
                <w:lang w:bidi="ar"/>
              </w:rPr>
              <w:t xml:space="preserve">涂料、稀释剂、固化剂等 </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kern w:val="0"/>
                <w:sz w:val="18"/>
                <w:szCs w:val="18"/>
                <w:lang w:bidi="ar"/>
              </w:rPr>
              <w:t xml:space="preserve"> </w:t>
            </w:r>
            <w:r>
              <w:rPr>
                <w:color w:val="auto"/>
                <w:spacing w:val="0"/>
                <w:kern w:val="0"/>
                <w:sz w:val="18"/>
                <w:szCs w:val="18"/>
                <w:lang w:bidi="ar"/>
              </w:rPr>
              <w:t>物料的调配过程采用密闭设备或在密闭空间内操作，并设置专门的密闭调配间（尽量减少</w:t>
            </w:r>
            <w:r>
              <w:rPr>
                <w:color w:val="auto"/>
                <w:kern w:val="0"/>
                <w:sz w:val="18"/>
                <w:szCs w:val="18"/>
                <w:lang w:bidi="ar"/>
              </w:rPr>
              <w:t xml:space="preserve"> </w:t>
            </w:r>
            <w:r>
              <w:rPr>
                <w:color w:val="auto"/>
                <w:spacing w:val="0"/>
                <w:kern w:val="0"/>
                <w:sz w:val="18"/>
                <w:szCs w:val="18"/>
                <w:lang w:bidi="ar"/>
              </w:rPr>
              <w:t>密闭区域），调配废气排至收集处理系统。鼓励企业在密闭调配间内废气产生点位（操作工位）单独集气，减少收集风量，</w:t>
            </w:r>
            <w:r>
              <w:rPr>
                <w:color w:val="auto"/>
                <w:kern w:val="0"/>
                <w:sz w:val="18"/>
                <w:szCs w:val="18"/>
                <w:lang w:bidi="ar"/>
              </w:rPr>
              <w:t xml:space="preserve"> </w:t>
            </w:r>
            <w:r>
              <w:rPr>
                <w:color w:val="auto"/>
                <w:spacing w:val="0"/>
                <w:kern w:val="0"/>
                <w:sz w:val="18"/>
                <w:szCs w:val="18"/>
                <w:lang w:bidi="ar"/>
              </w:rPr>
              <w:t>避免大风量、低浓度废气的产生。</w:t>
            </w:r>
          </w:p>
        </w:tc>
        <w:tc>
          <w:tcPr>
            <w:tcW w:w="1810" w:type="dxa"/>
            <w:shd w:val="clear" w:color="auto" w:fill="FFFFFF"/>
            <w:noWrap w:val="0"/>
            <w:tcMar>
              <w:top w:w="10" w:type="dxa"/>
              <w:left w:w="10" w:type="dxa"/>
              <w:right w:w="10" w:type="dxa"/>
            </w:tcMar>
            <w:vAlign w:val="center"/>
          </w:tcPr>
          <w:p w14:paraId="3B2E9377">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涉及</w:t>
            </w:r>
            <w:r>
              <w:rPr>
                <w:color w:val="auto"/>
                <w:spacing w:val="0"/>
                <w:kern w:val="0"/>
                <w:sz w:val="18"/>
                <w:szCs w:val="18"/>
                <w:lang w:bidi="ar"/>
              </w:rPr>
              <w:t xml:space="preserve"> </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kern w:val="0"/>
                <w:sz w:val="18"/>
                <w:szCs w:val="18"/>
                <w:lang w:bidi="ar"/>
              </w:rPr>
              <w:t xml:space="preserve"> </w:t>
            </w:r>
            <w:r>
              <w:rPr>
                <w:color w:val="auto"/>
                <w:spacing w:val="0"/>
                <w:kern w:val="0"/>
                <w:sz w:val="18"/>
                <w:szCs w:val="18"/>
                <w:lang w:bidi="ar"/>
              </w:rPr>
              <w:t>物料的</w:t>
            </w:r>
            <w:r>
              <w:rPr>
                <w:rFonts w:hint="eastAsia"/>
                <w:color w:val="auto"/>
                <w:spacing w:val="0"/>
                <w:kern w:val="0"/>
                <w:sz w:val="18"/>
                <w:szCs w:val="18"/>
                <w:lang w:val="en-US" w:eastAsia="zh-CN" w:bidi="ar"/>
              </w:rPr>
              <w:t>均</w:t>
            </w:r>
            <w:r>
              <w:rPr>
                <w:rFonts w:hint="eastAsia"/>
                <w:color w:val="auto"/>
                <w:kern w:val="0"/>
                <w:sz w:val="18"/>
                <w:szCs w:val="18"/>
                <w:lang w:val="en-US" w:eastAsia="zh-CN" w:bidi="ar"/>
              </w:rPr>
              <w:t>在密闭空间内进行操作，且设置有废气收集处理系统，接入废气处理装置</w:t>
            </w:r>
          </w:p>
        </w:tc>
        <w:tc>
          <w:tcPr>
            <w:tcW w:w="1347" w:type="dxa"/>
            <w:noWrap w:val="0"/>
            <w:tcMar>
              <w:top w:w="10" w:type="dxa"/>
              <w:left w:w="10" w:type="dxa"/>
              <w:right w:w="10" w:type="dxa"/>
            </w:tcMar>
            <w:vAlign w:val="center"/>
          </w:tcPr>
          <w:p w14:paraId="7F28125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65E1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27" w:type="dxa"/>
            <w:vMerge w:val="continue"/>
            <w:shd w:val="clear" w:color="auto" w:fill="auto"/>
            <w:noWrap w:val="0"/>
            <w:tcMar>
              <w:top w:w="10" w:type="dxa"/>
              <w:left w:w="10" w:type="dxa"/>
              <w:right w:w="10" w:type="dxa"/>
            </w:tcMar>
            <w:vAlign w:val="center"/>
          </w:tcPr>
          <w:p w14:paraId="66ECCCD8">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473D61ED">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6</w:t>
            </w:r>
          </w:p>
        </w:tc>
        <w:tc>
          <w:tcPr>
            <w:tcW w:w="4220" w:type="dxa"/>
            <w:shd w:val="clear" w:color="auto" w:fill="FFFFFF"/>
            <w:noWrap w:val="0"/>
            <w:tcMar>
              <w:top w:w="10" w:type="dxa"/>
              <w:left w:w="10" w:type="dxa"/>
              <w:right w:w="10" w:type="dxa"/>
            </w:tcMar>
            <w:vAlign w:val="top"/>
          </w:tcPr>
          <w:p w14:paraId="56EEA079">
            <w:pPr>
              <w:widowControl/>
              <w:adjustRightInd w:val="0"/>
              <w:snapToGrid w:val="0"/>
              <w:jc w:val="center"/>
              <w:rPr>
                <w:rFonts w:hint="default"/>
                <w:color w:val="auto"/>
                <w:kern w:val="0"/>
                <w:sz w:val="18"/>
                <w:szCs w:val="18"/>
                <w:lang w:val="en-US" w:eastAsia="zh-CN" w:bidi="ar"/>
              </w:rPr>
            </w:pPr>
            <w:r>
              <w:rPr>
                <w:color w:val="auto"/>
                <w:spacing w:val="0"/>
                <w:kern w:val="0"/>
                <w:sz w:val="18"/>
                <w:szCs w:val="18"/>
                <w:lang w:bidi="ar"/>
              </w:rPr>
              <w:t xml:space="preserve">含 </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w w:val="100"/>
                <w:kern w:val="0"/>
                <w:sz w:val="18"/>
                <w:szCs w:val="18"/>
                <w:lang w:bidi="ar"/>
              </w:rPr>
              <w:t xml:space="preserve"> </w:t>
            </w:r>
            <w:r>
              <w:rPr>
                <w:color w:val="auto"/>
                <w:spacing w:val="0"/>
                <w:kern w:val="0"/>
                <w:sz w:val="18"/>
                <w:szCs w:val="18"/>
                <w:lang w:bidi="ar"/>
              </w:rPr>
              <w:t>物料转运和输送优先采用集中供料系统，实现密闭管道输送；若采用密闭容器的输送方式，在涂装作业后将剩余</w:t>
            </w:r>
            <w:r>
              <w:rPr>
                <w:color w:val="auto"/>
                <w:kern w:val="0"/>
                <w:sz w:val="18"/>
                <w:szCs w:val="18"/>
                <w:lang w:bidi="ar"/>
              </w:rPr>
              <w:t xml:space="preserve"> </w:t>
            </w:r>
            <w:r>
              <w:rPr>
                <w:color w:val="auto"/>
                <w:spacing w:val="0"/>
                <w:kern w:val="0"/>
                <w:sz w:val="18"/>
                <w:szCs w:val="18"/>
                <w:lang w:bidi="ar"/>
              </w:rPr>
              <w:t>的涂料等原辅材料送回调漆室或储存间，转运容器除即用状态下需封闭。</w:t>
            </w:r>
          </w:p>
        </w:tc>
        <w:tc>
          <w:tcPr>
            <w:tcW w:w="1810" w:type="dxa"/>
            <w:shd w:val="clear" w:color="auto" w:fill="FFFFFF"/>
            <w:noWrap w:val="0"/>
            <w:tcMar>
              <w:top w:w="10" w:type="dxa"/>
              <w:left w:w="10" w:type="dxa"/>
              <w:right w:w="10" w:type="dxa"/>
            </w:tcMar>
            <w:vAlign w:val="center"/>
          </w:tcPr>
          <w:p w14:paraId="797ED8C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含VOCs的物料除即用状态下均密闭</w:t>
            </w:r>
          </w:p>
        </w:tc>
        <w:tc>
          <w:tcPr>
            <w:tcW w:w="1347" w:type="dxa"/>
            <w:noWrap w:val="0"/>
            <w:tcMar>
              <w:top w:w="10" w:type="dxa"/>
              <w:left w:w="10" w:type="dxa"/>
              <w:right w:w="10" w:type="dxa"/>
            </w:tcMar>
            <w:vAlign w:val="center"/>
          </w:tcPr>
          <w:p w14:paraId="65E86602">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2F48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vMerge w:val="continue"/>
            <w:shd w:val="clear" w:color="auto" w:fill="auto"/>
            <w:noWrap w:val="0"/>
            <w:tcMar>
              <w:top w:w="10" w:type="dxa"/>
              <w:left w:w="10" w:type="dxa"/>
              <w:right w:w="10" w:type="dxa"/>
            </w:tcMar>
            <w:vAlign w:val="center"/>
          </w:tcPr>
          <w:p w14:paraId="6FD38BE4">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3BB17DE8">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7</w:t>
            </w:r>
          </w:p>
        </w:tc>
        <w:tc>
          <w:tcPr>
            <w:tcW w:w="4220" w:type="dxa"/>
            <w:shd w:val="clear" w:color="auto" w:fill="FFFFFF"/>
            <w:noWrap w:val="0"/>
            <w:tcMar>
              <w:top w:w="10" w:type="dxa"/>
              <w:left w:w="10" w:type="dxa"/>
              <w:right w:w="10" w:type="dxa"/>
            </w:tcMar>
            <w:vAlign w:val="top"/>
          </w:tcPr>
          <w:p w14:paraId="29A78B65">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bidi="ar"/>
              </w:rPr>
              <w:t>除大型工件特殊作业外，调漆、喷漆、流平、烘干、清洗等工序在密闭设备或密闭负压空间内操作，并在废气产生点位单独集气。</w:t>
            </w:r>
          </w:p>
        </w:tc>
        <w:tc>
          <w:tcPr>
            <w:tcW w:w="1810" w:type="dxa"/>
            <w:shd w:val="clear" w:color="auto" w:fill="FFFFFF"/>
            <w:noWrap w:val="0"/>
            <w:tcMar>
              <w:top w:w="10" w:type="dxa"/>
              <w:left w:w="10" w:type="dxa"/>
              <w:right w:w="10" w:type="dxa"/>
            </w:tcMar>
            <w:vAlign w:val="center"/>
          </w:tcPr>
          <w:p w14:paraId="02A8804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本项目喷漆在密闭设备内操作</w:t>
            </w:r>
          </w:p>
        </w:tc>
        <w:tc>
          <w:tcPr>
            <w:tcW w:w="1347" w:type="dxa"/>
            <w:noWrap w:val="0"/>
            <w:tcMar>
              <w:top w:w="10" w:type="dxa"/>
              <w:left w:w="10" w:type="dxa"/>
              <w:right w:w="10" w:type="dxa"/>
            </w:tcMar>
            <w:vAlign w:val="center"/>
          </w:tcPr>
          <w:p w14:paraId="621F6E98">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相符</w:t>
            </w:r>
          </w:p>
        </w:tc>
      </w:tr>
      <w:tr w14:paraId="19A2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527" w:type="dxa"/>
            <w:vMerge w:val="continue"/>
            <w:shd w:val="clear" w:color="auto" w:fill="auto"/>
            <w:noWrap w:val="0"/>
            <w:tcMar>
              <w:top w:w="10" w:type="dxa"/>
              <w:left w:w="10" w:type="dxa"/>
              <w:right w:w="10" w:type="dxa"/>
            </w:tcMar>
            <w:vAlign w:val="center"/>
          </w:tcPr>
          <w:p w14:paraId="08B96801">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4CB80E75">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8</w:t>
            </w:r>
          </w:p>
        </w:tc>
        <w:tc>
          <w:tcPr>
            <w:tcW w:w="4220" w:type="dxa"/>
            <w:shd w:val="clear" w:color="auto" w:fill="FFFFFF"/>
            <w:noWrap w:val="0"/>
            <w:tcMar>
              <w:top w:w="10" w:type="dxa"/>
              <w:left w:w="10" w:type="dxa"/>
              <w:right w:w="10" w:type="dxa"/>
            </w:tcMar>
            <w:vAlign w:val="top"/>
          </w:tcPr>
          <w:p w14:paraId="70082CD8">
            <w:pPr>
              <w:widowControl/>
              <w:adjustRightInd w:val="0"/>
              <w:snapToGrid w:val="0"/>
              <w:jc w:val="center"/>
              <w:rPr>
                <w:rFonts w:hint="default"/>
                <w:color w:val="auto"/>
                <w:kern w:val="0"/>
                <w:sz w:val="18"/>
                <w:szCs w:val="18"/>
                <w:lang w:bidi="ar"/>
              </w:rPr>
            </w:pPr>
            <w:r>
              <w:rPr>
                <w:color w:val="auto"/>
                <w:spacing w:val="0"/>
                <w:kern w:val="0"/>
                <w:sz w:val="18"/>
                <w:szCs w:val="18"/>
                <w:lang w:bidi="ar"/>
              </w:rPr>
              <w:t>清洗过程使用溶剂型清洗剂的，需实施废气收集治理。</w:t>
            </w:r>
          </w:p>
        </w:tc>
        <w:tc>
          <w:tcPr>
            <w:tcW w:w="1810" w:type="dxa"/>
            <w:shd w:val="clear" w:color="auto" w:fill="FFFFFF"/>
            <w:noWrap w:val="0"/>
            <w:tcMar>
              <w:top w:w="10" w:type="dxa"/>
              <w:left w:w="10" w:type="dxa"/>
              <w:right w:w="10" w:type="dxa"/>
            </w:tcMar>
            <w:vAlign w:val="center"/>
          </w:tcPr>
          <w:p w14:paraId="51575BF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0C4EDD10">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不涉及</w:t>
            </w:r>
          </w:p>
        </w:tc>
      </w:tr>
      <w:tr w14:paraId="3F54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527" w:type="dxa"/>
            <w:vMerge w:val="restart"/>
            <w:shd w:val="clear" w:color="auto" w:fill="auto"/>
            <w:noWrap w:val="0"/>
            <w:tcMar>
              <w:top w:w="10" w:type="dxa"/>
              <w:left w:w="10" w:type="dxa"/>
              <w:right w:w="10" w:type="dxa"/>
            </w:tcMar>
            <w:vAlign w:val="center"/>
          </w:tcPr>
          <w:p w14:paraId="5DE2ED1C">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污水集输处理系统</w:t>
            </w:r>
          </w:p>
        </w:tc>
        <w:tc>
          <w:tcPr>
            <w:tcW w:w="340" w:type="dxa"/>
            <w:shd w:val="clear" w:color="auto" w:fill="auto"/>
            <w:noWrap w:val="0"/>
            <w:tcMar>
              <w:top w:w="10" w:type="dxa"/>
              <w:left w:w="10" w:type="dxa"/>
              <w:right w:w="10" w:type="dxa"/>
            </w:tcMar>
            <w:vAlign w:val="center"/>
          </w:tcPr>
          <w:p w14:paraId="6D188D56">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9</w:t>
            </w:r>
          </w:p>
        </w:tc>
        <w:tc>
          <w:tcPr>
            <w:tcW w:w="4220" w:type="dxa"/>
            <w:shd w:val="clear" w:color="auto" w:fill="FFFFFF"/>
            <w:noWrap w:val="0"/>
            <w:tcMar>
              <w:top w:w="10" w:type="dxa"/>
              <w:left w:w="10" w:type="dxa"/>
              <w:right w:w="10" w:type="dxa"/>
            </w:tcMar>
            <w:vAlign w:val="top"/>
          </w:tcPr>
          <w:p w14:paraId="5DF29703">
            <w:pPr>
              <w:widowControl/>
              <w:adjustRightInd w:val="0"/>
              <w:snapToGrid w:val="0"/>
              <w:jc w:val="center"/>
              <w:rPr>
                <w:rFonts w:hint="default"/>
                <w:color w:val="auto"/>
                <w:kern w:val="0"/>
                <w:sz w:val="18"/>
                <w:szCs w:val="18"/>
                <w:lang w:val="en-US" w:eastAsia="zh-CN" w:bidi="ar"/>
              </w:rPr>
            </w:pPr>
            <w:r>
              <w:rPr>
                <w:color w:val="auto"/>
                <w:spacing w:val="0"/>
                <w:kern w:val="0"/>
                <w:sz w:val="18"/>
                <w:szCs w:val="18"/>
                <w:lang w:bidi="ar"/>
              </w:rPr>
              <w:t xml:space="preserve">含 </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w w:val="100"/>
                <w:kern w:val="0"/>
                <w:sz w:val="18"/>
                <w:szCs w:val="18"/>
                <w:lang w:bidi="ar"/>
              </w:rPr>
              <w:t xml:space="preserve"> </w:t>
            </w:r>
            <w:r>
              <w:rPr>
                <w:color w:val="auto"/>
                <w:spacing w:val="0"/>
                <w:kern w:val="0"/>
                <w:sz w:val="18"/>
                <w:szCs w:val="18"/>
                <w:lang w:bidi="ar"/>
              </w:rPr>
              <w:t xml:space="preserve">废水储存和处理设施敞开液面上方 </w:t>
            </w:r>
            <w:r>
              <w:rPr>
                <w:rFonts w:ascii="Times New Roman" w:hAnsi="Times New Roman" w:eastAsia="宋体" w:cs="Times New Roman"/>
                <w:color w:val="auto"/>
                <w:spacing w:val="0"/>
                <w:kern w:val="0"/>
                <w:sz w:val="18"/>
                <w:szCs w:val="18"/>
                <w:lang w:bidi="ar"/>
              </w:rPr>
              <w:t>100</w:t>
            </w:r>
            <w:r>
              <w:rPr>
                <w:rFonts w:ascii="Times New Roman" w:hAnsi="Times New Roman" w:eastAsia="宋体" w:cs="Times New Roman"/>
                <w:color w:val="auto"/>
                <w:kern w:val="0"/>
                <w:sz w:val="18"/>
                <w:szCs w:val="18"/>
                <w:lang w:bidi="ar"/>
              </w:rPr>
              <w:t>mm</w:t>
            </w:r>
            <w:r>
              <w:rPr>
                <w:rFonts w:ascii="Times New Roman" w:hAnsi="Times New Roman" w:eastAsia="宋体" w:cs="Times New Roman"/>
                <w:color w:val="auto"/>
                <w:spacing w:val="0"/>
                <w:w w:val="100"/>
                <w:kern w:val="0"/>
                <w:sz w:val="18"/>
                <w:szCs w:val="18"/>
                <w:lang w:bidi="ar"/>
              </w:rPr>
              <w:t xml:space="preserve"> </w:t>
            </w:r>
            <w:r>
              <w:rPr>
                <w:color w:val="auto"/>
                <w:spacing w:val="0"/>
                <w:kern w:val="0"/>
                <w:sz w:val="18"/>
                <w:szCs w:val="18"/>
                <w:lang w:bidi="ar"/>
              </w:rPr>
              <w:t xml:space="preserve">处 </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w w:val="100"/>
                <w:kern w:val="0"/>
                <w:sz w:val="18"/>
                <w:szCs w:val="18"/>
                <w:lang w:bidi="ar"/>
              </w:rPr>
              <w:t xml:space="preserve"> </w:t>
            </w:r>
            <w:r>
              <w:rPr>
                <w:color w:val="auto"/>
                <w:spacing w:val="0"/>
                <w:kern w:val="0"/>
                <w:sz w:val="18"/>
                <w:szCs w:val="18"/>
                <w:lang w:bidi="ar"/>
              </w:rPr>
              <w:t>检测浓度</w:t>
            </w:r>
            <w:r>
              <w:rPr>
                <w:rFonts w:ascii="Times New Roman" w:hAnsi="Times New Roman" w:eastAsia="宋体" w:cs="Times New Roman"/>
                <w:color w:val="auto"/>
                <w:spacing w:val="0"/>
                <w:kern w:val="0"/>
                <w:sz w:val="18"/>
                <w:szCs w:val="18"/>
                <w:lang w:bidi="ar"/>
              </w:rPr>
              <w:t>≥100</w:t>
            </w:r>
            <w:r>
              <w:rPr>
                <w:rFonts w:ascii="Times New Roman" w:hAnsi="Times New Roman" w:eastAsia="宋体" w:cs="Times New Roman"/>
                <w:color w:val="auto"/>
                <w:kern w:val="0"/>
                <w:sz w:val="18"/>
                <w:szCs w:val="18"/>
                <w:lang w:bidi="ar"/>
              </w:rPr>
              <w:t>umol</w:t>
            </w:r>
            <w:r>
              <w:rPr>
                <w:rFonts w:ascii="Times New Roman" w:hAnsi="Times New Roman" w:eastAsia="宋体" w:cs="Times New Roman"/>
                <w:color w:val="auto"/>
                <w:spacing w:val="0"/>
                <w:kern w:val="0"/>
                <w:sz w:val="18"/>
                <w:szCs w:val="18"/>
                <w:lang w:bidi="ar"/>
              </w:rPr>
              <w:t>/</w:t>
            </w:r>
            <w:r>
              <w:rPr>
                <w:rFonts w:ascii="Times New Roman" w:hAnsi="Times New Roman" w:eastAsia="宋体" w:cs="Times New Roman"/>
                <w:color w:val="auto"/>
                <w:kern w:val="0"/>
                <w:sz w:val="18"/>
                <w:szCs w:val="18"/>
                <w:lang w:bidi="ar"/>
              </w:rPr>
              <w:t>mol</w:t>
            </w:r>
            <w:r>
              <w:rPr>
                <w:rFonts w:ascii="Times New Roman" w:hAnsi="Times New Roman" w:eastAsia="宋体" w:cs="Times New Roman"/>
                <w:color w:val="auto"/>
                <w:spacing w:val="0"/>
                <w:kern w:val="0"/>
                <w:sz w:val="18"/>
                <w:szCs w:val="18"/>
                <w:lang w:bidi="ar"/>
              </w:rPr>
              <w:t xml:space="preserve"> </w:t>
            </w:r>
            <w:r>
              <w:rPr>
                <w:color w:val="auto"/>
                <w:spacing w:val="0"/>
                <w:kern w:val="0"/>
                <w:sz w:val="18"/>
                <w:szCs w:val="18"/>
                <w:lang w:bidi="ar"/>
              </w:rPr>
              <w:t>，应加盖密闭，收集废气至</w:t>
            </w:r>
            <w:r>
              <w:rPr>
                <w:rFonts w:ascii="Times New Roman" w:hAnsi="Times New Roman" w:eastAsia="宋体" w:cs="Times New Roman"/>
                <w:color w:val="auto"/>
                <w:kern w:val="0"/>
                <w:sz w:val="18"/>
                <w:szCs w:val="18"/>
                <w:lang w:bidi="ar"/>
              </w:rPr>
              <w:t>VOCs</w:t>
            </w:r>
            <w:r>
              <w:rPr>
                <w:rFonts w:ascii="Times New Roman" w:hAnsi="Times New Roman" w:eastAsia="宋体" w:cs="Times New Roman"/>
                <w:color w:val="auto"/>
                <w:spacing w:val="0"/>
                <w:kern w:val="0"/>
                <w:sz w:val="18"/>
                <w:szCs w:val="18"/>
                <w:lang w:bidi="ar"/>
              </w:rPr>
              <w:t xml:space="preserve"> </w:t>
            </w:r>
            <w:r>
              <w:rPr>
                <w:color w:val="auto"/>
                <w:spacing w:val="0"/>
                <w:kern w:val="0"/>
                <w:sz w:val="18"/>
                <w:szCs w:val="18"/>
                <w:lang w:bidi="ar"/>
              </w:rPr>
              <w:t>废气收集处理系统。</w:t>
            </w:r>
          </w:p>
        </w:tc>
        <w:tc>
          <w:tcPr>
            <w:tcW w:w="1810" w:type="dxa"/>
            <w:shd w:val="clear" w:color="auto" w:fill="FFFFFF"/>
            <w:noWrap w:val="0"/>
            <w:tcMar>
              <w:top w:w="10" w:type="dxa"/>
              <w:left w:w="10" w:type="dxa"/>
              <w:right w:w="10" w:type="dxa"/>
            </w:tcMar>
            <w:vAlign w:val="center"/>
          </w:tcPr>
          <w:p w14:paraId="62A7AE04">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c>
          <w:tcPr>
            <w:tcW w:w="1347" w:type="dxa"/>
            <w:noWrap w:val="0"/>
            <w:tcMar>
              <w:top w:w="10" w:type="dxa"/>
              <w:left w:w="10" w:type="dxa"/>
              <w:right w:w="10" w:type="dxa"/>
            </w:tcMar>
            <w:vAlign w:val="center"/>
          </w:tcPr>
          <w:p w14:paraId="16E5795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4AF6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527" w:type="dxa"/>
            <w:vMerge w:val="continue"/>
            <w:shd w:val="clear" w:color="auto" w:fill="auto"/>
            <w:noWrap w:val="0"/>
            <w:tcMar>
              <w:top w:w="10" w:type="dxa"/>
              <w:left w:w="10" w:type="dxa"/>
              <w:right w:w="10" w:type="dxa"/>
            </w:tcMar>
            <w:vAlign w:val="center"/>
          </w:tcPr>
          <w:p w14:paraId="1F3E73EA">
            <w:pPr>
              <w:widowControl/>
              <w:adjustRightInd w:val="0"/>
              <w:snapToGrid w:val="0"/>
              <w:jc w:val="center"/>
              <w:rPr>
                <w:rFonts w:hint="default"/>
                <w:color w:val="auto"/>
                <w:kern w:val="0"/>
                <w:sz w:val="18"/>
                <w:szCs w:val="18"/>
                <w:lang w:val="en-US" w:eastAsia="zh-CN" w:bidi="ar"/>
              </w:rPr>
            </w:pPr>
          </w:p>
        </w:tc>
        <w:tc>
          <w:tcPr>
            <w:tcW w:w="340" w:type="dxa"/>
            <w:shd w:val="clear" w:color="auto" w:fill="auto"/>
            <w:noWrap w:val="0"/>
            <w:tcMar>
              <w:top w:w="10" w:type="dxa"/>
              <w:left w:w="10" w:type="dxa"/>
              <w:right w:w="10" w:type="dxa"/>
            </w:tcMar>
            <w:vAlign w:val="center"/>
          </w:tcPr>
          <w:p w14:paraId="28C3B113">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10</w:t>
            </w:r>
          </w:p>
        </w:tc>
        <w:tc>
          <w:tcPr>
            <w:tcW w:w="4220" w:type="dxa"/>
            <w:shd w:val="clear" w:color="auto" w:fill="FFFFFF"/>
            <w:noWrap w:val="0"/>
            <w:tcMar>
              <w:top w:w="10" w:type="dxa"/>
              <w:left w:w="10" w:type="dxa"/>
              <w:right w:w="10" w:type="dxa"/>
            </w:tcMar>
            <w:vAlign w:val="center"/>
          </w:tcPr>
          <w:p w14:paraId="66526B7C">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污水处理站产生恶臭气体的区域加罩或加盖，使用合理的废气管网设计，密闭区域实现微负压，并加装负压表监控（由临平经济技术开发区公众监督团队嗅辨确认恶臭水平）。</w:t>
            </w:r>
          </w:p>
        </w:tc>
        <w:tc>
          <w:tcPr>
            <w:tcW w:w="1810" w:type="dxa"/>
            <w:shd w:val="clear" w:color="auto" w:fill="FFFFFF"/>
            <w:noWrap w:val="0"/>
            <w:tcMar>
              <w:top w:w="10" w:type="dxa"/>
              <w:left w:w="10" w:type="dxa"/>
              <w:right w:w="10" w:type="dxa"/>
            </w:tcMar>
            <w:vAlign w:val="center"/>
          </w:tcPr>
          <w:p w14:paraId="5AAB77BE">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02BE2FE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2BDE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527" w:type="dxa"/>
            <w:vMerge w:val="restart"/>
            <w:shd w:val="clear" w:color="auto" w:fill="auto"/>
            <w:noWrap w:val="0"/>
            <w:tcMar>
              <w:top w:w="10" w:type="dxa"/>
              <w:left w:w="10" w:type="dxa"/>
              <w:right w:w="10" w:type="dxa"/>
            </w:tcMar>
            <w:vAlign w:val="center"/>
          </w:tcPr>
          <w:p w14:paraId="62E22322">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危废库</w:t>
            </w:r>
          </w:p>
        </w:tc>
        <w:tc>
          <w:tcPr>
            <w:tcW w:w="340" w:type="dxa"/>
            <w:shd w:val="clear" w:color="auto" w:fill="auto"/>
            <w:noWrap w:val="0"/>
            <w:tcMar>
              <w:top w:w="10" w:type="dxa"/>
              <w:left w:w="10" w:type="dxa"/>
              <w:right w:w="10" w:type="dxa"/>
            </w:tcMar>
            <w:vAlign w:val="center"/>
          </w:tcPr>
          <w:p w14:paraId="53A873E7">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11</w:t>
            </w:r>
          </w:p>
        </w:tc>
        <w:tc>
          <w:tcPr>
            <w:tcW w:w="4220" w:type="dxa"/>
            <w:shd w:val="clear" w:color="auto" w:fill="FFFFFF"/>
            <w:noWrap w:val="0"/>
            <w:tcMar>
              <w:top w:w="10" w:type="dxa"/>
              <w:left w:w="10" w:type="dxa"/>
              <w:right w:w="10" w:type="dxa"/>
            </w:tcMar>
            <w:vAlign w:val="center"/>
          </w:tcPr>
          <w:p w14:paraId="0D4E75C0">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w:t>
            </w:r>
          </w:p>
        </w:tc>
        <w:tc>
          <w:tcPr>
            <w:tcW w:w="1810" w:type="dxa"/>
            <w:shd w:val="clear" w:color="auto" w:fill="FFFFFF"/>
            <w:noWrap w:val="0"/>
            <w:tcMar>
              <w:top w:w="10" w:type="dxa"/>
              <w:left w:w="10" w:type="dxa"/>
              <w:right w:w="10" w:type="dxa"/>
            </w:tcMar>
            <w:vAlign w:val="center"/>
          </w:tcPr>
          <w:p w14:paraId="4AFE43CB">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车间内按要求设置危废仓库，危废仓库将</w:t>
            </w:r>
            <w:r>
              <w:rPr>
                <w:rFonts w:hint="default"/>
                <w:color w:val="auto"/>
                <w:kern w:val="0"/>
                <w:sz w:val="18"/>
                <w:szCs w:val="18"/>
                <w:lang w:val="en-US" w:eastAsia="zh-CN" w:bidi="ar"/>
              </w:rPr>
              <w:t>采取必要的防风、防晒、防雨、防漏、防渗、防腐以及其他环境污染防治措施</w:t>
            </w:r>
            <w:r>
              <w:rPr>
                <w:rFonts w:hint="eastAsia"/>
                <w:color w:val="auto"/>
                <w:kern w:val="0"/>
                <w:sz w:val="18"/>
                <w:szCs w:val="18"/>
                <w:lang w:val="en-US" w:eastAsia="zh-CN" w:bidi="ar"/>
              </w:rPr>
              <w:t>，</w:t>
            </w:r>
            <w:r>
              <w:rPr>
                <w:rFonts w:hint="default"/>
                <w:color w:val="auto"/>
                <w:kern w:val="0"/>
                <w:sz w:val="18"/>
                <w:szCs w:val="18"/>
                <w:lang w:val="en-US" w:eastAsia="zh-CN" w:bidi="ar"/>
              </w:rPr>
              <w:t>贮存设施</w:t>
            </w:r>
            <w:r>
              <w:rPr>
                <w:rFonts w:hint="eastAsia"/>
                <w:color w:val="auto"/>
                <w:kern w:val="0"/>
                <w:sz w:val="18"/>
                <w:szCs w:val="18"/>
                <w:lang w:val="en-US" w:eastAsia="zh-CN" w:bidi="ar"/>
              </w:rPr>
              <w:t>将</w:t>
            </w:r>
            <w:r>
              <w:rPr>
                <w:rFonts w:hint="default"/>
                <w:color w:val="auto"/>
                <w:kern w:val="0"/>
                <w:sz w:val="18"/>
                <w:szCs w:val="18"/>
                <w:lang w:val="en-US" w:eastAsia="zh-CN" w:bidi="ar"/>
              </w:rPr>
              <w:t>根据危险废物的类别、数量、形态、物理化学性质和污染防治等要求设置必要的贮存分区，避免不相容的危险废物接触、混合</w:t>
            </w:r>
            <w:r>
              <w:rPr>
                <w:rFonts w:hint="eastAsia"/>
                <w:color w:val="auto"/>
                <w:kern w:val="0"/>
                <w:sz w:val="18"/>
                <w:szCs w:val="18"/>
                <w:lang w:val="en-US" w:eastAsia="zh-CN" w:bidi="ar"/>
              </w:rPr>
              <w:t>。</w:t>
            </w:r>
          </w:p>
        </w:tc>
        <w:tc>
          <w:tcPr>
            <w:tcW w:w="1347" w:type="dxa"/>
            <w:noWrap w:val="0"/>
            <w:tcMar>
              <w:top w:w="10" w:type="dxa"/>
              <w:left w:w="10" w:type="dxa"/>
              <w:right w:w="10" w:type="dxa"/>
            </w:tcMar>
            <w:vAlign w:val="center"/>
          </w:tcPr>
          <w:p w14:paraId="316B438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2057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527" w:type="dxa"/>
            <w:vMerge w:val="continue"/>
            <w:shd w:val="clear" w:color="auto" w:fill="auto"/>
            <w:noWrap w:val="0"/>
            <w:tcMar>
              <w:top w:w="10" w:type="dxa"/>
              <w:left w:w="10" w:type="dxa"/>
              <w:right w:w="10" w:type="dxa"/>
            </w:tcMar>
            <w:vAlign w:val="center"/>
          </w:tcPr>
          <w:p w14:paraId="148914C9">
            <w:pPr>
              <w:widowControl/>
              <w:adjustRightInd w:val="0"/>
              <w:snapToGrid w:val="0"/>
              <w:jc w:val="center"/>
              <w:rPr>
                <w:rFonts w:hint="default"/>
                <w:color w:val="auto"/>
                <w:kern w:val="0"/>
                <w:sz w:val="18"/>
                <w:szCs w:val="18"/>
                <w:lang w:val="en-US" w:eastAsia="zh-CN" w:bidi="ar"/>
              </w:rPr>
            </w:pPr>
          </w:p>
        </w:tc>
        <w:tc>
          <w:tcPr>
            <w:tcW w:w="340" w:type="dxa"/>
            <w:shd w:val="clear" w:color="auto" w:fill="auto"/>
            <w:noWrap w:val="0"/>
            <w:tcMar>
              <w:top w:w="10" w:type="dxa"/>
              <w:left w:w="10" w:type="dxa"/>
              <w:right w:w="10" w:type="dxa"/>
            </w:tcMar>
            <w:vAlign w:val="center"/>
          </w:tcPr>
          <w:p w14:paraId="265632D3">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12</w:t>
            </w:r>
          </w:p>
        </w:tc>
        <w:tc>
          <w:tcPr>
            <w:tcW w:w="4220" w:type="dxa"/>
            <w:shd w:val="clear" w:color="auto" w:fill="FFFFFF"/>
            <w:noWrap w:val="0"/>
            <w:tcMar>
              <w:top w:w="10" w:type="dxa"/>
              <w:left w:w="10" w:type="dxa"/>
              <w:right w:w="10" w:type="dxa"/>
            </w:tcMar>
            <w:vAlign w:val="center"/>
          </w:tcPr>
          <w:p w14:paraId="499CEBE6">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易产生粉尘、VOCs、酸雾、有毒有害大气污染物和刺激性气味气体的危险废物应装入闭口容器或包装物内贮存；其中液态危废采用储罐、防渗的密闭地槽或外观整洁良好的密闭包装桶等，固态危废采用内衬塑料薄膜袋的编织袋密闭包装，半固态危废综合考虑其性状进行合理包装。</w:t>
            </w:r>
          </w:p>
        </w:tc>
        <w:tc>
          <w:tcPr>
            <w:tcW w:w="1810" w:type="dxa"/>
            <w:shd w:val="clear" w:color="auto" w:fill="FFFFFF"/>
            <w:noWrap w:val="0"/>
            <w:tcMar>
              <w:top w:w="10" w:type="dxa"/>
              <w:left w:w="10" w:type="dxa"/>
              <w:right w:w="10" w:type="dxa"/>
            </w:tcMar>
            <w:vAlign w:val="center"/>
          </w:tcPr>
          <w:p w14:paraId="1CE9763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c>
          <w:tcPr>
            <w:tcW w:w="1347" w:type="dxa"/>
            <w:noWrap w:val="0"/>
            <w:tcMar>
              <w:top w:w="10" w:type="dxa"/>
              <w:left w:w="10" w:type="dxa"/>
              <w:right w:w="10" w:type="dxa"/>
            </w:tcMar>
            <w:vAlign w:val="center"/>
          </w:tcPr>
          <w:p w14:paraId="2248CD2C">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3F0A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527" w:type="dxa"/>
            <w:vMerge w:val="continue"/>
            <w:shd w:val="clear" w:color="auto" w:fill="auto"/>
            <w:noWrap w:val="0"/>
            <w:tcMar>
              <w:top w:w="10" w:type="dxa"/>
              <w:left w:w="10" w:type="dxa"/>
              <w:right w:w="10" w:type="dxa"/>
            </w:tcMar>
            <w:vAlign w:val="center"/>
          </w:tcPr>
          <w:p w14:paraId="4A4ECA1E">
            <w:pPr>
              <w:widowControl/>
              <w:adjustRightInd w:val="0"/>
              <w:snapToGrid w:val="0"/>
              <w:jc w:val="center"/>
              <w:rPr>
                <w:rFonts w:hint="default"/>
                <w:color w:val="auto"/>
                <w:kern w:val="0"/>
                <w:sz w:val="18"/>
                <w:szCs w:val="18"/>
                <w:lang w:val="en-US" w:eastAsia="zh-CN" w:bidi="ar"/>
              </w:rPr>
            </w:pPr>
          </w:p>
        </w:tc>
        <w:tc>
          <w:tcPr>
            <w:tcW w:w="340" w:type="dxa"/>
            <w:shd w:val="clear" w:color="auto" w:fill="auto"/>
            <w:noWrap w:val="0"/>
            <w:tcMar>
              <w:top w:w="10" w:type="dxa"/>
              <w:left w:w="10" w:type="dxa"/>
              <w:right w:w="10" w:type="dxa"/>
            </w:tcMar>
            <w:vAlign w:val="center"/>
          </w:tcPr>
          <w:p w14:paraId="17250C1E">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13</w:t>
            </w:r>
          </w:p>
        </w:tc>
        <w:tc>
          <w:tcPr>
            <w:tcW w:w="4220" w:type="dxa"/>
            <w:shd w:val="clear" w:color="auto" w:fill="FFFFFF"/>
            <w:noWrap w:val="0"/>
            <w:tcMar>
              <w:top w:w="10" w:type="dxa"/>
              <w:left w:w="10" w:type="dxa"/>
              <w:right w:w="10" w:type="dxa"/>
            </w:tcMar>
            <w:vAlign w:val="center"/>
          </w:tcPr>
          <w:p w14:paraId="54B18E60">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对库房内异味较重的危废库采取有效的废气收集、处理措施；贮存易产生粉尘、VOCs、酸雾、有毒有害大气污染物和刺激性气味气体的危险废物贮存库，应设置气体收集装置和气体净化设施；气体净化设施的排气筒高度应符合 GB 16297 要求。危废库不得设置直排风机，应急安全要求设置的事故风机运行时，产生的废气需经处理后方可排放。</w:t>
            </w:r>
          </w:p>
        </w:tc>
        <w:tc>
          <w:tcPr>
            <w:tcW w:w="1810" w:type="dxa"/>
            <w:shd w:val="clear" w:color="auto" w:fill="FFFFFF"/>
            <w:noWrap w:val="0"/>
            <w:tcMar>
              <w:top w:w="10" w:type="dxa"/>
              <w:left w:w="10" w:type="dxa"/>
              <w:right w:w="10" w:type="dxa"/>
            </w:tcMar>
            <w:vAlign w:val="center"/>
          </w:tcPr>
          <w:p w14:paraId="7129BB8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c>
          <w:tcPr>
            <w:tcW w:w="1347" w:type="dxa"/>
            <w:noWrap w:val="0"/>
            <w:tcMar>
              <w:top w:w="10" w:type="dxa"/>
              <w:left w:w="10" w:type="dxa"/>
              <w:right w:w="10" w:type="dxa"/>
            </w:tcMar>
            <w:vAlign w:val="center"/>
          </w:tcPr>
          <w:p w14:paraId="6A4F780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742B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527" w:type="dxa"/>
            <w:vMerge w:val="restart"/>
            <w:shd w:val="clear" w:color="auto" w:fill="auto"/>
            <w:noWrap w:val="0"/>
            <w:tcMar>
              <w:top w:w="10" w:type="dxa"/>
              <w:left w:w="10" w:type="dxa"/>
              <w:right w:w="10" w:type="dxa"/>
            </w:tcMar>
            <w:vAlign w:val="center"/>
          </w:tcPr>
          <w:p w14:paraId="6185802C">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废气收集方式</w:t>
            </w:r>
          </w:p>
        </w:tc>
        <w:tc>
          <w:tcPr>
            <w:tcW w:w="340" w:type="dxa"/>
            <w:shd w:val="clear" w:color="auto" w:fill="auto"/>
            <w:noWrap w:val="0"/>
            <w:tcMar>
              <w:top w:w="10" w:type="dxa"/>
              <w:left w:w="10" w:type="dxa"/>
              <w:right w:w="10" w:type="dxa"/>
            </w:tcMar>
            <w:vAlign w:val="center"/>
          </w:tcPr>
          <w:p w14:paraId="7C488446">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14</w:t>
            </w:r>
          </w:p>
        </w:tc>
        <w:tc>
          <w:tcPr>
            <w:tcW w:w="4220" w:type="dxa"/>
            <w:shd w:val="clear" w:color="auto" w:fill="FFFFFF"/>
            <w:noWrap w:val="0"/>
            <w:tcMar>
              <w:top w:w="10" w:type="dxa"/>
              <w:left w:w="10" w:type="dxa"/>
              <w:right w:w="10" w:type="dxa"/>
            </w:tcMar>
            <w:vAlign w:val="center"/>
          </w:tcPr>
          <w:p w14:paraId="3B1BE1BD">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优先采用密闭设备、在密闭空间中操作或采用全密闭集气罩收集废气的方式，并保持微负压运行，密闭空间内设置负压计，安装在进出口处的负压应</w:t>
            </w:r>
            <w:r>
              <w:rPr>
                <w:rFonts w:hint="eastAsia"/>
                <w:color w:val="auto"/>
                <w:kern w:val="0"/>
                <w:sz w:val="18"/>
                <w:szCs w:val="18"/>
                <w:lang w:val="en-US" w:eastAsia="zh-CN" w:bidi="ar"/>
              </w:rPr>
              <w:t>达到-2</w:t>
            </w:r>
            <w:r>
              <w:rPr>
                <w:rFonts w:hint="default"/>
                <w:color w:val="auto"/>
                <w:kern w:val="0"/>
                <w:sz w:val="18"/>
                <w:szCs w:val="18"/>
                <w:lang w:val="en-US" w:eastAsia="zh-CN" w:bidi="ar"/>
              </w:rPr>
              <w:t>Pa</w:t>
            </w:r>
            <w:r>
              <w:rPr>
                <w:rFonts w:hint="eastAsia"/>
                <w:color w:val="auto"/>
                <w:kern w:val="0"/>
                <w:sz w:val="18"/>
                <w:szCs w:val="18"/>
                <w:lang w:val="en-US" w:eastAsia="zh-CN" w:bidi="ar"/>
              </w:rPr>
              <w:t>及以上</w:t>
            </w:r>
            <w:r>
              <w:rPr>
                <w:rFonts w:hint="default"/>
                <w:color w:val="auto"/>
                <w:kern w:val="0"/>
                <w:sz w:val="18"/>
                <w:szCs w:val="18"/>
                <w:lang w:val="en-US" w:eastAsia="zh-CN" w:bidi="ar"/>
              </w:rPr>
              <w:t>。因工艺要求需保持正压的，应在外层设置双层密闭收集。</w:t>
            </w:r>
          </w:p>
        </w:tc>
        <w:tc>
          <w:tcPr>
            <w:tcW w:w="1810" w:type="dxa"/>
            <w:shd w:val="clear" w:color="auto" w:fill="FFFFFF"/>
            <w:noWrap w:val="0"/>
            <w:tcMar>
              <w:top w:w="10" w:type="dxa"/>
              <w:left w:w="10" w:type="dxa"/>
              <w:right w:w="10" w:type="dxa"/>
            </w:tcMar>
            <w:vAlign w:val="center"/>
          </w:tcPr>
          <w:p w14:paraId="41D45807">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c>
          <w:tcPr>
            <w:tcW w:w="1347" w:type="dxa"/>
            <w:noWrap w:val="0"/>
            <w:tcMar>
              <w:top w:w="10" w:type="dxa"/>
              <w:left w:w="10" w:type="dxa"/>
              <w:right w:w="10" w:type="dxa"/>
            </w:tcMar>
            <w:vAlign w:val="center"/>
          </w:tcPr>
          <w:p w14:paraId="7FB8A1B6">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相符</w:t>
            </w:r>
          </w:p>
        </w:tc>
      </w:tr>
      <w:tr w14:paraId="484D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527" w:type="dxa"/>
            <w:vMerge w:val="continue"/>
            <w:shd w:val="clear" w:color="auto" w:fill="auto"/>
            <w:noWrap w:val="0"/>
            <w:tcMar>
              <w:top w:w="10" w:type="dxa"/>
              <w:left w:w="10" w:type="dxa"/>
              <w:right w:w="10" w:type="dxa"/>
            </w:tcMar>
            <w:vAlign w:val="center"/>
          </w:tcPr>
          <w:p w14:paraId="5AEB174B">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1320E1FE">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15</w:t>
            </w:r>
          </w:p>
        </w:tc>
        <w:tc>
          <w:tcPr>
            <w:tcW w:w="4220" w:type="dxa"/>
            <w:shd w:val="clear" w:color="auto" w:fill="FFFFFF"/>
            <w:noWrap w:val="0"/>
            <w:tcMar>
              <w:top w:w="10" w:type="dxa"/>
              <w:left w:w="10" w:type="dxa"/>
              <w:right w:w="10" w:type="dxa"/>
            </w:tcMar>
            <w:vAlign w:val="center"/>
          </w:tcPr>
          <w:p w14:paraId="6B15C110">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开放环境中采用局部集气罩方式收集废气的企业，距废气收集系统排风罩开口面最远处的 VOCs 无组织排放位置控制风速不低于0.3米/秒。与车间外大气联通（进出门）的开口断面控制风速≥1.2m/s，其他开口（窗户）断面控制风速≥0.4m/s。</w:t>
            </w:r>
          </w:p>
        </w:tc>
        <w:tc>
          <w:tcPr>
            <w:tcW w:w="1810" w:type="dxa"/>
            <w:shd w:val="clear" w:color="auto" w:fill="FFFFFF"/>
            <w:noWrap w:val="0"/>
            <w:tcMar>
              <w:top w:w="10" w:type="dxa"/>
              <w:left w:w="10" w:type="dxa"/>
              <w:right w:w="10" w:type="dxa"/>
            </w:tcMar>
            <w:vAlign w:val="center"/>
          </w:tcPr>
          <w:p w14:paraId="6F86904C">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500B7408">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不涉及</w:t>
            </w:r>
          </w:p>
        </w:tc>
      </w:tr>
      <w:tr w14:paraId="721E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27" w:type="dxa"/>
            <w:vMerge w:val="continue"/>
            <w:shd w:val="clear" w:color="auto" w:fill="auto"/>
            <w:noWrap w:val="0"/>
            <w:tcMar>
              <w:top w:w="10" w:type="dxa"/>
              <w:left w:w="10" w:type="dxa"/>
              <w:right w:w="10" w:type="dxa"/>
            </w:tcMar>
            <w:vAlign w:val="center"/>
          </w:tcPr>
          <w:p w14:paraId="12ECD1C8">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52977999">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16</w:t>
            </w:r>
          </w:p>
        </w:tc>
        <w:tc>
          <w:tcPr>
            <w:tcW w:w="4220" w:type="dxa"/>
            <w:shd w:val="clear" w:color="auto" w:fill="FFFFFF"/>
            <w:noWrap w:val="0"/>
            <w:tcMar>
              <w:top w:w="10" w:type="dxa"/>
              <w:left w:w="10" w:type="dxa"/>
              <w:right w:w="10" w:type="dxa"/>
            </w:tcMar>
            <w:vAlign w:val="center"/>
          </w:tcPr>
          <w:p w14:paraId="7A100AA8">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采用半密闭罩（含排风柜）的企业，有外部气流干扰的（安装在室外）开口断面控制风速≥1.2m/s，无外部气流干扰（安装在室内）的开口断面控制风速≥0.4m/s。</w:t>
            </w:r>
          </w:p>
        </w:tc>
        <w:tc>
          <w:tcPr>
            <w:tcW w:w="1810" w:type="dxa"/>
            <w:shd w:val="clear" w:color="auto" w:fill="FFFFFF"/>
            <w:noWrap w:val="0"/>
            <w:tcMar>
              <w:top w:w="10" w:type="dxa"/>
              <w:left w:w="10" w:type="dxa"/>
              <w:right w:w="10" w:type="dxa"/>
            </w:tcMar>
            <w:vAlign w:val="center"/>
          </w:tcPr>
          <w:p w14:paraId="2F8DEA57">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40D8FEE5">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不涉及</w:t>
            </w:r>
          </w:p>
        </w:tc>
      </w:tr>
      <w:tr w14:paraId="57D8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27" w:type="dxa"/>
            <w:vMerge w:val="restart"/>
            <w:shd w:val="clear" w:color="auto" w:fill="auto"/>
            <w:noWrap w:val="0"/>
            <w:tcMar>
              <w:top w:w="10" w:type="dxa"/>
              <w:left w:w="10" w:type="dxa"/>
              <w:right w:w="10" w:type="dxa"/>
            </w:tcMar>
            <w:vAlign w:val="center"/>
          </w:tcPr>
          <w:p w14:paraId="1BE9AE5E">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废气处理工艺</w:t>
            </w:r>
          </w:p>
        </w:tc>
        <w:tc>
          <w:tcPr>
            <w:tcW w:w="340" w:type="dxa"/>
            <w:shd w:val="clear" w:color="auto" w:fill="auto"/>
            <w:noWrap w:val="0"/>
            <w:tcMar>
              <w:top w:w="10" w:type="dxa"/>
              <w:left w:w="10" w:type="dxa"/>
              <w:right w:w="10" w:type="dxa"/>
            </w:tcMar>
            <w:vAlign w:val="center"/>
          </w:tcPr>
          <w:p w14:paraId="567D6A26">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17</w:t>
            </w:r>
          </w:p>
        </w:tc>
        <w:tc>
          <w:tcPr>
            <w:tcW w:w="4220" w:type="dxa"/>
            <w:shd w:val="clear" w:color="auto" w:fill="FFFFFF"/>
            <w:noWrap w:val="0"/>
            <w:tcMar>
              <w:top w:w="10" w:type="dxa"/>
              <w:left w:w="10" w:type="dxa"/>
              <w:right w:w="10" w:type="dxa"/>
            </w:tcMar>
            <w:vAlign w:val="center"/>
          </w:tcPr>
          <w:p w14:paraId="0CB28777">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①电泳烘干废气应采用热力焚烧、催化燃烧（不包括活性炭吸附/脱附-催化燃烧）工艺处理；</w:t>
            </w:r>
          </w:p>
          <w:p w14:paraId="494E89FB">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②</w:t>
            </w:r>
            <w:r>
              <w:rPr>
                <w:rFonts w:hint="default"/>
                <w:color w:val="auto"/>
                <w:kern w:val="0"/>
                <w:sz w:val="18"/>
                <w:szCs w:val="18"/>
                <w:lang w:bidi="ar"/>
              </w:rPr>
              <w:t>喷涂、流平、干燥（烘干、风干、晾干等）废气中漆雾应采用干式漆雾捕集过滤系统或文丘里/水旋/水幕湿法漆雾捕集+多级干式过滤除湿联合装置；</w:t>
            </w:r>
          </w:p>
          <w:p w14:paraId="0B52EE79">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③喷涂、流平、线上清洗废气应采用吸附浓缩+燃烧工艺处理，禁止使用</w:t>
            </w:r>
            <w:r>
              <w:rPr>
                <w:rFonts w:hint="eastAsia"/>
                <w:color w:val="auto"/>
                <w:kern w:val="0"/>
                <w:sz w:val="18"/>
                <w:szCs w:val="18"/>
                <w:lang w:val="en-US" w:eastAsia="zh-CN" w:bidi="ar"/>
              </w:rPr>
              <w:t>非原位</w:t>
            </w:r>
            <w:r>
              <w:rPr>
                <w:rFonts w:hint="default"/>
                <w:color w:val="auto"/>
                <w:kern w:val="0"/>
                <w:sz w:val="18"/>
                <w:szCs w:val="18"/>
                <w:lang w:val="en-US" w:eastAsia="zh-CN" w:bidi="ar"/>
              </w:rPr>
              <w:t>脱附</w:t>
            </w:r>
            <w:r>
              <w:rPr>
                <w:rFonts w:hint="eastAsia"/>
                <w:color w:val="auto"/>
                <w:kern w:val="0"/>
                <w:sz w:val="18"/>
                <w:szCs w:val="18"/>
                <w:lang w:val="en-US" w:eastAsia="zh-CN" w:bidi="ar"/>
              </w:rPr>
              <w:t>工艺</w:t>
            </w:r>
            <w:r>
              <w:rPr>
                <w:rFonts w:hint="default"/>
                <w:color w:val="auto"/>
                <w:kern w:val="0"/>
                <w:sz w:val="18"/>
                <w:szCs w:val="18"/>
                <w:lang w:val="en-US" w:eastAsia="zh-CN" w:bidi="ar"/>
              </w:rPr>
              <w:t>，其中</w:t>
            </w:r>
            <w:r>
              <w:rPr>
                <w:rFonts w:hint="eastAsia"/>
                <w:color w:val="auto"/>
                <w:kern w:val="0"/>
                <w:sz w:val="18"/>
                <w:szCs w:val="18"/>
                <w:lang w:val="en-US" w:eastAsia="zh-CN" w:bidi="ar"/>
              </w:rPr>
              <w:t>年溶剂使用量＜5t的企业</w:t>
            </w:r>
            <w:r>
              <w:rPr>
                <w:rFonts w:hint="default"/>
                <w:color w:val="auto"/>
                <w:kern w:val="0"/>
                <w:sz w:val="18"/>
                <w:szCs w:val="18"/>
                <w:lang w:val="en-US" w:eastAsia="zh-CN" w:bidi="ar"/>
              </w:rPr>
              <w:t>可采用一次性活性炭吸附工艺处理（废弃的活性炭应委托至集中再生中心处置并安装饱和状态监控系统）</w:t>
            </w:r>
            <w:r>
              <w:rPr>
                <w:rFonts w:hint="eastAsia"/>
                <w:color w:val="auto"/>
                <w:kern w:val="0"/>
                <w:sz w:val="18"/>
                <w:szCs w:val="18"/>
                <w:lang w:val="en-US" w:eastAsia="zh-CN" w:bidi="ar"/>
              </w:rPr>
              <w:t>，</w:t>
            </w:r>
          </w:p>
          <w:p w14:paraId="4464C885">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④家具制造行业干燥（烘干、风干、晾干等）废气应采用吸附浓缩+燃烧工艺处理，禁止使用</w:t>
            </w:r>
            <w:r>
              <w:rPr>
                <w:rFonts w:hint="eastAsia"/>
                <w:color w:val="auto"/>
                <w:kern w:val="0"/>
                <w:sz w:val="18"/>
                <w:szCs w:val="18"/>
                <w:lang w:val="en-US" w:eastAsia="zh-CN" w:bidi="ar"/>
              </w:rPr>
              <w:t>非原位</w:t>
            </w:r>
            <w:r>
              <w:rPr>
                <w:rFonts w:hint="default"/>
                <w:color w:val="auto"/>
                <w:kern w:val="0"/>
                <w:sz w:val="18"/>
                <w:szCs w:val="18"/>
                <w:lang w:val="en-US" w:eastAsia="zh-CN" w:bidi="ar"/>
              </w:rPr>
              <w:t>脱附</w:t>
            </w:r>
            <w:r>
              <w:rPr>
                <w:rFonts w:hint="eastAsia"/>
                <w:color w:val="auto"/>
                <w:kern w:val="0"/>
                <w:sz w:val="18"/>
                <w:szCs w:val="18"/>
                <w:lang w:val="en-US" w:eastAsia="zh-CN" w:bidi="ar"/>
              </w:rPr>
              <w:t>工艺</w:t>
            </w:r>
            <w:r>
              <w:rPr>
                <w:rFonts w:hint="default"/>
                <w:color w:val="auto"/>
                <w:kern w:val="0"/>
                <w:sz w:val="18"/>
                <w:szCs w:val="18"/>
                <w:lang w:val="en-US" w:eastAsia="zh-CN" w:bidi="ar"/>
              </w:rPr>
              <w:t>，其中</w:t>
            </w:r>
            <w:r>
              <w:rPr>
                <w:rFonts w:hint="eastAsia"/>
                <w:color w:val="auto"/>
                <w:kern w:val="0"/>
                <w:sz w:val="18"/>
                <w:szCs w:val="18"/>
                <w:lang w:val="en-US" w:eastAsia="zh-CN" w:bidi="ar"/>
              </w:rPr>
              <w:t>年溶剂使用量＜5t的企业</w:t>
            </w:r>
            <w:r>
              <w:rPr>
                <w:rFonts w:hint="default"/>
                <w:color w:val="auto"/>
                <w:kern w:val="0"/>
                <w:sz w:val="18"/>
                <w:szCs w:val="18"/>
                <w:lang w:val="en-US" w:eastAsia="zh-CN" w:bidi="ar"/>
              </w:rPr>
              <w:t>可采用一次性活性炭吸附工艺处理，（废弃的活性炭应委托至集中再生中心处置并安装饱和状态监控系统），温度较高的烘干废气（温度≥40℃）宜采用热力焚烧、催化燃烧工艺处理</w:t>
            </w:r>
            <w:r>
              <w:rPr>
                <w:rFonts w:hint="eastAsia"/>
                <w:color w:val="auto"/>
                <w:kern w:val="0"/>
                <w:sz w:val="18"/>
                <w:szCs w:val="18"/>
                <w:lang w:val="en-US" w:eastAsia="zh-CN" w:bidi="ar"/>
              </w:rPr>
              <w:t>，年溶剂使用量≥5t的企业原则上不采用</w:t>
            </w:r>
            <w:r>
              <w:rPr>
                <w:rFonts w:hint="default"/>
                <w:color w:val="auto"/>
                <w:kern w:val="0"/>
                <w:sz w:val="18"/>
                <w:szCs w:val="18"/>
                <w:lang w:val="en-US" w:eastAsia="zh-CN" w:bidi="ar"/>
              </w:rPr>
              <w:t>“蜂窝活性炭吸附-脱附-催化燃烧”工艺；</w:t>
            </w:r>
          </w:p>
          <w:p w14:paraId="11092239">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⑤其他行业烘干废气应采用热力焚烧/催化燃烧工艺处理，有条件的可采用回收式热力燃烧装置；</w:t>
            </w:r>
          </w:p>
          <w:p w14:paraId="5016E9FB">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⑥调配废气可与喷涂废气一并接入吸附浓缩 + 燃烧工艺处理，也可单独使用一次性活性炭吸附工艺（废弃的活性炭应委托至集中再生中心处置并安装饱和状态监控系统）；</w:t>
            </w:r>
          </w:p>
          <w:p w14:paraId="7A7B5F7F">
            <w:pPr>
              <w:widowControl/>
              <w:adjustRightInd w:val="0"/>
              <w:snapToGrid w:val="0"/>
              <w:jc w:val="center"/>
              <w:rPr>
                <w:rFonts w:hint="eastAsia"/>
                <w:color w:val="auto"/>
                <w:kern w:val="0"/>
                <w:sz w:val="18"/>
                <w:szCs w:val="18"/>
                <w:lang w:val="en-US" w:eastAsia="zh-CN" w:bidi="ar"/>
              </w:rPr>
            </w:pPr>
            <w:r>
              <w:rPr>
                <w:rFonts w:hint="default"/>
                <w:color w:val="auto"/>
                <w:kern w:val="0"/>
                <w:sz w:val="18"/>
                <w:szCs w:val="18"/>
                <w:lang w:val="en-US" w:eastAsia="zh-CN" w:bidi="ar"/>
              </w:rPr>
              <w:t>⑦危废库、线下清洗、涂胶、点补、注蜡等废气宜采用吸附工艺处理，可使用一次性活性炭吸附（废弃的活性炭应委托至集中再生中心处置并安装饱和状态监控系统）</w:t>
            </w:r>
            <w:r>
              <w:rPr>
                <w:rFonts w:hint="eastAsia"/>
                <w:color w:val="auto"/>
                <w:kern w:val="0"/>
                <w:sz w:val="18"/>
                <w:szCs w:val="18"/>
                <w:lang w:val="en-US" w:eastAsia="zh-CN" w:bidi="ar"/>
              </w:rPr>
              <w:t>；</w:t>
            </w:r>
          </w:p>
          <w:p w14:paraId="595DE88D">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⑧年溶剂使用量≥5t的企业原则上不采用</w:t>
            </w:r>
            <w:r>
              <w:rPr>
                <w:rFonts w:hint="default"/>
                <w:color w:val="auto"/>
                <w:kern w:val="0"/>
                <w:sz w:val="18"/>
                <w:szCs w:val="18"/>
                <w:lang w:val="en-US" w:eastAsia="zh-CN" w:bidi="ar"/>
              </w:rPr>
              <w:t>“蜂窝活性炭吸附-脱附-催化燃烧”工艺</w:t>
            </w:r>
            <w:r>
              <w:rPr>
                <w:rFonts w:hint="eastAsia"/>
                <w:color w:val="auto"/>
                <w:kern w:val="0"/>
                <w:sz w:val="18"/>
                <w:szCs w:val="18"/>
                <w:lang w:val="en-US" w:eastAsia="zh-CN" w:bidi="ar"/>
              </w:rPr>
              <w:t>，废气处理效率不低于80%</w:t>
            </w:r>
            <w:r>
              <w:rPr>
                <w:rFonts w:hint="default"/>
                <w:color w:val="auto"/>
                <w:kern w:val="0"/>
                <w:sz w:val="18"/>
                <w:szCs w:val="18"/>
                <w:lang w:val="en-US" w:eastAsia="zh-CN" w:bidi="ar"/>
              </w:rPr>
              <w:t>；</w:t>
            </w:r>
          </w:p>
        </w:tc>
        <w:tc>
          <w:tcPr>
            <w:tcW w:w="1810" w:type="dxa"/>
            <w:shd w:val="clear" w:color="auto" w:fill="FFFFFF"/>
            <w:noWrap w:val="0"/>
            <w:tcMar>
              <w:top w:w="10" w:type="dxa"/>
              <w:left w:w="10" w:type="dxa"/>
              <w:right w:w="10" w:type="dxa"/>
            </w:tcMar>
            <w:vAlign w:val="center"/>
          </w:tcPr>
          <w:p w14:paraId="598CE31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本项目采用全自动一体化喷涂设备，产生的漆雾经设备自带水帘进行捕集，设备喷漆段和烘干段全密闭收集，产生的喷涂废气经收集后采用“活性炭吸附+脱附催化燃烧”装置进行处理，处理后由1根不低于15m高排气筒高空排放。</w:t>
            </w:r>
          </w:p>
        </w:tc>
        <w:tc>
          <w:tcPr>
            <w:tcW w:w="1347" w:type="dxa"/>
            <w:noWrap w:val="0"/>
            <w:tcMar>
              <w:top w:w="10" w:type="dxa"/>
              <w:left w:w="10" w:type="dxa"/>
              <w:right w:w="10" w:type="dxa"/>
            </w:tcMar>
            <w:vAlign w:val="center"/>
          </w:tcPr>
          <w:p w14:paraId="2D96B7A5">
            <w:pPr>
              <w:widowControl/>
              <w:adjustRightInd w:val="0"/>
              <w:snapToGrid w:val="0"/>
              <w:jc w:val="center"/>
              <w:rPr>
                <w:rFonts w:hint="default"/>
                <w:color w:val="auto"/>
                <w:kern w:val="0"/>
                <w:sz w:val="18"/>
                <w:szCs w:val="18"/>
                <w:lang w:val="en-US" w:bidi="ar"/>
              </w:rPr>
            </w:pPr>
            <w:r>
              <w:rPr>
                <w:rFonts w:hint="eastAsia"/>
                <w:color w:val="auto"/>
                <w:kern w:val="0"/>
                <w:sz w:val="18"/>
                <w:szCs w:val="18"/>
                <w:lang w:val="en-US" w:eastAsia="zh-CN" w:bidi="ar"/>
              </w:rPr>
              <w:t>相符</w:t>
            </w:r>
          </w:p>
        </w:tc>
      </w:tr>
      <w:tr w14:paraId="1FAE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jc w:val="center"/>
        </w:trPr>
        <w:tc>
          <w:tcPr>
            <w:tcW w:w="527" w:type="dxa"/>
            <w:vMerge w:val="continue"/>
            <w:shd w:val="clear" w:color="auto" w:fill="auto"/>
            <w:noWrap w:val="0"/>
            <w:tcMar>
              <w:top w:w="10" w:type="dxa"/>
              <w:left w:w="10" w:type="dxa"/>
              <w:right w:w="10" w:type="dxa"/>
            </w:tcMar>
            <w:vAlign w:val="center"/>
          </w:tcPr>
          <w:p w14:paraId="2118A320">
            <w:pPr>
              <w:widowControl/>
              <w:adjustRightInd w:val="0"/>
              <w:snapToGrid w:val="0"/>
              <w:jc w:val="center"/>
              <w:rPr>
                <w:rFonts w:hint="default"/>
                <w:color w:val="auto"/>
                <w:kern w:val="0"/>
                <w:sz w:val="18"/>
                <w:szCs w:val="18"/>
                <w:lang w:bidi="ar"/>
              </w:rPr>
            </w:pPr>
          </w:p>
        </w:tc>
        <w:tc>
          <w:tcPr>
            <w:tcW w:w="340" w:type="dxa"/>
            <w:shd w:val="clear" w:color="auto" w:fill="auto"/>
            <w:noWrap w:val="0"/>
            <w:tcMar>
              <w:top w:w="10" w:type="dxa"/>
              <w:left w:w="10" w:type="dxa"/>
              <w:right w:w="10" w:type="dxa"/>
            </w:tcMar>
            <w:vAlign w:val="center"/>
          </w:tcPr>
          <w:p w14:paraId="0325A20D">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18</w:t>
            </w:r>
          </w:p>
        </w:tc>
        <w:tc>
          <w:tcPr>
            <w:tcW w:w="4220" w:type="dxa"/>
            <w:shd w:val="clear" w:color="auto" w:fill="FFFFFF"/>
            <w:noWrap w:val="0"/>
            <w:tcMar>
              <w:top w:w="10" w:type="dxa"/>
              <w:left w:w="10" w:type="dxa"/>
              <w:right w:w="10" w:type="dxa"/>
            </w:tcMar>
            <w:vAlign w:val="center"/>
          </w:tcPr>
          <w:p w14:paraId="724AC5FC">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采用活性炭作为吸附剂的企业，宜选用颗粒状活性炭，颗粒状活性炭的碘值</w:t>
            </w:r>
            <w:r>
              <w:rPr>
                <w:rFonts w:hint="eastAsia"/>
                <w:color w:val="auto"/>
                <w:kern w:val="0"/>
                <w:sz w:val="18"/>
                <w:szCs w:val="18"/>
                <w:lang w:val="en-US" w:eastAsia="zh-CN" w:bidi="ar"/>
              </w:rPr>
              <w:t>不应</w:t>
            </w:r>
            <w:r>
              <w:rPr>
                <w:rFonts w:hint="default"/>
                <w:color w:val="auto"/>
                <w:kern w:val="0"/>
                <w:sz w:val="18"/>
                <w:szCs w:val="18"/>
                <w:lang w:val="en-US" w:eastAsia="zh-CN" w:bidi="ar"/>
              </w:rPr>
              <w:t>低于 800mg/g，废弃的活性炭应委托至集中再生中心处置。活性炭分散吸附技术（一次性活性炭吸附）一般适用</w:t>
            </w:r>
            <w:r>
              <w:rPr>
                <w:rFonts w:hint="eastAsia"/>
                <w:color w:val="auto"/>
                <w:kern w:val="0"/>
                <w:sz w:val="18"/>
                <w:szCs w:val="18"/>
                <w:lang w:val="en-US" w:eastAsia="zh-CN" w:bidi="ar"/>
              </w:rPr>
              <w:t>年溶剂使用量＜5t</w:t>
            </w:r>
            <w:r>
              <w:rPr>
                <w:rFonts w:hint="default"/>
                <w:color w:val="auto"/>
                <w:kern w:val="0"/>
                <w:sz w:val="18"/>
                <w:szCs w:val="18"/>
                <w:lang w:val="en-US" w:eastAsia="zh-CN" w:bidi="ar"/>
              </w:rPr>
              <w:t>的企业，活性炭的动态吸附容量宜按 10—15%计算。颗粒状吸附剂的气体流速不超过 0.6 米/秒，纤维状吸附剂的气体流速不超过 0.15 米/秒，废气在吸附层中的停留时间一般不低于 0.75 秒。企业必须安装活性炭饱和状态监控系统（用电监控，监控吸附时长），根据实际监控情况确定更换时间（需报备至管理部门）。</w:t>
            </w:r>
          </w:p>
        </w:tc>
        <w:tc>
          <w:tcPr>
            <w:tcW w:w="1810" w:type="dxa"/>
            <w:shd w:val="clear" w:color="auto" w:fill="FFFFFF"/>
            <w:noWrap w:val="0"/>
            <w:tcMar>
              <w:top w:w="10" w:type="dxa"/>
              <w:left w:w="10" w:type="dxa"/>
              <w:right w:w="10" w:type="dxa"/>
            </w:tcMar>
            <w:vAlign w:val="center"/>
          </w:tcPr>
          <w:p w14:paraId="79A282CD">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使用</w:t>
            </w:r>
            <w:r>
              <w:rPr>
                <w:color w:val="auto"/>
                <w:spacing w:val="0"/>
                <w:kern w:val="0"/>
                <w:sz w:val="18"/>
                <w:szCs w:val="18"/>
                <w:lang w:bidi="ar"/>
              </w:rPr>
              <w:t>颗粒活性炭吸附装置，废活性炭委托就近废活性炭集中再生中心处置</w:t>
            </w:r>
            <w:r>
              <w:rPr>
                <w:rFonts w:hint="default"/>
                <w:color w:val="auto"/>
                <w:kern w:val="0"/>
                <w:sz w:val="18"/>
                <w:szCs w:val="18"/>
                <w:lang w:val="en-US" w:eastAsia="zh-CN" w:bidi="ar"/>
              </w:rPr>
              <w:t>。</w:t>
            </w:r>
          </w:p>
        </w:tc>
        <w:tc>
          <w:tcPr>
            <w:tcW w:w="1347" w:type="dxa"/>
            <w:noWrap w:val="0"/>
            <w:tcMar>
              <w:top w:w="10" w:type="dxa"/>
              <w:left w:w="10" w:type="dxa"/>
              <w:right w:w="10" w:type="dxa"/>
            </w:tcMar>
            <w:vAlign w:val="center"/>
          </w:tcPr>
          <w:p w14:paraId="3FDF81F6">
            <w:pPr>
              <w:widowControl/>
              <w:adjustRightInd w:val="0"/>
              <w:snapToGrid w:val="0"/>
              <w:jc w:val="center"/>
              <w:rPr>
                <w:rFonts w:hint="eastAsia" w:eastAsia="宋体"/>
                <w:color w:val="auto"/>
                <w:kern w:val="0"/>
                <w:sz w:val="18"/>
                <w:szCs w:val="18"/>
                <w:lang w:eastAsia="zh-CN" w:bidi="ar"/>
              </w:rPr>
            </w:pPr>
            <w:r>
              <w:rPr>
                <w:rFonts w:hint="eastAsia"/>
                <w:color w:val="auto"/>
                <w:spacing w:val="0"/>
                <w:kern w:val="0"/>
                <w:sz w:val="18"/>
                <w:szCs w:val="18"/>
                <w:lang w:val="en-US" w:eastAsia="zh-CN" w:bidi="ar"/>
              </w:rPr>
              <w:t>相符</w:t>
            </w:r>
          </w:p>
        </w:tc>
      </w:tr>
      <w:tr w14:paraId="11F8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jc w:val="center"/>
        </w:trPr>
        <w:tc>
          <w:tcPr>
            <w:tcW w:w="527" w:type="dxa"/>
            <w:vMerge w:val="continue"/>
            <w:noWrap w:val="0"/>
            <w:tcMar>
              <w:top w:w="10" w:type="dxa"/>
              <w:left w:w="10" w:type="dxa"/>
              <w:right w:w="10" w:type="dxa"/>
            </w:tcMar>
            <w:vAlign w:val="center"/>
          </w:tcPr>
          <w:p w14:paraId="46912B71">
            <w:pPr>
              <w:widowControl/>
              <w:adjustRightInd w:val="0"/>
              <w:snapToGrid w:val="0"/>
              <w:jc w:val="center"/>
              <w:rPr>
                <w:rFonts w:hint="default"/>
                <w:color w:val="auto"/>
                <w:kern w:val="0"/>
                <w:sz w:val="18"/>
                <w:szCs w:val="18"/>
                <w:lang w:bidi="ar"/>
              </w:rPr>
            </w:pPr>
          </w:p>
        </w:tc>
        <w:tc>
          <w:tcPr>
            <w:tcW w:w="340" w:type="dxa"/>
            <w:noWrap w:val="0"/>
            <w:tcMar>
              <w:top w:w="10" w:type="dxa"/>
              <w:left w:w="10" w:type="dxa"/>
              <w:right w:w="10" w:type="dxa"/>
            </w:tcMar>
            <w:vAlign w:val="center"/>
          </w:tcPr>
          <w:p w14:paraId="14E5E946">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19</w:t>
            </w:r>
          </w:p>
        </w:tc>
        <w:tc>
          <w:tcPr>
            <w:tcW w:w="4220" w:type="dxa"/>
            <w:noWrap w:val="0"/>
            <w:tcMar>
              <w:top w:w="10" w:type="dxa"/>
              <w:left w:w="10" w:type="dxa"/>
              <w:right w:w="10" w:type="dxa"/>
            </w:tcMar>
            <w:vAlign w:val="center"/>
          </w:tcPr>
          <w:p w14:paraId="556AA6A2">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吸附装置应做好除颗粒物、降温、除湿等预处理工作，吸附前的颗粒物或油烟浓度不宜超过 1mg/m</w:t>
            </w:r>
            <w:r>
              <w:rPr>
                <w:rFonts w:hint="default"/>
                <w:color w:val="auto"/>
                <w:kern w:val="0"/>
                <w:sz w:val="18"/>
                <w:szCs w:val="18"/>
                <w:vertAlign w:val="superscript"/>
                <w:lang w:val="en-US" w:eastAsia="zh-CN" w:bidi="ar"/>
              </w:rPr>
              <w:t>3</w:t>
            </w:r>
            <w:r>
              <w:rPr>
                <w:rFonts w:hint="default"/>
                <w:color w:val="auto"/>
                <w:kern w:val="0"/>
                <w:sz w:val="18"/>
                <w:szCs w:val="18"/>
                <w:lang w:val="en-US" w:eastAsia="zh-CN" w:bidi="ar"/>
              </w:rPr>
              <w:t xml:space="preserve">，废气温度不应超过40℃，采用活性炭吸附的相对湿度不宜超过 </w:t>
            </w:r>
            <w:r>
              <w:rPr>
                <w:rFonts w:hint="eastAsia"/>
                <w:color w:val="auto"/>
                <w:kern w:val="0"/>
                <w:sz w:val="18"/>
                <w:szCs w:val="18"/>
                <w:lang w:val="en-US" w:eastAsia="zh-CN" w:bidi="ar"/>
              </w:rPr>
              <w:t>9</w:t>
            </w:r>
            <w:r>
              <w:rPr>
                <w:rFonts w:hint="default"/>
                <w:color w:val="auto"/>
                <w:kern w:val="0"/>
                <w:sz w:val="18"/>
                <w:szCs w:val="18"/>
                <w:lang w:val="en-US" w:eastAsia="zh-CN" w:bidi="ar"/>
              </w:rPr>
              <w:t>0%。对于含有较多漆雾的喷涂废气，不宜采用单一水喷淋预处理，应采用多级干式过滤措施，末道过滤材料的过滤等级不应低于 F9，并根据压差监测或其他监测方式，过滤器阻力低于初始值或达到初阻值1.5~2倍时及时更换过滤材料。</w:t>
            </w:r>
          </w:p>
        </w:tc>
        <w:tc>
          <w:tcPr>
            <w:tcW w:w="1810" w:type="dxa"/>
            <w:noWrap w:val="0"/>
            <w:tcMar>
              <w:top w:w="10" w:type="dxa"/>
              <w:left w:w="10" w:type="dxa"/>
              <w:right w:w="10" w:type="dxa"/>
            </w:tcMar>
            <w:vAlign w:val="center"/>
          </w:tcPr>
          <w:p w14:paraId="54DEBF3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123F1EE7">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不涉及</w:t>
            </w:r>
          </w:p>
        </w:tc>
      </w:tr>
      <w:tr w14:paraId="57D9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0" w:hRule="atLeast"/>
          <w:jc w:val="center"/>
        </w:trPr>
        <w:tc>
          <w:tcPr>
            <w:tcW w:w="527" w:type="dxa"/>
            <w:vMerge w:val="continue"/>
            <w:noWrap w:val="0"/>
            <w:tcMar>
              <w:top w:w="10" w:type="dxa"/>
              <w:left w:w="10" w:type="dxa"/>
              <w:right w:w="10" w:type="dxa"/>
            </w:tcMar>
            <w:vAlign w:val="center"/>
          </w:tcPr>
          <w:p w14:paraId="6863E7DF">
            <w:pPr>
              <w:widowControl/>
              <w:adjustRightInd w:val="0"/>
              <w:snapToGrid w:val="0"/>
              <w:jc w:val="center"/>
              <w:rPr>
                <w:rFonts w:hint="default"/>
                <w:color w:val="auto"/>
                <w:kern w:val="0"/>
                <w:sz w:val="18"/>
                <w:szCs w:val="18"/>
                <w:lang w:bidi="ar"/>
              </w:rPr>
            </w:pPr>
          </w:p>
        </w:tc>
        <w:tc>
          <w:tcPr>
            <w:tcW w:w="340" w:type="dxa"/>
            <w:noWrap w:val="0"/>
            <w:tcMar>
              <w:top w:w="10" w:type="dxa"/>
              <w:left w:w="10" w:type="dxa"/>
              <w:right w:w="10" w:type="dxa"/>
            </w:tcMar>
            <w:vAlign w:val="center"/>
          </w:tcPr>
          <w:p w14:paraId="03B730BE">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20</w:t>
            </w:r>
          </w:p>
        </w:tc>
        <w:tc>
          <w:tcPr>
            <w:tcW w:w="4220" w:type="dxa"/>
            <w:noWrap w:val="0"/>
            <w:tcMar>
              <w:top w:w="10" w:type="dxa"/>
              <w:left w:w="10" w:type="dxa"/>
              <w:right w:w="10" w:type="dxa"/>
            </w:tcMar>
            <w:vAlign w:val="center"/>
          </w:tcPr>
          <w:p w14:paraId="0791A892">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采用单一或组合燃烧技术的企业，催化燃烧装置应按照《催化燃烧法工业有机废气治理工程技术规范》（HJ2027—2013）进行设计、建设与运行管理，催化燃烧装置的设计空速宜大于10000h</w:t>
            </w:r>
            <w:r>
              <w:rPr>
                <w:rFonts w:hint="default"/>
                <w:color w:val="auto"/>
                <w:kern w:val="0"/>
                <w:sz w:val="18"/>
                <w:szCs w:val="18"/>
                <w:vertAlign w:val="superscript"/>
                <w:lang w:val="en-US" w:eastAsia="zh-CN" w:bidi="ar"/>
              </w:rPr>
              <w:t>-1</w:t>
            </w:r>
            <w:r>
              <w:rPr>
                <w:rFonts w:hint="default"/>
                <w:color w:val="auto"/>
                <w:kern w:val="0"/>
                <w:sz w:val="18"/>
                <w:szCs w:val="18"/>
                <w:lang w:val="en-US" w:eastAsia="zh-CN" w:bidi="ar"/>
              </w:rPr>
              <w:t>，但不应高于40000h</w:t>
            </w:r>
            <w:r>
              <w:rPr>
                <w:rFonts w:hint="default"/>
                <w:color w:val="auto"/>
                <w:kern w:val="0"/>
                <w:sz w:val="18"/>
                <w:szCs w:val="18"/>
                <w:vertAlign w:val="superscript"/>
                <w:lang w:val="en-US" w:eastAsia="zh-CN" w:bidi="ar"/>
              </w:rPr>
              <w:t>-1</w:t>
            </w:r>
            <w:r>
              <w:rPr>
                <w:rFonts w:hint="default"/>
                <w:color w:val="auto"/>
                <w:kern w:val="0"/>
                <w:sz w:val="18"/>
                <w:szCs w:val="18"/>
                <w:lang w:val="en-US" w:eastAsia="zh-CN" w:bidi="ar"/>
              </w:rPr>
              <w:t>。催化室温度不应低于300℃；蓄热燃烧装置应按照《蓄热燃烧法工业有机废气治理工程技术规范》（HJ1093—2020）进行设计、建设与运行管理，燃烧室温度不低于760℃，蓄热室的截面风速不宜大于2m/s，废气在燃烧室的停留时间不低于0.75s。</w:t>
            </w:r>
          </w:p>
        </w:tc>
        <w:tc>
          <w:tcPr>
            <w:tcW w:w="1810" w:type="dxa"/>
            <w:noWrap w:val="0"/>
            <w:tcMar>
              <w:top w:w="10" w:type="dxa"/>
              <w:left w:w="10" w:type="dxa"/>
              <w:right w:w="10" w:type="dxa"/>
            </w:tcMar>
            <w:vAlign w:val="center"/>
          </w:tcPr>
          <w:p w14:paraId="3774B9C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本项目废气处理设施委托有资质单位进行设计并建造，能够满足</w:t>
            </w:r>
            <w:r>
              <w:rPr>
                <w:rFonts w:hint="default"/>
                <w:color w:val="auto"/>
                <w:kern w:val="0"/>
                <w:sz w:val="18"/>
                <w:szCs w:val="18"/>
                <w:lang w:val="en-US" w:eastAsia="zh-CN" w:bidi="ar"/>
              </w:rPr>
              <w:t>《催化燃烧法工业有机废气治理工程技术规范》（HJ2027—2013）</w:t>
            </w:r>
            <w:r>
              <w:rPr>
                <w:rFonts w:hint="eastAsia"/>
                <w:color w:val="auto"/>
                <w:kern w:val="0"/>
                <w:sz w:val="18"/>
                <w:szCs w:val="18"/>
                <w:lang w:val="en-US" w:eastAsia="zh-CN" w:bidi="ar"/>
              </w:rPr>
              <w:t>相关技术要求</w:t>
            </w:r>
          </w:p>
        </w:tc>
        <w:tc>
          <w:tcPr>
            <w:tcW w:w="1347" w:type="dxa"/>
            <w:noWrap w:val="0"/>
            <w:tcMar>
              <w:top w:w="10" w:type="dxa"/>
              <w:left w:w="10" w:type="dxa"/>
              <w:right w:w="10" w:type="dxa"/>
            </w:tcMar>
            <w:vAlign w:val="center"/>
          </w:tcPr>
          <w:p w14:paraId="360A5646">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相符</w:t>
            </w:r>
          </w:p>
        </w:tc>
      </w:tr>
      <w:tr w14:paraId="4811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527" w:type="dxa"/>
            <w:vMerge w:val="continue"/>
            <w:noWrap w:val="0"/>
            <w:tcMar>
              <w:top w:w="10" w:type="dxa"/>
              <w:left w:w="10" w:type="dxa"/>
              <w:right w:w="10" w:type="dxa"/>
            </w:tcMar>
            <w:vAlign w:val="center"/>
          </w:tcPr>
          <w:p w14:paraId="4D603A9D">
            <w:pPr>
              <w:widowControl/>
              <w:adjustRightInd w:val="0"/>
              <w:snapToGrid w:val="0"/>
              <w:jc w:val="center"/>
              <w:rPr>
                <w:rFonts w:hint="default"/>
                <w:color w:val="auto"/>
                <w:kern w:val="0"/>
                <w:sz w:val="18"/>
                <w:szCs w:val="18"/>
                <w:lang w:bidi="ar"/>
              </w:rPr>
            </w:pPr>
          </w:p>
        </w:tc>
        <w:tc>
          <w:tcPr>
            <w:tcW w:w="340" w:type="dxa"/>
            <w:noWrap w:val="0"/>
            <w:tcMar>
              <w:top w:w="10" w:type="dxa"/>
              <w:left w:w="10" w:type="dxa"/>
              <w:right w:w="10" w:type="dxa"/>
            </w:tcMar>
            <w:vAlign w:val="center"/>
          </w:tcPr>
          <w:p w14:paraId="47957F6D">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21</w:t>
            </w:r>
          </w:p>
        </w:tc>
        <w:tc>
          <w:tcPr>
            <w:tcW w:w="4220" w:type="dxa"/>
            <w:noWrap w:val="0"/>
            <w:tcMar>
              <w:top w:w="10" w:type="dxa"/>
              <w:left w:w="10" w:type="dxa"/>
              <w:right w:w="10" w:type="dxa"/>
            </w:tcMar>
            <w:vAlign w:val="center"/>
          </w:tcPr>
          <w:p w14:paraId="09DFE02F">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新建、改建和扩建涉 VOCs 项目不使用低温等离子、光氧化、光催化等低效治理设施（恶臭异味治理除外）</w:t>
            </w:r>
          </w:p>
          <w:p w14:paraId="603FD768">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注：典型的除臭情形主要包括：废水站废气处理（高浓度有机废水调节池除外）</w:t>
            </w:r>
          </w:p>
        </w:tc>
        <w:tc>
          <w:tcPr>
            <w:tcW w:w="1810" w:type="dxa"/>
            <w:noWrap w:val="0"/>
            <w:tcMar>
              <w:top w:w="10" w:type="dxa"/>
              <w:left w:w="10" w:type="dxa"/>
              <w:right w:w="10" w:type="dxa"/>
            </w:tcMar>
            <w:vAlign w:val="center"/>
          </w:tcPr>
          <w:p w14:paraId="42EF57B6">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18CBB6B2">
            <w:pPr>
              <w:widowControl/>
              <w:adjustRightInd w:val="0"/>
              <w:snapToGrid w:val="0"/>
              <w:jc w:val="center"/>
              <w:rPr>
                <w:rFonts w:hint="default"/>
                <w:color w:val="auto"/>
                <w:kern w:val="0"/>
                <w:sz w:val="18"/>
                <w:szCs w:val="18"/>
                <w:lang w:bidi="ar"/>
              </w:rPr>
            </w:pPr>
            <w:r>
              <w:rPr>
                <w:rFonts w:hint="eastAsia"/>
                <w:color w:val="auto"/>
                <w:kern w:val="0"/>
                <w:sz w:val="18"/>
                <w:szCs w:val="18"/>
                <w:lang w:val="en-US" w:eastAsia="zh-CN" w:bidi="ar"/>
              </w:rPr>
              <w:t>不涉及</w:t>
            </w:r>
          </w:p>
        </w:tc>
      </w:tr>
      <w:tr w14:paraId="4335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vMerge w:val="continue"/>
            <w:noWrap w:val="0"/>
            <w:tcMar>
              <w:top w:w="10" w:type="dxa"/>
              <w:left w:w="10" w:type="dxa"/>
              <w:right w:w="10" w:type="dxa"/>
            </w:tcMar>
            <w:vAlign w:val="center"/>
          </w:tcPr>
          <w:p w14:paraId="00F73082">
            <w:pPr>
              <w:widowControl/>
              <w:adjustRightInd w:val="0"/>
              <w:snapToGrid w:val="0"/>
              <w:jc w:val="center"/>
              <w:rPr>
                <w:rFonts w:hint="default"/>
                <w:color w:val="auto"/>
                <w:kern w:val="0"/>
                <w:sz w:val="18"/>
                <w:szCs w:val="18"/>
                <w:lang w:bidi="ar"/>
              </w:rPr>
            </w:pPr>
          </w:p>
        </w:tc>
        <w:tc>
          <w:tcPr>
            <w:tcW w:w="340" w:type="dxa"/>
            <w:noWrap w:val="0"/>
            <w:tcMar>
              <w:top w:w="10" w:type="dxa"/>
              <w:left w:w="10" w:type="dxa"/>
              <w:right w:w="10" w:type="dxa"/>
            </w:tcMar>
            <w:vAlign w:val="center"/>
          </w:tcPr>
          <w:p w14:paraId="3207E59A">
            <w:pPr>
              <w:widowControl/>
              <w:adjustRightInd w:val="0"/>
              <w:snapToGrid w:val="0"/>
              <w:jc w:val="center"/>
              <w:rPr>
                <w:rFonts w:hint="default"/>
                <w:color w:val="auto"/>
                <w:kern w:val="0"/>
                <w:sz w:val="18"/>
                <w:szCs w:val="18"/>
                <w:lang w:val="en-US" w:bidi="ar"/>
              </w:rPr>
            </w:pPr>
            <w:r>
              <w:rPr>
                <w:rFonts w:hint="default"/>
                <w:color w:val="auto"/>
                <w:kern w:val="0"/>
                <w:sz w:val="18"/>
                <w:szCs w:val="18"/>
                <w:lang w:val="en-US" w:eastAsia="zh-CN" w:bidi="ar"/>
              </w:rPr>
              <w:t>22</w:t>
            </w:r>
          </w:p>
        </w:tc>
        <w:tc>
          <w:tcPr>
            <w:tcW w:w="4220" w:type="dxa"/>
            <w:noWrap w:val="0"/>
            <w:tcMar>
              <w:top w:w="10" w:type="dxa"/>
              <w:left w:w="10" w:type="dxa"/>
              <w:right w:w="10" w:type="dxa"/>
            </w:tcMar>
            <w:vAlign w:val="center"/>
          </w:tcPr>
          <w:p w14:paraId="63245414">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①电泳废气</w:t>
            </w:r>
            <w:r>
              <w:rPr>
                <w:rFonts w:hint="eastAsia"/>
                <w:color w:val="auto"/>
                <w:kern w:val="0"/>
                <w:sz w:val="18"/>
                <w:szCs w:val="18"/>
                <w:lang w:val="en-US" w:eastAsia="zh-CN" w:bidi="ar"/>
              </w:rPr>
              <w:t>（非烘干工序）</w:t>
            </w:r>
            <w:r>
              <w:rPr>
                <w:rFonts w:hint="default"/>
                <w:color w:val="auto"/>
                <w:kern w:val="0"/>
                <w:sz w:val="18"/>
                <w:szCs w:val="18"/>
                <w:lang w:val="en-US" w:eastAsia="zh-CN" w:bidi="ar"/>
              </w:rPr>
              <w:t>需采取有效的收集措施，并开展监测，臭气浓度超过800的需收集处理。</w:t>
            </w:r>
          </w:p>
          <w:p w14:paraId="1F52DFC5">
            <w:pPr>
              <w:widowControl/>
              <w:adjustRightInd w:val="0"/>
              <w:snapToGrid w:val="0"/>
              <w:jc w:val="center"/>
              <w:rPr>
                <w:rFonts w:hint="eastAsia"/>
                <w:color w:val="auto"/>
                <w:kern w:val="0"/>
                <w:sz w:val="18"/>
                <w:szCs w:val="18"/>
                <w:lang w:val="en-US" w:eastAsia="zh-CN" w:bidi="ar"/>
              </w:rPr>
            </w:pPr>
            <w:r>
              <w:rPr>
                <w:rFonts w:hint="default"/>
                <w:color w:val="auto"/>
                <w:kern w:val="0"/>
                <w:sz w:val="18"/>
                <w:szCs w:val="18"/>
                <w:lang w:val="en-US" w:eastAsia="zh-CN" w:bidi="ar"/>
              </w:rPr>
              <w:t>②</w:t>
            </w:r>
            <w:r>
              <w:rPr>
                <w:rFonts w:hint="eastAsia"/>
                <w:color w:val="auto"/>
                <w:kern w:val="0"/>
                <w:sz w:val="18"/>
                <w:szCs w:val="18"/>
                <w:lang w:val="en-US" w:eastAsia="zh-CN" w:bidi="ar"/>
              </w:rPr>
              <w:t>使用ABS、PVC为原料的</w:t>
            </w:r>
            <w:r>
              <w:rPr>
                <w:rFonts w:hint="default"/>
                <w:color w:val="auto"/>
                <w:kern w:val="0"/>
                <w:sz w:val="18"/>
                <w:szCs w:val="18"/>
                <w:lang w:val="en-US" w:eastAsia="zh-CN" w:bidi="ar"/>
              </w:rPr>
              <w:t>喷塑固化废气</w:t>
            </w:r>
            <w:r>
              <w:rPr>
                <w:rFonts w:hint="eastAsia"/>
                <w:color w:val="auto"/>
                <w:kern w:val="0"/>
                <w:sz w:val="18"/>
                <w:szCs w:val="18"/>
                <w:lang w:val="en-US" w:eastAsia="zh-CN" w:bidi="ar"/>
              </w:rPr>
              <w:t>需收集处理。</w:t>
            </w:r>
          </w:p>
          <w:p w14:paraId="785474FC">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③</w:t>
            </w:r>
            <w:r>
              <w:rPr>
                <w:rFonts w:hint="eastAsia"/>
                <w:color w:val="auto"/>
                <w:kern w:val="0"/>
                <w:sz w:val="18"/>
                <w:szCs w:val="18"/>
                <w:lang w:val="en-US" w:eastAsia="zh-CN" w:bidi="ar"/>
              </w:rPr>
              <w:t>使用PP、PE为原料的</w:t>
            </w:r>
            <w:r>
              <w:rPr>
                <w:rFonts w:hint="default"/>
                <w:color w:val="auto"/>
                <w:kern w:val="0"/>
                <w:sz w:val="18"/>
                <w:szCs w:val="18"/>
                <w:lang w:val="en-US" w:eastAsia="zh-CN" w:bidi="ar"/>
              </w:rPr>
              <w:t>喷塑固化废气需采取有效的收集措施，并开展监测，臭气浓度超过800的需收集处理。</w:t>
            </w:r>
          </w:p>
        </w:tc>
        <w:tc>
          <w:tcPr>
            <w:tcW w:w="1810" w:type="dxa"/>
            <w:noWrap w:val="0"/>
            <w:tcMar>
              <w:top w:w="10" w:type="dxa"/>
              <w:left w:w="10" w:type="dxa"/>
              <w:right w:w="10" w:type="dxa"/>
            </w:tcMar>
            <w:vAlign w:val="center"/>
          </w:tcPr>
          <w:p w14:paraId="7E8C2B1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580D4FF1">
            <w:pPr>
              <w:widowControl/>
              <w:adjustRightInd w:val="0"/>
              <w:snapToGrid w:val="0"/>
              <w:jc w:val="center"/>
              <w:rPr>
                <w:rFonts w:hint="default"/>
                <w:color w:val="auto"/>
                <w:kern w:val="0"/>
                <w:sz w:val="18"/>
                <w:szCs w:val="18"/>
                <w:lang w:val="en-US" w:bidi="ar"/>
              </w:rPr>
            </w:pPr>
            <w:r>
              <w:rPr>
                <w:rFonts w:hint="eastAsia"/>
                <w:color w:val="auto"/>
                <w:kern w:val="0"/>
                <w:sz w:val="18"/>
                <w:szCs w:val="18"/>
                <w:lang w:val="en-US" w:eastAsia="zh-CN" w:bidi="ar"/>
              </w:rPr>
              <w:t>不涉及</w:t>
            </w:r>
          </w:p>
        </w:tc>
      </w:tr>
      <w:tr w14:paraId="2F99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vMerge w:val="restart"/>
            <w:noWrap w:val="0"/>
            <w:tcMar>
              <w:top w:w="10" w:type="dxa"/>
              <w:left w:w="10" w:type="dxa"/>
              <w:right w:w="10" w:type="dxa"/>
            </w:tcMar>
            <w:vAlign w:val="center"/>
          </w:tcPr>
          <w:p w14:paraId="430277FC">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监测监控水平</w:t>
            </w:r>
          </w:p>
        </w:tc>
        <w:tc>
          <w:tcPr>
            <w:tcW w:w="340" w:type="dxa"/>
            <w:noWrap w:val="0"/>
            <w:tcMar>
              <w:top w:w="10" w:type="dxa"/>
              <w:left w:w="10" w:type="dxa"/>
              <w:right w:w="10" w:type="dxa"/>
            </w:tcMar>
            <w:vAlign w:val="center"/>
          </w:tcPr>
          <w:p w14:paraId="14F9C8BA">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23</w:t>
            </w:r>
          </w:p>
        </w:tc>
        <w:tc>
          <w:tcPr>
            <w:tcW w:w="4220" w:type="dxa"/>
            <w:noWrap w:val="0"/>
            <w:tcMar>
              <w:top w:w="10" w:type="dxa"/>
              <w:left w:w="10" w:type="dxa"/>
              <w:right w:w="10" w:type="dxa"/>
            </w:tcMar>
            <w:vAlign w:val="center"/>
          </w:tcPr>
          <w:p w14:paraId="35C38222">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①重点排污企业（根据《杭州市生态环境局关于印发2023年杭州市环境监管重点单位名录的通知》（杭环发〔2023〕18号）确定）风量大于10000 m</w:t>
            </w:r>
            <w:r>
              <w:rPr>
                <w:rFonts w:hint="default"/>
                <w:color w:val="auto"/>
                <w:kern w:val="0"/>
                <w:sz w:val="18"/>
                <w:szCs w:val="18"/>
                <w:vertAlign w:val="superscript"/>
                <w:lang w:val="en-US" w:eastAsia="zh-CN" w:bidi="ar"/>
              </w:rPr>
              <w:t>3</w:t>
            </w:r>
            <w:r>
              <w:rPr>
                <w:rFonts w:hint="default"/>
                <w:color w:val="auto"/>
                <w:kern w:val="0"/>
                <w:sz w:val="18"/>
                <w:szCs w:val="18"/>
                <w:lang w:val="en-US" w:eastAsia="zh-CN" w:bidi="ar"/>
              </w:rPr>
              <w:t>/h的有机废气排放口（实验室废气除外）安装NMHC在线监测设施（FID检测器），其他废气排放口安装环保设施用电监控，自动监控数据保存一年以上。</w:t>
            </w:r>
          </w:p>
          <w:p w14:paraId="12E53554">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②其他企业根据《关于下达临平区年度重点污染源视频或用电等监控设施新建计划的通知》要求，在主要生产工序、治理工艺或排放口等关键位置，安装工况参数、用水用电用能、视频探头监控等间接反映水或大气污染物排放状况的设备。</w:t>
            </w:r>
          </w:p>
        </w:tc>
        <w:tc>
          <w:tcPr>
            <w:tcW w:w="1810" w:type="dxa"/>
            <w:noWrap w:val="0"/>
            <w:tcMar>
              <w:top w:w="10" w:type="dxa"/>
              <w:left w:w="10" w:type="dxa"/>
              <w:right w:w="10" w:type="dxa"/>
            </w:tcMar>
            <w:vAlign w:val="center"/>
          </w:tcPr>
          <w:p w14:paraId="4A5B7A5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7185D29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3AB5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vMerge w:val="continue"/>
            <w:noWrap w:val="0"/>
            <w:tcMar>
              <w:top w:w="10" w:type="dxa"/>
              <w:left w:w="10" w:type="dxa"/>
              <w:right w:w="10" w:type="dxa"/>
            </w:tcMar>
            <w:vAlign w:val="center"/>
          </w:tcPr>
          <w:p w14:paraId="24A1CA73">
            <w:pPr>
              <w:widowControl/>
              <w:adjustRightInd w:val="0"/>
              <w:snapToGrid w:val="0"/>
              <w:jc w:val="center"/>
              <w:rPr>
                <w:rFonts w:hint="default"/>
                <w:color w:val="auto"/>
                <w:kern w:val="0"/>
                <w:sz w:val="18"/>
                <w:szCs w:val="18"/>
                <w:lang w:bidi="ar"/>
              </w:rPr>
            </w:pPr>
          </w:p>
        </w:tc>
        <w:tc>
          <w:tcPr>
            <w:tcW w:w="340" w:type="dxa"/>
            <w:noWrap w:val="0"/>
            <w:tcMar>
              <w:top w:w="10" w:type="dxa"/>
              <w:left w:w="10" w:type="dxa"/>
              <w:right w:w="10" w:type="dxa"/>
            </w:tcMar>
            <w:vAlign w:val="center"/>
          </w:tcPr>
          <w:p w14:paraId="4841FF78">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24</w:t>
            </w:r>
          </w:p>
        </w:tc>
        <w:tc>
          <w:tcPr>
            <w:tcW w:w="4220" w:type="dxa"/>
            <w:noWrap w:val="0"/>
            <w:tcMar>
              <w:top w:w="10" w:type="dxa"/>
              <w:left w:w="10" w:type="dxa"/>
              <w:right w:w="10" w:type="dxa"/>
            </w:tcMar>
            <w:vAlign w:val="center"/>
          </w:tcPr>
          <w:p w14:paraId="04A5CAAE">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使用燃烧工艺（含吸附/脱附-催化燃烧）的废气治理设施安装DCS系统、PLC系统，禁止使用离线式脱附系统，数据保存一年以上；使用抛弃式活性炭吸附工艺的废气治理设施必须安装活性炭饱和状态监控系统；使用喷淋吸附工艺的废气治理设施安装</w:t>
            </w:r>
            <w:r>
              <w:rPr>
                <w:rFonts w:hint="eastAsia"/>
                <w:color w:val="auto"/>
                <w:kern w:val="0"/>
                <w:sz w:val="18"/>
                <w:szCs w:val="18"/>
                <w:lang w:val="en-US" w:eastAsia="zh-CN" w:bidi="ar"/>
              </w:rPr>
              <w:t>p</w:t>
            </w:r>
            <w:r>
              <w:rPr>
                <w:rFonts w:hint="default"/>
                <w:color w:val="auto"/>
                <w:kern w:val="0"/>
                <w:sz w:val="18"/>
                <w:szCs w:val="18"/>
                <w:lang w:val="en-US" w:eastAsia="zh-CN" w:bidi="ar"/>
              </w:rPr>
              <w:t>H监控和自动加药系统，数据接入工况监控；光催化氧化、等离子体工艺应用于废气除臭时，安装环保设施用电监控。</w:t>
            </w:r>
          </w:p>
        </w:tc>
        <w:tc>
          <w:tcPr>
            <w:tcW w:w="1810" w:type="dxa"/>
            <w:noWrap w:val="0"/>
            <w:tcMar>
              <w:top w:w="10" w:type="dxa"/>
              <w:left w:w="10" w:type="dxa"/>
              <w:right w:w="10" w:type="dxa"/>
            </w:tcMar>
            <w:vAlign w:val="center"/>
          </w:tcPr>
          <w:p w14:paraId="279B94C4">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废气治理设施安装DCS系统、PLC系统</w:t>
            </w:r>
            <w:r>
              <w:rPr>
                <w:rFonts w:hint="eastAsia"/>
                <w:color w:val="auto"/>
                <w:kern w:val="0"/>
                <w:sz w:val="18"/>
                <w:szCs w:val="18"/>
                <w:lang w:val="en-US" w:eastAsia="zh-CN" w:bidi="ar"/>
              </w:rPr>
              <w:t>，</w:t>
            </w:r>
            <w:r>
              <w:rPr>
                <w:rFonts w:hint="default"/>
                <w:color w:val="auto"/>
                <w:kern w:val="0"/>
                <w:sz w:val="18"/>
                <w:szCs w:val="18"/>
                <w:lang w:val="en-US" w:eastAsia="zh-CN" w:bidi="ar"/>
              </w:rPr>
              <w:t>使用</w:t>
            </w:r>
            <w:r>
              <w:rPr>
                <w:color w:val="auto"/>
                <w:spacing w:val="0"/>
                <w:kern w:val="0"/>
                <w:sz w:val="18"/>
                <w:szCs w:val="18"/>
                <w:lang w:bidi="ar"/>
              </w:rPr>
              <w:t>颗粒活性炭吸</w:t>
            </w:r>
            <w:r>
              <w:rPr>
                <w:color w:val="auto"/>
                <w:kern w:val="0"/>
                <w:sz w:val="18"/>
                <w:szCs w:val="18"/>
                <w:lang w:bidi="ar"/>
              </w:rPr>
              <w:t xml:space="preserve"> </w:t>
            </w:r>
            <w:r>
              <w:rPr>
                <w:color w:val="auto"/>
                <w:spacing w:val="0"/>
                <w:kern w:val="0"/>
                <w:sz w:val="18"/>
                <w:szCs w:val="18"/>
                <w:lang w:bidi="ar"/>
              </w:rPr>
              <w:t>附装置，废活性炭委托就近废活性炭集中再生中心处置</w:t>
            </w:r>
            <w:r>
              <w:rPr>
                <w:rFonts w:hint="default"/>
                <w:color w:val="auto"/>
                <w:kern w:val="0"/>
                <w:sz w:val="18"/>
                <w:szCs w:val="18"/>
                <w:lang w:val="en-US" w:eastAsia="zh-CN" w:bidi="ar"/>
              </w:rPr>
              <w:t>。</w:t>
            </w:r>
          </w:p>
        </w:tc>
        <w:tc>
          <w:tcPr>
            <w:tcW w:w="1347" w:type="dxa"/>
            <w:noWrap w:val="0"/>
            <w:tcMar>
              <w:top w:w="10" w:type="dxa"/>
              <w:left w:w="10" w:type="dxa"/>
              <w:right w:w="10" w:type="dxa"/>
            </w:tcMar>
            <w:vAlign w:val="center"/>
          </w:tcPr>
          <w:p w14:paraId="77E844E0">
            <w:pPr>
              <w:widowControl/>
              <w:adjustRightInd w:val="0"/>
              <w:snapToGrid w:val="0"/>
              <w:jc w:val="center"/>
              <w:rPr>
                <w:rFonts w:hint="eastAsia" w:eastAsia="宋体"/>
                <w:color w:val="auto"/>
                <w:kern w:val="0"/>
                <w:sz w:val="18"/>
                <w:szCs w:val="18"/>
                <w:lang w:val="en-US" w:eastAsia="zh-CN" w:bidi="ar"/>
              </w:rPr>
            </w:pPr>
            <w:r>
              <w:rPr>
                <w:rFonts w:hint="eastAsia"/>
                <w:color w:val="auto"/>
                <w:spacing w:val="0"/>
                <w:kern w:val="0"/>
                <w:sz w:val="18"/>
                <w:szCs w:val="18"/>
                <w:lang w:val="en-US" w:eastAsia="zh-CN" w:bidi="ar"/>
              </w:rPr>
              <w:t>相符</w:t>
            </w:r>
          </w:p>
        </w:tc>
      </w:tr>
      <w:tr w14:paraId="4C21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noWrap w:val="0"/>
            <w:tcMar>
              <w:top w:w="10" w:type="dxa"/>
              <w:left w:w="10" w:type="dxa"/>
              <w:right w:w="10" w:type="dxa"/>
            </w:tcMar>
            <w:vAlign w:val="center"/>
          </w:tcPr>
          <w:p w14:paraId="138D15FB">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排放口要求</w:t>
            </w:r>
          </w:p>
        </w:tc>
        <w:tc>
          <w:tcPr>
            <w:tcW w:w="340" w:type="dxa"/>
            <w:noWrap w:val="0"/>
            <w:tcMar>
              <w:top w:w="10" w:type="dxa"/>
              <w:left w:w="10" w:type="dxa"/>
              <w:right w:w="10" w:type="dxa"/>
            </w:tcMar>
            <w:vAlign w:val="center"/>
          </w:tcPr>
          <w:p w14:paraId="42CA2D7F">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25</w:t>
            </w:r>
          </w:p>
        </w:tc>
        <w:tc>
          <w:tcPr>
            <w:tcW w:w="4220" w:type="dxa"/>
            <w:noWrap w:val="0"/>
            <w:tcMar>
              <w:top w:w="10" w:type="dxa"/>
              <w:left w:w="10" w:type="dxa"/>
              <w:right w:w="10" w:type="dxa"/>
            </w:tcMar>
            <w:vAlign w:val="center"/>
          </w:tcPr>
          <w:p w14:paraId="76B62769">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①排气筒：排气筒建设与环评审批文件、排污许可证要求一致。高度必须符合国家有关标准，末端出口为粗细均匀的垂直管段，管段长度应大于10倍管道直径（或管道当量直径）。</w:t>
            </w:r>
          </w:p>
          <w:p w14:paraId="1F1D5F56">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②采样孔：废气处理设施前后同步设置采样孔，孔位置优先选择垂直管段，避开弯头和断面急剧变化部位，采样断面气速宜大于5m/s。涉及颗粒物采样时，采样位置距弯头、阀门、变径管下游方向不小于6倍直径，距上述部件上游方向不小于3倍直径。不涉及颗粒物采样时，采样位置距弯头、阀门、变径管下游方向不小于3倍直径，距上述部件上游方向不小于1.5倍直径。</w:t>
            </w:r>
          </w:p>
          <w:p w14:paraId="163AC2D7">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采样孔内径不小于80mm，孔管长不大于50mm，设盖板、管堵或管帽封闭。</w:t>
            </w:r>
          </w:p>
          <w:p w14:paraId="7335BC6F">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③采样平台：面积不小于1.5m</w:t>
            </w:r>
            <w:r>
              <w:rPr>
                <w:rFonts w:hint="default"/>
                <w:color w:val="auto"/>
                <w:kern w:val="0"/>
                <w:sz w:val="18"/>
                <w:szCs w:val="18"/>
                <w:vertAlign w:val="superscript"/>
                <w:lang w:val="en-US" w:eastAsia="zh-CN" w:bidi="ar"/>
              </w:rPr>
              <w:t>2</w:t>
            </w:r>
            <w:r>
              <w:rPr>
                <w:rFonts w:hint="default"/>
                <w:color w:val="auto"/>
                <w:kern w:val="0"/>
                <w:sz w:val="18"/>
                <w:szCs w:val="18"/>
                <w:lang w:val="en-US" w:eastAsia="zh-CN" w:bidi="ar"/>
              </w:rPr>
              <w:t>，并设有1.1m高的护栏和不低于10cm的脚部挡板，平台承重不小于200kg/m</w:t>
            </w:r>
            <w:r>
              <w:rPr>
                <w:rFonts w:hint="default"/>
                <w:color w:val="auto"/>
                <w:kern w:val="0"/>
                <w:sz w:val="18"/>
                <w:szCs w:val="18"/>
                <w:vertAlign w:val="superscript"/>
                <w:lang w:val="en-US" w:eastAsia="zh-CN" w:bidi="ar"/>
              </w:rPr>
              <w:t>2</w:t>
            </w:r>
            <w:r>
              <w:rPr>
                <w:rFonts w:hint="default"/>
                <w:color w:val="auto"/>
                <w:kern w:val="0"/>
                <w:sz w:val="18"/>
                <w:szCs w:val="18"/>
                <w:lang w:val="en-US" w:eastAsia="zh-CN" w:bidi="ar"/>
              </w:rPr>
              <w:t>，采样孔距平台面约为1.2~1.3m。</w:t>
            </w:r>
          </w:p>
          <w:p w14:paraId="39449991">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fldChar w:fldCharType="begin"/>
            </w:r>
            <w:r>
              <w:rPr>
                <w:rFonts w:hint="default"/>
                <w:color w:val="auto"/>
                <w:kern w:val="0"/>
                <w:sz w:val="18"/>
                <w:szCs w:val="18"/>
                <w:lang w:val="en-US" w:eastAsia="zh-CN" w:bidi="ar"/>
              </w:rPr>
              <w:instrText xml:space="preserve"> = 4 \* GB3 \* MERGEFORMAT </w:instrText>
            </w:r>
            <w:r>
              <w:rPr>
                <w:rFonts w:hint="default"/>
                <w:color w:val="auto"/>
                <w:kern w:val="0"/>
                <w:sz w:val="18"/>
                <w:szCs w:val="18"/>
                <w:lang w:val="en-US" w:eastAsia="zh-CN" w:bidi="ar"/>
              </w:rPr>
              <w:fldChar w:fldCharType="separate"/>
            </w:r>
            <w:r>
              <w:rPr>
                <w:rFonts w:hint="default"/>
                <w:color w:val="auto"/>
                <w:kern w:val="0"/>
                <w:sz w:val="18"/>
                <w:szCs w:val="18"/>
                <w:lang w:bidi="ar"/>
              </w:rPr>
              <w:t>④</w:t>
            </w:r>
            <w:r>
              <w:rPr>
                <w:rFonts w:hint="default"/>
                <w:color w:val="auto"/>
                <w:kern w:val="0"/>
                <w:sz w:val="18"/>
                <w:szCs w:val="18"/>
                <w:lang w:val="en-US" w:eastAsia="zh-CN" w:bidi="ar"/>
              </w:rPr>
              <w:fldChar w:fldCharType="end"/>
            </w:r>
            <w:r>
              <w:rPr>
                <w:rFonts w:hint="default"/>
                <w:color w:val="auto"/>
                <w:kern w:val="0"/>
                <w:sz w:val="18"/>
                <w:szCs w:val="18"/>
                <w:lang w:val="en-US" w:eastAsia="zh-CN" w:bidi="ar"/>
              </w:rPr>
              <w:t>采样平台附件：应包括爬梯和防护结构，其建设应易于人员和监测仪器安全顺利到达。</w:t>
            </w:r>
          </w:p>
          <w:p w14:paraId="5F7CD92E">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fldChar w:fldCharType="begin"/>
            </w:r>
            <w:r>
              <w:rPr>
                <w:rFonts w:hint="default"/>
                <w:color w:val="auto"/>
                <w:kern w:val="0"/>
                <w:sz w:val="18"/>
                <w:szCs w:val="18"/>
                <w:lang w:val="en-US" w:eastAsia="zh-CN" w:bidi="ar"/>
              </w:rPr>
              <w:instrText xml:space="preserve"> = 5 \* GB3 \* MERGEFORMAT </w:instrText>
            </w:r>
            <w:r>
              <w:rPr>
                <w:rFonts w:hint="default"/>
                <w:color w:val="auto"/>
                <w:kern w:val="0"/>
                <w:sz w:val="18"/>
                <w:szCs w:val="18"/>
                <w:lang w:val="en-US" w:eastAsia="zh-CN" w:bidi="ar"/>
              </w:rPr>
              <w:fldChar w:fldCharType="separate"/>
            </w:r>
            <w:r>
              <w:rPr>
                <w:rFonts w:hint="default"/>
                <w:color w:val="auto"/>
                <w:kern w:val="0"/>
                <w:sz w:val="18"/>
                <w:szCs w:val="18"/>
                <w:lang w:bidi="ar"/>
              </w:rPr>
              <w:t>⑤</w:t>
            </w:r>
            <w:r>
              <w:rPr>
                <w:rFonts w:hint="default"/>
                <w:color w:val="auto"/>
                <w:kern w:val="0"/>
                <w:sz w:val="18"/>
                <w:szCs w:val="18"/>
                <w:lang w:val="en-US" w:eastAsia="zh-CN" w:bidi="ar"/>
              </w:rPr>
              <w:fldChar w:fldCharType="end"/>
            </w:r>
            <w:r>
              <w:rPr>
                <w:rFonts w:hint="default"/>
                <w:color w:val="auto"/>
                <w:kern w:val="0"/>
                <w:sz w:val="18"/>
                <w:szCs w:val="18"/>
                <w:lang w:val="en-US" w:eastAsia="zh-CN" w:bidi="ar"/>
              </w:rPr>
              <w:t>排放口周边：应悬挂标识标牌。</w:t>
            </w:r>
          </w:p>
        </w:tc>
        <w:tc>
          <w:tcPr>
            <w:tcW w:w="1810" w:type="dxa"/>
            <w:noWrap w:val="0"/>
            <w:tcMar>
              <w:top w:w="10" w:type="dxa"/>
              <w:left w:w="10" w:type="dxa"/>
              <w:right w:w="10" w:type="dxa"/>
            </w:tcMar>
            <w:vAlign w:val="center"/>
          </w:tcPr>
          <w:p w14:paraId="0A31FE16">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项目建成后将氨要求设置排气筒、采样孔、采样平台及相应的标识标牌</w:t>
            </w:r>
          </w:p>
        </w:tc>
        <w:tc>
          <w:tcPr>
            <w:tcW w:w="1347" w:type="dxa"/>
            <w:noWrap w:val="0"/>
            <w:tcMar>
              <w:top w:w="10" w:type="dxa"/>
              <w:left w:w="10" w:type="dxa"/>
              <w:right w:w="10" w:type="dxa"/>
            </w:tcMar>
            <w:vAlign w:val="center"/>
          </w:tcPr>
          <w:p w14:paraId="65DEBBE8">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76C3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noWrap w:val="0"/>
            <w:tcMar>
              <w:top w:w="10" w:type="dxa"/>
              <w:left w:w="10" w:type="dxa"/>
              <w:right w:w="10" w:type="dxa"/>
            </w:tcMar>
            <w:vAlign w:val="center"/>
          </w:tcPr>
          <w:p w14:paraId="35B2899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旁路管理</w:t>
            </w:r>
          </w:p>
        </w:tc>
        <w:tc>
          <w:tcPr>
            <w:tcW w:w="340" w:type="dxa"/>
            <w:noWrap w:val="0"/>
            <w:tcMar>
              <w:top w:w="10" w:type="dxa"/>
              <w:left w:w="10" w:type="dxa"/>
              <w:right w:w="10" w:type="dxa"/>
            </w:tcMar>
            <w:vAlign w:val="center"/>
          </w:tcPr>
          <w:p w14:paraId="525E9B72">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26</w:t>
            </w:r>
          </w:p>
        </w:tc>
        <w:tc>
          <w:tcPr>
            <w:tcW w:w="4220" w:type="dxa"/>
            <w:noWrap w:val="0"/>
            <w:tcMar>
              <w:top w:w="10" w:type="dxa"/>
              <w:left w:w="10" w:type="dxa"/>
              <w:right w:w="10" w:type="dxa"/>
            </w:tcMar>
            <w:vAlign w:val="center"/>
          </w:tcPr>
          <w:p w14:paraId="4DF27ACA">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①</w:t>
            </w:r>
            <w:r>
              <w:rPr>
                <w:rFonts w:hint="default"/>
                <w:color w:val="auto"/>
                <w:kern w:val="0"/>
                <w:sz w:val="18"/>
                <w:szCs w:val="18"/>
                <w:lang w:bidi="ar"/>
              </w:rPr>
              <w:t>高压静电法</w:t>
            </w:r>
            <w:r>
              <w:rPr>
                <w:rFonts w:hint="default"/>
                <w:color w:val="auto"/>
                <w:kern w:val="0"/>
                <w:sz w:val="18"/>
                <w:szCs w:val="18"/>
                <w:lang w:eastAsia="zh-CN" w:bidi="ar"/>
              </w:rPr>
              <w:t>、</w:t>
            </w:r>
            <w:r>
              <w:rPr>
                <w:rFonts w:hint="default"/>
                <w:color w:val="auto"/>
                <w:kern w:val="0"/>
                <w:sz w:val="18"/>
                <w:szCs w:val="18"/>
                <w:lang w:bidi="ar"/>
              </w:rPr>
              <w:t>吸附法</w:t>
            </w:r>
            <w:r>
              <w:rPr>
                <w:rFonts w:hint="default"/>
                <w:color w:val="auto"/>
                <w:kern w:val="0"/>
                <w:sz w:val="18"/>
                <w:szCs w:val="18"/>
                <w:lang w:eastAsia="zh-CN" w:bidi="ar"/>
              </w:rPr>
              <w:t>、</w:t>
            </w:r>
            <w:r>
              <w:rPr>
                <w:rFonts w:hint="default"/>
                <w:color w:val="auto"/>
                <w:kern w:val="0"/>
                <w:sz w:val="18"/>
                <w:szCs w:val="18"/>
                <w:lang w:bidi="ar"/>
              </w:rPr>
              <w:t>冷凝法</w:t>
            </w:r>
            <w:r>
              <w:rPr>
                <w:rFonts w:hint="default"/>
                <w:color w:val="auto"/>
                <w:kern w:val="0"/>
                <w:sz w:val="18"/>
                <w:szCs w:val="18"/>
                <w:lang w:eastAsia="zh-CN" w:bidi="ar"/>
              </w:rPr>
              <w:t>、</w:t>
            </w:r>
            <w:r>
              <w:rPr>
                <w:rFonts w:hint="default"/>
                <w:color w:val="auto"/>
                <w:kern w:val="0"/>
                <w:sz w:val="18"/>
                <w:szCs w:val="18"/>
                <w:lang w:val="en-US" w:eastAsia="zh-CN" w:bidi="ar"/>
              </w:rPr>
              <w:t>吸收法、生物法等</w:t>
            </w:r>
            <w:r>
              <w:rPr>
                <w:rFonts w:hint="default"/>
                <w:color w:val="auto"/>
                <w:kern w:val="0"/>
                <w:sz w:val="18"/>
                <w:szCs w:val="18"/>
                <w:lang w:bidi="ar"/>
              </w:rPr>
              <w:t>治理设施通常应不设有废气旁路。</w:t>
            </w:r>
            <w:r>
              <w:rPr>
                <w:rFonts w:hint="default"/>
                <w:color w:val="auto"/>
                <w:kern w:val="0"/>
                <w:sz w:val="18"/>
                <w:szCs w:val="18"/>
                <w:lang w:val="en-US" w:eastAsia="zh-CN" w:bidi="ar"/>
              </w:rPr>
              <w:t>燃烧法、吸附+燃烧法组合工艺治理</w:t>
            </w:r>
            <w:r>
              <w:rPr>
                <w:rFonts w:hint="default"/>
                <w:color w:val="auto"/>
                <w:kern w:val="0"/>
                <w:sz w:val="18"/>
                <w:szCs w:val="18"/>
                <w:lang w:bidi="ar"/>
              </w:rPr>
              <w:t>设施</w:t>
            </w:r>
            <w:r>
              <w:rPr>
                <w:rFonts w:hint="default"/>
                <w:color w:val="auto"/>
                <w:kern w:val="0"/>
                <w:sz w:val="18"/>
                <w:szCs w:val="18"/>
                <w:lang w:eastAsia="zh-CN" w:bidi="ar"/>
              </w:rPr>
              <w:t>，</w:t>
            </w:r>
            <w:r>
              <w:rPr>
                <w:rFonts w:hint="default"/>
                <w:color w:val="auto"/>
                <w:kern w:val="0"/>
                <w:sz w:val="18"/>
                <w:szCs w:val="18"/>
                <w:lang w:val="en-US" w:eastAsia="zh-CN" w:bidi="ar"/>
              </w:rPr>
              <w:t>燃烧装置</w:t>
            </w:r>
            <w:r>
              <w:rPr>
                <w:rFonts w:hint="default"/>
                <w:color w:val="auto"/>
                <w:kern w:val="0"/>
                <w:sz w:val="18"/>
                <w:szCs w:val="18"/>
                <w:lang w:bidi="ar"/>
              </w:rPr>
              <w:t>因安全生产等原因</w:t>
            </w:r>
            <w:r>
              <w:rPr>
                <w:rFonts w:hint="default"/>
                <w:color w:val="auto"/>
                <w:kern w:val="0"/>
                <w:sz w:val="18"/>
                <w:szCs w:val="18"/>
                <w:lang w:val="en-US" w:eastAsia="zh-CN" w:bidi="ar"/>
              </w:rPr>
              <w:t>可</w:t>
            </w:r>
            <w:r>
              <w:rPr>
                <w:rFonts w:hint="default"/>
                <w:color w:val="auto"/>
                <w:kern w:val="0"/>
                <w:sz w:val="18"/>
                <w:szCs w:val="18"/>
                <w:lang w:bidi="ar"/>
              </w:rPr>
              <w:t>设有废气旁路。</w:t>
            </w:r>
          </w:p>
          <w:p w14:paraId="24C253DB">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②在保证安全的前提下，尽可能取消或不设废气旁路，因安全生产等原因必须保留的，应按设计要求设置旁路，同时将保留旁路清单向当地生态环境部门备案，通过铅封、安装自动监控设施（如流量计、温度计、阀门开度、视频监控等）等方式加强监管，并建设备用VOCs治理设施；</w:t>
            </w:r>
          </w:p>
          <w:p w14:paraId="7FC2E7F6">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③对以逃避监管为目的非应急类旁路，应彻底拆除。</w:t>
            </w:r>
          </w:p>
          <w:p w14:paraId="24FB4D70">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fldChar w:fldCharType="begin"/>
            </w:r>
            <w:r>
              <w:rPr>
                <w:rFonts w:hint="default"/>
                <w:color w:val="auto"/>
                <w:kern w:val="0"/>
                <w:sz w:val="18"/>
                <w:szCs w:val="18"/>
                <w:lang w:val="en-US" w:eastAsia="zh-CN" w:bidi="ar"/>
              </w:rPr>
              <w:instrText xml:space="preserve"> = 4 \* GB3 \* MERGEFORMAT </w:instrText>
            </w:r>
            <w:r>
              <w:rPr>
                <w:rFonts w:hint="default"/>
                <w:color w:val="auto"/>
                <w:kern w:val="0"/>
                <w:sz w:val="18"/>
                <w:szCs w:val="18"/>
                <w:lang w:val="en-US" w:eastAsia="zh-CN" w:bidi="ar"/>
              </w:rPr>
              <w:fldChar w:fldCharType="separate"/>
            </w:r>
            <w:r>
              <w:rPr>
                <w:rFonts w:hint="default"/>
                <w:color w:val="auto"/>
                <w:kern w:val="0"/>
                <w:sz w:val="18"/>
                <w:szCs w:val="18"/>
                <w:lang w:bidi="ar"/>
              </w:rPr>
              <w:t>④</w:t>
            </w:r>
            <w:r>
              <w:rPr>
                <w:rFonts w:hint="default"/>
                <w:color w:val="auto"/>
                <w:kern w:val="0"/>
                <w:sz w:val="18"/>
                <w:szCs w:val="18"/>
                <w:lang w:val="en-US" w:eastAsia="zh-CN" w:bidi="ar"/>
              </w:rPr>
              <w:fldChar w:fldCharType="end"/>
            </w:r>
            <w:r>
              <w:rPr>
                <w:rFonts w:hint="default"/>
                <w:color w:val="auto"/>
                <w:kern w:val="0"/>
                <w:sz w:val="18"/>
                <w:szCs w:val="18"/>
                <w:lang w:val="en-US" w:eastAsia="zh-CN" w:bidi="ar"/>
              </w:rPr>
              <w:t>应急类旁路在非紧急情况下应保持关闭，旁路开启后应及时向当地生态环境部门报告，并做好台账记录，保存至少五年。</w:t>
            </w:r>
          </w:p>
          <w:p w14:paraId="34DF6EBB">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fldChar w:fldCharType="begin"/>
            </w:r>
            <w:r>
              <w:rPr>
                <w:rFonts w:hint="default"/>
                <w:color w:val="auto"/>
                <w:kern w:val="0"/>
                <w:sz w:val="18"/>
                <w:szCs w:val="18"/>
                <w:lang w:val="en-US" w:eastAsia="zh-CN" w:bidi="ar"/>
              </w:rPr>
              <w:instrText xml:space="preserve"> = 5 \* GB3 \* MERGEFORMAT </w:instrText>
            </w:r>
            <w:r>
              <w:rPr>
                <w:rFonts w:hint="default"/>
                <w:color w:val="auto"/>
                <w:kern w:val="0"/>
                <w:sz w:val="18"/>
                <w:szCs w:val="18"/>
                <w:lang w:val="en-US" w:eastAsia="zh-CN" w:bidi="ar"/>
              </w:rPr>
              <w:fldChar w:fldCharType="separate"/>
            </w:r>
            <w:r>
              <w:rPr>
                <w:rFonts w:hint="default"/>
                <w:color w:val="auto"/>
                <w:kern w:val="0"/>
                <w:sz w:val="18"/>
                <w:szCs w:val="18"/>
                <w:lang w:bidi="ar"/>
              </w:rPr>
              <w:t>⑤</w:t>
            </w:r>
            <w:r>
              <w:rPr>
                <w:rFonts w:hint="default"/>
                <w:color w:val="auto"/>
                <w:kern w:val="0"/>
                <w:sz w:val="18"/>
                <w:szCs w:val="18"/>
                <w:lang w:val="en-US" w:eastAsia="zh-CN" w:bidi="ar"/>
              </w:rPr>
              <w:fldChar w:fldCharType="end"/>
            </w:r>
            <w:r>
              <w:rPr>
                <w:rFonts w:hint="default"/>
                <w:color w:val="auto"/>
                <w:kern w:val="0"/>
                <w:sz w:val="18"/>
                <w:szCs w:val="18"/>
                <w:lang w:val="en-US" w:eastAsia="zh-CN" w:bidi="ar"/>
              </w:rPr>
              <w:t>设有应急类旁路的治理设施应建设DCS、PLC等控制系统，实时监控旁路阀门开度、旁路废气流量、旁路VOCs浓度、燃烧室温度（限燃烧法治理设施）等指标，采用间接再生设备的吸附法+燃烧法组合工艺设施应监控吸附时间、脱附时间和脱附温度等指标，并历史记录保存至少五年。</w:t>
            </w:r>
          </w:p>
          <w:p w14:paraId="1C639882">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fldChar w:fldCharType="begin"/>
            </w:r>
            <w:r>
              <w:rPr>
                <w:rFonts w:hint="default"/>
                <w:color w:val="auto"/>
                <w:kern w:val="0"/>
                <w:sz w:val="18"/>
                <w:szCs w:val="18"/>
                <w:lang w:val="en-US" w:eastAsia="zh-CN" w:bidi="ar"/>
              </w:rPr>
              <w:instrText xml:space="preserve"> = 6 \* GB3 \* MERGEFORMAT </w:instrText>
            </w:r>
            <w:r>
              <w:rPr>
                <w:rFonts w:hint="default"/>
                <w:color w:val="auto"/>
                <w:kern w:val="0"/>
                <w:sz w:val="18"/>
                <w:szCs w:val="18"/>
                <w:lang w:val="en-US" w:eastAsia="zh-CN" w:bidi="ar"/>
              </w:rPr>
              <w:fldChar w:fldCharType="separate"/>
            </w:r>
            <w:r>
              <w:rPr>
                <w:rFonts w:hint="default"/>
                <w:color w:val="auto"/>
                <w:kern w:val="0"/>
                <w:sz w:val="18"/>
                <w:szCs w:val="18"/>
                <w:lang w:bidi="ar"/>
              </w:rPr>
              <w:t>⑥</w:t>
            </w:r>
            <w:r>
              <w:rPr>
                <w:rFonts w:hint="default"/>
                <w:color w:val="auto"/>
                <w:kern w:val="0"/>
                <w:sz w:val="18"/>
                <w:szCs w:val="18"/>
                <w:lang w:val="en-US" w:eastAsia="zh-CN" w:bidi="ar"/>
              </w:rPr>
              <w:fldChar w:fldCharType="end"/>
            </w:r>
            <w:r>
              <w:rPr>
                <w:rFonts w:hint="default"/>
                <w:color w:val="auto"/>
                <w:kern w:val="0"/>
                <w:sz w:val="18"/>
                <w:szCs w:val="18"/>
                <w:lang w:val="en-US" w:eastAsia="zh-CN" w:bidi="ar"/>
              </w:rPr>
              <w:t>在保证安全的前提下，蓄热燃烧、催化燃烧、蓄热催化燃烧装置应优先通过补充空气或冷凝等保护措施降低可燃气体浓度至25%LEL以下，以避免应急类旁路开启。</w:t>
            </w:r>
          </w:p>
        </w:tc>
        <w:tc>
          <w:tcPr>
            <w:tcW w:w="1810" w:type="dxa"/>
            <w:noWrap w:val="0"/>
            <w:tcMar>
              <w:top w:w="10" w:type="dxa"/>
              <w:left w:w="10" w:type="dxa"/>
              <w:right w:w="10" w:type="dxa"/>
            </w:tcMar>
            <w:vAlign w:val="center"/>
          </w:tcPr>
          <w:p w14:paraId="4DD99DA8">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347" w:type="dxa"/>
            <w:noWrap w:val="0"/>
            <w:tcMar>
              <w:top w:w="10" w:type="dxa"/>
              <w:left w:w="10" w:type="dxa"/>
              <w:right w:w="10" w:type="dxa"/>
            </w:tcMar>
            <w:vAlign w:val="center"/>
          </w:tcPr>
          <w:p w14:paraId="15207EBB">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2C88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vMerge w:val="restart"/>
            <w:noWrap w:val="0"/>
            <w:tcMar>
              <w:top w:w="10" w:type="dxa"/>
              <w:left w:w="10" w:type="dxa"/>
              <w:right w:w="10" w:type="dxa"/>
            </w:tcMar>
            <w:vAlign w:val="center"/>
          </w:tcPr>
          <w:p w14:paraId="06C8217A">
            <w:pPr>
              <w:widowControl/>
              <w:adjustRightInd w:val="0"/>
              <w:snapToGrid w:val="0"/>
              <w:jc w:val="center"/>
              <w:rPr>
                <w:rFonts w:hint="default"/>
                <w:color w:val="auto"/>
                <w:kern w:val="0"/>
                <w:sz w:val="18"/>
                <w:szCs w:val="18"/>
                <w:lang w:bidi="ar"/>
              </w:rPr>
            </w:pPr>
            <w:r>
              <w:rPr>
                <w:rFonts w:hint="default"/>
                <w:color w:val="auto"/>
                <w:kern w:val="0"/>
                <w:sz w:val="18"/>
                <w:szCs w:val="18"/>
                <w:lang w:val="en-US" w:eastAsia="zh-CN" w:bidi="ar"/>
              </w:rPr>
              <w:t>运输方式</w:t>
            </w:r>
          </w:p>
        </w:tc>
        <w:tc>
          <w:tcPr>
            <w:tcW w:w="340" w:type="dxa"/>
            <w:noWrap w:val="0"/>
            <w:tcMar>
              <w:top w:w="10" w:type="dxa"/>
              <w:left w:w="10" w:type="dxa"/>
              <w:right w:w="10" w:type="dxa"/>
            </w:tcMar>
            <w:vAlign w:val="center"/>
          </w:tcPr>
          <w:p w14:paraId="0A1FEF7A">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2</w:t>
            </w:r>
            <w:r>
              <w:rPr>
                <w:rFonts w:hint="eastAsia"/>
                <w:color w:val="auto"/>
                <w:kern w:val="0"/>
                <w:sz w:val="18"/>
                <w:szCs w:val="18"/>
                <w:lang w:val="en-US" w:eastAsia="zh-CN" w:bidi="ar"/>
              </w:rPr>
              <w:t>7</w:t>
            </w:r>
          </w:p>
        </w:tc>
        <w:tc>
          <w:tcPr>
            <w:tcW w:w="4220" w:type="dxa"/>
            <w:noWrap w:val="0"/>
            <w:tcMar>
              <w:top w:w="10" w:type="dxa"/>
              <w:left w:w="10" w:type="dxa"/>
              <w:right w:w="10" w:type="dxa"/>
            </w:tcMar>
            <w:vAlign w:val="center"/>
          </w:tcPr>
          <w:p w14:paraId="0AE97804">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企业全部非道路移动机械均需申领并悬挂环保牌照，其中国三/新能源以上排放标准占比不低于80%。</w:t>
            </w:r>
          </w:p>
        </w:tc>
        <w:tc>
          <w:tcPr>
            <w:tcW w:w="1810" w:type="dxa"/>
            <w:noWrap w:val="0"/>
            <w:tcMar>
              <w:top w:w="10" w:type="dxa"/>
              <w:left w:w="10" w:type="dxa"/>
              <w:right w:w="10" w:type="dxa"/>
            </w:tcMar>
            <w:vAlign w:val="center"/>
          </w:tcPr>
          <w:p w14:paraId="544C8FE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c>
          <w:tcPr>
            <w:tcW w:w="1347" w:type="dxa"/>
            <w:noWrap w:val="0"/>
            <w:tcMar>
              <w:top w:w="10" w:type="dxa"/>
              <w:left w:w="10" w:type="dxa"/>
              <w:right w:w="10" w:type="dxa"/>
            </w:tcMar>
            <w:vAlign w:val="center"/>
          </w:tcPr>
          <w:p w14:paraId="023108D7">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6324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vMerge w:val="continue"/>
            <w:noWrap w:val="0"/>
            <w:tcMar>
              <w:top w:w="10" w:type="dxa"/>
              <w:left w:w="10" w:type="dxa"/>
              <w:right w:w="10" w:type="dxa"/>
            </w:tcMar>
            <w:vAlign w:val="center"/>
          </w:tcPr>
          <w:p w14:paraId="19C9495A">
            <w:pPr>
              <w:widowControl/>
              <w:adjustRightInd w:val="0"/>
              <w:snapToGrid w:val="0"/>
              <w:jc w:val="center"/>
              <w:rPr>
                <w:rFonts w:hint="default"/>
                <w:color w:val="auto"/>
                <w:kern w:val="0"/>
                <w:sz w:val="18"/>
                <w:szCs w:val="18"/>
                <w:lang w:bidi="ar"/>
              </w:rPr>
            </w:pPr>
          </w:p>
        </w:tc>
        <w:tc>
          <w:tcPr>
            <w:tcW w:w="340" w:type="dxa"/>
            <w:noWrap w:val="0"/>
            <w:tcMar>
              <w:top w:w="10" w:type="dxa"/>
              <w:left w:w="10" w:type="dxa"/>
              <w:right w:w="10" w:type="dxa"/>
            </w:tcMar>
            <w:vAlign w:val="center"/>
          </w:tcPr>
          <w:p w14:paraId="3A04FE7B">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2</w:t>
            </w:r>
            <w:r>
              <w:rPr>
                <w:rFonts w:hint="eastAsia"/>
                <w:color w:val="auto"/>
                <w:kern w:val="0"/>
                <w:sz w:val="18"/>
                <w:szCs w:val="18"/>
                <w:lang w:val="en-US" w:eastAsia="zh-CN" w:bidi="ar"/>
              </w:rPr>
              <w:t>8</w:t>
            </w:r>
          </w:p>
        </w:tc>
        <w:tc>
          <w:tcPr>
            <w:tcW w:w="4220" w:type="dxa"/>
            <w:noWrap w:val="0"/>
            <w:tcMar>
              <w:top w:w="10" w:type="dxa"/>
              <w:left w:w="10" w:type="dxa"/>
              <w:right w:w="10" w:type="dxa"/>
            </w:tcMar>
            <w:vAlign w:val="center"/>
          </w:tcPr>
          <w:p w14:paraId="04C95885">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企业自有重型货车均国五以上排放标准占比不低于80%，委外运输的需在协议中要求国五以上排放标准车辆运输。</w:t>
            </w:r>
          </w:p>
        </w:tc>
        <w:tc>
          <w:tcPr>
            <w:tcW w:w="1810" w:type="dxa"/>
            <w:noWrap w:val="0"/>
            <w:tcMar>
              <w:top w:w="10" w:type="dxa"/>
              <w:left w:w="10" w:type="dxa"/>
              <w:right w:w="10" w:type="dxa"/>
            </w:tcMar>
            <w:vAlign w:val="center"/>
          </w:tcPr>
          <w:p w14:paraId="6A171BF4">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c>
          <w:tcPr>
            <w:tcW w:w="1347" w:type="dxa"/>
            <w:noWrap w:val="0"/>
            <w:tcMar>
              <w:top w:w="10" w:type="dxa"/>
              <w:left w:w="10" w:type="dxa"/>
              <w:right w:w="10" w:type="dxa"/>
            </w:tcMar>
            <w:vAlign w:val="center"/>
          </w:tcPr>
          <w:p w14:paraId="72540BE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0B3B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noWrap w:val="0"/>
            <w:tcMar>
              <w:top w:w="10" w:type="dxa"/>
              <w:left w:w="10" w:type="dxa"/>
              <w:right w:w="10" w:type="dxa"/>
            </w:tcMar>
            <w:vAlign w:val="center"/>
          </w:tcPr>
          <w:p w14:paraId="109259F8">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环保管理要求</w:t>
            </w:r>
          </w:p>
        </w:tc>
        <w:tc>
          <w:tcPr>
            <w:tcW w:w="340" w:type="dxa"/>
            <w:noWrap w:val="0"/>
            <w:tcMar>
              <w:top w:w="10" w:type="dxa"/>
              <w:left w:w="10" w:type="dxa"/>
              <w:right w:w="10" w:type="dxa"/>
            </w:tcMar>
            <w:vAlign w:val="center"/>
          </w:tcPr>
          <w:p w14:paraId="57EB620A">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2</w:t>
            </w:r>
            <w:r>
              <w:rPr>
                <w:rFonts w:hint="eastAsia"/>
                <w:color w:val="auto"/>
                <w:kern w:val="0"/>
                <w:sz w:val="18"/>
                <w:szCs w:val="18"/>
                <w:lang w:val="en-US" w:eastAsia="zh-CN" w:bidi="ar"/>
              </w:rPr>
              <w:t>9</w:t>
            </w:r>
          </w:p>
        </w:tc>
        <w:tc>
          <w:tcPr>
            <w:tcW w:w="4220" w:type="dxa"/>
            <w:noWrap w:val="0"/>
            <w:tcMar>
              <w:top w:w="10" w:type="dxa"/>
              <w:left w:w="10" w:type="dxa"/>
              <w:right w:w="10" w:type="dxa"/>
            </w:tcMar>
            <w:vAlign w:val="center"/>
          </w:tcPr>
          <w:p w14:paraId="53D496B3">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企业必须建立以下环保资料档案（含电子版、纸质版）并存档，现场检查时可立即提供，档案电子版向管委会、东湖中队报备：①环评报告及批复；②排污许可证及副本、季度、年度执行报告；③环保“三同时”竣工验收文件；④废气治理设施运行管理规程（治理设施周边需悬挂工艺流程图）和运行管理台账信息（包含日常管理台账、设施清理维护台账、耗材定期更换台账、燃烧室温度历史记录等）；⑤涉VOCs原辅料MSDS或成分检测报告以及消耗记录；⑥环保设施设计方案（含废气废水，必须包含设计参数及计算过程）；⑦非道路移动机械台账（包含环保牌照号码、排放标准、制造日期、车辆照片）；⑧一年内废气监测报告（包括有组织、厂区内及厂界无组织检测数据）；⑨规上企业需设置环保部门，规下企业配备专职环保人员（或委托环保管家），并具备相应的环境管理能力；</w:t>
            </w:r>
            <w:r>
              <w:rPr>
                <w:rFonts w:hint="default"/>
                <w:color w:val="auto"/>
                <w:kern w:val="0"/>
                <w:sz w:val="18"/>
                <w:szCs w:val="18"/>
                <w:lang w:val="en-US" w:eastAsia="zh-CN" w:bidi="ar"/>
              </w:rPr>
              <w:fldChar w:fldCharType="begin"/>
            </w:r>
            <w:r>
              <w:rPr>
                <w:rFonts w:hint="default"/>
                <w:color w:val="auto"/>
                <w:kern w:val="0"/>
                <w:sz w:val="18"/>
                <w:szCs w:val="18"/>
                <w:lang w:val="en-US" w:eastAsia="zh-CN" w:bidi="ar"/>
              </w:rPr>
              <w:instrText xml:space="preserve"> = 10 \* GB3 \* MERGEFORMAT </w:instrText>
            </w:r>
            <w:r>
              <w:rPr>
                <w:rFonts w:hint="default"/>
                <w:color w:val="auto"/>
                <w:kern w:val="0"/>
                <w:sz w:val="18"/>
                <w:szCs w:val="18"/>
                <w:lang w:val="en-US" w:eastAsia="zh-CN" w:bidi="ar"/>
              </w:rPr>
              <w:fldChar w:fldCharType="separate"/>
            </w:r>
            <w:r>
              <w:rPr>
                <w:rFonts w:hint="default"/>
                <w:color w:val="auto"/>
                <w:kern w:val="0"/>
                <w:sz w:val="18"/>
                <w:szCs w:val="18"/>
                <w:lang w:val="en-US" w:eastAsia="zh-CN" w:bidi="ar"/>
              </w:rPr>
              <w:t>⑩</w:t>
            </w:r>
            <w:r>
              <w:rPr>
                <w:rFonts w:hint="default"/>
                <w:color w:val="auto"/>
                <w:kern w:val="0"/>
                <w:sz w:val="18"/>
                <w:szCs w:val="18"/>
                <w:lang w:val="en-US" w:eastAsia="zh-CN" w:bidi="ar"/>
              </w:rPr>
              <w:fldChar w:fldCharType="end"/>
            </w:r>
            <w:r>
              <w:rPr>
                <w:rFonts w:hint="default"/>
                <w:color w:val="auto"/>
                <w:kern w:val="0"/>
                <w:sz w:val="18"/>
                <w:szCs w:val="18"/>
                <w:lang w:val="en-US" w:eastAsia="zh-CN" w:bidi="ar"/>
              </w:rPr>
              <w:t>设有废气应急旁路的，应有旁路启运历史记录、阀门维护和检修记录、向属地生态环境主管部门报告记录。</w:t>
            </w:r>
          </w:p>
        </w:tc>
        <w:tc>
          <w:tcPr>
            <w:tcW w:w="1810" w:type="dxa"/>
            <w:noWrap w:val="0"/>
            <w:tcMar>
              <w:top w:w="10" w:type="dxa"/>
              <w:left w:w="10" w:type="dxa"/>
              <w:right w:w="10" w:type="dxa"/>
            </w:tcMar>
            <w:vAlign w:val="center"/>
          </w:tcPr>
          <w:p w14:paraId="4E97BA9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企业后续将按要求</w:t>
            </w:r>
            <w:r>
              <w:rPr>
                <w:rFonts w:hint="default"/>
                <w:color w:val="auto"/>
                <w:kern w:val="0"/>
                <w:sz w:val="18"/>
                <w:szCs w:val="18"/>
                <w:lang w:val="en-US" w:eastAsia="zh-CN" w:bidi="ar"/>
              </w:rPr>
              <w:t>建立环保资料档案（含电子版、纸质版）并存档</w:t>
            </w:r>
            <w:r>
              <w:rPr>
                <w:rFonts w:hint="eastAsia"/>
                <w:color w:val="auto"/>
                <w:kern w:val="0"/>
                <w:sz w:val="18"/>
                <w:szCs w:val="18"/>
                <w:lang w:val="en-US" w:eastAsia="zh-CN" w:bidi="ar"/>
              </w:rPr>
              <w:t>。</w:t>
            </w:r>
          </w:p>
        </w:tc>
        <w:tc>
          <w:tcPr>
            <w:tcW w:w="1347" w:type="dxa"/>
            <w:noWrap w:val="0"/>
            <w:tcMar>
              <w:top w:w="10" w:type="dxa"/>
              <w:left w:w="10" w:type="dxa"/>
              <w:right w:w="10" w:type="dxa"/>
            </w:tcMar>
            <w:vAlign w:val="center"/>
          </w:tcPr>
          <w:p w14:paraId="7597E72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0608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27" w:type="dxa"/>
            <w:noWrap w:val="0"/>
            <w:tcMar>
              <w:top w:w="10" w:type="dxa"/>
              <w:left w:w="10" w:type="dxa"/>
              <w:right w:w="10" w:type="dxa"/>
            </w:tcMar>
            <w:vAlign w:val="center"/>
          </w:tcPr>
          <w:p w14:paraId="7F5B3A5A">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公众监督团队评估</w:t>
            </w:r>
          </w:p>
        </w:tc>
        <w:tc>
          <w:tcPr>
            <w:tcW w:w="340" w:type="dxa"/>
            <w:noWrap w:val="0"/>
            <w:tcMar>
              <w:top w:w="10" w:type="dxa"/>
              <w:left w:w="10" w:type="dxa"/>
              <w:right w:w="10" w:type="dxa"/>
            </w:tcMar>
            <w:vAlign w:val="center"/>
          </w:tcPr>
          <w:p w14:paraId="295D0CD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30</w:t>
            </w:r>
          </w:p>
        </w:tc>
        <w:tc>
          <w:tcPr>
            <w:tcW w:w="4220" w:type="dxa"/>
            <w:noWrap w:val="0"/>
            <w:tcMar>
              <w:top w:w="10" w:type="dxa"/>
              <w:left w:w="10" w:type="dxa"/>
              <w:right w:w="10" w:type="dxa"/>
            </w:tcMar>
            <w:vAlign w:val="center"/>
          </w:tcPr>
          <w:p w14:paraId="02289260">
            <w:pPr>
              <w:widowControl/>
              <w:adjustRightInd w:val="0"/>
              <w:snapToGrid w:val="0"/>
              <w:jc w:val="center"/>
              <w:rPr>
                <w:rFonts w:hint="default"/>
                <w:color w:val="auto"/>
                <w:kern w:val="0"/>
                <w:sz w:val="18"/>
                <w:szCs w:val="18"/>
                <w:lang w:val="en-US" w:eastAsia="zh-CN" w:bidi="ar"/>
              </w:rPr>
            </w:pPr>
            <w:r>
              <w:rPr>
                <w:rFonts w:hint="default"/>
                <w:color w:val="auto"/>
                <w:kern w:val="0"/>
                <w:sz w:val="18"/>
                <w:szCs w:val="18"/>
                <w:lang w:val="en-US" w:eastAsia="zh-CN" w:bidi="ar"/>
              </w:rPr>
              <w:t>公众监督团队根据现场检查和异味污染嗅辨</w:t>
            </w:r>
            <w:r>
              <w:rPr>
                <w:rFonts w:hint="eastAsia"/>
                <w:color w:val="auto"/>
                <w:kern w:val="0"/>
                <w:sz w:val="18"/>
                <w:szCs w:val="18"/>
                <w:lang w:val="en-US" w:eastAsia="zh-CN" w:bidi="ar"/>
              </w:rPr>
              <w:t>情况打分。每次打分由5位公众监督员参加，并根据《浙江省工业企业恶臭异味管控技术指南》中附录C中自评表要求赋分，赋分采用6级（0~5）打分制，每位公众监督员赋分折算为5分（其中0级计5分，5级计0分），5位合计满分25分。</w:t>
            </w:r>
          </w:p>
        </w:tc>
        <w:tc>
          <w:tcPr>
            <w:tcW w:w="1810" w:type="dxa"/>
            <w:noWrap w:val="0"/>
            <w:tcMar>
              <w:top w:w="10" w:type="dxa"/>
              <w:left w:w="10" w:type="dxa"/>
              <w:right w:w="10" w:type="dxa"/>
            </w:tcMar>
            <w:vAlign w:val="center"/>
          </w:tcPr>
          <w:p w14:paraId="5421E5B3">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w:t>
            </w:r>
          </w:p>
        </w:tc>
        <w:tc>
          <w:tcPr>
            <w:tcW w:w="1347" w:type="dxa"/>
            <w:noWrap w:val="0"/>
            <w:tcMar>
              <w:top w:w="10" w:type="dxa"/>
              <w:left w:w="10" w:type="dxa"/>
              <w:right w:w="10" w:type="dxa"/>
            </w:tcMar>
            <w:vAlign w:val="center"/>
          </w:tcPr>
          <w:p w14:paraId="4C8E1146">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w:t>
            </w:r>
          </w:p>
        </w:tc>
      </w:tr>
    </w:tbl>
    <w:p w14:paraId="3705C8E8">
      <w:pPr>
        <w:spacing w:line="360" w:lineRule="auto"/>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w:t>
      </w:r>
      <w:r>
        <w:rPr>
          <w:rFonts w:hint="eastAsia" w:cs="Times New Roman"/>
          <w:color w:val="auto"/>
          <w:lang w:val="en-US" w:eastAsia="zh-CN"/>
        </w:rPr>
        <w:t>建成后基本</w:t>
      </w:r>
      <w:r>
        <w:rPr>
          <w:rFonts w:hint="eastAsia" w:ascii="Times New Roman" w:hAnsi="Times New Roman" w:eastAsia="宋体" w:cs="Times New Roman"/>
          <w:color w:val="auto"/>
          <w:lang w:val="en-US" w:eastAsia="zh-CN"/>
        </w:rPr>
        <w:t>能够满足《临平经济技术开发区异味重点企业整治提升方案暨行业提级增效管控标准》相关</w:t>
      </w:r>
      <w:r>
        <w:rPr>
          <w:rFonts w:hint="eastAsia" w:cs="Times New Roman"/>
          <w:color w:val="auto"/>
          <w:lang w:val="en-US" w:eastAsia="zh-CN"/>
        </w:rPr>
        <w:t>工作</w:t>
      </w:r>
      <w:r>
        <w:rPr>
          <w:rFonts w:hint="eastAsia" w:ascii="Times New Roman" w:hAnsi="Times New Roman" w:eastAsia="宋体" w:cs="Times New Roman"/>
          <w:color w:val="auto"/>
          <w:lang w:val="en-US" w:eastAsia="zh-CN"/>
        </w:rPr>
        <w:t>要求</w:t>
      </w:r>
      <w:r>
        <w:rPr>
          <w:rFonts w:hint="eastAsia" w:cs="Times New Roman"/>
          <w:color w:val="auto"/>
          <w:lang w:val="en-US" w:eastAsia="zh-CN"/>
        </w:rPr>
        <w:t>。</w:t>
      </w:r>
    </w:p>
    <w:p w14:paraId="767E50BD">
      <w:pPr>
        <w:spacing w:line="360" w:lineRule="auto"/>
        <w:outlineLvl w:val="1"/>
        <w:rPr>
          <w:rFonts w:hint="default"/>
          <w:b/>
          <w:color w:val="auto"/>
          <w:sz w:val="24"/>
          <w:lang w:val="en-US" w:eastAsia="zh-CN"/>
        </w:rPr>
      </w:pPr>
      <w:bookmarkStart w:id="13" w:name="_Toc22580"/>
      <w:r>
        <w:rPr>
          <w:rFonts w:hint="eastAsia"/>
          <w:b/>
          <w:color w:val="auto"/>
          <w:sz w:val="24"/>
          <w:lang w:val="en-US" w:eastAsia="zh-CN"/>
        </w:rPr>
        <w:t>4.5</w:t>
      </w:r>
      <w:r>
        <w:rPr>
          <w:rFonts w:hint="default"/>
          <w:b/>
          <w:color w:val="auto"/>
          <w:sz w:val="24"/>
          <w:lang w:val="en-US" w:eastAsia="zh-CN"/>
        </w:rPr>
        <w:t>《国家污染防治技术指导目录（2024年限制类和淘汰类）》符合性分析</w:t>
      </w:r>
      <w:bookmarkEnd w:id="13"/>
    </w:p>
    <w:p w14:paraId="6B8D64B7">
      <w:pPr>
        <w:spacing w:line="360" w:lineRule="auto"/>
        <w:ind w:firstLine="420" w:firstLineChars="200"/>
        <w:rPr>
          <w:rFonts w:hint="eastAsia"/>
          <w:color w:val="auto"/>
          <w:lang w:val="en-US" w:eastAsia="zh-CN"/>
        </w:rPr>
      </w:pPr>
      <w:r>
        <w:rPr>
          <w:rFonts w:hint="eastAsia" w:cs="Times New Roman"/>
          <w:color w:val="auto"/>
          <w:kern w:val="0"/>
          <w:szCs w:val="21"/>
          <w:lang w:val="en-US" w:eastAsia="zh-CN"/>
        </w:rPr>
        <w:t>本项目废气主要为涂装工序产生的喷涂废气，项目拟</w:t>
      </w:r>
      <w:r>
        <w:rPr>
          <w:rFonts w:hint="eastAsia"/>
          <w:color w:val="auto"/>
        </w:rPr>
        <w:t>新建一套“</w:t>
      </w:r>
      <w:r>
        <w:rPr>
          <w:rFonts w:hint="eastAsia"/>
          <w:color w:val="auto"/>
          <w:lang w:val="en-US" w:eastAsia="zh-CN"/>
        </w:rPr>
        <w:t>活性炭吸附+脱附催化燃烧</w:t>
      </w:r>
      <w:r>
        <w:rPr>
          <w:rFonts w:hint="eastAsia"/>
          <w:color w:val="auto"/>
        </w:rPr>
        <w:t>”吸附装置</w:t>
      </w:r>
      <w:r>
        <w:rPr>
          <w:rFonts w:hint="eastAsia"/>
          <w:color w:val="auto"/>
          <w:lang w:val="en-US" w:eastAsia="zh-CN"/>
        </w:rPr>
        <w:t>对废气进行处理，废气处理工艺与《国家污染防治技术指导目录（2024年限制类和淘汰类）》符合性分析如下。</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2"/>
        <w:gridCol w:w="1628"/>
        <w:gridCol w:w="3728"/>
        <w:gridCol w:w="1746"/>
        <w:gridCol w:w="1008"/>
      </w:tblGrid>
      <w:tr w14:paraId="11E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0F34844">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序号</w:t>
            </w:r>
          </w:p>
        </w:tc>
        <w:tc>
          <w:tcPr>
            <w:tcW w:w="0" w:type="auto"/>
            <w:vAlign w:val="center"/>
          </w:tcPr>
          <w:p w14:paraId="02D47FE3">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工艺名称</w:t>
            </w:r>
          </w:p>
        </w:tc>
        <w:tc>
          <w:tcPr>
            <w:tcW w:w="0" w:type="auto"/>
            <w:vAlign w:val="center"/>
          </w:tcPr>
          <w:p w14:paraId="522FC40C">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工艺、设施简介</w:t>
            </w:r>
          </w:p>
        </w:tc>
        <w:tc>
          <w:tcPr>
            <w:tcW w:w="1745" w:type="dxa"/>
            <w:vAlign w:val="center"/>
          </w:tcPr>
          <w:p w14:paraId="32F653F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本项目情况</w:t>
            </w:r>
          </w:p>
        </w:tc>
        <w:tc>
          <w:tcPr>
            <w:tcW w:w="1008" w:type="dxa"/>
            <w:vAlign w:val="center"/>
          </w:tcPr>
          <w:p w14:paraId="16291F83">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相符性</w:t>
            </w:r>
          </w:p>
        </w:tc>
      </w:tr>
      <w:tr w14:paraId="1C86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5"/>
            <w:vAlign w:val="center"/>
          </w:tcPr>
          <w:p w14:paraId="002B984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一、限制类</w:t>
            </w:r>
          </w:p>
        </w:tc>
      </w:tr>
      <w:tr w14:paraId="5613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0BD300B">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1</w:t>
            </w:r>
          </w:p>
        </w:tc>
        <w:tc>
          <w:tcPr>
            <w:tcW w:w="0" w:type="auto"/>
            <w:vAlign w:val="center"/>
          </w:tcPr>
          <w:p w14:paraId="5AA93FC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bidi="ar"/>
              </w:rPr>
              <w:t>洗涤、水膜（浴）、 文丘里湿式除尘技 术</w:t>
            </w:r>
          </w:p>
        </w:tc>
        <w:tc>
          <w:tcPr>
            <w:tcW w:w="0" w:type="auto"/>
            <w:vAlign w:val="center"/>
          </w:tcPr>
          <w:p w14:paraId="33C02E6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bidi="ar"/>
              </w:rPr>
              <w:t>该技术为采用洗涤、水膜（浴）、文丘里等单一湿法除尘及以上技术组合的除尘净化工艺。</w:t>
            </w:r>
          </w:p>
        </w:tc>
        <w:tc>
          <w:tcPr>
            <w:tcW w:w="1745" w:type="dxa"/>
            <w:vAlign w:val="center"/>
          </w:tcPr>
          <w:p w14:paraId="37338CB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vAlign w:val="center"/>
          </w:tcPr>
          <w:p w14:paraId="5387AA3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37A7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F172C2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2</w:t>
            </w:r>
          </w:p>
        </w:tc>
        <w:tc>
          <w:tcPr>
            <w:tcW w:w="0" w:type="auto"/>
            <w:vAlign w:val="center"/>
          </w:tcPr>
          <w:p w14:paraId="3362399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bidi="ar"/>
              </w:rPr>
              <w:t>低效干式除尘技术</w:t>
            </w:r>
          </w:p>
        </w:tc>
        <w:tc>
          <w:tcPr>
            <w:tcW w:w="0" w:type="auto"/>
            <w:vAlign w:val="center"/>
          </w:tcPr>
          <w:p w14:paraId="6615F27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bidi="ar"/>
              </w:rPr>
              <w:t>该技术为利用颗粒物的重力、惯性力和离心力等机械力，采用旋风除尘、重力沉降、惯性除尘等干式除尘 技术及其组合的除尘净化技术。</w:t>
            </w:r>
          </w:p>
        </w:tc>
        <w:tc>
          <w:tcPr>
            <w:tcW w:w="1745" w:type="dxa"/>
            <w:vAlign w:val="center"/>
          </w:tcPr>
          <w:p w14:paraId="5BAC2096">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vAlign w:val="center"/>
          </w:tcPr>
          <w:p w14:paraId="6BF353D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506F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F7243AE">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3</w:t>
            </w:r>
          </w:p>
        </w:tc>
        <w:tc>
          <w:tcPr>
            <w:tcW w:w="0" w:type="auto"/>
            <w:vAlign w:val="center"/>
          </w:tcPr>
          <w:p w14:paraId="279FB350">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烟气湿法除尘脱硫一体化技术</w:t>
            </w:r>
          </w:p>
        </w:tc>
        <w:tc>
          <w:tcPr>
            <w:tcW w:w="0" w:type="auto"/>
            <w:vAlign w:val="center"/>
          </w:tcPr>
          <w:p w14:paraId="4970ED55">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该技术湿法除尘与湿法脱硫在一个装置内进行，前后端无其他除尘设施。</w:t>
            </w:r>
          </w:p>
        </w:tc>
        <w:tc>
          <w:tcPr>
            <w:tcW w:w="1745" w:type="dxa"/>
            <w:vAlign w:val="center"/>
          </w:tcPr>
          <w:p w14:paraId="12B9829A">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vAlign w:val="center"/>
          </w:tcPr>
          <w:p w14:paraId="79FEC17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7CB4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DA560E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4</w:t>
            </w:r>
          </w:p>
        </w:tc>
        <w:tc>
          <w:tcPr>
            <w:tcW w:w="0" w:type="auto"/>
            <w:vAlign w:val="center"/>
          </w:tcPr>
          <w:p w14:paraId="6ECC46AB">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未实现自动控制的脱硫、脱硝设施</w:t>
            </w:r>
          </w:p>
        </w:tc>
        <w:tc>
          <w:tcPr>
            <w:tcW w:w="0" w:type="auto"/>
            <w:vAlign w:val="center"/>
          </w:tcPr>
          <w:p w14:paraId="53776D3D">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无控制系统或控制系统未实现对脱硫剂投加量、湿法 脱硫浆液pH值、半干法脱硫床层压降等关键参数进行 自动调节控制的脱硫设施；无控制系统或控制系统未实现对脱硝剂流量、液位等关键参数进行自动调节控制的脱硝设施。</w:t>
            </w:r>
          </w:p>
        </w:tc>
        <w:tc>
          <w:tcPr>
            <w:tcW w:w="1745" w:type="dxa"/>
            <w:vAlign w:val="center"/>
          </w:tcPr>
          <w:p w14:paraId="22C3B1F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vAlign w:val="center"/>
          </w:tcPr>
          <w:p w14:paraId="04953C6B">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r>
      <w:tr w14:paraId="2A6A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4A3DAB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5</w:t>
            </w:r>
          </w:p>
        </w:tc>
        <w:tc>
          <w:tcPr>
            <w:tcW w:w="0" w:type="auto"/>
            <w:vAlign w:val="center"/>
          </w:tcPr>
          <w:p w14:paraId="36D5F97F">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 xml:space="preserve"> VOCs（挥发性有机物）洗涤吸收净化技术</w:t>
            </w:r>
          </w:p>
        </w:tc>
        <w:tc>
          <w:tcPr>
            <w:tcW w:w="0" w:type="auto"/>
            <w:vAlign w:val="center"/>
          </w:tcPr>
          <w:p w14:paraId="4D1DE7AA">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该技术仅采用水、酸液、碱液洗涤吸收工业废气中VOCs后直接排放。</w:t>
            </w:r>
          </w:p>
        </w:tc>
        <w:tc>
          <w:tcPr>
            <w:tcW w:w="1745" w:type="dxa"/>
            <w:vAlign w:val="center"/>
          </w:tcPr>
          <w:p w14:paraId="75E5732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本项目涉及VOCs排放的油漆废气经“活性炭吸附+脱附催化燃烧”装置处理后高空排放</w:t>
            </w:r>
          </w:p>
        </w:tc>
        <w:tc>
          <w:tcPr>
            <w:tcW w:w="1008" w:type="dxa"/>
            <w:vAlign w:val="center"/>
          </w:tcPr>
          <w:p w14:paraId="2A27DB5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相符</w:t>
            </w:r>
          </w:p>
        </w:tc>
      </w:tr>
      <w:tr w14:paraId="4D08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0D7C97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6</w:t>
            </w:r>
          </w:p>
        </w:tc>
        <w:tc>
          <w:tcPr>
            <w:tcW w:w="0" w:type="auto"/>
            <w:vAlign w:val="center"/>
          </w:tcPr>
          <w:p w14:paraId="49CC71E0">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无控制系统或控制系统未实现对设施关键参数进行自动调节控制的燃烧、冷凝、吸附-脱附VOCs治理技术</w:t>
            </w:r>
          </w:p>
        </w:tc>
        <w:tc>
          <w:tcPr>
            <w:tcW w:w="0" w:type="auto"/>
            <w:vAlign w:val="center"/>
          </w:tcPr>
          <w:p w14:paraId="603891B7">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未对燃烧设施的辅助燃料用量、燃烧温度，冷凝设施的冷凝温度，吸附设施的吸附床层吸脱附时间和温度等关键参数进行自动调节与控制的VOCs治理技术。</w:t>
            </w:r>
          </w:p>
        </w:tc>
        <w:tc>
          <w:tcPr>
            <w:tcW w:w="1745" w:type="dxa"/>
            <w:shd w:val="clear" w:color="auto" w:fill="auto"/>
            <w:vAlign w:val="center"/>
          </w:tcPr>
          <w:p w14:paraId="44A2E137">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24D46F49">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704A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5"/>
            <w:vAlign w:val="center"/>
          </w:tcPr>
          <w:p w14:paraId="3E06963B">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二、淘汰类</w:t>
            </w:r>
          </w:p>
        </w:tc>
      </w:tr>
      <w:tr w14:paraId="2621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BCD0C6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1</w:t>
            </w:r>
          </w:p>
        </w:tc>
        <w:tc>
          <w:tcPr>
            <w:tcW w:w="0" w:type="auto"/>
            <w:vAlign w:val="center"/>
          </w:tcPr>
          <w:p w14:paraId="44EFC5FB">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正压反吸风类袋式除尘技术</w:t>
            </w:r>
          </w:p>
        </w:tc>
        <w:tc>
          <w:tcPr>
            <w:tcW w:w="0" w:type="auto"/>
            <w:vAlign w:val="center"/>
          </w:tcPr>
          <w:p w14:paraId="71044358">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该技术为采用正压过滤和反吸风方式清灰，且无排气筒，直接排放的袋式除尘技术。</w:t>
            </w:r>
          </w:p>
        </w:tc>
        <w:tc>
          <w:tcPr>
            <w:tcW w:w="1745" w:type="dxa"/>
            <w:shd w:val="clear" w:color="auto" w:fill="auto"/>
            <w:vAlign w:val="center"/>
          </w:tcPr>
          <w:p w14:paraId="4006499E">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5D289E27">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7D11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76EE7A2">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2</w:t>
            </w:r>
          </w:p>
        </w:tc>
        <w:tc>
          <w:tcPr>
            <w:tcW w:w="0" w:type="auto"/>
            <w:vAlign w:val="center"/>
          </w:tcPr>
          <w:p w14:paraId="09285AE5">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水喷淋脱硫技术</w:t>
            </w:r>
          </w:p>
        </w:tc>
        <w:tc>
          <w:tcPr>
            <w:tcW w:w="0" w:type="auto"/>
            <w:vAlign w:val="center"/>
          </w:tcPr>
          <w:p w14:paraId="34EDB366">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该技术以水为吸收剂（不含脱硫剂），与烟气接触吸收烟气中的二氧化硫。海水脱硫工艺除外。</w:t>
            </w:r>
          </w:p>
        </w:tc>
        <w:tc>
          <w:tcPr>
            <w:tcW w:w="1745" w:type="dxa"/>
            <w:shd w:val="clear" w:color="auto" w:fill="auto"/>
            <w:vAlign w:val="center"/>
          </w:tcPr>
          <w:p w14:paraId="62E9E37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4F4AD7DE">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311C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B820724">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3</w:t>
            </w:r>
          </w:p>
        </w:tc>
        <w:tc>
          <w:tcPr>
            <w:tcW w:w="0" w:type="auto"/>
            <w:vAlign w:val="center"/>
          </w:tcPr>
          <w:p w14:paraId="06AB38C3">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电子束法脱硫技术</w:t>
            </w:r>
          </w:p>
        </w:tc>
        <w:tc>
          <w:tcPr>
            <w:tcW w:w="0" w:type="auto"/>
            <w:vAlign w:val="center"/>
          </w:tcPr>
          <w:p w14:paraId="330FCB5A">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该技术利用电子加速器产生的等离子体氧化烟气中硫氧化物，产物与加入的氨气反应生成硫酸铵。</w:t>
            </w:r>
          </w:p>
        </w:tc>
        <w:tc>
          <w:tcPr>
            <w:tcW w:w="1745" w:type="dxa"/>
            <w:shd w:val="clear" w:color="auto" w:fill="auto"/>
            <w:vAlign w:val="center"/>
          </w:tcPr>
          <w:p w14:paraId="39E691C1">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73F2C5DD">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45C1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ADB9B6C">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4</w:t>
            </w:r>
          </w:p>
        </w:tc>
        <w:tc>
          <w:tcPr>
            <w:tcW w:w="0" w:type="auto"/>
            <w:vAlign w:val="center"/>
          </w:tcPr>
          <w:p w14:paraId="653560E9">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烟道中喷洒脱硫剂的脱硫技术</w:t>
            </w:r>
          </w:p>
        </w:tc>
        <w:tc>
          <w:tcPr>
            <w:tcW w:w="0" w:type="auto"/>
            <w:vAlign w:val="center"/>
          </w:tcPr>
          <w:p w14:paraId="5D85905D">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该技术在烟道中直接喷洒气态或液态脱硫剂，吸收脱除烟气中的硫氧化物，且无专门反应器。</w:t>
            </w:r>
          </w:p>
        </w:tc>
        <w:tc>
          <w:tcPr>
            <w:tcW w:w="1745" w:type="dxa"/>
            <w:shd w:val="clear" w:color="auto" w:fill="auto"/>
            <w:vAlign w:val="center"/>
          </w:tcPr>
          <w:p w14:paraId="06FB4433">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0A17A1B6">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4D01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5D3B822">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5</w:t>
            </w:r>
          </w:p>
        </w:tc>
        <w:tc>
          <w:tcPr>
            <w:tcW w:w="0" w:type="auto"/>
            <w:vAlign w:val="center"/>
          </w:tcPr>
          <w:p w14:paraId="76F0F9A0">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关键组件或工艺单元缺失的湿法脱硫技术</w:t>
            </w:r>
          </w:p>
        </w:tc>
        <w:tc>
          <w:tcPr>
            <w:tcW w:w="0" w:type="auto"/>
            <w:vAlign w:val="center"/>
          </w:tcPr>
          <w:p w14:paraId="37A200AB">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未安装pH计、氧化风机、脱硫废液及副产物处理系统等关键组件或工艺单元的湿法脱硫技术，包括：石灰/石灰石-石膏湿法脱硫未配备浆液密度计，双碱法未在脱硫塔、再生池设置pH计、未在浆液循环系统外设置副产物氧化和提取设施，钠碱法未配备饱和废水处理或副产物利用装置，氨法脱硫未配备蒸发结晶等回收系统，氧化镁法未配备氧化镁熟化系统以及亚硫酸镁氧化系统、蒸发结晶系统。</w:t>
            </w:r>
          </w:p>
        </w:tc>
        <w:tc>
          <w:tcPr>
            <w:tcW w:w="1745" w:type="dxa"/>
            <w:shd w:val="clear" w:color="auto" w:fill="auto"/>
            <w:vAlign w:val="center"/>
          </w:tcPr>
          <w:p w14:paraId="3E3BA64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1BBB15C1">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6A0F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E16797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6</w:t>
            </w:r>
          </w:p>
        </w:tc>
        <w:tc>
          <w:tcPr>
            <w:tcW w:w="0" w:type="auto"/>
            <w:vAlign w:val="center"/>
          </w:tcPr>
          <w:p w14:paraId="3BCBE4A2">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关键组件或工艺单元缺失的活性焦工艺</w:t>
            </w:r>
          </w:p>
        </w:tc>
        <w:tc>
          <w:tcPr>
            <w:tcW w:w="0" w:type="auto"/>
            <w:vAlign w:val="center"/>
          </w:tcPr>
          <w:p w14:paraId="08842457">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未配备副产物制备系统或脱硫解析加热烟气、副产物制备系统含硫尾气等未返回治理设施前烟道；未配备还原剂供应系统的活性焦设施。</w:t>
            </w:r>
          </w:p>
        </w:tc>
        <w:tc>
          <w:tcPr>
            <w:tcW w:w="1745" w:type="dxa"/>
            <w:shd w:val="clear" w:color="auto" w:fill="auto"/>
            <w:vAlign w:val="center"/>
          </w:tcPr>
          <w:p w14:paraId="0F4CE93C">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0D0367F1">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55E6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6BF3679">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7</w:t>
            </w:r>
          </w:p>
        </w:tc>
        <w:tc>
          <w:tcPr>
            <w:tcW w:w="0" w:type="auto"/>
            <w:vAlign w:val="center"/>
          </w:tcPr>
          <w:p w14:paraId="6F64F69F">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无法评估治理效果的脱硫、脱硝技术</w:t>
            </w:r>
          </w:p>
        </w:tc>
        <w:tc>
          <w:tcPr>
            <w:tcW w:w="0" w:type="auto"/>
            <w:vAlign w:val="center"/>
          </w:tcPr>
          <w:p w14:paraId="602B6688">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脱硫脱硝剂成分不清，去除原理不明，无法通过药剂或副产物进行污染物脱除效果核查评估的治理技术。</w:t>
            </w:r>
          </w:p>
        </w:tc>
        <w:tc>
          <w:tcPr>
            <w:tcW w:w="1745" w:type="dxa"/>
            <w:shd w:val="clear" w:color="auto" w:fill="auto"/>
            <w:vAlign w:val="center"/>
          </w:tcPr>
          <w:p w14:paraId="420BE77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47E572F6">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5EBD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8ED47E5">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8</w:t>
            </w:r>
          </w:p>
        </w:tc>
        <w:tc>
          <w:tcPr>
            <w:tcW w:w="0" w:type="auto"/>
            <w:vAlign w:val="center"/>
          </w:tcPr>
          <w:p w14:paraId="609A2EE2">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未配备吸收处理装置的氧化法脱硝技术</w:t>
            </w:r>
          </w:p>
        </w:tc>
        <w:tc>
          <w:tcPr>
            <w:tcW w:w="0" w:type="auto"/>
            <w:vAlign w:val="center"/>
          </w:tcPr>
          <w:p w14:paraId="1ECF7793">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未配备脱硝副产物碱吸收装置和蒸发结晶等处理装置的氧化（含添加氧化助剂）脱硝技术，无法实现氮平衡分析。</w:t>
            </w:r>
          </w:p>
        </w:tc>
        <w:tc>
          <w:tcPr>
            <w:tcW w:w="1745" w:type="dxa"/>
            <w:shd w:val="clear" w:color="auto" w:fill="auto"/>
            <w:vAlign w:val="center"/>
          </w:tcPr>
          <w:p w14:paraId="33FB73C2">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09E0A94B">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6E22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537B6AB">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9</w:t>
            </w:r>
          </w:p>
        </w:tc>
        <w:tc>
          <w:tcPr>
            <w:tcW w:w="0" w:type="auto"/>
            <w:vAlign w:val="center"/>
          </w:tcPr>
          <w:p w14:paraId="7A800DA0">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烟道中喷洒脱硝剂的脱硝技术</w:t>
            </w:r>
          </w:p>
        </w:tc>
        <w:tc>
          <w:tcPr>
            <w:tcW w:w="0" w:type="auto"/>
            <w:vAlign w:val="center"/>
          </w:tcPr>
          <w:p w14:paraId="0E3354E6">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该技术偏离反应温度区间直接在烟道中喷脱硝剂，吸收脱除烟气中的氮氧化物。</w:t>
            </w:r>
          </w:p>
        </w:tc>
        <w:tc>
          <w:tcPr>
            <w:tcW w:w="1745" w:type="dxa"/>
            <w:shd w:val="clear" w:color="auto" w:fill="auto"/>
            <w:vAlign w:val="center"/>
          </w:tcPr>
          <w:p w14:paraId="2A39D620">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57F51360">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0649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E8D5416">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10</w:t>
            </w:r>
          </w:p>
        </w:tc>
        <w:tc>
          <w:tcPr>
            <w:tcW w:w="0" w:type="auto"/>
            <w:vAlign w:val="center"/>
          </w:tcPr>
          <w:p w14:paraId="219CB545">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VOCs光催化及其组合净化技术</w:t>
            </w:r>
          </w:p>
        </w:tc>
        <w:tc>
          <w:tcPr>
            <w:tcW w:w="0" w:type="auto"/>
            <w:vAlign w:val="center"/>
          </w:tcPr>
          <w:p w14:paraId="43BFF9FA">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该技术利用二氧化钛等光催化剂，通过紫外光、可见光激活并氧化VOCs。</w:t>
            </w:r>
          </w:p>
        </w:tc>
        <w:tc>
          <w:tcPr>
            <w:tcW w:w="1745" w:type="dxa"/>
            <w:shd w:val="clear" w:color="auto" w:fill="auto"/>
            <w:vAlign w:val="center"/>
          </w:tcPr>
          <w:p w14:paraId="073772E7">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15404082">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1C76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D05C1C8">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11</w:t>
            </w:r>
          </w:p>
        </w:tc>
        <w:tc>
          <w:tcPr>
            <w:tcW w:w="0" w:type="auto"/>
            <w:vAlign w:val="center"/>
          </w:tcPr>
          <w:p w14:paraId="1FD1A785">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VOCs低温等离子体及其组合净化技术</w:t>
            </w:r>
          </w:p>
        </w:tc>
        <w:tc>
          <w:tcPr>
            <w:tcW w:w="0" w:type="auto"/>
            <w:vAlign w:val="center"/>
          </w:tcPr>
          <w:p w14:paraId="0A1EAD42">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该技术利用气体分子在电场作用下产生的激发态分子、电子、离子、原子和自由基等活性物种，降解废气中有机污染物分子。</w:t>
            </w:r>
          </w:p>
        </w:tc>
        <w:tc>
          <w:tcPr>
            <w:tcW w:w="1745" w:type="dxa"/>
            <w:shd w:val="clear" w:color="auto" w:fill="auto"/>
            <w:vAlign w:val="center"/>
          </w:tcPr>
          <w:p w14:paraId="3E2FFB5D">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09D88250">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r w14:paraId="6BE3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E3957EE">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12</w:t>
            </w:r>
          </w:p>
        </w:tc>
        <w:tc>
          <w:tcPr>
            <w:tcW w:w="0" w:type="auto"/>
            <w:vAlign w:val="center"/>
          </w:tcPr>
          <w:p w14:paraId="10E05EF8">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VOCs光解（光氧化） 及其组合净化技术</w:t>
            </w:r>
          </w:p>
        </w:tc>
        <w:tc>
          <w:tcPr>
            <w:tcW w:w="0" w:type="auto"/>
            <w:vAlign w:val="center"/>
          </w:tcPr>
          <w:p w14:paraId="10417BA3">
            <w:pPr>
              <w:widowControl/>
              <w:adjustRightInd w:val="0"/>
              <w:snapToGrid w:val="0"/>
              <w:jc w:val="center"/>
              <w:rPr>
                <w:rFonts w:hint="eastAsia"/>
                <w:color w:val="auto"/>
                <w:kern w:val="0"/>
                <w:sz w:val="18"/>
                <w:szCs w:val="18"/>
                <w:lang w:bidi="ar"/>
              </w:rPr>
            </w:pPr>
            <w:r>
              <w:rPr>
                <w:rFonts w:hint="eastAsia"/>
                <w:color w:val="auto"/>
                <w:kern w:val="0"/>
                <w:sz w:val="18"/>
                <w:szCs w:val="18"/>
                <w:lang w:bidi="ar"/>
              </w:rPr>
              <w:t>该技术利用污染物分子吸收短波长紫外光，引发污染物分子化学键断裂，同时废气中的氧气或水分子吸收短波长紫外光后，产生包括臭氧和羟基自由基等在内的活性物种与污染物分子发生降解反应。</w:t>
            </w:r>
          </w:p>
        </w:tc>
        <w:tc>
          <w:tcPr>
            <w:tcW w:w="1745" w:type="dxa"/>
            <w:shd w:val="clear" w:color="auto" w:fill="auto"/>
            <w:vAlign w:val="center"/>
          </w:tcPr>
          <w:p w14:paraId="542C6D2F">
            <w:pPr>
              <w:widowControl/>
              <w:adjustRightInd w:val="0"/>
              <w:snapToGrid w:val="0"/>
              <w:jc w:val="center"/>
              <w:rPr>
                <w:rFonts w:hint="default"/>
                <w:color w:val="auto"/>
                <w:kern w:val="0"/>
                <w:sz w:val="18"/>
                <w:szCs w:val="18"/>
                <w:lang w:val="en-US" w:eastAsia="zh-CN" w:bidi="ar"/>
              </w:rPr>
            </w:pPr>
            <w:r>
              <w:rPr>
                <w:rFonts w:hint="eastAsia"/>
                <w:color w:val="auto"/>
                <w:kern w:val="0"/>
                <w:sz w:val="18"/>
                <w:szCs w:val="18"/>
                <w:lang w:val="en-US" w:eastAsia="zh-CN" w:bidi="ar"/>
              </w:rPr>
              <w:t>不涉及</w:t>
            </w:r>
          </w:p>
        </w:tc>
        <w:tc>
          <w:tcPr>
            <w:tcW w:w="1008" w:type="dxa"/>
            <w:shd w:val="clear" w:color="auto" w:fill="auto"/>
            <w:vAlign w:val="center"/>
          </w:tcPr>
          <w:p w14:paraId="6E16CFA3">
            <w:pPr>
              <w:widowControl/>
              <w:adjustRightInd w:val="0"/>
              <w:snapToGrid w:val="0"/>
              <w:jc w:val="center"/>
              <w:rPr>
                <w:rFonts w:hint="eastAsia"/>
                <w:color w:val="auto"/>
                <w:kern w:val="0"/>
                <w:sz w:val="18"/>
                <w:szCs w:val="18"/>
                <w:lang w:val="en-US" w:eastAsia="zh-CN" w:bidi="ar"/>
              </w:rPr>
            </w:pPr>
            <w:r>
              <w:rPr>
                <w:rFonts w:hint="eastAsia"/>
                <w:color w:val="auto"/>
                <w:kern w:val="0"/>
                <w:sz w:val="18"/>
                <w:szCs w:val="18"/>
                <w:lang w:val="en-US" w:eastAsia="zh-CN" w:bidi="ar"/>
              </w:rPr>
              <w:t>不涉及</w:t>
            </w:r>
          </w:p>
        </w:tc>
      </w:tr>
    </w:tbl>
    <w:p w14:paraId="25C89CCC">
      <w:pPr>
        <w:spacing w:line="360" w:lineRule="auto"/>
        <w:ind w:firstLine="420" w:firstLineChars="200"/>
        <w:rPr>
          <w:rFonts w:hint="default"/>
          <w:color w:val="auto"/>
          <w:lang w:val="en-US" w:eastAsia="zh-CN"/>
        </w:rPr>
      </w:pPr>
      <w:r>
        <w:rPr>
          <w:rFonts w:hint="eastAsia"/>
          <w:color w:val="auto"/>
          <w:lang w:val="en-US" w:eastAsia="zh-CN"/>
        </w:rPr>
        <w:t>综上，本项目建成后，废气处理工艺不在《国家污染防治技术指导目录（2024年限制类和淘汰类）》限制类及淘汰类目录中。</w:t>
      </w:r>
    </w:p>
    <w:p w14:paraId="5F64E3F6">
      <w:pPr>
        <w:pStyle w:val="3"/>
        <w:spacing w:line="360" w:lineRule="auto"/>
        <w:jc w:val="left"/>
        <w:rPr>
          <w:color w:val="auto"/>
        </w:rPr>
      </w:pPr>
      <w:bookmarkStart w:id="14" w:name="_Toc9868"/>
      <w:r>
        <w:rPr>
          <w:rFonts w:hint="eastAsia"/>
          <w:color w:val="auto"/>
        </w:rPr>
        <w:t>五、与《临平国家级经济技术开发区“区域环评+环境标准”改革实施方案》环评审批负面清单的匹配性分析</w:t>
      </w:r>
      <w:bookmarkEnd w:id="14"/>
    </w:p>
    <w:p w14:paraId="3C8A3AA5">
      <w:pPr>
        <w:pStyle w:val="122"/>
        <w:ind w:firstLine="480"/>
        <w:rPr>
          <w:rFonts w:hint="eastAsia"/>
          <w:color w:val="auto"/>
        </w:rPr>
      </w:pPr>
      <w:r>
        <w:rPr>
          <w:color w:val="auto"/>
        </w:rPr>
        <w:t>根据</w:t>
      </w:r>
      <w:r>
        <w:rPr>
          <w:rFonts w:hint="default" w:ascii="Times New Roman" w:hAnsi="Times New Roman" w:cs="Times New Roman"/>
          <w:color w:val="auto"/>
          <w:sz w:val="24"/>
        </w:rPr>
        <w:t>《浙江省人民政府办公室关于全面推行“区域环评+环境标准”改革的指导意见》（浙政办发〔2017〕57号）</w:t>
      </w:r>
      <w:r>
        <w:rPr>
          <w:rFonts w:hint="eastAsia" w:ascii="Times New Roman" w:hAnsi="Times New Roman" w:cs="Times New Roman"/>
          <w:color w:val="auto"/>
          <w:sz w:val="24"/>
          <w:lang w:eastAsia="zh-CN"/>
        </w:rPr>
        <w:t>、《关于进一步深化“区域环评+环境标准”改革、提升工程建设项目环评效能的通知》（杭建审改办〔2018〕34号）</w:t>
      </w:r>
      <w:r>
        <w:rPr>
          <w:rFonts w:hint="eastAsia" w:cs="Times New Roman"/>
          <w:color w:val="auto"/>
          <w:sz w:val="24"/>
          <w:lang w:eastAsia="zh-CN"/>
        </w:rPr>
        <w:t>、</w:t>
      </w:r>
      <w:r>
        <w:rPr>
          <w:color w:val="auto"/>
        </w:rPr>
        <w:t>《临平区“区域环评+环境标准”改革实施方案》（临平政办〔2022〕48号），临平国家级经济技术开发区已列入“区域环评+环境标准”改革实施方案区域。</w:t>
      </w:r>
      <w:r>
        <w:rPr>
          <w:rFonts w:hint="eastAsia"/>
          <w:color w:val="auto"/>
        </w:rPr>
        <w:t>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10A3AF9B">
      <w:pPr>
        <w:pStyle w:val="122"/>
        <w:ind w:firstLine="480"/>
        <w:rPr>
          <w:rFonts w:hint="eastAsia"/>
          <w:color w:val="auto"/>
        </w:rPr>
      </w:pPr>
      <w:r>
        <w:rPr>
          <w:rFonts w:hint="default"/>
          <w:color w:val="auto"/>
          <w:lang w:val="en-US" w:eastAsia="zh-CN"/>
        </w:rPr>
        <w:t>根据《浙江省生态环境厅关于深化环评集成改革优化提升营商环境的指导意见》（浙环发〔202</w:t>
      </w:r>
      <w:r>
        <w:rPr>
          <w:rFonts w:hint="eastAsia"/>
          <w:color w:val="auto"/>
          <w:lang w:val="en-US" w:eastAsia="zh-CN"/>
        </w:rPr>
        <w:t>3</w:t>
      </w:r>
      <w:r>
        <w:rPr>
          <w:rFonts w:hint="default"/>
          <w:color w:val="auto"/>
          <w:lang w:val="en-US" w:eastAsia="zh-CN"/>
        </w:rPr>
        <w:t>〕52号），“区域环评+环境标准”改革区域内环境影响报告表简化为环境影响登记表的，按照建设项目环境影响登记表格式要求进行填报</w:t>
      </w:r>
      <w:r>
        <w:rPr>
          <w:rFonts w:hint="eastAsia"/>
          <w:color w:val="auto"/>
          <w:lang w:val="en-US" w:eastAsia="zh-CN"/>
        </w:rPr>
        <w:t>。</w:t>
      </w:r>
    </w:p>
    <w:p w14:paraId="1DF8A376">
      <w:pPr>
        <w:pStyle w:val="116"/>
        <w:numPr>
          <w:ilvl w:val="0"/>
          <w:numId w:val="0"/>
        </w:numPr>
        <w:spacing w:before="156"/>
        <w:ind w:left="420" w:leftChars="0" w:hanging="420" w:firstLineChars="0"/>
        <w:rPr>
          <w:color w:val="auto"/>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1"/>
          <w:szCs w:val="21"/>
          <w:u w:val="none"/>
          <w:vertAlign w:val="baseline"/>
          <w:lang w:val="zh-CN" w:eastAsia="zh-CN" w:bidi="ar-SA"/>
          <w14:shadow w14:blurRad="0" w14:dist="0" w14:dir="0" w14:sx="0" w14:sy="0" w14:kx="0" w14:ky="0" w14:algn="none">
            <w14:srgbClr w14:val="000000"/>
          </w14:shadow>
        </w:rPr>
        <w:t>表14</w:t>
      </w:r>
      <w:r>
        <w:rPr>
          <w:color w:val="auto"/>
        </w:rPr>
        <w:t xml:space="preserve">  </w:t>
      </w:r>
      <w:r>
        <w:rPr>
          <w:rFonts w:hint="eastAsia"/>
          <w:color w:val="auto"/>
        </w:rPr>
        <w:t>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67DA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6A39F56">
            <w:pPr>
              <w:widowControl/>
              <w:jc w:val="center"/>
              <w:rPr>
                <w:color w:val="auto"/>
              </w:rPr>
            </w:pPr>
            <w:r>
              <w:rPr>
                <w:color w:val="auto"/>
              </w:rPr>
              <w:t>序号</w:t>
            </w:r>
          </w:p>
        </w:tc>
        <w:tc>
          <w:tcPr>
            <w:tcW w:w="2376" w:type="pct"/>
            <w:tcBorders>
              <w:top w:val="single" w:color="auto" w:sz="4" w:space="0"/>
              <w:left w:val="single" w:color="auto" w:sz="4" w:space="0"/>
              <w:bottom w:val="single" w:color="auto" w:sz="4" w:space="0"/>
              <w:right w:val="single" w:color="auto" w:sz="4" w:space="0"/>
            </w:tcBorders>
            <w:vAlign w:val="center"/>
          </w:tcPr>
          <w:p w14:paraId="2E248C4C">
            <w:pPr>
              <w:widowControl/>
              <w:jc w:val="center"/>
              <w:rPr>
                <w:color w:val="auto"/>
              </w:rPr>
            </w:pPr>
            <w:r>
              <w:rPr>
                <w:color w:val="auto"/>
              </w:rPr>
              <w:t>负面清单</w:t>
            </w:r>
          </w:p>
        </w:tc>
        <w:tc>
          <w:tcPr>
            <w:tcW w:w="1712" w:type="pct"/>
            <w:tcBorders>
              <w:top w:val="single" w:color="auto" w:sz="4" w:space="0"/>
              <w:left w:val="single" w:color="auto" w:sz="4" w:space="0"/>
              <w:bottom w:val="single" w:color="auto" w:sz="4" w:space="0"/>
              <w:right w:val="single" w:color="auto" w:sz="4" w:space="0"/>
            </w:tcBorders>
            <w:vAlign w:val="center"/>
          </w:tcPr>
          <w:p w14:paraId="4B270238">
            <w:pPr>
              <w:widowControl/>
              <w:jc w:val="center"/>
              <w:rPr>
                <w:color w:val="auto"/>
              </w:rPr>
            </w:pPr>
            <w:r>
              <w:rPr>
                <w:color w:val="auto"/>
              </w:rPr>
              <w:t>本项目</w:t>
            </w:r>
          </w:p>
        </w:tc>
        <w:tc>
          <w:tcPr>
            <w:tcW w:w="556" w:type="pct"/>
            <w:tcBorders>
              <w:top w:val="single" w:color="auto" w:sz="4" w:space="0"/>
              <w:left w:val="single" w:color="auto" w:sz="4" w:space="0"/>
              <w:bottom w:val="single" w:color="auto" w:sz="4" w:space="0"/>
              <w:right w:val="single" w:color="auto" w:sz="4" w:space="0"/>
            </w:tcBorders>
            <w:vAlign w:val="center"/>
          </w:tcPr>
          <w:p w14:paraId="328D0A8B">
            <w:pPr>
              <w:widowControl/>
              <w:jc w:val="center"/>
              <w:rPr>
                <w:color w:val="auto"/>
              </w:rPr>
            </w:pPr>
            <w:r>
              <w:rPr>
                <w:color w:val="auto"/>
              </w:rPr>
              <w:t>符合性</w:t>
            </w:r>
          </w:p>
        </w:tc>
      </w:tr>
      <w:tr w14:paraId="5484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93273FD">
            <w:pPr>
              <w:widowControl/>
              <w:jc w:val="center"/>
              <w:rPr>
                <w:color w:val="auto"/>
              </w:rPr>
            </w:pPr>
            <w:r>
              <w:rPr>
                <w:color w:val="auto"/>
              </w:rPr>
              <w:t>1</w:t>
            </w:r>
          </w:p>
        </w:tc>
        <w:tc>
          <w:tcPr>
            <w:tcW w:w="2376" w:type="pct"/>
            <w:tcBorders>
              <w:top w:val="single" w:color="auto" w:sz="4" w:space="0"/>
              <w:left w:val="single" w:color="auto" w:sz="4" w:space="0"/>
              <w:bottom w:val="single" w:color="auto" w:sz="4" w:space="0"/>
              <w:right w:val="single" w:color="auto" w:sz="4" w:space="0"/>
            </w:tcBorders>
            <w:vAlign w:val="center"/>
          </w:tcPr>
          <w:p w14:paraId="5F988E32">
            <w:pPr>
              <w:jc w:val="center"/>
              <w:rPr>
                <w:color w:val="auto"/>
              </w:rPr>
            </w:pPr>
            <w:r>
              <w:rPr>
                <w:color w:val="auto"/>
              </w:rPr>
              <w:t>环评审批权限在生态环境部的项目；</w:t>
            </w:r>
          </w:p>
        </w:tc>
        <w:tc>
          <w:tcPr>
            <w:tcW w:w="1712" w:type="pct"/>
            <w:tcBorders>
              <w:top w:val="single" w:color="auto" w:sz="4" w:space="0"/>
              <w:left w:val="single" w:color="auto" w:sz="4" w:space="0"/>
              <w:bottom w:val="single" w:color="auto" w:sz="4" w:space="0"/>
              <w:right w:val="single" w:color="auto" w:sz="4" w:space="0"/>
            </w:tcBorders>
            <w:vAlign w:val="center"/>
          </w:tcPr>
          <w:p w14:paraId="7A93F378">
            <w:pPr>
              <w:widowControl/>
              <w:jc w:val="center"/>
              <w:rPr>
                <w:color w:val="auto"/>
              </w:rPr>
            </w:pPr>
            <w:r>
              <w:rPr>
                <w:color w:val="auto"/>
              </w:rPr>
              <w:t>项目审批权限不在生态环境部</w:t>
            </w:r>
          </w:p>
        </w:tc>
        <w:tc>
          <w:tcPr>
            <w:tcW w:w="556" w:type="pct"/>
            <w:tcBorders>
              <w:top w:val="single" w:color="auto" w:sz="4" w:space="0"/>
              <w:left w:val="single" w:color="auto" w:sz="4" w:space="0"/>
              <w:bottom w:val="single" w:color="auto" w:sz="4" w:space="0"/>
              <w:right w:val="single" w:color="auto" w:sz="4" w:space="0"/>
            </w:tcBorders>
            <w:vAlign w:val="center"/>
          </w:tcPr>
          <w:p w14:paraId="18F04499">
            <w:pPr>
              <w:widowControl/>
              <w:jc w:val="center"/>
              <w:rPr>
                <w:color w:val="auto"/>
              </w:rPr>
            </w:pPr>
            <w:r>
              <w:rPr>
                <w:color w:val="auto"/>
              </w:rPr>
              <w:t>符合</w:t>
            </w:r>
          </w:p>
        </w:tc>
      </w:tr>
      <w:tr w14:paraId="5629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49A684A">
            <w:pPr>
              <w:widowControl/>
              <w:jc w:val="center"/>
              <w:rPr>
                <w:color w:val="auto"/>
              </w:rPr>
            </w:pPr>
            <w:r>
              <w:rPr>
                <w:color w:val="auto"/>
              </w:rPr>
              <w:t>2</w:t>
            </w:r>
          </w:p>
        </w:tc>
        <w:tc>
          <w:tcPr>
            <w:tcW w:w="2376" w:type="pct"/>
            <w:tcBorders>
              <w:top w:val="single" w:color="auto" w:sz="4" w:space="0"/>
              <w:left w:val="single" w:color="auto" w:sz="4" w:space="0"/>
              <w:bottom w:val="single" w:color="auto" w:sz="4" w:space="0"/>
              <w:right w:val="single" w:color="auto" w:sz="4" w:space="0"/>
            </w:tcBorders>
            <w:vAlign w:val="center"/>
          </w:tcPr>
          <w:p w14:paraId="629FD857">
            <w:pPr>
              <w:jc w:val="center"/>
              <w:rPr>
                <w:color w:val="auto"/>
              </w:rPr>
            </w:pPr>
            <w:r>
              <w:rPr>
                <w:color w:val="auto"/>
              </w:rPr>
              <w:t>需编制报告书的电磁类项目和核技术利用项目；</w:t>
            </w:r>
          </w:p>
        </w:tc>
        <w:tc>
          <w:tcPr>
            <w:tcW w:w="1712" w:type="pct"/>
            <w:tcBorders>
              <w:top w:val="single" w:color="auto" w:sz="4" w:space="0"/>
              <w:left w:val="single" w:color="auto" w:sz="4" w:space="0"/>
              <w:bottom w:val="single" w:color="auto" w:sz="4" w:space="0"/>
              <w:right w:val="single" w:color="auto" w:sz="4" w:space="0"/>
            </w:tcBorders>
            <w:vAlign w:val="center"/>
          </w:tcPr>
          <w:p w14:paraId="293B6C61">
            <w:pPr>
              <w:widowControl/>
              <w:jc w:val="center"/>
              <w:rPr>
                <w:color w:val="auto"/>
              </w:rPr>
            </w:pPr>
            <w:r>
              <w:rPr>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7B998DB">
            <w:pPr>
              <w:widowControl/>
              <w:jc w:val="center"/>
              <w:rPr>
                <w:color w:val="auto"/>
              </w:rPr>
            </w:pPr>
            <w:r>
              <w:rPr>
                <w:color w:val="auto"/>
              </w:rPr>
              <w:t>符合</w:t>
            </w:r>
          </w:p>
        </w:tc>
      </w:tr>
      <w:tr w14:paraId="4BDD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41BE2A7">
            <w:pPr>
              <w:widowControl/>
              <w:jc w:val="center"/>
              <w:rPr>
                <w:color w:val="auto"/>
              </w:rPr>
            </w:pPr>
            <w:r>
              <w:rPr>
                <w:color w:val="auto"/>
              </w:rPr>
              <w:t>3</w:t>
            </w:r>
          </w:p>
        </w:tc>
        <w:tc>
          <w:tcPr>
            <w:tcW w:w="2376" w:type="pct"/>
            <w:tcBorders>
              <w:top w:val="single" w:color="auto" w:sz="4" w:space="0"/>
              <w:left w:val="single" w:color="auto" w:sz="4" w:space="0"/>
              <w:bottom w:val="single" w:color="auto" w:sz="4" w:space="0"/>
              <w:right w:val="single" w:color="auto" w:sz="4" w:space="0"/>
            </w:tcBorders>
            <w:vAlign w:val="center"/>
          </w:tcPr>
          <w:p w14:paraId="5CD2F629">
            <w:pPr>
              <w:jc w:val="center"/>
              <w:rPr>
                <w:color w:val="auto"/>
              </w:rPr>
            </w:pPr>
            <w:r>
              <w:rPr>
                <w:color w:val="auto"/>
              </w:rPr>
              <w:t>生活垃圾焚烧发电等高污染、高风险建设项目；</w:t>
            </w:r>
          </w:p>
        </w:tc>
        <w:tc>
          <w:tcPr>
            <w:tcW w:w="1712" w:type="pct"/>
            <w:tcBorders>
              <w:top w:val="single" w:color="auto" w:sz="4" w:space="0"/>
              <w:left w:val="single" w:color="auto" w:sz="4" w:space="0"/>
              <w:bottom w:val="single" w:color="auto" w:sz="4" w:space="0"/>
              <w:right w:val="single" w:color="auto" w:sz="4" w:space="0"/>
            </w:tcBorders>
            <w:vAlign w:val="center"/>
          </w:tcPr>
          <w:p w14:paraId="243A6667">
            <w:pPr>
              <w:widowControl/>
              <w:jc w:val="center"/>
              <w:rPr>
                <w:color w:val="auto"/>
              </w:rPr>
            </w:pPr>
            <w:r>
              <w:rPr>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F773948">
            <w:pPr>
              <w:widowControl/>
              <w:jc w:val="center"/>
              <w:rPr>
                <w:color w:val="auto"/>
              </w:rPr>
            </w:pPr>
            <w:r>
              <w:rPr>
                <w:color w:val="auto"/>
              </w:rPr>
              <w:t>符合</w:t>
            </w:r>
          </w:p>
        </w:tc>
      </w:tr>
      <w:tr w14:paraId="2F7F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C2C5595">
            <w:pPr>
              <w:widowControl/>
              <w:jc w:val="center"/>
              <w:rPr>
                <w:color w:val="auto"/>
              </w:rPr>
            </w:pPr>
            <w:r>
              <w:rPr>
                <w:color w:val="auto"/>
              </w:rPr>
              <w:t>4</w:t>
            </w:r>
          </w:p>
        </w:tc>
        <w:tc>
          <w:tcPr>
            <w:tcW w:w="2376" w:type="pct"/>
            <w:tcBorders>
              <w:top w:val="single" w:color="auto" w:sz="4" w:space="0"/>
              <w:left w:val="single" w:color="auto" w:sz="4" w:space="0"/>
              <w:bottom w:val="single" w:color="auto" w:sz="4" w:space="0"/>
              <w:right w:val="single" w:color="auto" w:sz="4" w:space="0"/>
            </w:tcBorders>
            <w:vAlign w:val="center"/>
          </w:tcPr>
          <w:p w14:paraId="1BDBEE87">
            <w:pPr>
              <w:jc w:val="center"/>
              <w:rPr>
                <w:color w:val="auto"/>
              </w:rPr>
            </w:pPr>
            <w:r>
              <w:rPr>
                <w:color w:val="auto"/>
              </w:rPr>
              <w:t>有提炼、发酵工艺的生物医药项目</w:t>
            </w:r>
          </w:p>
        </w:tc>
        <w:tc>
          <w:tcPr>
            <w:tcW w:w="1712" w:type="pct"/>
            <w:tcBorders>
              <w:top w:val="single" w:color="auto" w:sz="4" w:space="0"/>
              <w:left w:val="single" w:color="auto" w:sz="4" w:space="0"/>
              <w:bottom w:val="single" w:color="auto" w:sz="4" w:space="0"/>
              <w:right w:val="single" w:color="auto" w:sz="4" w:space="0"/>
            </w:tcBorders>
            <w:vAlign w:val="center"/>
          </w:tcPr>
          <w:p w14:paraId="5F5A69C3">
            <w:pPr>
              <w:widowControl/>
              <w:jc w:val="center"/>
              <w:rPr>
                <w:color w:val="auto"/>
              </w:rPr>
            </w:pPr>
            <w:r>
              <w:rPr>
                <w:rFonts w:hint="eastAsia"/>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A984AF0">
            <w:pPr>
              <w:widowControl/>
              <w:jc w:val="center"/>
              <w:rPr>
                <w:color w:val="auto"/>
              </w:rPr>
            </w:pPr>
            <w:r>
              <w:rPr>
                <w:color w:val="auto"/>
              </w:rPr>
              <w:t>符合</w:t>
            </w:r>
          </w:p>
        </w:tc>
      </w:tr>
      <w:tr w14:paraId="2728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DF60864">
            <w:pPr>
              <w:widowControl/>
              <w:jc w:val="center"/>
              <w:rPr>
                <w:color w:val="auto"/>
              </w:rPr>
            </w:pPr>
            <w:r>
              <w:rPr>
                <w:rFonts w:hint="eastAsia"/>
                <w:color w:val="auto"/>
              </w:rPr>
              <w:t>5</w:t>
            </w:r>
          </w:p>
        </w:tc>
        <w:tc>
          <w:tcPr>
            <w:tcW w:w="2376" w:type="pct"/>
            <w:tcBorders>
              <w:top w:val="single" w:color="auto" w:sz="4" w:space="0"/>
              <w:left w:val="single" w:color="auto" w:sz="4" w:space="0"/>
              <w:bottom w:val="single" w:color="auto" w:sz="4" w:space="0"/>
              <w:right w:val="single" w:color="auto" w:sz="4" w:space="0"/>
            </w:tcBorders>
            <w:vAlign w:val="center"/>
          </w:tcPr>
          <w:p w14:paraId="72ACC61B">
            <w:pPr>
              <w:jc w:val="center"/>
              <w:rPr>
                <w:color w:val="auto"/>
              </w:rPr>
            </w:pPr>
            <w:r>
              <w:rPr>
                <w:rFonts w:hint="eastAsia"/>
                <w:color w:val="auto"/>
              </w:rPr>
              <w:t>显示器件、印刷线路板及半导体材料、电子陶瓷、有机薄膜、荧光粉、贵金属粉等电子专用材料生产项目</w:t>
            </w:r>
          </w:p>
        </w:tc>
        <w:tc>
          <w:tcPr>
            <w:tcW w:w="1712" w:type="pct"/>
            <w:tcBorders>
              <w:top w:val="single" w:color="auto" w:sz="4" w:space="0"/>
              <w:left w:val="single" w:color="auto" w:sz="4" w:space="0"/>
              <w:bottom w:val="single" w:color="auto" w:sz="4" w:space="0"/>
              <w:right w:val="single" w:color="auto" w:sz="4" w:space="0"/>
            </w:tcBorders>
            <w:vAlign w:val="center"/>
          </w:tcPr>
          <w:p w14:paraId="6938FB95">
            <w:pPr>
              <w:widowControl/>
              <w:jc w:val="center"/>
              <w:rPr>
                <w:color w:val="auto"/>
              </w:rPr>
            </w:pPr>
            <w:r>
              <w:rPr>
                <w:rFonts w:hint="eastAsia"/>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4A18740C">
            <w:pPr>
              <w:widowControl/>
              <w:jc w:val="center"/>
              <w:rPr>
                <w:color w:val="auto"/>
              </w:rPr>
            </w:pPr>
            <w:r>
              <w:rPr>
                <w:rFonts w:hint="eastAsia"/>
                <w:color w:val="auto"/>
              </w:rPr>
              <w:t>符合</w:t>
            </w:r>
          </w:p>
        </w:tc>
      </w:tr>
      <w:tr w14:paraId="358C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15809EA">
            <w:pPr>
              <w:widowControl/>
              <w:jc w:val="center"/>
              <w:rPr>
                <w:color w:val="auto"/>
              </w:rPr>
            </w:pPr>
            <w:r>
              <w:rPr>
                <w:rFonts w:hint="eastAsia"/>
                <w:color w:val="auto"/>
              </w:rPr>
              <w:t>6</w:t>
            </w:r>
          </w:p>
        </w:tc>
        <w:tc>
          <w:tcPr>
            <w:tcW w:w="2376" w:type="pct"/>
            <w:tcBorders>
              <w:top w:val="single" w:color="auto" w:sz="4" w:space="0"/>
              <w:left w:val="single" w:color="auto" w:sz="4" w:space="0"/>
              <w:bottom w:val="single" w:color="auto" w:sz="4" w:space="0"/>
              <w:right w:val="single" w:color="auto" w:sz="4" w:space="0"/>
            </w:tcBorders>
            <w:vAlign w:val="center"/>
          </w:tcPr>
          <w:p w14:paraId="09814AE6">
            <w:pPr>
              <w:jc w:val="center"/>
              <w:rPr>
                <w:color w:val="auto"/>
              </w:rPr>
            </w:pPr>
            <w:r>
              <w:rPr>
                <w:rFonts w:hint="eastAsia"/>
                <w:color w:val="auto"/>
              </w:rPr>
              <w:t>涉及重金属污染项目及酸洗或有机溶剂清洗等工艺项目</w:t>
            </w:r>
          </w:p>
        </w:tc>
        <w:tc>
          <w:tcPr>
            <w:tcW w:w="1712" w:type="pct"/>
            <w:tcBorders>
              <w:top w:val="single" w:color="auto" w:sz="4" w:space="0"/>
              <w:left w:val="single" w:color="auto" w:sz="4" w:space="0"/>
              <w:bottom w:val="single" w:color="auto" w:sz="4" w:space="0"/>
              <w:right w:val="single" w:color="auto" w:sz="4" w:space="0"/>
            </w:tcBorders>
            <w:vAlign w:val="center"/>
          </w:tcPr>
          <w:p w14:paraId="40231AD1">
            <w:pPr>
              <w:widowControl/>
              <w:jc w:val="center"/>
              <w:rPr>
                <w:color w:val="auto"/>
              </w:rPr>
            </w:pPr>
            <w:r>
              <w:rPr>
                <w:rFonts w:hint="eastAsia"/>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1DC8A5C9">
            <w:pPr>
              <w:widowControl/>
              <w:jc w:val="center"/>
              <w:rPr>
                <w:color w:val="auto"/>
              </w:rPr>
            </w:pPr>
            <w:r>
              <w:rPr>
                <w:rFonts w:hint="eastAsia"/>
                <w:color w:val="auto"/>
              </w:rPr>
              <w:t>符合</w:t>
            </w:r>
          </w:p>
        </w:tc>
      </w:tr>
      <w:tr w14:paraId="1B60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57C6210">
            <w:pPr>
              <w:widowControl/>
              <w:jc w:val="center"/>
              <w:rPr>
                <w:color w:val="auto"/>
              </w:rPr>
            </w:pPr>
            <w:r>
              <w:rPr>
                <w:color w:val="auto"/>
              </w:rPr>
              <w:t>7</w:t>
            </w:r>
          </w:p>
        </w:tc>
        <w:tc>
          <w:tcPr>
            <w:tcW w:w="2376" w:type="pct"/>
            <w:tcBorders>
              <w:top w:val="single" w:color="auto" w:sz="4" w:space="0"/>
              <w:left w:val="single" w:color="auto" w:sz="4" w:space="0"/>
              <w:bottom w:val="single" w:color="auto" w:sz="4" w:space="0"/>
              <w:right w:val="single" w:color="auto" w:sz="4" w:space="0"/>
            </w:tcBorders>
            <w:vAlign w:val="center"/>
          </w:tcPr>
          <w:p w14:paraId="3FCAF620">
            <w:pPr>
              <w:jc w:val="center"/>
              <w:rPr>
                <w:color w:val="auto"/>
              </w:rPr>
            </w:pPr>
            <w:r>
              <w:rPr>
                <w:rFonts w:hint="eastAsia"/>
                <w:color w:val="auto"/>
              </w:rPr>
              <w:t>涉及喷漆工艺且使用油性漆（含稀释剂）10吨/年及以上的项目</w:t>
            </w:r>
          </w:p>
        </w:tc>
        <w:tc>
          <w:tcPr>
            <w:tcW w:w="1712" w:type="pct"/>
            <w:tcBorders>
              <w:top w:val="single" w:color="auto" w:sz="4" w:space="0"/>
              <w:left w:val="single" w:color="auto" w:sz="4" w:space="0"/>
              <w:bottom w:val="single" w:color="auto" w:sz="4" w:space="0"/>
              <w:right w:val="single" w:color="auto" w:sz="4" w:space="0"/>
            </w:tcBorders>
            <w:vAlign w:val="center"/>
          </w:tcPr>
          <w:p w14:paraId="6850FC45">
            <w:pPr>
              <w:widowControl/>
              <w:jc w:val="center"/>
              <w:rPr>
                <w:rFonts w:hint="default" w:eastAsia="宋体"/>
                <w:color w:val="auto"/>
                <w:lang w:val="en-US" w:eastAsia="zh-CN"/>
              </w:rPr>
            </w:pPr>
            <w:r>
              <w:rPr>
                <w:rFonts w:hint="eastAsia"/>
                <w:color w:val="auto"/>
                <w:lang w:val="en-US" w:eastAsia="zh-CN"/>
              </w:rPr>
              <w:t>本项目涉及喷漆工艺，涉及使用溶剂型油漆，用量0.1245吨/年，小于10吨/年</w:t>
            </w:r>
          </w:p>
        </w:tc>
        <w:tc>
          <w:tcPr>
            <w:tcW w:w="556" w:type="pct"/>
            <w:tcBorders>
              <w:top w:val="single" w:color="auto" w:sz="4" w:space="0"/>
              <w:left w:val="single" w:color="auto" w:sz="4" w:space="0"/>
              <w:bottom w:val="single" w:color="auto" w:sz="4" w:space="0"/>
              <w:right w:val="single" w:color="auto" w:sz="4" w:space="0"/>
            </w:tcBorders>
            <w:vAlign w:val="center"/>
          </w:tcPr>
          <w:p w14:paraId="05EACA52">
            <w:pPr>
              <w:widowControl/>
              <w:jc w:val="center"/>
              <w:rPr>
                <w:color w:val="auto"/>
              </w:rPr>
            </w:pPr>
            <w:r>
              <w:rPr>
                <w:color w:val="auto"/>
              </w:rPr>
              <w:t>符合</w:t>
            </w:r>
          </w:p>
        </w:tc>
      </w:tr>
      <w:tr w14:paraId="0D46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CEE3175">
            <w:pPr>
              <w:widowControl/>
              <w:jc w:val="center"/>
              <w:rPr>
                <w:color w:val="auto"/>
              </w:rPr>
            </w:pPr>
            <w:r>
              <w:rPr>
                <w:color w:val="auto"/>
              </w:rPr>
              <w:t>8</w:t>
            </w:r>
          </w:p>
        </w:tc>
        <w:tc>
          <w:tcPr>
            <w:tcW w:w="2376" w:type="pct"/>
            <w:tcBorders>
              <w:top w:val="single" w:color="auto" w:sz="4" w:space="0"/>
              <w:left w:val="single" w:color="auto" w:sz="4" w:space="0"/>
              <w:bottom w:val="single" w:color="auto" w:sz="4" w:space="0"/>
              <w:right w:val="single" w:color="auto" w:sz="4" w:space="0"/>
            </w:tcBorders>
            <w:vAlign w:val="center"/>
          </w:tcPr>
          <w:p w14:paraId="38EC406D">
            <w:pPr>
              <w:jc w:val="center"/>
              <w:rPr>
                <w:color w:val="auto"/>
              </w:rPr>
            </w:pPr>
            <w:r>
              <w:rPr>
                <w:rFonts w:hint="eastAsia"/>
                <w:color w:val="auto"/>
              </w:rPr>
              <w:t>城市污水集中处理、餐厨垃圾处置、生活垃圾焚烧等环保基础设施项目</w:t>
            </w:r>
            <w:r>
              <w:rPr>
                <w:color w:val="auto"/>
              </w:rPr>
              <w:t>；</w:t>
            </w:r>
          </w:p>
        </w:tc>
        <w:tc>
          <w:tcPr>
            <w:tcW w:w="1712" w:type="pct"/>
            <w:tcBorders>
              <w:top w:val="single" w:color="auto" w:sz="4" w:space="0"/>
              <w:left w:val="single" w:color="auto" w:sz="4" w:space="0"/>
              <w:bottom w:val="single" w:color="auto" w:sz="4" w:space="0"/>
              <w:right w:val="single" w:color="auto" w:sz="4" w:space="0"/>
            </w:tcBorders>
            <w:vAlign w:val="center"/>
          </w:tcPr>
          <w:p w14:paraId="5A707727">
            <w:pPr>
              <w:widowControl/>
              <w:jc w:val="center"/>
              <w:rPr>
                <w:color w:val="auto"/>
              </w:rPr>
            </w:pPr>
            <w:r>
              <w:rPr>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798000A">
            <w:pPr>
              <w:widowControl/>
              <w:jc w:val="center"/>
              <w:rPr>
                <w:color w:val="auto"/>
              </w:rPr>
            </w:pPr>
            <w:r>
              <w:rPr>
                <w:color w:val="auto"/>
              </w:rPr>
              <w:t>符合</w:t>
            </w:r>
          </w:p>
        </w:tc>
      </w:tr>
      <w:tr w14:paraId="52DB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E732DAC">
            <w:pPr>
              <w:widowControl/>
              <w:jc w:val="center"/>
              <w:rPr>
                <w:color w:val="auto"/>
              </w:rPr>
            </w:pPr>
            <w:r>
              <w:rPr>
                <w:color w:val="auto"/>
              </w:rPr>
              <w:t>9</w:t>
            </w:r>
          </w:p>
        </w:tc>
        <w:tc>
          <w:tcPr>
            <w:tcW w:w="2376" w:type="pct"/>
            <w:tcBorders>
              <w:top w:val="single" w:color="auto" w:sz="4" w:space="0"/>
              <w:left w:val="single" w:color="auto" w:sz="4" w:space="0"/>
              <w:bottom w:val="single" w:color="auto" w:sz="4" w:space="0"/>
              <w:right w:val="single" w:color="auto" w:sz="4" w:space="0"/>
            </w:tcBorders>
            <w:vAlign w:val="center"/>
          </w:tcPr>
          <w:p w14:paraId="03AC0025">
            <w:pPr>
              <w:jc w:val="center"/>
              <w:rPr>
                <w:color w:val="auto"/>
              </w:rPr>
            </w:pPr>
            <w:r>
              <w:rPr>
                <w:rFonts w:hint="eastAsia"/>
                <w:color w:val="auto"/>
              </w:rPr>
              <w:t>与敏感点防护距离不足，公众关注度高或投诉反响强烈的项目</w:t>
            </w:r>
          </w:p>
        </w:tc>
        <w:tc>
          <w:tcPr>
            <w:tcW w:w="1712" w:type="pct"/>
            <w:tcBorders>
              <w:top w:val="single" w:color="auto" w:sz="4" w:space="0"/>
              <w:left w:val="single" w:color="auto" w:sz="4" w:space="0"/>
              <w:bottom w:val="single" w:color="auto" w:sz="4" w:space="0"/>
              <w:right w:val="single" w:color="auto" w:sz="4" w:space="0"/>
            </w:tcBorders>
            <w:vAlign w:val="center"/>
          </w:tcPr>
          <w:p w14:paraId="788E4B0D">
            <w:pPr>
              <w:widowControl/>
              <w:jc w:val="center"/>
              <w:rPr>
                <w:color w:val="auto"/>
              </w:rPr>
            </w:pPr>
            <w:r>
              <w:rPr>
                <w:color w:val="auto"/>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5E23A19">
            <w:pPr>
              <w:widowControl/>
              <w:jc w:val="center"/>
              <w:rPr>
                <w:color w:val="auto"/>
              </w:rPr>
            </w:pPr>
            <w:r>
              <w:rPr>
                <w:color w:val="auto"/>
              </w:rPr>
              <w:t>符合</w:t>
            </w:r>
          </w:p>
        </w:tc>
      </w:tr>
    </w:tbl>
    <w:p w14:paraId="4817CF0A">
      <w:pPr>
        <w:ind w:firstLine="480" w:firstLineChars="200"/>
        <w:rPr>
          <w:color w:val="auto"/>
          <w:sz w:val="24"/>
          <w:szCs w:val="24"/>
        </w:rPr>
        <w:sectPr>
          <w:pgSz w:w="11906" w:h="16838"/>
          <w:pgMar w:top="1440" w:right="1800" w:bottom="1440" w:left="1800" w:header="851" w:footer="992" w:gutter="0"/>
          <w:pgNumType w:fmt="decimal"/>
          <w:cols w:space="425" w:num="1"/>
          <w:docGrid w:type="lines" w:linePitch="312" w:charSpace="0"/>
        </w:sectPr>
      </w:pPr>
    </w:p>
    <w:p w14:paraId="546E8354">
      <w:pPr>
        <w:pStyle w:val="133"/>
        <w:rPr>
          <w:color w:val="auto"/>
        </w:rPr>
      </w:pPr>
      <w:r>
        <w:rPr>
          <w:color w:val="auto"/>
        </w:rPr>
        <w:drawing>
          <wp:anchor distT="0" distB="0" distL="114300" distR="114300" simplePos="0" relativeHeight="251661312"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drawing>
          <wp:inline distT="0" distB="0" distL="114300" distR="114300">
            <wp:extent cx="7808595" cy="5439410"/>
            <wp:effectExtent l="0" t="0" r="9525" b="1270"/>
            <wp:docPr id="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
                    <pic:cNvPicPr>
                      <a:picLocks noChangeAspect="1"/>
                    </pic:cNvPicPr>
                  </pic:nvPicPr>
                  <pic:blipFill>
                    <a:blip r:embed="rId8"/>
                    <a:stretch>
                      <a:fillRect/>
                    </a:stretch>
                  </pic:blipFill>
                  <pic:spPr>
                    <a:xfrm>
                      <a:off x="0" y="0"/>
                      <a:ext cx="7808595" cy="5439410"/>
                    </a:xfrm>
                    <a:prstGeom prst="rect">
                      <a:avLst/>
                    </a:prstGeom>
                    <a:noFill/>
                    <a:ln>
                      <a:noFill/>
                    </a:ln>
                  </pic:spPr>
                </pic:pic>
              </a:graphicData>
            </a:graphic>
          </wp:inline>
        </w:drawing>
      </w:r>
      <w:r>
        <w:rPr>
          <w:color w:val="auto"/>
        </w:rPr>
        <w:t xml:space="preserve"> </w:t>
      </w:r>
    </w:p>
    <w:p w14:paraId="2EB11F68">
      <w:pPr>
        <w:pStyle w:val="3"/>
        <w:rPr>
          <w:color w:val="auto"/>
        </w:rPr>
      </w:pPr>
      <w:bookmarkStart w:id="15" w:name="_Toc32475"/>
      <w:r>
        <w:rPr>
          <w:color w:val="auto"/>
        </w:rPr>
        <w:t>附图1  建设项目地理位置图</w:t>
      </w:r>
      <w:bookmarkEnd w:id="15"/>
    </w:p>
    <w:p w14:paraId="5C0EB637">
      <w:pPr>
        <w:pStyle w:val="45"/>
        <w:spacing w:before="163"/>
        <w:rPr>
          <w:rFonts w:ascii="Times New Roman" w:hAnsi="Times New Roman"/>
          <w:color w:val="auto"/>
        </w:rPr>
      </w:pPr>
      <w:r>
        <w:rPr>
          <w:color w:val="auto"/>
        </w:rPr>
        <mc:AlternateContent>
          <mc:Choice Requires="wps">
            <w:drawing>
              <wp:anchor distT="0" distB="0" distL="114300" distR="114300" simplePos="0" relativeHeight="251665408" behindDoc="0" locked="0" layoutInCell="1" allowOverlap="1">
                <wp:simplePos x="0" y="0"/>
                <wp:positionH relativeFrom="column">
                  <wp:posOffset>3553460</wp:posOffset>
                </wp:positionH>
                <wp:positionV relativeFrom="paragraph">
                  <wp:posOffset>2993390</wp:posOffset>
                </wp:positionV>
                <wp:extent cx="803910" cy="33464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803910" cy="334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3DE21">
                            <w:pPr>
                              <w:rPr>
                                <w:b/>
                                <w:bCs/>
                                <w:color w:val="FFFF00"/>
                              </w:rPr>
                            </w:pPr>
                            <w:r>
                              <w:rPr>
                                <w:rFonts w:hint="eastAsia"/>
                                <w:b/>
                                <w:bCs/>
                                <w:color w:val="FFFF00"/>
                              </w:rPr>
                              <w:t>294m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8pt;margin-top:235.7pt;height:26.35pt;width:63.3pt;z-index:251665408;mso-width-relative:page;mso-height-relative:page;" filled="f" stroked="f" coordsize="21600,21600" o:gfxdata="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&#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tvZJ3AAAAAsBAAAPAAAAAAAAAAEAIAAAACIAAABk&#10;cnMvZG93bnJldi54bWxQSwECFAAUAAAACACHTuJALSZJFjsCAABnBAAADgAAAAAAAAABACAAAAAr&#10;AQAAZHJzL2Uyb0RvYy54bWxQSwUGAAAAAAYABgBZAQAA2AUAAAAA&#10;">
                <v:fill on="f" focussize="0,0"/>
                <v:stroke on="f" weight="0.5pt"/>
                <v:imagedata o:title=""/>
                <o:lock v:ext="edit" aspectratio="f"/>
                <v:textbox>
                  <w:txbxContent>
                    <w:p w14:paraId="3183DE21">
                      <w:pPr>
                        <w:rPr>
                          <w:b/>
                          <w:bCs/>
                          <w:color w:val="FFFF00"/>
                        </w:rPr>
                      </w:pPr>
                      <w:r>
                        <w:rPr>
                          <w:rFonts w:hint="eastAsia"/>
                          <w:b/>
                          <w:bCs/>
                          <w:color w:val="FFFF00"/>
                        </w:rPr>
                        <w:t>294m</w:t>
                      </w:r>
                    </w:p>
                  </w:txbxContent>
                </v:textbox>
              </v:shape>
            </w:pict>
          </mc:Fallback>
        </mc:AlternateContent>
      </w:r>
      <w:r>
        <w:rPr>
          <w:color w:val="auto"/>
        </w:rPr>
        <w:t xml:space="preserve"> </w:t>
      </w:r>
      <w:r>
        <w:drawing>
          <wp:inline distT="0" distB="0" distL="114300" distR="114300">
            <wp:extent cx="6831965" cy="5508625"/>
            <wp:effectExtent l="0" t="0" r="10795" b="8255"/>
            <wp:docPr id="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
                    <pic:cNvPicPr>
                      <a:picLocks noChangeAspect="1"/>
                    </pic:cNvPicPr>
                  </pic:nvPicPr>
                  <pic:blipFill>
                    <a:blip r:embed="rId9"/>
                    <a:stretch>
                      <a:fillRect/>
                    </a:stretch>
                  </pic:blipFill>
                  <pic:spPr>
                    <a:xfrm>
                      <a:off x="0" y="0"/>
                      <a:ext cx="6831965" cy="5508625"/>
                    </a:xfrm>
                    <a:prstGeom prst="rect">
                      <a:avLst/>
                    </a:prstGeom>
                    <a:noFill/>
                    <a:ln>
                      <a:noFill/>
                    </a:ln>
                  </pic:spPr>
                </pic:pic>
              </a:graphicData>
            </a:graphic>
          </wp:inline>
        </w:drawing>
      </w:r>
    </w:p>
    <w:p w14:paraId="3B71493A">
      <w:pPr>
        <w:pStyle w:val="3"/>
        <w:rPr>
          <w:color w:val="auto"/>
        </w:rPr>
      </w:pPr>
      <w:bookmarkStart w:id="16" w:name="_Toc21080"/>
      <w:r>
        <w:rPr>
          <w:color w:val="auto"/>
        </w:rPr>
        <w:t xml:space="preserve">附图2  </w:t>
      </w:r>
      <w:r>
        <w:rPr>
          <w:rFonts w:hint="eastAsia"/>
          <w:color w:val="auto"/>
        </w:rPr>
        <w:t>建设项目周边</w:t>
      </w:r>
      <w:bookmarkStart w:id="17" w:name="_Hlk149211743"/>
      <w:r>
        <w:rPr>
          <w:rFonts w:hint="eastAsia"/>
          <w:color w:val="auto"/>
        </w:rPr>
        <w:t>环境示意图</w:t>
      </w:r>
      <w:bookmarkEnd w:id="16"/>
      <w:bookmarkEnd w:id="17"/>
    </w:p>
    <w:p w14:paraId="04130978">
      <w:pPr>
        <w:jc w:val="center"/>
        <w:rPr>
          <w:b/>
          <w:bCs/>
          <w:color w:val="auto"/>
        </w:rPr>
      </w:pPr>
      <w:r>
        <w:rPr>
          <w:color w:val="auto"/>
        </w:rPr>
        <mc:AlternateContent>
          <mc:Choice Requires="wps">
            <w:drawing>
              <wp:anchor distT="0" distB="0" distL="114300" distR="114300" simplePos="0" relativeHeight="251662336" behindDoc="0" locked="0" layoutInCell="1" allowOverlap="1">
                <wp:simplePos x="0" y="0"/>
                <wp:positionH relativeFrom="column">
                  <wp:posOffset>3855720</wp:posOffset>
                </wp:positionH>
                <wp:positionV relativeFrom="paragraph">
                  <wp:posOffset>1019175</wp:posOffset>
                </wp:positionV>
                <wp:extent cx="1024255" cy="291465"/>
                <wp:effectExtent l="11430" t="10160" r="12065" b="479425"/>
                <wp:wrapNone/>
                <wp:docPr id="14"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29106"/>
                            <a:gd name="adj2" fmla="val 212528"/>
                          </a:avLst>
                        </a:prstGeom>
                        <a:solidFill>
                          <a:srgbClr val="FFFFFF">
                            <a:alpha val="50195"/>
                          </a:srgbClr>
                        </a:solidFill>
                        <a:ln w="9525">
                          <a:solidFill>
                            <a:srgbClr val="FF0000"/>
                          </a:solidFill>
                          <a:miter lim="800000"/>
                        </a:ln>
                      </wps:spPr>
                      <wps:txbx>
                        <w:txbxContent>
                          <w:p w14:paraId="0D614164">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303.6pt;margin-top:80.25pt;height:22.95pt;width:80.65pt;z-index:251662336;mso-width-relative:page;mso-height-relative:page;" fillcolor="#FFFFFF" filled="t" stroked="t" coordsize="21600,21600" o:gfxdata="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JLNy7LaAAAA&#10;CwEAAA8AAAAAAAAAAQAgAAAAIgAAAGRycy9kb3ducmV2LnhtbFBLAQIUABQAAAAIAIdO4kDGMlSG&#10;jQIAAAoFAAAOAAAAAAAAAAEAIAAAACkBAABkcnMvZTJvRG9jLnhtbFBLBQYAAAAABgAGAFkBAAAo&#10;BgAAAAA=&#10;" adj="4513,56706">
                <v:fill on="t" opacity="32895f" focussize="0,0"/>
                <v:stroke color="#FF0000" miterlimit="8" joinstyle="miter"/>
                <v:imagedata o:title=""/>
                <o:lock v:ext="edit" aspectratio="f"/>
                <v:textbox>
                  <w:txbxContent>
                    <w:p w14:paraId="0D614164">
                      <w:pPr>
                        <w:rPr>
                          <w:b/>
                          <w:color w:val="FF0000"/>
                          <w:szCs w:val="28"/>
                        </w:rPr>
                      </w:pPr>
                      <w:r>
                        <w:rPr>
                          <w:rFonts w:hint="eastAsia"/>
                          <w:b/>
                          <w:color w:val="FF0000"/>
                          <w:szCs w:val="28"/>
                        </w:rPr>
                        <w:t>项目所在地</w:t>
                      </w:r>
                    </w:p>
                  </w:txbxContent>
                </v:textbox>
              </v:shape>
            </w:pict>
          </mc:Fallback>
        </mc:AlternateContent>
      </w:r>
      <w:r>
        <w:rPr>
          <w:color w:val="auto"/>
        </w:rPr>
        <w:drawing>
          <wp:inline distT="0" distB="0" distL="114300" distR="114300">
            <wp:extent cx="8077835" cy="5728970"/>
            <wp:effectExtent l="0" t="0" r="14605" b="127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tretch>
                      <a:fillRect/>
                    </a:stretch>
                  </pic:blipFill>
                  <pic:spPr>
                    <a:xfrm>
                      <a:off x="0" y="0"/>
                      <a:ext cx="8077835" cy="5728970"/>
                    </a:xfrm>
                    <a:prstGeom prst="rect">
                      <a:avLst/>
                    </a:prstGeom>
                    <a:noFill/>
                    <a:ln>
                      <a:noFill/>
                    </a:ln>
                  </pic:spPr>
                </pic:pic>
              </a:graphicData>
            </a:graphic>
          </wp:inline>
        </w:drawing>
      </w:r>
    </w:p>
    <w:p w14:paraId="695EFA70">
      <w:pPr>
        <w:pStyle w:val="3"/>
        <w:rPr>
          <w:color w:val="auto"/>
        </w:rPr>
      </w:pPr>
      <w:bookmarkStart w:id="18" w:name="_Hlk149211883"/>
      <w:bookmarkStart w:id="19" w:name="_Toc3919"/>
      <w:r>
        <w:rPr>
          <w:color w:val="auto"/>
        </w:rPr>
        <w:t xml:space="preserve">附图3  </w:t>
      </w:r>
      <w:r>
        <w:rPr>
          <w:rFonts w:hint="eastAsia"/>
          <w:color w:val="auto"/>
        </w:rPr>
        <w:t>临平区</w:t>
      </w:r>
      <w:r>
        <w:rPr>
          <w:color w:val="auto"/>
        </w:rPr>
        <w:t>环境管控单元</w:t>
      </w:r>
      <w:r>
        <w:rPr>
          <w:rFonts w:hint="eastAsia"/>
          <w:color w:val="auto"/>
        </w:rPr>
        <w:t>分类</w:t>
      </w:r>
      <w:r>
        <w:rPr>
          <w:color w:val="auto"/>
        </w:rPr>
        <w:t>图</w:t>
      </w:r>
      <w:bookmarkEnd w:id="18"/>
      <w:bookmarkEnd w:id="19"/>
    </w:p>
    <w:p w14:paraId="7BBA7D37">
      <w:pPr>
        <w:jc w:val="center"/>
        <w:rPr>
          <w:rFonts w:hint="eastAsia" w:eastAsia="宋体"/>
          <w:color w:val="auto"/>
          <w:lang w:eastAsia="zh-CN"/>
        </w:rPr>
      </w:pPr>
      <w:r>
        <w:rPr>
          <w:color w:val="auto"/>
        </w:rPr>
        <mc:AlternateContent>
          <mc:Choice Requires="wps">
            <w:drawing>
              <wp:anchor distT="0" distB="0" distL="114300" distR="114300" simplePos="0" relativeHeight="251663360" behindDoc="0" locked="0" layoutInCell="1" allowOverlap="1">
                <wp:simplePos x="0" y="0"/>
                <wp:positionH relativeFrom="column">
                  <wp:posOffset>4348480</wp:posOffset>
                </wp:positionH>
                <wp:positionV relativeFrom="paragraph">
                  <wp:posOffset>1218565</wp:posOffset>
                </wp:positionV>
                <wp:extent cx="944880" cy="291465"/>
                <wp:effectExtent l="4445" t="5080" r="10795" b="480695"/>
                <wp:wrapNone/>
                <wp:docPr id="11"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1303"/>
                            <a:gd name="adj2" fmla="val 205773"/>
                          </a:avLst>
                        </a:prstGeom>
                        <a:solidFill>
                          <a:srgbClr val="FFFFFF">
                            <a:alpha val="50195"/>
                          </a:srgbClr>
                        </a:solidFill>
                        <a:ln w="9525">
                          <a:solidFill>
                            <a:srgbClr val="FF0000"/>
                          </a:solidFill>
                          <a:miter lim="800000"/>
                        </a:ln>
                      </wps:spPr>
                      <wps:txbx>
                        <w:txbxContent>
                          <w:p w14:paraId="5BE99F63">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342.4pt;margin-top:95.95pt;height:22.95pt;width:74.4pt;z-index:251663360;mso-width-relative:page;mso-height-relative:page;" fillcolor="#FFFFFF" filled="t" stroked="t" coordsize="21600,21600" o:gfxdata="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GEo8C2wAA&#10;AAsBAAAPAAAAAAAAAAEAIAAAACIAAABkcnMvZG93bnJldi54bWxQSwECFAAUAAAACACHTuJAG1HU&#10;hI0CAAAJBQAADgAAAAAAAAABACAAAAAqAQAAZHJzL2Uyb0RvYy54bWxQSwUGAAAAAAYABgBZAQAA&#10;KQYAAAAA&#10;" adj="6199,55247">
                <v:fill on="t" opacity="32895f" focussize="0,0"/>
                <v:stroke color="#FF0000" miterlimit="8" joinstyle="miter"/>
                <v:imagedata o:title=""/>
                <o:lock v:ext="edit" aspectratio="f"/>
                <v:textbox>
                  <w:txbxContent>
                    <w:p w14:paraId="5BE99F63">
                      <w:pPr>
                        <w:rPr>
                          <w:b/>
                          <w:color w:val="FF0000"/>
                          <w:szCs w:val="28"/>
                        </w:rPr>
                      </w:pPr>
                      <w:r>
                        <w:rPr>
                          <w:rFonts w:hint="eastAsia"/>
                          <w:b/>
                          <w:color w:val="FF0000"/>
                          <w:szCs w:val="28"/>
                        </w:rPr>
                        <w:t>项目所在地</w:t>
                      </w:r>
                    </w:p>
                  </w:txbxContent>
                </v:textbox>
              </v:shape>
            </w:pict>
          </mc:Fallback>
        </mc:AlternateContent>
      </w:r>
      <w:r>
        <w:rPr>
          <w:rFonts w:hint="eastAsia" w:eastAsia="宋体"/>
          <w:color w:val="auto"/>
          <w:lang w:eastAsia="zh-CN"/>
        </w:rPr>
        <w:drawing>
          <wp:inline distT="0" distB="0" distL="114300" distR="114300">
            <wp:extent cx="3900805" cy="5516245"/>
            <wp:effectExtent l="0" t="0" r="635" b="635"/>
            <wp:docPr id="33" name="图片 33" descr="14 附件14  临平区三区三线图-2025.15更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4 附件14  临平区三区三线图-2025.15更新"/>
                    <pic:cNvPicPr>
                      <a:picLocks noChangeAspect="1"/>
                    </pic:cNvPicPr>
                  </pic:nvPicPr>
                  <pic:blipFill>
                    <a:blip r:embed="rId11"/>
                    <a:stretch>
                      <a:fillRect/>
                    </a:stretch>
                  </pic:blipFill>
                  <pic:spPr>
                    <a:xfrm>
                      <a:off x="0" y="0"/>
                      <a:ext cx="3900805" cy="5516245"/>
                    </a:xfrm>
                    <a:prstGeom prst="rect">
                      <a:avLst/>
                    </a:prstGeom>
                  </pic:spPr>
                </pic:pic>
              </a:graphicData>
            </a:graphic>
          </wp:inline>
        </w:drawing>
      </w:r>
    </w:p>
    <w:p w14:paraId="3C62A1B7">
      <w:pPr>
        <w:pStyle w:val="3"/>
        <w:rPr>
          <w:color w:val="auto"/>
        </w:rPr>
      </w:pPr>
      <w:bookmarkStart w:id="20" w:name="_Toc3091"/>
      <w:bookmarkStart w:id="21" w:name="_Hlk149211906"/>
      <w:r>
        <w:rPr>
          <w:color w:val="auto"/>
        </w:rPr>
        <w:t>附图4  杭州市临平区</w:t>
      </w:r>
      <w:r>
        <w:rPr>
          <w:rFonts w:hint="eastAsia"/>
          <w:color w:val="auto"/>
        </w:rPr>
        <w:t>三区三线</w:t>
      </w:r>
      <w:r>
        <w:rPr>
          <w:color w:val="auto"/>
        </w:rPr>
        <w:t>图</w:t>
      </w:r>
      <w:bookmarkEnd w:id="20"/>
    </w:p>
    <w:bookmarkEnd w:id="21"/>
    <w:p w14:paraId="2EE2B157">
      <w:pPr>
        <w:rPr>
          <w:color w:val="auto"/>
        </w:rPr>
      </w:pPr>
    </w:p>
    <w:p w14:paraId="49BA1180">
      <w:pPr>
        <w:rPr>
          <w:rFonts w:hint="eastAsia" w:eastAsia="宋体"/>
          <w:color w:val="auto"/>
          <w:lang w:eastAsia="zh-CN"/>
        </w:rPr>
      </w:pPr>
    </w:p>
    <w:p w14:paraId="023E2C80">
      <w:pPr>
        <w:rPr>
          <w:color w:val="auto"/>
        </w:rPr>
      </w:pPr>
    </w:p>
    <w:p w14:paraId="263DEB8A">
      <w:pPr>
        <w:jc w:val="center"/>
        <w:rPr>
          <w:color w:val="auto"/>
          <w:sz w:val="32"/>
          <w:szCs w:val="32"/>
        </w:rPr>
      </w:pPr>
      <w:r>
        <w:rPr>
          <w:color w:val="auto"/>
        </w:rPr>
        <mc:AlternateContent>
          <mc:Choice Requires="wps">
            <w:drawing>
              <wp:anchor distT="0" distB="0" distL="114300" distR="114300" simplePos="0" relativeHeight="251664384" behindDoc="0" locked="0" layoutInCell="1" allowOverlap="1">
                <wp:simplePos x="0" y="0"/>
                <wp:positionH relativeFrom="column">
                  <wp:posOffset>4174490</wp:posOffset>
                </wp:positionH>
                <wp:positionV relativeFrom="paragraph">
                  <wp:posOffset>1026795</wp:posOffset>
                </wp:positionV>
                <wp:extent cx="944880" cy="291465"/>
                <wp:effectExtent l="4445" t="5080" r="10795" b="495935"/>
                <wp:wrapNone/>
                <wp:docPr id="16"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5672"/>
                            <a:gd name="adj2" fmla="val 212962"/>
                          </a:avLst>
                        </a:prstGeom>
                        <a:solidFill>
                          <a:srgbClr val="FFFFFF">
                            <a:alpha val="50195"/>
                          </a:srgbClr>
                        </a:solidFill>
                        <a:ln w="9525">
                          <a:solidFill>
                            <a:srgbClr val="FF0000"/>
                          </a:solidFill>
                          <a:miter lim="800000"/>
                        </a:ln>
                      </wps:spPr>
                      <wps:txbx>
                        <w:txbxContent>
                          <w:p w14:paraId="59E1EE05">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328.7pt;margin-top:80.85pt;height:22.95pt;width:74.4pt;z-index:251664384;mso-width-relative:page;mso-height-relative:page;" fillcolor="#FFFFFF" filled="t" stroked="t" coordsize="21600,21600" o:gfxdata="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tLtldtsA&#10;AAALAQAADwAAAAAAAAABACAAAAAiAAAAZHJzL2Rvd25yZXYueG1sUEsBAhQAFAAAAAgAh07iQOmP&#10;5AGOAgAACQUAAA4AAAAAAAAAAQAgAAAAKgEAAGRycy9lMm9Eb2MueG1sUEsFBgAAAAAGAAYAWQEA&#10;ACoGAAAAAA==&#10;" adj="5255,56800">
                <v:fill on="t" opacity="32895f" focussize="0,0"/>
                <v:stroke color="#FF0000" miterlimit="8" joinstyle="miter"/>
                <v:imagedata o:title=""/>
                <o:lock v:ext="edit" aspectratio="f"/>
                <v:textbox>
                  <w:txbxContent>
                    <w:p w14:paraId="59E1EE05">
                      <w:pPr>
                        <w:rPr>
                          <w:b/>
                          <w:color w:val="FF0000"/>
                          <w:szCs w:val="28"/>
                        </w:rPr>
                      </w:pPr>
                      <w:r>
                        <w:rPr>
                          <w:rFonts w:hint="eastAsia"/>
                          <w:b/>
                          <w:color w:val="FF0000"/>
                          <w:szCs w:val="28"/>
                        </w:rPr>
                        <w:t>项目所在地</w:t>
                      </w:r>
                    </w:p>
                  </w:txbxContent>
                </v:textbox>
              </v:shape>
            </w:pict>
          </mc:Fallback>
        </mc:AlternateContent>
      </w:r>
      <w:r>
        <w:rPr>
          <w:color w:val="auto"/>
          <w:sz w:val="32"/>
          <w:szCs w:val="32"/>
        </w:rPr>
        <w:drawing>
          <wp:inline distT="0" distB="0" distL="114300" distR="114300">
            <wp:extent cx="7285355" cy="5152390"/>
            <wp:effectExtent l="0" t="0" r="14605" b="1397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2"/>
                    <a:stretch>
                      <a:fillRect/>
                    </a:stretch>
                  </pic:blipFill>
                  <pic:spPr>
                    <a:xfrm>
                      <a:off x="0" y="0"/>
                      <a:ext cx="7285355" cy="5152390"/>
                    </a:xfrm>
                    <a:prstGeom prst="rect">
                      <a:avLst/>
                    </a:prstGeom>
                    <a:noFill/>
                    <a:ln>
                      <a:noFill/>
                    </a:ln>
                  </pic:spPr>
                </pic:pic>
              </a:graphicData>
            </a:graphic>
          </wp:inline>
        </w:drawing>
      </w:r>
    </w:p>
    <w:p w14:paraId="3081DA16">
      <w:pPr>
        <w:pStyle w:val="3"/>
        <w:rPr>
          <w:color w:val="auto"/>
        </w:rPr>
      </w:pPr>
      <w:bookmarkStart w:id="22" w:name="_Toc11522"/>
      <w:r>
        <w:rPr>
          <w:color w:val="auto"/>
        </w:rPr>
        <w:t>附图</w:t>
      </w:r>
      <w:r>
        <w:rPr>
          <w:rFonts w:hint="eastAsia"/>
          <w:color w:val="auto"/>
        </w:rPr>
        <w:t>5</w:t>
      </w:r>
      <w:r>
        <w:rPr>
          <w:color w:val="auto"/>
        </w:rPr>
        <w:t xml:space="preserve">  临平区</w:t>
      </w:r>
      <w:r>
        <w:rPr>
          <w:rFonts w:hint="eastAsia"/>
          <w:color w:val="auto"/>
        </w:rPr>
        <w:t>声环境功能区划图</w:t>
      </w:r>
      <w:bookmarkEnd w:id="22"/>
    </w:p>
    <w:p w14:paraId="00985D61">
      <w:pPr>
        <w:jc w:val="center"/>
        <w:rPr>
          <w:rFonts w:hint="eastAsia" w:eastAsia="宋体"/>
          <w:color w:val="auto"/>
          <w:sz w:val="32"/>
          <w:szCs w:val="32"/>
          <w:lang w:eastAsia="zh-CN"/>
        </w:rPr>
      </w:pPr>
      <w:r>
        <w:rPr>
          <w:rFonts w:hint="eastAsia" w:eastAsia="宋体"/>
          <w:color w:val="auto"/>
          <w:sz w:val="32"/>
          <w:szCs w:val="32"/>
          <w:lang w:eastAsia="zh-CN"/>
        </w:rPr>
        <w:drawing>
          <wp:inline distT="0" distB="0" distL="114300" distR="114300">
            <wp:extent cx="8134985" cy="3920490"/>
            <wp:effectExtent l="0" t="0" r="0" b="0"/>
            <wp:docPr id="73" name="图片 73" descr="89cd1cfb637a2a369675b7efc6e21c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89cd1cfb637a2a369675b7efc6e21c8b"/>
                    <pic:cNvPicPr>
                      <a:picLocks noChangeAspect="1"/>
                    </pic:cNvPicPr>
                  </pic:nvPicPr>
                  <pic:blipFill>
                    <a:blip r:embed="rId13"/>
                    <a:srcRect t="18383" b="16538"/>
                    <a:stretch>
                      <a:fillRect/>
                    </a:stretch>
                  </pic:blipFill>
                  <pic:spPr>
                    <a:xfrm>
                      <a:off x="0" y="0"/>
                      <a:ext cx="8134985" cy="3920490"/>
                    </a:xfrm>
                    <a:prstGeom prst="rect">
                      <a:avLst/>
                    </a:prstGeom>
                  </pic:spPr>
                </pic:pic>
              </a:graphicData>
            </a:graphic>
          </wp:inline>
        </w:drawing>
      </w:r>
    </w:p>
    <w:p w14:paraId="3D904228">
      <w:pPr>
        <w:pStyle w:val="3"/>
        <w:rPr>
          <w:rFonts w:hint="eastAsia" w:ascii="Times New Roman" w:hAnsi="Times New Roman" w:cs="Times New Roman"/>
          <w:color w:val="auto"/>
          <w:lang w:val="en-US" w:eastAsia="zh-CN"/>
        </w:rPr>
      </w:pPr>
      <w:bookmarkStart w:id="23" w:name="_Toc11761"/>
      <w:r>
        <w:rPr>
          <w:rFonts w:hint="eastAsia" w:ascii="Times New Roman" w:hAnsi="Times New Roman" w:cs="Times New Roman"/>
          <w:color w:val="auto"/>
          <w:lang w:val="en-US" w:eastAsia="zh-CN"/>
        </w:rPr>
        <w:t>附图6-1生产区域平面布置图（1F）</w:t>
      </w:r>
      <w:bookmarkEnd w:id="23"/>
    </w:p>
    <w:p w14:paraId="0042FBB7">
      <w:pPr>
        <w:jc w:val="center"/>
        <w:rPr>
          <w:rFonts w:hint="eastAsia"/>
          <w:color w:val="auto"/>
          <w:sz w:val="32"/>
          <w:szCs w:val="32"/>
          <w:lang w:val="en-US" w:eastAsia="zh-CN"/>
        </w:rPr>
      </w:pPr>
    </w:p>
    <w:p w14:paraId="7EF61C8F">
      <w:pPr>
        <w:jc w:val="center"/>
        <w:rPr>
          <w:rFonts w:hint="eastAsia"/>
          <w:color w:val="auto"/>
          <w:sz w:val="32"/>
          <w:szCs w:val="32"/>
          <w:lang w:val="en-US" w:eastAsia="zh-CN"/>
        </w:rPr>
      </w:pPr>
    </w:p>
    <w:p w14:paraId="553847DF">
      <w:pPr>
        <w:jc w:val="center"/>
        <w:rPr>
          <w:rFonts w:hint="eastAsia"/>
          <w:color w:val="auto"/>
          <w:sz w:val="32"/>
          <w:szCs w:val="32"/>
          <w:lang w:val="en-US" w:eastAsia="zh-CN"/>
        </w:rPr>
      </w:pPr>
    </w:p>
    <w:p w14:paraId="06C8276D">
      <w:pPr>
        <w:jc w:val="center"/>
        <w:rPr>
          <w:rFonts w:hint="eastAsia"/>
          <w:color w:val="auto"/>
          <w:sz w:val="32"/>
          <w:szCs w:val="32"/>
          <w:lang w:val="en-US" w:eastAsia="zh-CN"/>
        </w:rPr>
      </w:pPr>
    </w:p>
    <w:p w14:paraId="43A0E5F5">
      <w:pPr>
        <w:jc w:val="center"/>
        <w:rPr>
          <w:rFonts w:hint="default"/>
          <w:color w:val="auto"/>
          <w:sz w:val="32"/>
          <w:szCs w:val="32"/>
          <w:lang w:val="en-US" w:eastAsia="zh-CN"/>
        </w:rPr>
      </w:pPr>
    </w:p>
    <w:p w14:paraId="607E9F79">
      <w:pPr>
        <w:jc w:val="center"/>
        <w:rPr>
          <w:rFonts w:hint="eastAsia" w:eastAsia="宋体"/>
          <w:color w:val="auto"/>
          <w:sz w:val="32"/>
          <w:szCs w:val="32"/>
          <w:lang w:eastAsia="zh-CN"/>
        </w:rPr>
      </w:pPr>
      <w:r>
        <w:rPr>
          <w:rFonts w:hint="eastAsia" w:eastAsia="宋体"/>
          <w:color w:val="auto"/>
          <w:sz w:val="32"/>
          <w:szCs w:val="32"/>
          <w:lang w:eastAsia="zh-CN"/>
        </w:rPr>
        <w:drawing>
          <wp:inline distT="0" distB="0" distL="114300" distR="114300">
            <wp:extent cx="8068310" cy="4065905"/>
            <wp:effectExtent l="0" t="0" r="0" b="0"/>
            <wp:docPr id="74" name="图片 74" descr="7d69ff7eba1ffd746d4c68e04b48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7d69ff7eba1ffd746d4c68e04b482533"/>
                    <pic:cNvPicPr>
                      <a:picLocks noChangeAspect="1"/>
                    </pic:cNvPicPr>
                  </pic:nvPicPr>
                  <pic:blipFill>
                    <a:blip r:embed="rId14"/>
                    <a:srcRect t="12923" b="19585"/>
                    <a:stretch>
                      <a:fillRect/>
                    </a:stretch>
                  </pic:blipFill>
                  <pic:spPr>
                    <a:xfrm>
                      <a:off x="0" y="0"/>
                      <a:ext cx="8068310" cy="4065905"/>
                    </a:xfrm>
                    <a:prstGeom prst="rect">
                      <a:avLst/>
                    </a:prstGeom>
                  </pic:spPr>
                </pic:pic>
              </a:graphicData>
            </a:graphic>
          </wp:inline>
        </w:drawing>
      </w:r>
    </w:p>
    <w:p w14:paraId="0A2F04F9">
      <w:pPr>
        <w:jc w:val="center"/>
        <w:rPr>
          <w:rFonts w:hint="eastAsia" w:eastAsia="宋体"/>
          <w:color w:val="auto"/>
          <w:sz w:val="32"/>
          <w:szCs w:val="32"/>
          <w:lang w:eastAsia="zh-CN"/>
        </w:rPr>
      </w:pPr>
    </w:p>
    <w:p w14:paraId="4C005957">
      <w:pPr>
        <w:pStyle w:val="3"/>
        <w:rPr>
          <w:rFonts w:hint="default" w:ascii="Times New Roman" w:hAnsi="Times New Roman" w:cs="Times New Roman"/>
          <w:color w:val="auto"/>
          <w:lang w:val="en-US" w:eastAsia="zh-CN"/>
        </w:rPr>
        <w:sectPr>
          <w:headerReference r:id="rId4" w:type="default"/>
          <w:footerReference r:id="rId5" w:type="default"/>
          <w:pgSz w:w="16838" w:h="11906" w:orient="landscape"/>
          <w:pgMar w:top="1134" w:right="1417" w:bottom="1230" w:left="1417" w:header="851" w:footer="992" w:gutter="0"/>
          <w:pgNumType w:fmt="decimal"/>
          <w:cols w:space="425" w:num="1"/>
          <w:docGrid w:type="lines" w:linePitch="312" w:charSpace="0"/>
        </w:sectPr>
      </w:pPr>
      <w:bookmarkStart w:id="24" w:name="_Toc17310"/>
      <w:r>
        <w:rPr>
          <w:rFonts w:hint="eastAsia" w:ascii="Times New Roman" w:hAnsi="Times New Roman" w:cs="Times New Roman"/>
          <w:color w:val="auto"/>
          <w:lang w:val="en-US" w:eastAsia="zh-CN"/>
        </w:rPr>
        <w:t>附图6-2生产区域平面布置图（4F）</w:t>
      </w:r>
      <w:bookmarkEnd w:id="24"/>
    </w:p>
    <w:p w14:paraId="32639561">
      <w:pPr>
        <w:pStyle w:val="3"/>
        <w:spacing w:line="360" w:lineRule="auto"/>
        <w:jc w:val="left"/>
        <w:rPr>
          <w:color w:val="auto"/>
        </w:rPr>
      </w:pPr>
      <w:bookmarkStart w:id="25" w:name="_Toc11805"/>
      <w:bookmarkStart w:id="26" w:name="_Toc18269"/>
      <w:r>
        <w:rPr>
          <w:rFonts w:hint="eastAsia"/>
          <w:color w:val="auto"/>
        </w:rPr>
        <w:t>附件1</w:t>
      </w:r>
      <w:r>
        <w:rPr>
          <w:color w:val="auto"/>
        </w:rPr>
        <w:t xml:space="preserve"> </w:t>
      </w:r>
      <w:r>
        <w:rPr>
          <w:rFonts w:hint="eastAsia"/>
          <w:color w:val="auto"/>
        </w:rPr>
        <w:t>项目基本情况</w:t>
      </w:r>
      <w:bookmarkEnd w:id="25"/>
      <w:bookmarkEnd w:id="26"/>
    </w:p>
    <w:p w14:paraId="316683DB">
      <w:pPr>
        <w:pStyle w:val="122"/>
        <w:ind w:firstLine="480"/>
        <w:rPr>
          <w:bCs/>
          <w:color w:val="auto"/>
        </w:rPr>
      </w:pPr>
      <w:bookmarkStart w:id="27" w:name="_Hlk155886264"/>
      <w:r>
        <w:rPr>
          <w:rFonts w:hint="eastAsia"/>
          <w:bCs/>
          <w:color w:val="auto"/>
        </w:rPr>
        <w:t>杭州欣胜精密机械有限公司成立于2016年8月，原地址位于浙江省杭州市临平区东湖街道兴国路530号2幢，租用杭州豪友实业有限公司现有闲置厂房5800平方米进行生产经营。</w:t>
      </w:r>
    </w:p>
    <w:p w14:paraId="44DD2553">
      <w:pPr>
        <w:pStyle w:val="122"/>
        <w:ind w:firstLine="480"/>
        <w:rPr>
          <w:bCs/>
          <w:color w:val="auto"/>
        </w:rPr>
      </w:pPr>
      <w:r>
        <w:rPr>
          <w:rFonts w:hint="eastAsia"/>
          <w:bCs/>
          <w:color w:val="auto"/>
        </w:rPr>
        <w:t>现由于企业自身发展的需要，本项目将搬迁至浙江省杭州市临平经济技术开发区龙船坞路96号，拟租用开投零壹半导体产业园现有闲置厂房进行生产经营，本顶目采用热处理工序等技术，</w:t>
      </w:r>
      <w:r>
        <w:rPr>
          <w:rFonts w:hint="eastAsia"/>
          <w:bCs/>
          <w:color w:val="auto"/>
          <w:lang w:val="en-US" w:eastAsia="zh-CN"/>
        </w:rPr>
        <w:t>同时新</w:t>
      </w:r>
      <w:r>
        <w:rPr>
          <w:rFonts w:hint="eastAsia"/>
          <w:bCs/>
          <w:color w:val="auto"/>
        </w:rPr>
        <w:t>购置国内先进的光纤激光切割机、全自动喷涂机、PVD镀膜机、组装流水线等进行生产，提高企业市场竞争力，本项目建成后将形成200台</w:t>
      </w:r>
      <w:r>
        <w:rPr>
          <w:rFonts w:hint="eastAsia"/>
          <w:bCs/>
          <w:color w:val="auto"/>
          <w:lang w:eastAsia="zh-CN"/>
        </w:rPr>
        <w:t>（</w:t>
      </w:r>
      <w:r>
        <w:rPr>
          <w:rFonts w:hint="eastAsia"/>
          <w:bCs/>
          <w:color w:val="auto"/>
          <w:lang w:val="en-US" w:eastAsia="zh-CN"/>
        </w:rPr>
        <w:t>套</w:t>
      </w:r>
      <w:r>
        <w:rPr>
          <w:rFonts w:hint="eastAsia"/>
          <w:bCs/>
          <w:color w:val="auto"/>
          <w:lang w:eastAsia="zh-CN"/>
        </w:rPr>
        <w:t>）</w:t>
      </w:r>
      <w:r>
        <w:rPr>
          <w:rFonts w:hint="eastAsia"/>
          <w:bCs/>
          <w:color w:val="auto"/>
        </w:rPr>
        <w:t>圆锯床及其零配件的生产能力，预计实现销售额1亿元以上，同时利税可达500万。本项目严格按照安全生产、节能环保相关要求实施，并按照依法统计的要求做好项目投资统计入库工作。</w:t>
      </w:r>
    </w:p>
    <w:p w14:paraId="72EDC6E7">
      <w:pPr>
        <w:pStyle w:val="122"/>
        <w:ind w:firstLine="480"/>
        <w:rPr>
          <w:bCs/>
          <w:color w:val="auto"/>
        </w:rPr>
      </w:pPr>
      <w:r>
        <w:rPr>
          <w:rFonts w:hint="eastAsia"/>
          <w:bCs/>
          <w:color w:val="auto"/>
        </w:rPr>
        <w:t>本项目严格按照安全生产，消防及环保的相关规章制度执行。项目已在临平区经济信息化和科学技术局备案，项目代码2404-330113-07-02-137495。</w:t>
      </w:r>
    </w:p>
    <w:p w14:paraId="26F47F62">
      <w:pPr>
        <w:pStyle w:val="122"/>
        <w:ind w:firstLine="0" w:firstLineChars="0"/>
        <w:outlineLvl w:val="1"/>
        <w:rPr>
          <w:b/>
          <w:color w:val="auto"/>
        </w:rPr>
      </w:pPr>
      <w:bookmarkStart w:id="28" w:name="_Toc24282"/>
      <w:bookmarkStart w:id="29" w:name="_Toc19773"/>
      <w:r>
        <w:rPr>
          <w:rFonts w:hint="eastAsia"/>
          <w:b/>
          <w:color w:val="auto"/>
        </w:rPr>
        <w:t>1、本项目情况</w:t>
      </w:r>
      <w:bookmarkEnd w:id="28"/>
      <w:bookmarkEnd w:id="29"/>
    </w:p>
    <w:p w14:paraId="0CC7A8FF">
      <w:pPr>
        <w:pStyle w:val="122"/>
        <w:ind w:firstLine="0" w:firstLineChars="0"/>
        <w:outlineLvl w:val="2"/>
        <w:rPr>
          <w:b/>
          <w:color w:val="auto"/>
        </w:rPr>
      </w:pPr>
      <w:r>
        <w:rPr>
          <w:rFonts w:hint="eastAsia"/>
          <w:b/>
          <w:color w:val="auto"/>
        </w:rPr>
        <w:t>1.</w:t>
      </w:r>
      <w:r>
        <w:rPr>
          <w:b/>
          <w:color w:val="auto"/>
        </w:rPr>
        <w:t>1</w:t>
      </w:r>
      <w:r>
        <w:rPr>
          <w:rFonts w:hint="eastAsia"/>
          <w:b/>
          <w:color w:val="auto"/>
        </w:rPr>
        <w:t>项目基本组成</w:t>
      </w:r>
    </w:p>
    <w:p w14:paraId="62AB02AB">
      <w:pPr>
        <w:pStyle w:val="122"/>
        <w:ind w:firstLine="480"/>
        <w:rPr>
          <w:color w:val="auto"/>
        </w:rPr>
      </w:pPr>
      <w:r>
        <w:rPr>
          <w:rFonts w:hint="eastAsia"/>
          <w:color w:val="auto"/>
        </w:rPr>
        <w:t>本项目主要由主体工程、公用工程、环保工程、辅助工程等组成。具体</w:t>
      </w:r>
      <w:r>
        <w:rPr>
          <w:color w:val="auto"/>
        </w:rPr>
        <w:t>组成汇总如</w:t>
      </w:r>
      <w:r>
        <w:rPr>
          <w:rFonts w:hint="eastAsia"/>
          <w:color w:val="auto"/>
        </w:rPr>
        <w:t>表</w:t>
      </w:r>
      <w:r>
        <w:rPr>
          <w:color w:val="auto"/>
        </w:rPr>
        <w:t>1所示。</w:t>
      </w:r>
    </w:p>
    <w:p w14:paraId="559257A0">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表1</w:t>
      </w:r>
      <w:r>
        <w:rPr>
          <w:color w:val="auto"/>
        </w:rPr>
        <w:t>项目基本组成</w:t>
      </w:r>
    </w:p>
    <w:bookmarkEnd w:id="27"/>
    <w:tbl>
      <w:tblPr>
        <w:tblStyle w:val="88"/>
        <w:tblW w:w="503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7"/>
        <w:gridCol w:w="835"/>
        <w:gridCol w:w="1497"/>
        <w:gridCol w:w="3425"/>
        <w:gridCol w:w="3133"/>
      </w:tblGrid>
      <w:tr w14:paraId="59371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Align w:val="center"/>
          </w:tcPr>
          <w:p w14:paraId="6A38787A">
            <w:pPr>
              <w:widowControl/>
              <w:jc w:val="center"/>
              <w:rPr>
                <w:color w:val="auto"/>
                <w:kern w:val="0"/>
              </w:rPr>
            </w:pPr>
            <w:r>
              <w:rPr>
                <w:color w:val="auto"/>
                <w:kern w:val="0"/>
              </w:rPr>
              <w:t>序号</w:t>
            </w:r>
          </w:p>
        </w:tc>
        <w:tc>
          <w:tcPr>
            <w:tcW w:w="1212" w:type="pct"/>
            <w:gridSpan w:val="2"/>
            <w:vAlign w:val="center"/>
          </w:tcPr>
          <w:p w14:paraId="1372DAFB">
            <w:pPr>
              <w:widowControl/>
              <w:jc w:val="center"/>
              <w:rPr>
                <w:color w:val="auto"/>
                <w:kern w:val="0"/>
              </w:rPr>
            </w:pPr>
            <w:r>
              <w:rPr>
                <w:rFonts w:hint="eastAsia"/>
                <w:color w:val="auto"/>
                <w:kern w:val="0"/>
              </w:rPr>
              <w:t>工程</w:t>
            </w:r>
            <w:r>
              <w:rPr>
                <w:color w:val="auto"/>
                <w:kern w:val="0"/>
              </w:rPr>
              <w:t>类别</w:t>
            </w:r>
          </w:p>
        </w:tc>
        <w:tc>
          <w:tcPr>
            <w:tcW w:w="1780" w:type="pct"/>
            <w:tcBorders>
              <w:right w:val="single" w:color="auto" w:sz="4" w:space="0"/>
            </w:tcBorders>
            <w:vAlign w:val="center"/>
          </w:tcPr>
          <w:p w14:paraId="38478FEC">
            <w:pPr>
              <w:widowControl/>
              <w:jc w:val="center"/>
              <w:rPr>
                <w:color w:val="auto"/>
                <w:kern w:val="0"/>
              </w:rPr>
            </w:pPr>
            <w:r>
              <w:rPr>
                <w:color w:val="auto"/>
                <w:kern w:val="0"/>
              </w:rPr>
              <w:t>主要内容</w:t>
            </w:r>
          </w:p>
        </w:tc>
        <w:tc>
          <w:tcPr>
            <w:tcW w:w="1628" w:type="pct"/>
            <w:vAlign w:val="center"/>
          </w:tcPr>
          <w:p w14:paraId="2C69282D">
            <w:pPr>
              <w:widowControl/>
              <w:jc w:val="center"/>
              <w:rPr>
                <w:color w:val="auto"/>
                <w:kern w:val="0"/>
              </w:rPr>
            </w:pPr>
            <w:r>
              <w:rPr>
                <w:color w:val="auto"/>
                <w:kern w:val="0"/>
              </w:rPr>
              <w:t>备注</w:t>
            </w:r>
          </w:p>
        </w:tc>
      </w:tr>
      <w:tr w14:paraId="5384D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Align w:val="center"/>
          </w:tcPr>
          <w:p w14:paraId="32B544CB">
            <w:pPr>
              <w:widowControl/>
              <w:jc w:val="center"/>
              <w:rPr>
                <w:color w:val="auto"/>
                <w:kern w:val="0"/>
              </w:rPr>
            </w:pPr>
            <w:r>
              <w:rPr>
                <w:rFonts w:hint="eastAsia"/>
                <w:color w:val="auto"/>
                <w:kern w:val="0"/>
              </w:rPr>
              <w:t>1</w:t>
            </w:r>
          </w:p>
        </w:tc>
        <w:tc>
          <w:tcPr>
            <w:tcW w:w="434" w:type="pct"/>
            <w:vAlign w:val="center"/>
          </w:tcPr>
          <w:p w14:paraId="6F1CE1FB">
            <w:pPr>
              <w:jc w:val="center"/>
              <w:rPr>
                <w:color w:val="auto"/>
                <w:kern w:val="0"/>
              </w:rPr>
            </w:pPr>
            <w:r>
              <w:rPr>
                <w:color w:val="auto"/>
                <w:kern w:val="0"/>
              </w:rPr>
              <w:t>主体工程</w:t>
            </w:r>
          </w:p>
        </w:tc>
        <w:tc>
          <w:tcPr>
            <w:tcW w:w="778" w:type="pct"/>
            <w:vAlign w:val="center"/>
          </w:tcPr>
          <w:p w14:paraId="421649E7">
            <w:pPr>
              <w:jc w:val="center"/>
              <w:rPr>
                <w:color w:val="auto"/>
                <w:kern w:val="0"/>
              </w:rPr>
            </w:pPr>
            <w:r>
              <w:rPr>
                <w:rFonts w:hint="eastAsia"/>
                <w:color w:val="auto"/>
                <w:kern w:val="0"/>
              </w:rPr>
              <w:t>生产车间</w:t>
            </w:r>
          </w:p>
        </w:tc>
        <w:tc>
          <w:tcPr>
            <w:tcW w:w="1780" w:type="pct"/>
            <w:vAlign w:val="center"/>
          </w:tcPr>
          <w:p w14:paraId="6C1DF629">
            <w:pPr>
              <w:widowControl/>
              <w:jc w:val="center"/>
              <w:rPr>
                <w:color w:val="auto"/>
                <w:kern w:val="0"/>
              </w:rPr>
            </w:pPr>
            <w:r>
              <w:rPr>
                <w:rFonts w:hint="eastAsia"/>
                <w:color w:val="auto"/>
                <w:kern w:val="0"/>
              </w:rPr>
              <w:t>建设本项目</w:t>
            </w:r>
            <w:r>
              <w:rPr>
                <w:rFonts w:hint="eastAsia"/>
                <w:color w:val="auto"/>
                <w:kern w:val="0"/>
                <w:lang w:val="en-US" w:eastAsia="zh-CN"/>
              </w:rPr>
              <w:t>圆锯床及其零配件</w:t>
            </w:r>
            <w:r>
              <w:rPr>
                <w:rFonts w:hint="eastAsia"/>
                <w:color w:val="auto"/>
                <w:kern w:val="0"/>
              </w:rPr>
              <w:t>生产线</w:t>
            </w:r>
          </w:p>
        </w:tc>
        <w:tc>
          <w:tcPr>
            <w:tcW w:w="1628" w:type="pct"/>
            <w:vAlign w:val="center"/>
          </w:tcPr>
          <w:p w14:paraId="54797B87">
            <w:pPr>
              <w:jc w:val="center"/>
              <w:rPr>
                <w:rFonts w:hint="default" w:eastAsia="宋体"/>
                <w:color w:val="auto"/>
                <w:kern w:val="0"/>
                <w:lang w:val="en-US" w:eastAsia="zh-CN"/>
              </w:rPr>
            </w:pPr>
            <w:r>
              <w:rPr>
                <w:rFonts w:hint="eastAsia"/>
                <w:color w:val="auto"/>
                <w:kern w:val="0"/>
              </w:rPr>
              <w:t>搬迁至自有园区闲置厂房</w:t>
            </w:r>
            <w:r>
              <w:rPr>
                <w:rFonts w:hint="eastAsia"/>
                <w:color w:val="auto"/>
                <w:kern w:val="0"/>
                <w:lang w:eastAsia="zh-CN"/>
              </w:rPr>
              <w:t>，</w:t>
            </w:r>
            <w:r>
              <w:rPr>
                <w:rFonts w:hint="eastAsia"/>
                <w:color w:val="auto"/>
                <w:kern w:val="0"/>
                <w:lang w:val="en-US" w:eastAsia="zh-CN"/>
              </w:rPr>
              <w:t>车间总面积约36000m</w:t>
            </w:r>
            <w:r>
              <w:rPr>
                <w:rFonts w:hint="eastAsia"/>
                <w:color w:val="auto"/>
                <w:kern w:val="0"/>
                <w:vertAlign w:val="superscript"/>
                <w:lang w:val="en-US" w:eastAsia="zh-CN"/>
              </w:rPr>
              <w:t>2</w:t>
            </w:r>
          </w:p>
        </w:tc>
      </w:tr>
      <w:tr w14:paraId="2DD6E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restart"/>
            <w:vAlign w:val="center"/>
          </w:tcPr>
          <w:p w14:paraId="29EAE94A">
            <w:pPr>
              <w:widowControl/>
              <w:jc w:val="center"/>
              <w:rPr>
                <w:color w:val="auto"/>
                <w:kern w:val="0"/>
              </w:rPr>
            </w:pPr>
            <w:r>
              <w:rPr>
                <w:rFonts w:hint="eastAsia"/>
                <w:color w:val="auto"/>
                <w:kern w:val="0"/>
              </w:rPr>
              <w:t>2</w:t>
            </w:r>
          </w:p>
        </w:tc>
        <w:tc>
          <w:tcPr>
            <w:tcW w:w="434" w:type="pct"/>
            <w:vMerge w:val="restart"/>
            <w:vAlign w:val="center"/>
          </w:tcPr>
          <w:p w14:paraId="34048264">
            <w:pPr>
              <w:widowControl/>
              <w:jc w:val="center"/>
              <w:rPr>
                <w:color w:val="auto"/>
                <w:kern w:val="0"/>
              </w:rPr>
            </w:pPr>
            <w:r>
              <w:rPr>
                <w:color w:val="auto"/>
                <w:kern w:val="0"/>
              </w:rPr>
              <w:t>公</w:t>
            </w:r>
            <w:r>
              <w:rPr>
                <w:rFonts w:hint="eastAsia"/>
                <w:color w:val="auto"/>
                <w:kern w:val="0"/>
              </w:rPr>
              <w:t>辅</w:t>
            </w:r>
            <w:r>
              <w:rPr>
                <w:color w:val="auto"/>
                <w:kern w:val="0"/>
              </w:rPr>
              <w:t>工程</w:t>
            </w:r>
          </w:p>
        </w:tc>
        <w:tc>
          <w:tcPr>
            <w:tcW w:w="778" w:type="pct"/>
            <w:shd w:val="clear" w:color="auto" w:fill="auto"/>
            <w:vAlign w:val="center"/>
          </w:tcPr>
          <w:p w14:paraId="2C0B0D3F">
            <w:pPr>
              <w:widowControl/>
              <w:jc w:val="center"/>
              <w:rPr>
                <w:color w:val="auto"/>
                <w:kern w:val="0"/>
              </w:rPr>
            </w:pPr>
            <w:r>
              <w:rPr>
                <w:rFonts w:hint="eastAsia"/>
                <w:color w:val="auto"/>
                <w:kern w:val="0"/>
              </w:rPr>
              <w:t>给水系统</w:t>
            </w:r>
          </w:p>
        </w:tc>
        <w:tc>
          <w:tcPr>
            <w:tcW w:w="1780" w:type="pct"/>
            <w:shd w:val="clear" w:color="auto" w:fill="auto"/>
            <w:vAlign w:val="center"/>
          </w:tcPr>
          <w:p w14:paraId="3F07F856">
            <w:pPr>
              <w:widowControl/>
              <w:jc w:val="center"/>
              <w:rPr>
                <w:color w:val="auto"/>
                <w:kern w:val="0"/>
              </w:rPr>
            </w:pPr>
            <w:r>
              <w:rPr>
                <w:rFonts w:hint="eastAsia"/>
                <w:color w:val="auto"/>
                <w:kern w:val="0"/>
              </w:rPr>
              <w:t>市政自来水管网供给</w:t>
            </w:r>
          </w:p>
        </w:tc>
        <w:tc>
          <w:tcPr>
            <w:tcW w:w="1628" w:type="pct"/>
            <w:shd w:val="clear" w:color="auto" w:fill="auto"/>
            <w:vAlign w:val="center"/>
          </w:tcPr>
          <w:p w14:paraId="2FCEDBE7">
            <w:pPr>
              <w:widowControl/>
              <w:jc w:val="center"/>
              <w:rPr>
                <w:color w:val="auto"/>
                <w:kern w:val="0"/>
              </w:rPr>
            </w:pPr>
            <w:r>
              <w:rPr>
                <w:rFonts w:hint="eastAsia"/>
                <w:color w:val="auto"/>
                <w:kern w:val="0"/>
              </w:rPr>
              <w:t>自有园区内现有给水管网</w:t>
            </w:r>
          </w:p>
        </w:tc>
      </w:tr>
      <w:tr w14:paraId="2FBB9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293CFF6A">
            <w:pPr>
              <w:ind w:firstLine="480"/>
              <w:jc w:val="center"/>
              <w:rPr>
                <w:color w:val="auto"/>
              </w:rPr>
            </w:pPr>
          </w:p>
        </w:tc>
        <w:tc>
          <w:tcPr>
            <w:tcW w:w="434" w:type="pct"/>
            <w:vMerge w:val="continue"/>
            <w:vAlign w:val="center"/>
          </w:tcPr>
          <w:p w14:paraId="241F4F77">
            <w:pPr>
              <w:ind w:firstLine="480"/>
              <w:jc w:val="center"/>
              <w:rPr>
                <w:color w:val="auto"/>
              </w:rPr>
            </w:pPr>
          </w:p>
        </w:tc>
        <w:tc>
          <w:tcPr>
            <w:tcW w:w="778" w:type="pct"/>
            <w:shd w:val="clear" w:color="auto" w:fill="auto"/>
            <w:vAlign w:val="center"/>
          </w:tcPr>
          <w:p w14:paraId="6038466B">
            <w:pPr>
              <w:widowControl/>
              <w:jc w:val="center"/>
              <w:rPr>
                <w:color w:val="auto"/>
                <w:kern w:val="0"/>
              </w:rPr>
            </w:pPr>
            <w:r>
              <w:rPr>
                <w:rFonts w:hint="eastAsia"/>
                <w:color w:val="auto"/>
                <w:kern w:val="0"/>
              </w:rPr>
              <w:t>排水系统</w:t>
            </w:r>
          </w:p>
        </w:tc>
        <w:tc>
          <w:tcPr>
            <w:tcW w:w="1780" w:type="pct"/>
            <w:shd w:val="clear" w:color="auto" w:fill="auto"/>
            <w:vAlign w:val="center"/>
          </w:tcPr>
          <w:p w14:paraId="69F26DEE">
            <w:pPr>
              <w:widowControl/>
              <w:jc w:val="center"/>
              <w:rPr>
                <w:color w:val="auto"/>
                <w:kern w:val="0"/>
              </w:rPr>
            </w:pPr>
            <w:r>
              <w:rPr>
                <w:rFonts w:hint="eastAsia"/>
                <w:color w:val="auto"/>
                <w:kern w:val="0"/>
              </w:rPr>
              <w:t>现有排水管网</w:t>
            </w:r>
          </w:p>
        </w:tc>
        <w:tc>
          <w:tcPr>
            <w:tcW w:w="1628" w:type="pct"/>
            <w:shd w:val="clear" w:color="auto" w:fill="auto"/>
            <w:vAlign w:val="center"/>
          </w:tcPr>
          <w:p w14:paraId="1470355B">
            <w:pPr>
              <w:widowControl/>
              <w:jc w:val="center"/>
              <w:rPr>
                <w:rFonts w:hint="default" w:eastAsia="宋体"/>
                <w:color w:val="auto"/>
                <w:kern w:val="0"/>
                <w:lang w:val="en-US" w:eastAsia="zh-CN"/>
              </w:rPr>
            </w:pPr>
            <w:r>
              <w:rPr>
                <w:rFonts w:hint="eastAsia"/>
                <w:color w:val="auto"/>
                <w:kern w:val="0"/>
              </w:rPr>
              <w:t>自有园区内现有排水管网</w:t>
            </w:r>
          </w:p>
        </w:tc>
      </w:tr>
      <w:tr w14:paraId="3A552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4B3B2E3C">
            <w:pPr>
              <w:ind w:firstLine="480"/>
              <w:jc w:val="center"/>
              <w:rPr>
                <w:color w:val="auto"/>
              </w:rPr>
            </w:pPr>
          </w:p>
        </w:tc>
        <w:tc>
          <w:tcPr>
            <w:tcW w:w="434" w:type="pct"/>
            <w:vMerge w:val="continue"/>
            <w:vAlign w:val="center"/>
          </w:tcPr>
          <w:p w14:paraId="38698731">
            <w:pPr>
              <w:ind w:firstLine="480"/>
              <w:jc w:val="center"/>
              <w:rPr>
                <w:color w:val="auto"/>
              </w:rPr>
            </w:pPr>
          </w:p>
        </w:tc>
        <w:tc>
          <w:tcPr>
            <w:tcW w:w="778" w:type="pct"/>
            <w:shd w:val="clear" w:color="auto" w:fill="auto"/>
            <w:vAlign w:val="center"/>
          </w:tcPr>
          <w:p w14:paraId="43744302">
            <w:pPr>
              <w:widowControl/>
              <w:jc w:val="center"/>
              <w:rPr>
                <w:color w:val="auto"/>
                <w:kern w:val="0"/>
              </w:rPr>
            </w:pPr>
            <w:r>
              <w:rPr>
                <w:rFonts w:hint="eastAsia"/>
                <w:color w:val="auto"/>
                <w:kern w:val="0"/>
              </w:rPr>
              <w:t>供电</w:t>
            </w:r>
          </w:p>
        </w:tc>
        <w:tc>
          <w:tcPr>
            <w:tcW w:w="1780" w:type="pct"/>
            <w:shd w:val="clear" w:color="auto" w:fill="auto"/>
            <w:vAlign w:val="center"/>
          </w:tcPr>
          <w:p w14:paraId="5E3B8641">
            <w:pPr>
              <w:widowControl/>
              <w:jc w:val="center"/>
              <w:rPr>
                <w:color w:val="auto"/>
                <w:kern w:val="0"/>
              </w:rPr>
            </w:pPr>
            <w:r>
              <w:rPr>
                <w:rFonts w:hint="eastAsia"/>
                <w:color w:val="auto"/>
                <w:kern w:val="0"/>
              </w:rPr>
              <w:t>供电管网</w:t>
            </w:r>
          </w:p>
        </w:tc>
        <w:tc>
          <w:tcPr>
            <w:tcW w:w="1628" w:type="pct"/>
            <w:shd w:val="clear" w:color="auto" w:fill="auto"/>
            <w:vAlign w:val="center"/>
          </w:tcPr>
          <w:p w14:paraId="2C9A6659">
            <w:pPr>
              <w:widowControl/>
              <w:jc w:val="center"/>
              <w:rPr>
                <w:color w:val="auto"/>
                <w:kern w:val="0"/>
              </w:rPr>
            </w:pPr>
            <w:r>
              <w:rPr>
                <w:rFonts w:hint="eastAsia"/>
                <w:color w:val="auto"/>
                <w:kern w:val="0"/>
              </w:rPr>
              <w:t>自有园区内现有供电管网</w:t>
            </w:r>
          </w:p>
        </w:tc>
      </w:tr>
      <w:tr w14:paraId="27348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restart"/>
            <w:vAlign w:val="center"/>
          </w:tcPr>
          <w:p w14:paraId="70874EF3">
            <w:pPr>
              <w:widowControl/>
              <w:jc w:val="center"/>
              <w:rPr>
                <w:color w:val="auto"/>
                <w:kern w:val="0"/>
              </w:rPr>
            </w:pPr>
            <w:r>
              <w:rPr>
                <w:rFonts w:hint="eastAsia"/>
                <w:color w:val="auto"/>
                <w:kern w:val="0"/>
              </w:rPr>
              <w:t>3</w:t>
            </w:r>
          </w:p>
        </w:tc>
        <w:tc>
          <w:tcPr>
            <w:tcW w:w="434" w:type="pct"/>
            <w:vMerge w:val="restart"/>
            <w:vAlign w:val="center"/>
          </w:tcPr>
          <w:p w14:paraId="11ECBFE2">
            <w:pPr>
              <w:widowControl/>
              <w:jc w:val="center"/>
              <w:rPr>
                <w:color w:val="auto"/>
                <w:kern w:val="0"/>
              </w:rPr>
            </w:pPr>
            <w:r>
              <w:rPr>
                <w:rFonts w:hint="eastAsia"/>
                <w:color w:val="auto"/>
                <w:kern w:val="0"/>
              </w:rPr>
              <w:t>环保工程</w:t>
            </w:r>
          </w:p>
        </w:tc>
        <w:tc>
          <w:tcPr>
            <w:tcW w:w="778" w:type="pct"/>
            <w:vAlign w:val="center"/>
          </w:tcPr>
          <w:p w14:paraId="428A0177">
            <w:pPr>
              <w:widowControl/>
              <w:jc w:val="center"/>
              <w:rPr>
                <w:rFonts w:hint="eastAsia" w:eastAsia="宋体"/>
                <w:color w:val="auto"/>
                <w:kern w:val="0"/>
                <w:lang w:eastAsia="zh-CN"/>
              </w:rPr>
            </w:pPr>
            <w:r>
              <w:rPr>
                <w:rFonts w:hint="eastAsia"/>
                <w:color w:val="auto"/>
                <w:kern w:val="0"/>
                <w:lang w:val="en-US" w:eastAsia="zh-CN"/>
              </w:rPr>
              <w:t>焊接烟尘</w:t>
            </w:r>
          </w:p>
        </w:tc>
        <w:tc>
          <w:tcPr>
            <w:tcW w:w="1780" w:type="pct"/>
            <w:vAlign w:val="center"/>
          </w:tcPr>
          <w:p w14:paraId="43670D32">
            <w:pPr>
              <w:widowControl/>
              <w:jc w:val="center"/>
              <w:rPr>
                <w:rFonts w:hint="default" w:eastAsia="宋体"/>
                <w:color w:val="auto"/>
                <w:kern w:val="0"/>
                <w:lang w:val="en-US" w:eastAsia="zh-CN"/>
              </w:rPr>
            </w:pPr>
            <w:r>
              <w:rPr>
                <w:rFonts w:hint="eastAsia"/>
                <w:color w:val="auto"/>
                <w:kern w:val="0"/>
                <w:lang w:val="en-US" w:eastAsia="zh-CN"/>
              </w:rPr>
              <w:t>设置移动式焊接烟尘净化装置</w:t>
            </w:r>
          </w:p>
        </w:tc>
        <w:tc>
          <w:tcPr>
            <w:tcW w:w="1628" w:type="pct"/>
            <w:vAlign w:val="center"/>
          </w:tcPr>
          <w:p w14:paraId="6371FE45">
            <w:pPr>
              <w:widowControl/>
              <w:jc w:val="center"/>
              <w:rPr>
                <w:rFonts w:hint="eastAsia" w:eastAsia="宋体"/>
                <w:color w:val="auto"/>
                <w:kern w:val="0"/>
                <w:lang w:eastAsia="zh-CN"/>
              </w:rPr>
            </w:pPr>
            <w:r>
              <w:rPr>
                <w:rFonts w:hint="eastAsia"/>
                <w:color w:val="auto"/>
                <w:kern w:val="0"/>
                <w:lang w:val="en-US" w:eastAsia="zh-CN"/>
              </w:rPr>
              <w:t>新建</w:t>
            </w:r>
          </w:p>
        </w:tc>
      </w:tr>
      <w:tr w14:paraId="11BC0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24ED3AFF">
            <w:pPr>
              <w:ind w:firstLine="480"/>
              <w:jc w:val="center"/>
              <w:rPr>
                <w:color w:val="auto"/>
              </w:rPr>
            </w:pPr>
          </w:p>
        </w:tc>
        <w:tc>
          <w:tcPr>
            <w:tcW w:w="434" w:type="pct"/>
            <w:vMerge w:val="continue"/>
            <w:vAlign w:val="center"/>
          </w:tcPr>
          <w:p w14:paraId="3BFD05EE">
            <w:pPr>
              <w:ind w:firstLine="480"/>
              <w:jc w:val="center"/>
              <w:rPr>
                <w:color w:val="auto"/>
              </w:rPr>
            </w:pPr>
          </w:p>
        </w:tc>
        <w:tc>
          <w:tcPr>
            <w:tcW w:w="778" w:type="pct"/>
            <w:vAlign w:val="center"/>
          </w:tcPr>
          <w:p w14:paraId="74D94543">
            <w:pPr>
              <w:widowControl/>
              <w:jc w:val="center"/>
              <w:rPr>
                <w:color w:val="auto"/>
                <w:kern w:val="0"/>
              </w:rPr>
            </w:pPr>
            <w:r>
              <w:rPr>
                <w:rFonts w:hint="eastAsia"/>
                <w:color w:val="auto"/>
                <w:kern w:val="0"/>
              </w:rPr>
              <w:t>喷漆废气</w:t>
            </w:r>
          </w:p>
        </w:tc>
        <w:tc>
          <w:tcPr>
            <w:tcW w:w="1780" w:type="pct"/>
            <w:vAlign w:val="center"/>
          </w:tcPr>
          <w:p w14:paraId="4E431852">
            <w:pPr>
              <w:widowControl/>
              <w:jc w:val="center"/>
              <w:rPr>
                <w:color w:val="auto"/>
                <w:kern w:val="0"/>
              </w:rPr>
            </w:pPr>
            <w:r>
              <w:rPr>
                <w:rFonts w:hint="eastAsia"/>
                <w:color w:val="auto"/>
                <w:kern w:val="0"/>
                <w:lang w:val="en-US" w:eastAsia="zh-CN"/>
              </w:rPr>
              <w:t>使用一体化全自动喷涂设备，废气经收集后接入</w:t>
            </w:r>
            <w:r>
              <w:rPr>
                <w:rFonts w:hint="eastAsia"/>
                <w:color w:val="auto"/>
                <w:kern w:val="0"/>
              </w:rPr>
              <w:t>1套“</w:t>
            </w:r>
            <w:r>
              <w:rPr>
                <w:rFonts w:hint="eastAsia"/>
                <w:color w:val="auto"/>
                <w:kern w:val="0"/>
                <w:lang w:val="en-US" w:eastAsia="zh-CN"/>
              </w:rPr>
              <w:t>活性炭吸附+脱附催化燃烧</w:t>
            </w:r>
            <w:r>
              <w:rPr>
                <w:rFonts w:hint="eastAsia"/>
                <w:color w:val="auto"/>
                <w:kern w:val="0"/>
              </w:rPr>
              <w:t>”废气处理设施处理后由1根</w:t>
            </w:r>
            <w:r>
              <w:rPr>
                <w:rFonts w:hint="eastAsia"/>
                <w:color w:val="auto"/>
                <w:kern w:val="0"/>
                <w:lang w:val="en-US" w:eastAsia="zh-CN"/>
              </w:rPr>
              <w:t>1</w:t>
            </w:r>
            <w:r>
              <w:rPr>
                <w:rFonts w:hint="eastAsia"/>
                <w:color w:val="auto"/>
                <w:kern w:val="0"/>
              </w:rPr>
              <w:t>5m高排气筒排放</w:t>
            </w:r>
          </w:p>
        </w:tc>
        <w:tc>
          <w:tcPr>
            <w:tcW w:w="1628" w:type="pct"/>
            <w:vAlign w:val="center"/>
          </w:tcPr>
          <w:p w14:paraId="7F08DABA">
            <w:pPr>
              <w:widowControl/>
              <w:jc w:val="center"/>
              <w:rPr>
                <w:color w:val="auto"/>
                <w:kern w:val="0"/>
              </w:rPr>
            </w:pPr>
            <w:r>
              <w:rPr>
                <w:rFonts w:hint="eastAsia"/>
                <w:color w:val="auto"/>
                <w:kern w:val="0"/>
              </w:rPr>
              <w:t>新建</w:t>
            </w:r>
          </w:p>
        </w:tc>
      </w:tr>
      <w:tr w14:paraId="269BE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0AC0BA50">
            <w:pPr>
              <w:ind w:firstLine="480"/>
              <w:jc w:val="center"/>
              <w:rPr>
                <w:color w:val="auto"/>
              </w:rPr>
            </w:pPr>
          </w:p>
        </w:tc>
        <w:tc>
          <w:tcPr>
            <w:tcW w:w="434" w:type="pct"/>
            <w:vMerge w:val="continue"/>
            <w:vAlign w:val="center"/>
          </w:tcPr>
          <w:p w14:paraId="5102A9E8">
            <w:pPr>
              <w:ind w:firstLine="480"/>
              <w:jc w:val="center"/>
              <w:rPr>
                <w:color w:val="auto"/>
              </w:rPr>
            </w:pPr>
          </w:p>
        </w:tc>
        <w:tc>
          <w:tcPr>
            <w:tcW w:w="778" w:type="pct"/>
            <w:vAlign w:val="center"/>
          </w:tcPr>
          <w:p w14:paraId="501CDE52">
            <w:pPr>
              <w:widowControl/>
              <w:jc w:val="center"/>
              <w:rPr>
                <w:rFonts w:hint="eastAsia" w:eastAsia="宋体"/>
                <w:color w:val="auto"/>
                <w:kern w:val="0"/>
                <w:lang w:val="en-US" w:eastAsia="zh-CN"/>
              </w:rPr>
            </w:pPr>
            <w:r>
              <w:rPr>
                <w:rFonts w:hint="eastAsia"/>
                <w:color w:val="auto"/>
                <w:kern w:val="0"/>
                <w:lang w:val="en-US" w:eastAsia="zh-CN"/>
              </w:rPr>
              <w:t>污水处理</w:t>
            </w:r>
          </w:p>
        </w:tc>
        <w:tc>
          <w:tcPr>
            <w:tcW w:w="1780" w:type="pct"/>
            <w:vAlign w:val="center"/>
          </w:tcPr>
          <w:p w14:paraId="0D3933C1">
            <w:pPr>
              <w:widowControl/>
              <w:jc w:val="center"/>
              <w:rPr>
                <w:rFonts w:hint="default"/>
                <w:color w:val="auto"/>
                <w:kern w:val="0"/>
                <w:lang w:val="en-US" w:eastAsia="zh-CN"/>
              </w:rPr>
            </w:pPr>
            <w:r>
              <w:rPr>
                <w:rFonts w:hint="eastAsia"/>
                <w:color w:val="auto"/>
                <w:kern w:val="0"/>
                <w:lang w:val="en-US" w:eastAsia="zh-CN"/>
              </w:rPr>
              <w:t>生产废水经自建污水处理设施，采用“絮凝沉淀+中和+A/O”工艺处理后纳管排放，生活污水经园区内化粪池预处理后纳管排放</w:t>
            </w:r>
          </w:p>
        </w:tc>
        <w:tc>
          <w:tcPr>
            <w:tcW w:w="1628" w:type="pct"/>
            <w:vAlign w:val="center"/>
          </w:tcPr>
          <w:p w14:paraId="295C44D9">
            <w:pPr>
              <w:widowControl/>
              <w:jc w:val="center"/>
              <w:rPr>
                <w:rFonts w:hint="default" w:eastAsia="宋体"/>
                <w:color w:val="auto"/>
                <w:kern w:val="0"/>
                <w:lang w:val="en-US" w:eastAsia="zh-CN"/>
              </w:rPr>
            </w:pPr>
            <w:r>
              <w:rPr>
                <w:rFonts w:hint="eastAsia"/>
                <w:color w:val="auto"/>
                <w:kern w:val="0"/>
                <w:lang w:val="en-US" w:eastAsia="zh-CN"/>
              </w:rPr>
              <w:t>新建1座生产废水处理设施，化粪池依托园区内现有</w:t>
            </w:r>
          </w:p>
        </w:tc>
      </w:tr>
      <w:tr w14:paraId="2D99E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6A88438A">
            <w:pPr>
              <w:widowControl/>
              <w:jc w:val="center"/>
              <w:rPr>
                <w:color w:val="auto"/>
                <w:kern w:val="0"/>
              </w:rPr>
            </w:pPr>
          </w:p>
        </w:tc>
        <w:tc>
          <w:tcPr>
            <w:tcW w:w="434" w:type="pct"/>
            <w:vMerge w:val="continue"/>
            <w:vAlign w:val="center"/>
          </w:tcPr>
          <w:p w14:paraId="27144B0E">
            <w:pPr>
              <w:widowControl/>
              <w:jc w:val="center"/>
              <w:rPr>
                <w:color w:val="auto"/>
                <w:kern w:val="0"/>
              </w:rPr>
            </w:pPr>
          </w:p>
        </w:tc>
        <w:tc>
          <w:tcPr>
            <w:tcW w:w="778" w:type="pct"/>
            <w:vAlign w:val="center"/>
          </w:tcPr>
          <w:p w14:paraId="50901FA4">
            <w:pPr>
              <w:widowControl/>
              <w:jc w:val="center"/>
              <w:rPr>
                <w:color w:val="auto"/>
                <w:kern w:val="0"/>
              </w:rPr>
            </w:pPr>
            <w:r>
              <w:rPr>
                <w:rFonts w:hint="eastAsia"/>
                <w:color w:val="auto"/>
                <w:kern w:val="0"/>
              </w:rPr>
              <w:t>一般仓库</w:t>
            </w:r>
          </w:p>
        </w:tc>
        <w:tc>
          <w:tcPr>
            <w:tcW w:w="1780" w:type="pct"/>
            <w:vAlign w:val="center"/>
          </w:tcPr>
          <w:p w14:paraId="441AC253">
            <w:pPr>
              <w:jc w:val="center"/>
              <w:rPr>
                <w:color w:val="auto"/>
                <w:kern w:val="0"/>
              </w:rPr>
            </w:pPr>
            <w:r>
              <w:rPr>
                <w:rFonts w:hint="eastAsia"/>
                <w:color w:val="auto"/>
                <w:kern w:val="0"/>
              </w:rPr>
              <w:t>一般固废仓库</w:t>
            </w:r>
          </w:p>
        </w:tc>
        <w:tc>
          <w:tcPr>
            <w:tcW w:w="1628" w:type="pct"/>
            <w:vAlign w:val="center"/>
          </w:tcPr>
          <w:p w14:paraId="519DCBA2">
            <w:pPr>
              <w:widowControl/>
              <w:jc w:val="center"/>
              <w:rPr>
                <w:rFonts w:hint="default" w:eastAsia="宋体"/>
                <w:color w:val="auto"/>
                <w:kern w:val="0"/>
                <w:lang w:val="en-US" w:eastAsia="zh-CN"/>
              </w:rPr>
            </w:pPr>
            <w:r>
              <w:rPr>
                <w:rFonts w:hint="eastAsia"/>
                <w:color w:val="auto"/>
                <w:kern w:val="0"/>
              </w:rPr>
              <w:t>车间内规划区域</w:t>
            </w:r>
            <w:r>
              <w:rPr>
                <w:rFonts w:hint="eastAsia"/>
                <w:color w:val="auto"/>
                <w:kern w:val="0"/>
                <w:lang w:eastAsia="zh-CN"/>
              </w:rPr>
              <w:t>，</w:t>
            </w:r>
            <w:r>
              <w:rPr>
                <w:rFonts w:hint="eastAsia"/>
                <w:color w:val="auto"/>
                <w:kern w:val="0"/>
                <w:lang w:val="en-US" w:eastAsia="zh-CN"/>
              </w:rPr>
              <w:t>车间1层东北侧约50m</w:t>
            </w:r>
            <w:r>
              <w:rPr>
                <w:rFonts w:hint="eastAsia"/>
                <w:color w:val="auto"/>
                <w:kern w:val="0"/>
                <w:vertAlign w:val="superscript"/>
                <w:lang w:val="en-US" w:eastAsia="zh-CN"/>
              </w:rPr>
              <w:t>2</w:t>
            </w:r>
          </w:p>
        </w:tc>
      </w:tr>
      <w:tr w14:paraId="3EE1F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04F62628">
            <w:pPr>
              <w:widowControl/>
              <w:jc w:val="center"/>
              <w:rPr>
                <w:color w:val="auto"/>
                <w:kern w:val="0"/>
              </w:rPr>
            </w:pPr>
          </w:p>
        </w:tc>
        <w:tc>
          <w:tcPr>
            <w:tcW w:w="434" w:type="pct"/>
            <w:vMerge w:val="continue"/>
            <w:vAlign w:val="center"/>
          </w:tcPr>
          <w:p w14:paraId="7222743E">
            <w:pPr>
              <w:widowControl/>
              <w:jc w:val="center"/>
              <w:rPr>
                <w:color w:val="auto"/>
                <w:kern w:val="0"/>
              </w:rPr>
            </w:pPr>
          </w:p>
        </w:tc>
        <w:tc>
          <w:tcPr>
            <w:tcW w:w="778" w:type="pct"/>
            <w:vAlign w:val="center"/>
          </w:tcPr>
          <w:p w14:paraId="2ED252B4">
            <w:pPr>
              <w:widowControl/>
              <w:jc w:val="center"/>
              <w:rPr>
                <w:color w:val="auto"/>
                <w:kern w:val="0"/>
              </w:rPr>
            </w:pPr>
            <w:r>
              <w:rPr>
                <w:color w:val="auto"/>
                <w:kern w:val="0"/>
              </w:rPr>
              <w:t>危</w:t>
            </w:r>
            <w:r>
              <w:rPr>
                <w:rFonts w:hint="eastAsia"/>
                <w:color w:val="auto"/>
                <w:kern w:val="0"/>
              </w:rPr>
              <w:t>废</w:t>
            </w:r>
            <w:r>
              <w:rPr>
                <w:color w:val="auto"/>
                <w:kern w:val="0"/>
              </w:rPr>
              <w:t>暂存</w:t>
            </w:r>
          </w:p>
        </w:tc>
        <w:tc>
          <w:tcPr>
            <w:tcW w:w="1780" w:type="pct"/>
            <w:vAlign w:val="center"/>
          </w:tcPr>
          <w:p w14:paraId="55BB97AF">
            <w:pPr>
              <w:widowControl/>
              <w:jc w:val="center"/>
              <w:rPr>
                <w:color w:val="auto"/>
                <w:kern w:val="0"/>
              </w:rPr>
            </w:pPr>
            <w:r>
              <w:rPr>
                <w:color w:val="auto"/>
                <w:kern w:val="0"/>
              </w:rPr>
              <w:t>危废仓库</w:t>
            </w:r>
          </w:p>
        </w:tc>
        <w:tc>
          <w:tcPr>
            <w:tcW w:w="1628" w:type="pct"/>
            <w:vAlign w:val="center"/>
          </w:tcPr>
          <w:p w14:paraId="18B6FBAE">
            <w:pPr>
              <w:jc w:val="center"/>
              <w:rPr>
                <w:color w:val="auto"/>
                <w:kern w:val="0"/>
              </w:rPr>
            </w:pPr>
            <w:r>
              <w:rPr>
                <w:rFonts w:hint="eastAsia"/>
                <w:color w:val="auto"/>
                <w:kern w:val="0"/>
              </w:rPr>
              <w:t>车间内规划区域</w:t>
            </w:r>
            <w:r>
              <w:rPr>
                <w:rFonts w:hint="eastAsia"/>
                <w:color w:val="auto"/>
                <w:kern w:val="0"/>
                <w:lang w:eastAsia="zh-CN"/>
              </w:rPr>
              <w:t>，</w:t>
            </w:r>
            <w:r>
              <w:rPr>
                <w:rFonts w:hint="eastAsia"/>
                <w:color w:val="auto"/>
                <w:kern w:val="0"/>
                <w:lang w:val="en-US" w:eastAsia="zh-CN"/>
              </w:rPr>
              <w:t>车间4层中部约30m</w:t>
            </w:r>
            <w:r>
              <w:rPr>
                <w:rFonts w:hint="eastAsia"/>
                <w:color w:val="auto"/>
                <w:kern w:val="0"/>
                <w:vertAlign w:val="superscript"/>
                <w:lang w:val="en-US" w:eastAsia="zh-CN"/>
              </w:rPr>
              <w:t>2</w:t>
            </w:r>
          </w:p>
        </w:tc>
      </w:tr>
    </w:tbl>
    <w:p w14:paraId="7D3F36BF">
      <w:pPr>
        <w:pStyle w:val="122"/>
        <w:ind w:firstLine="0" w:firstLineChars="0"/>
        <w:outlineLvl w:val="2"/>
        <w:rPr>
          <w:b/>
          <w:color w:val="auto"/>
        </w:rPr>
      </w:pPr>
      <w:r>
        <w:rPr>
          <w:rFonts w:hint="eastAsia"/>
          <w:b/>
          <w:color w:val="auto"/>
        </w:rPr>
        <w:t>1</w:t>
      </w:r>
      <w:r>
        <w:rPr>
          <w:b/>
          <w:color w:val="auto"/>
        </w:rPr>
        <w:t>.2</w:t>
      </w:r>
      <w:r>
        <w:rPr>
          <w:rFonts w:hint="eastAsia"/>
          <w:b/>
          <w:color w:val="auto"/>
        </w:rPr>
        <w:t>项目产品方案</w:t>
      </w:r>
    </w:p>
    <w:p w14:paraId="7D24278F">
      <w:pPr>
        <w:adjustRightInd w:val="0"/>
        <w:snapToGrid w:val="0"/>
        <w:spacing w:line="360" w:lineRule="auto"/>
        <w:ind w:firstLine="480" w:firstLineChars="200"/>
        <w:rPr>
          <w:color w:val="auto"/>
          <w:sz w:val="24"/>
        </w:rPr>
      </w:pPr>
      <w:r>
        <w:rPr>
          <w:rFonts w:hint="eastAsia"/>
          <w:color w:val="auto"/>
          <w:sz w:val="24"/>
        </w:rPr>
        <w:t>本项目建成后预计形成年产200台（套）圆锯床及200万片锯片的生产能力</w:t>
      </w:r>
      <w:r>
        <w:rPr>
          <w:color w:val="auto"/>
          <w:sz w:val="24"/>
        </w:rPr>
        <w:t>。</w:t>
      </w:r>
    </w:p>
    <w:p w14:paraId="6F0E819F">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表2</w:t>
      </w:r>
      <w:r>
        <w:rPr>
          <w:rFonts w:hint="eastAsia"/>
          <w:color w:val="auto"/>
        </w:rPr>
        <w:t>产品方</w:t>
      </w:r>
      <w:r>
        <w:rPr>
          <w:color w:val="auto"/>
        </w:rPr>
        <w:t>案</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9"/>
        <w:gridCol w:w="5471"/>
        <w:gridCol w:w="1905"/>
        <w:gridCol w:w="1189"/>
      </w:tblGrid>
      <w:tr w14:paraId="2259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9" w:type="pct"/>
            <w:vAlign w:val="center"/>
          </w:tcPr>
          <w:p w14:paraId="1A8FA787">
            <w:pPr>
              <w:widowControl/>
              <w:spacing w:line="240" w:lineRule="exact"/>
              <w:jc w:val="center"/>
              <w:rPr>
                <w:rFonts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产品名称</w:t>
            </w:r>
          </w:p>
        </w:tc>
        <w:tc>
          <w:tcPr>
            <w:tcW w:w="2803" w:type="pct"/>
            <w:vAlign w:val="center"/>
          </w:tcPr>
          <w:p w14:paraId="141A95C6">
            <w:pPr>
              <w:widowControl/>
              <w:spacing w:line="24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规格型号</w:t>
            </w:r>
          </w:p>
        </w:tc>
        <w:tc>
          <w:tcPr>
            <w:tcW w:w="976" w:type="pct"/>
            <w:vAlign w:val="center"/>
          </w:tcPr>
          <w:p w14:paraId="5AF09B74">
            <w:pPr>
              <w:widowControl/>
              <w:spacing w:line="240" w:lineRule="exact"/>
              <w:jc w:val="center"/>
              <w:rPr>
                <w:rFonts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生产规模</w:t>
            </w:r>
          </w:p>
        </w:tc>
        <w:tc>
          <w:tcPr>
            <w:tcW w:w="609" w:type="pct"/>
            <w:vAlign w:val="center"/>
          </w:tcPr>
          <w:p w14:paraId="7986B91D">
            <w:pPr>
              <w:widowControl/>
              <w:spacing w:line="240" w:lineRule="exact"/>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产品名称</w:t>
            </w:r>
          </w:p>
        </w:tc>
      </w:tr>
      <w:tr w14:paraId="5A40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9" w:type="pct"/>
            <w:vAlign w:val="center"/>
          </w:tcPr>
          <w:p w14:paraId="5D8616D4">
            <w:pPr>
              <w:widowControl/>
              <w:spacing w:line="240" w:lineRule="exact"/>
              <w:jc w:val="center"/>
              <w:rPr>
                <w:rFonts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圆锯床</w:t>
            </w:r>
          </w:p>
        </w:tc>
        <w:tc>
          <w:tcPr>
            <w:tcW w:w="2803" w:type="pct"/>
            <w:vAlign w:val="center"/>
          </w:tcPr>
          <w:p w14:paraId="7C26AFCF">
            <w:pPr>
              <w:widowControl/>
              <w:spacing w:line="24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XS-P50/XS-P75/XS-P100等非标定制款</w:t>
            </w:r>
          </w:p>
        </w:tc>
        <w:tc>
          <w:tcPr>
            <w:tcW w:w="976" w:type="pct"/>
            <w:vAlign w:val="center"/>
          </w:tcPr>
          <w:p w14:paraId="73338E82">
            <w:pPr>
              <w:widowControl/>
              <w:spacing w:line="240" w:lineRule="exact"/>
              <w:jc w:val="center"/>
              <w:rPr>
                <w:rFonts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200台（套）/年</w:t>
            </w:r>
          </w:p>
        </w:tc>
        <w:tc>
          <w:tcPr>
            <w:tcW w:w="609" w:type="pct"/>
            <w:vAlign w:val="center"/>
          </w:tcPr>
          <w:p w14:paraId="59742E8C">
            <w:pPr>
              <w:widowControl/>
              <w:spacing w:line="240" w:lineRule="exact"/>
              <w:jc w:val="center"/>
              <w:rPr>
                <w:rFonts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圆锯床</w:t>
            </w:r>
          </w:p>
        </w:tc>
      </w:tr>
      <w:tr w14:paraId="5C8E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9" w:type="pct"/>
            <w:vAlign w:val="center"/>
          </w:tcPr>
          <w:p w14:paraId="7187A030">
            <w:pPr>
              <w:widowControl/>
              <w:spacing w:line="24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配套零部件（锯片）</w:t>
            </w:r>
          </w:p>
        </w:tc>
        <w:tc>
          <w:tcPr>
            <w:tcW w:w="2803" w:type="pct"/>
            <w:vAlign w:val="center"/>
          </w:tcPr>
          <w:p w14:paraId="7B195010">
            <w:pPr>
              <w:widowControl/>
              <w:spacing w:line="24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∮160/∮230/∮285/∮305等（根据客户配套需求）</w:t>
            </w:r>
          </w:p>
        </w:tc>
        <w:tc>
          <w:tcPr>
            <w:tcW w:w="976" w:type="pct"/>
            <w:vAlign w:val="center"/>
          </w:tcPr>
          <w:p w14:paraId="1521751E">
            <w:pPr>
              <w:widowControl/>
              <w:spacing w:line="240" w:lineRule="exact"/>
              <w:jc w:val="center"/>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eastAsia="zh-CN"/>
              </w:rPr>
              <w:t>200万片</w:t>
            </w:r>
            <w:r>
              <w:rPr>
                <w:rFonts w:hint="eastAsia" w:ascii="Times New Roman" w:hAnsi="Times New Roman" w:eastAsia="宋体" w:cs="Times New Roman"/>
                <w:sz w:val="21"/>
                <w:szCs w:val="21"/>
                <w:lang w:val="en-US" w:eastAsia="zh-CN"/>
              </w:rPr>
              <w:t>/年</w:t>
            </w:r>
          </w:p>
        </w:tc>
        <w:tc>
          <w:tcPr>
            <w:tcW w:w="609" w:type="pct"/>
            <w:vAlign w:val="center"/>
          </w:tcPr>
          <w:p w14:paraId="0624C1D8">
            <w:pPr>
              <w:widowControl/>
              <w:spacing w:line="240" w:lineRule="exact"/>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锯片</w:t>
            </w:r>
          </w:p>
        </w:tc>
      </w:tr>
    </w:tbl>
    <w:p w14:paraId="6F9F22DC">
      <w:pPr>
        <w:pStyle w:val="122"/>
        <w:ind w:firstLine="0" w:firstLineChars="0"/>
        <w:outlineLvl w:val="2"/>
        <w:rPr>
          <w:b/>
          <w:color w:val="auto"/>
        </w:rPr>
      </w:pPr>
      <w:r>
        <w:rPr>
          <w:rFonts w:hint="eastAsia"/>
          <w:b/>
          <w:color w:val="auto"/>
        </w:rPr>
        <w:t>1</w:t>
      </w:r>
      <w:r>
        <w:rPr>
          <w:b/>
          <w:color w:val="auto"/>
        </w:rPr>
        <w:t>.3</w:t>
      </w:r>
      <w:r>
        <w:rPr>
          <w:rFonts w:hint="eastAsia"/>
          <w:b/>
          <w:color w:val="auto"/>
        </w:rPr>
        <w:t>主要原辅材料消耗清单</w:t>
      </w:r>
    </w:p>
    <w:p w14:paraId="4709392C">
      <w:pPr>
        <w:pStyle w:val="122"/>
        <w:ind w:firstLine="480"/>
        <w:rPr>
          <w:color w:val="auto"/>
        </w:rPr>
      </w:pPr>
      <w:bookmarkStart w:id="30" w:name="_Hlk156825232"/>
      <w:r>
        <w:rPr>
          <w:rFonts w:hint="eastAsia"/>
          <w:color w:val="auto"/>
        </w:rPr>
        <w:t>本项目原辅材料消耗汇总表见表3。</w:t>
      </w:r>
    </w:p>
    <w:p w14:paraId="47E33283">
      <w:pPr>
        <w:pStyle w:val="116"/>
        <w:numPr>
          <w:ilvl w:val="0"/>
          <w:numId w:val="0"/>
        </w:numPr>
        <w:spacing w:before="0" w:beforeLines="0"/>
        <w:ind w:left="0" w:leftChars="0" w:hanging="420" w:firstLineChars="0"/>
        <w:rPr>
          <w:color w:val="auto"/>
        </w:rPr>
      </w:pPr>
      <w:bookmarkStart w:id="31" w:name="_Hlk124943600"/>
      <w:r>
        <w:rPr>
          <w:rFonts w:hint="eastAsia" w:ascii="Times New Roman" w:hAnsi="Times New Roman" w:eastAsia="宋体" w:cs="Times New Roman"/>
          <w:b/>
          <w:color w:val="auto"/>
          <w:kern w:val="2"/>
          <w:sz w:val="21"/>
          <w:szCs w:val="21"/>
          <w:lang w:val="zh-CN" w:eastAsia="zh-CN" w:bidi="ar-SA"/>
        </w:rPr>
        <w:t>表3</w:t>
      </w:r>
      <w:r>
        <w:rPr>
          <w:rFonts w:hint="eastAsia"/>
          <w:color w:val="auto"/>
        </w:rPr>
        <w:t>本项目</w:t>
      </w:r>
      <w:r>
        <w:rPr>
          <w:color w:val="auto"/>
        </w:rPr>
        <w:t>原辅材料</w:t>
      </w:r>
      <w:r>
        <w:rPr>
          <w:rFonts w:hint="eastAsia"/>
          <w:color w:val="auto"/>
        </w:rPr>
        <w:t xml:space="preserve">消耗汇总表 </w:t>
      </w:r>
      <w:r>
        <w:rPr>
          <w:color w:val="auto"/>
        </w:rPr>
        <w:t xml:space="preserve"> </w:t>
      </w:r>
    </w:p>
    <w:bookmarkEnd w:id="30"/>
    <w:bookmarkEnd w:id="31"/>
    <w:tbl>
      <w:tblPr>
        <w:tblStyle w:val="8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742"/>
        <w:gridCol w:w="2276"/>
        <w:gridCol w:w="1899"/>
        <w:gridCol w:w="1167"/>
        <w:gridCol w:w="1370"/>
        <w:gridCol w:w="1795"/>
      </w:tblGrid>
      <w:tr w14:paraId="60A7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Merge w:val="restart"/>
            <w:noWrap w:val="0"/>
            <w:vAlign w:val="center"/>
          </w:tcPr>
          <w:p w14:paraId="05DE9E35">
            <w:pPr>
              <w:widowControl/>
              <w:spacing w:line="240" w:lineRule="exact"/>
              <w:jc w:val="center"/>
              <w:rPr>
                <w:rFonts w:eastAsia="宋体"/>
                <w:sz w:val="21"/>
                <w:szCs w:val="21"/>
              </w:rPr>
            </w:pPr>
            <w:r>
              <w:rPr>
                <w:rFonts w:eastAsia="宋体"/>
                <w:sz w:val="21"/>
                <w:szCs w:val="21"/>
              </w:rPr>
              <w:t>序号</w:t>
            </w:r>
          </w:p>
        </w:tc>
        <w:tc>
          <w:tcPr>
            <w:tcW w:w="380" w:type="pct"/>
            <w:vMerge w:val="restart"/>
            <w:noWrap w:val="0"/>
            <w:vAlign w:val="center"/>
          </w:tcPr>
          <w:p w14:paraId="15708B27">
            <w:pPr>
              <w:widowControl/>
              <w:spacing w:line="240" w:lineRule="exact"/>
              <w:jc w:val="center"/>
              <w:rPr>
                <w:rFonts w:eastAsia="宋体"/>
                <w:sz w:val="21"/>
                <w:szCs w:val="21"/>
              </w:rPr>
            </w:pPr>
            <w:r>
              <w:rPr>
                <w:rFonts w:eastAsia="宋体"/>
                <w:sz w:val="21"/>
                <w:szCs w:val="21"/>
              </w:rPr>
              <w:t>生产线</w:t>
            </w:r>
          </w:p>
        </w:tc>
        <w:tc>
          <w:tcPr>
            <w:tcW w:w="1166" w:type="pct"/>
            <w:vMerge w:val="restart"/>
            <w:noWrap w:val="0"/>
            <w:vAlign w:val="center"/>
          </w:tcPr>
          <w:p w14:paraId="457E7988">
            <w:pPr>
              <w:widowControl/>
              <w:spacing w:line="240" w:lineRule="exact"/>
              <w:jc w:val="center"/>
              <w:rPr>
                <w:rFonts w:eastAsia="宋体"/>
                <w:sz w:val="21"/>
                <w:szCs w:val="21"/>
              </w:rPr>
            </w:pPr>
            <w:r>
              <w:rPr>
                <w:rFonts w:eastAsia="宋体"/>
                <w:sz w:val="21"/>
                <w:szCs w:val="21"/>
              </w:rPr>
              <w:t>名称</w:t>
            </w:r>
          </w:p>
        </w:tc>
        <w:tc>
          <w:tcPr>
            <w:tcW w:w="1571" w:type="pct"/>
            <w:gridSpan w:val="2"/>
            <w:noWrap w:val="0"/>
            <w:vAlign w:val="center"/>
          </w:tcPr>
          <w:p w14:paraId="1BB23695">
            <w:pPr>
              <w:widowControl/>
              <w:spacing w:line="240" w:lineRule="exact"/>
              <w:jc w:val="center"/>
              <w:rPr>
                <w:rFonts w:eastAsia="宋体"/>
                <w:sz w:val="21"/>
                <w:szCs w:val="21"/>
              </w:rPr>
            </w:pPr>
            <w:r>
              <w:rPr>
                <w:rFonts w:eastAsia="宋体"/>
                <w:sz w:val="21"/>
                <w:szCs w:val="21"/>
              </w:rPr>
              <w:t>年消耗量</w:t>
            </w:r>
          </w:p>
        </w:tc>
        <w:tc>
          <w:tcPr>
            <w:tcW w:w="702" w:type="pct"/>
            <w:vMerge w:val="restart"/>
            <w:noWrap w:val="0"/>
            <w:vAlign w:val="center"/>
          </w:tcPr>
          <w:p w14:paraId="3CBDBD6B">
            <w:pPr>
              <w:widowControl/>
              <w:spacing w:line="240" w:lineRule="exact"/>
              <w:jc w:val="center"/>
              <w:rPr>
                <w:rFonts w:eastAsia="宋体"/>
                <w:sz w:val="21"/>
                <w:szCs w:val="21"/>
              </w:rPr>
            </w:pPr>
            <w:r>
              <w:rPr>
                <w:rFonts w:eastAsia="宋体"/>
                <w:sz w:val="21"/>
                <w:szCs w:val="21"/>
              </w:rPr>
              <w:t>包装方式</w:t>
            </w:r>
            <w:r>
              <w:rPr>
                <w:rFonts w:hint="eastAsia" w:eastAsia="宋体"/>
                <w:sz w:val="21"/>
                <w:szCs w:val="21"/>
              </w:rPr>
              <w:t>及包装规格</w:t>
            </w:r>
          </w:p>
        </w:tc>
        <w:tc>
          <w:tcPr>
            <w:tcW w:w="920" w:type="pct"/>
            <w:vMerge w:val="restart"/>
            <w:noWrap w:val="0"/>
            <w:vAlign w:val="center"/>
          </w:tcPr>
          <w:p w14:paraId="12A16F57">
            <w:pPr>
              <w:widowControl/>
              <w:spacing w:line="240" w:lineRule="exact"/>
              <w:jc w:val="center"/>
              <w:rPr>
                <w:rFonts w:eastAsia="宋体"/>
                <w:sz w:val="21"/>
                <w:szCs w:val="21"/>
              </w:rPr>
            </w:pPr>
            <w:r>
              <w:rPr>
                <w:rFonts w:eastAsia="宋体"/>
                <w:sz w:val="21"/>
                <w:szCs w:val="21"/>
              </w:rPr>
              <w:t>储存位置</w:t>
            </w:r>
          </w:p>
        </w:tc>
      </w:tr>
      <w:tr w14:paraId="584C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Merge w:val="continue"/>
            <w:noWrap w:val="0"/>
            <w:vAlign w:val="center"/>
          </w:tcPr>
          <w:p w14:paraId="74882116">
            <w:pPr>
              <w:widowControl/>
              <w:spacing w:line="240" w:lineRule="exact"/>
              <w:jc w:val="center"/>
              <w:rPr>
                <w:rFonts w:eastAsia="宋体"/>
                <w:sz w:val="21"/>
                <w:szCs w:val="21"/>
              </w:rPr>
            </w:pPr>
          </w:p>
        </w:tc>
        <w:tc>
          <w:tcPr>
            <w:tcW w:w="380" w:type="pct"/>
            <w:vMerge w:val="continue"/>
            <w:noWrap w:val="0"/>
            <w:vAlign w:val="center"/>
          </w:tcPr>
          <w:p w14:paraId="169F14FD">
            <w:pPr>
              <w:widowControl/>
              <w:spacing w:line="240" w:lineRule="exact"/>
              <w:jc w:val="center"/>
              <w:rPr>
                <w:rFonts w:eastAsia="宋体"/>
                <w:sz w:val="21"/>
                <w:szCs w:val="21"/>
              </w:rPr>
            </w:pPr>
          </w:p>
        </w:tc>
        <w:tc>
          <w:tcPr>
            <w:tcW w:w="1166" w:type="pct"/>
            <w:vMerge w:val="continue"/>
            <w:noWrap w:val="0"/>
            <w:vAlign w:val="center"/>
          </w:tcPr>
          <w:p w14:paraId="32C17EDB">
            <w:pPr>
              <w:widowControl/>
              <w:spacing w:line="240" w:lineRule="exact"/>
              <w:jc w:val="center"/>
              <w:rPr>
                <w:rFonts w:eastAsia="宋体"/>
                <w:sz w:val="21"/>
                <w:szCs w:val="21"/>
              </w:rPr>
            </w:pPr>
          </w:p>
        </w:tc>
        <w:tc>
          <w:tcPr>
            <w:tcW w:w="973" w:type="pct"/>
            <w:noWrap w:val="0"/>
            <w:vAlign w:val="center"/>
          </w:tcPr>
          <w:p w14:paraId="632EBC04">
            <w:pPr>
              <w:widowControl/>
              <w:spacing w:line="240" w:lineRule="exact"/>
              <w:jc w:val="center"/>
              <w:rPr>
                <w:rFonts w:eastAsia="宋体"/>
                <w:sz w:val="21"/>
                <w:szCs w:val="21"/>
              </w:rPr>
            </w:pPr>
            <w:r>
              <w:rPr>
                <w:rFonts w:eastAsia="宋体"/>
                <w:sz w:val="21"/>
                <w:szCs w:val="21"/>
              </w:rPr>
              <w:t>数量</w:t>
            </w:r>
          </w:p>
        </w:tc>
        <w:tc>
          <w:tcPr>
            <w:tcW w:w="598" w:type="pct"/>
            <w:noWrap w:val="0"/>
            <w:vAlign w:val="center"/>
          </w:tcPr>
          <w:p w14:paraId="2E55EE8B">
            <w:pPr>
              <w:widowControl/>
              <w:spacing w:line="240" w:lineRule="exact"/>
              <w:jc w:val="center"/>
              <w:rPr>
                <w:rFonts w:eastAsia="宋体"/>
                <w:sz w:val="21"/>
                <w:szCs w:val="21"/>
              </w:rPr>
            </w:pPr>
            <w:r>
              <w:rPr>
                <w:rFonts w:eastAsia="宋体"/>
                <w:sz w:val="21"/>
                <w:szCs w:val="21"/>
              </w:rPr>
              <w:t>单位</w:t>
            </w:r>
          </w:p>
        </w:tc>
        <w:tc>
          <w:tcPr>
            <w:tcW w:w="702" w:type="pct"/>
            <w:vMerge w:val="continue"/>
            <w:noWrap w:val="0"/>
            <w:vAlign w:val="center"/>
          </w:tcPr>
          <w:p w14:paraId="7A4712FE">
            <w:pPr>
              <w:widowControl/>
              <w:spacing w:line="240" w:lineRule="exact"/>
              <w:jc w:val="center"/>
              <w:rPr>
                <w:rFonts w:eastAsia="宋体"/>
                <w:sz w:val="21"/>
                <w:szCs w:val="21"/>
              </w:rPr>
            </w:pPr>
          </w:p>
        </w:tc>
        <w:tc>
          <w:tcPr>
            <w:tcW w:w="920" w:type="pct"/>
            <w:vMerge w:val="continue"/>
            <w:noWrap w:val="0"/>
            <w:vAlign w:val="center"/>
          </w:tcPr>
          <w:p w14:paraId="55F2B1F8">
            <w:pPr>
              <w:widowControl/>
              <w:spacing w:line="240" w:lineRule="exact"/>
              <w:jc w:val="center"/>
              <w:rPr>
                <w:rFonts w:eastAsia="宋体"/>
                <w:sz w:val="21"/>
                <w:szCs w:val="21"/>
              </w:rPr>
            </w:pPr>
          </w:p>
        </w:tc>
      </w:tr>
      <w:tr w14:paraId="7C48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57" w:type="pct"/>
            <w:noWrap w:val="0"/>
            <w:vAlign w:val="center"/>
          </w:tcPr>
          <w:p w14:paraId="0EB15C65">
            <w:pPr>
              <w:widowControl/>
              <w:spacing w:line="240" w:lineRule="exact"/>
              <w:jc w:val="center"/>
              <w:rPr>
                <w:rFonts w:eastAsia="宋体"/>
                <w:sz w:val="21"/>
                <w:szCs w:val="21"/>
              </w:rPr>
            </w:pPr>
            <w:r>
              <w:rPr>
                <w:rFonts w:eastAsia="宋体"/>
                <w:sz w:val="21"/>
                <w:szCs w:val="21"/>
              </w:rPr>
              <w:t>1</w:t>
            </w:r>
          </w:p>
        </w:tc>
        <w:tc>
          <w:tcPr>
            <w:tcW w:w="380" w:type="pct"/>
            <w:vMerge w:val="restart"/>
            <w:noWrap w:val="0"/>
            <w:vAlign w:val="center"/>
          </w:tcPr>
          <w:p w14:paraId="2D63A03F">
            <w:pPr>
              <w:widowControl/>
              <w:spacing w:line="240" w:lineRule="exact"/>
              <w:jc w:val="center"/>
              <w:rPr>
                <w:rFonts w:eastAsia="宋体"/>
                <w:sz w:val="21"/>
                <w:szCs w:val="21"/>
              </w:rPr>
            </w:pPr>
            <w:r>
              <w:rPr>
                <w:rFonts w:eastAsia="宋体"/>
                <w:sz w:val="21"/>
                <w:szCs w:val="21"/>
              </w:rPr>
              <w:t>圆锯床生产线</w:t>
            </w:r>
          </w:p>
        </w:tc>
        <w:tc>
          <w:tcPr>
            <w:tcW w:w="1166" w:type="pct"/>
            <w:noWrap w:val="0"/>
            <w:vAlign w:val="center"/>
          </w:tcPr>
          <w:p w14:paraId="0CFE9330">
            <w:pPr>
              <w:widowControl/>
              <w:spacing w:line="240" w:lineRule="exact"/>
              <w:jc w:val="center"/>
              <w:rPr>
                <w:rFonts w:eastAsia="宋体"/>
                <w:sz w:val="21"/>
                <w:szCs w:val="21"/>
              </w:rPr>
            </w:pPr>
            <w:r>
              <w:rPr>
                <w:rFonts w:eastAsia="宋体"/>
                <w:sz w:val="21"/>
                <w:szCs w:val="21"/>
              </w:rPr>
              <w:t>金属铸件及各类零部件</w:t>
            </w:r>
          </w:p>
        </w:tc>
        <w:tc>
          <w:tcPr>
            <w:tcW w:w="973" w:type="pct"/>
            <w:noWrap w:val="0"/>
            <w:vAlign w:val="center"/>
          </w:tcPr>
          <w:p w14:paraId="088C53FA">
            <w:pPr>
              <w:widowControl/>
              <w:spacing w:line="240" w:lineRule="exact"/>
              <w:jc w:val="center"/>
              <w:rPr>
                <w:rFonts w:eastAsia="宋体"/>
                <w:sz w:val="21"/>
                <w:szCs w:val="21"/>
              </w:rPr>
            </w:pPr>
            <w:r>
              <w:rPr>
                <w:rFonts w:eastAsia="宋体"/>
                <w:sz w:val="21"/>
                <w:szCs w:val="21"/>
              </w:rPr>
              <w:t>200</w:t>
            </w:r>
          </w:p>
        </w:tc>
        <w:tc>
          <w:tcPr>
            <w:tcW w:w="598" w:type="pct"/>
            <w:noWrap w:val="0"/>
            <w:vAlign w:val="center"/>
          </w:tcPr>
          <w:p w14:paraId="3FBC399A">
            <w:pPr>
              <w:widowControl/>
              <w:spacing w:line="240" w:lineRule="exact"/>
              <w:jc w:val="center"/>
              <w:rPr>
                <w:rFonts w:eastAsia="宋体"/>
                <w:sz w:val="21"/>
                <w:szCs w:val="21"/>
              </w:rPr>
            </w:pPr>
            <w:r>
              <w:rPr>
                <w:rFonts w:eastAsia="宋体"/>
                <w:sz w:val="21"/>
                <w:szCs w:val="21"/>
              </w:rPr>
              <w:t>套</w:t>
            </w:r>
          </w:p>
        </w:tc>
        <w:tc>
          <w:tcPr>
            <w:tcW w:w="702" w:type="pct"/>
            <w:noWrap w:val="0"/>
            <w:vAlign w:val="center"/>
          </w:tcPr>
          <w:p w14:paraId="1A72CC08">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04C046EF">
            <w:pPr>
              <w:widowControl/>
              <w:spacing w:line="240" w:lineRule="exact"/>
              <w:jc w:val="center"/>
              <w:rPr>
                <w:rFonts w:eastAsia="宋体"/>
                <w:sz w:val="21"/>
                <w:szCs w:val="21"/>
              </w:rPr>
            </w:pPr>
            <w:r>
              <w:rPr>
                <w:rFonts w:eastAsia="宋体"/>
                <w:sz w:val="21"/>
                <w:szCs w:val="21"/>
              </w:rPr>
              <w:t>原材料仓</w:t>
            </w:r>
          </w:p>
        </w:tc>
      </w:tr>
      <w:tr w14:paraId="1695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67770D2D">
            <w:pPr>
              <w:widowControl/>
              <w:spacing w:line="240" w:lineRule="exact"/>
              <w:jc w:val="center"/>
              <w:rPr>
                <w:rFonts w:eastAsia="宋体"/>
                <w:sz w:val="21"/>
                <w:szCs w:val="21"/>
              </w:rPr>
            </w:pPr>
            <w:r>
              <w:rPr>
                <w:rFonts w:eastAsia="宋体"/>
                <w:sz w:val="21"/>
                <w:szCs w:val="21"/>
              </w:rPr>
              <w:t>2</w:t>
            </w:r>
          </w:p>
        </w:tc>
        <w:tc>
          <w:tcPr>
            <w:tcW w:w="380" w:type="pct"/>
            <w:vMerge w:val="continue"/>
            <w:noWrap w:val="0"/>
            <w:vAlign w:val="center"/>
          </w:tcPr>
          <w:p w14:paraId="34871013">
            <w:pPr>
              <w:widowControl/>
              <w:spacing w:line="240" w:lineRule="exact"/>
              <w:jc w:val="center"/>
              <w:rPr>
                <w:rFonts w:eastAsia="宋体"/>
                <w:sz w:val="21"/>
                <w:szCs w:val="21"/>
              </w:rPr>
            </w:pPr>
          </w:p>
        </w:tc>
        <w:tc>
          <w:tcPr>
            <w:tcW w:w="1166" w:type="pct"/>
            <w:noWrap w:val="0"/>
            <w:vAlign w:val="center"/>
          </w:tcPr>
          <w:p w14:paraId="03A9BA30">
            <w:pPr>
              <w:widowControl/>
              <w:spacing w:line="240" w:lineRule="exact"/>
              <w:jc w:val="center"/>
              <w:rPr>
                <w:rFonts w:eastAsia="宋体"/>
                <w:sz w:val="21"/>
                <w:szCs w:val="21"/>
              </w:rPr>
            </w:pPr>
            <w:r>
              <w:rPr>
                <w:rFonts w:eastAsia="宋体"/>
                <w:sz w:val="21"/>
                <w:szCs w:val="21"/>
              </w:rPr>
              <w:t>电机</w:t>
            </w:r>
          </w:p>
        </w:tc>
        <w:tc>
          <w:tcPr>
            <w:tcW w:w="973" w:type="pct"/>
            <w:noWrap w:val="0"/>
            <w:vAlign w:val="center"/>
          </w:tcPr>
          <w:p w14:paraId="34ECDE89">
            <w:pPr>
              <w:widowControl/>
              <w:spacing w:line="240" w:lineRule="exact"/>
              <w:jc w:val="center"/>
              <w:rPr>
                <w:rFonts w:eastAsia="宋体"/>
                <w:sz w:val="21"/>
                <w:szCs w:val="21"/>
              </w:rPr>
            </w:pPr>
            <w:r>
              <w:rPr>
                <w:rFonts w:eastAsia="宋体"/>
                <w:sz w:val="21"/>
                <w:szCs w:val="21"/>
              </w:rPr>
              <w:t>200</w:t>
            </w:r>
          </w:p>
        </w:tc>
        <w:tc>
          <w:tcPr>
            <w:tcW w:w="598" w:type="pct"/>
            <w:noWrap w:val="0"/>
            <w:vAlign w:val="center"/>
          </w:tcPr>
          <w:p w14:paraId="5A116D92">
            <w:pPr>
              <w:widowControl/>
              <w:spacing w:line="240" w:lineRule="exact"/>
              <w:jc w:val="center"/>
              <w:rPr>
                <w:rFonts w:eastAsia="宋体"/>
                <w:sz w:val="21"/>
                <w:szCs w:val="21"/>
              </w:rPr>
            </w:pPr>
            <w:r>
              <w:rPr>
                <w:rFonts w:eastAsia="宋体"/>
                <w:sz w:val="21"/>
                <w:szCs w:val="21"/>
              </w:rPr>
              <w:t>台</w:t>
            </w:r>
          </w:p>
        </w:tc>
        <w:tc>
          <w:tcPr>
            <w:tcW w:w="702" w:type="pct"/>
            <w:noWrap w:val="0"/>
            <w:vAlign w:val="center"/>
          </w:tcPr>
          <w:p w14:paraId="4C822F04">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4F72D457">
            <w:pPr>
              <w:widowControl/>
              <w:spacing w:line="240" w:lineRule="exact"/>
              <w:jc w:val="center"/>
              <w:rPr>
                <w:rFonts w:eastAsia="宋体"/>
                <w:sz w:val="21"/>
                <w:szCs w:val="21"/>
              </w:rPr>
            </w:pPr>
            <w:r>
              <w:rPr>
                <w:rFonts w:eastAsia="宋体"/>
                <w:sz w:val="21"/>
                <w:szCs w:val="21"/>
              </w:rPr>
              <w:t>原材料仓</w:t>
            </w:r>
          </w:p>
        </w:tc>
      </w:tr>
      <w:tr w14:paraId="3171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067F49E">
            <w:pPr>
              <w:widowControl/>
              <w:spacing w:line="240" w:lineRule="exact"/>
              <w:jc w:val="center"/>
              <w:rPr>
                <w:rFonts w:eastAsia="宋体"/>
                <w:sz w:val="21"/>
                <w:szCs w:val="21"/>
              </w:rPr>
            </w:pPr>
            <w:r>
              <w:rPr>
                <w:rFonts w:eastAsia="宋体"/>
                <w:sz w:val="21"/>
                <w:szCs w:val="21"/>
              </w:rPr>
              <w:t>3</w:t>
            </w:r>
          </w:p>
        </w:tc>
        <w:tc>
          <w:tcPr>
            <w:tcW w:w="380" w:type="pct"/>
            <w:vMerge w:val="continue"/>
            <w:noWrap w:val="0"/>
            <w:vAlign w:val="center"/>
          </w:tcPr>
          <w:p w14:paraId="359357D2">
            <w:pPr>
              <w:widowControl/>
              <w:spacing w:line="240" w:lineRule="exact"/>
              <w:jc w:val="center"/>
              <w:rPr>
                <w:rFonts w:eastAsia="宋体"/>
                <w:sz w:val="21"/>
                <w:szCs w:val="21"/>
              </w:rPr>
            </w:pPr>
          </w:p>
        </w:tc>
        <w:tc>
          <w:tcPr>
            <w:tcW w:w="1166" w:type="pct"/>
            <w:noWrap w:val="0"/>
            <w:vAlign w:val="center"/>
          </w:tcPr>
          <w:p w14:paraId="439FC335">
            <w:pPr>
              <w:widowControl/>
              <w:spacing w:line="240" w:lineRule="exact"/>
              <w:jc w:val="center"/>
              <w:rPr>
                <w:rFonts w:eastAsia="宋体"/>
                <w:sz w:val="21"/>
                <w:szCs w:val="21"/>
              </w:rPr>
            </w:pPr>
            <w:r>
              <w:rPr>
                <w:rFonts w:eastAsia="宋体"/>
                <w:sz w:val="21"/>
                <w:szCs w:val="21"/>
              </w:rPr>
              <w:t>无铅焊料</w:t>
            </w:r>
          </w:p>
        </w:tc>
        <w:tc>
          <w:tcPr>
            <w:tcW w:w="973" w:type="pct"/>
            <w:noWrap w:val="0"/>
            <w:vAlign w:val="center"/>
          </w:tcPr>
          <w:p w14:paraId="157961DB">
            <w:pPr>
              <w:widowControl/>
              <w:spacing w:line="240" w:lineRule="exact"/>
              <w:jc w:val="center"/>
              <w:rPr>
                <w:rFonts w:eastAsia="宋体"/>
                <w:sz w:val="21"/>
                <w:szCs w:val="21"/>
              </w:rPr>
            </w:pPr>
            <w:r>
              <w:rPr>
                <w:rFonts w:eastAsia="宋体"/>
                <w:sz w:val="21"/>
                <w:szCs w:val="21"/>
              </w:rPr>
              <w:t>0.01</w:t>
            </w:r>
          </w:p>
        </w:tc>
        <w:tc>
          <w:tcPr>
            <w:tcW w:w="598" w:type="pct"/>
            <w:noWrap w:val="0"/>
            <w:vAlign w:val="center"/>
          </w:tcPr>
          <w:p w14:paraId="64C18020">
            <w:pPr>
              <w:widowControl/>
              <w:spacing w:line="240" w:lineRule="exact"/>
              <w:jc w:val="center"/>
              <w:rPr>
                <w:rFonts w:eastAsia="宋体"/>
                <w:sz w:val="21"/>
                <w:szCs w:val="21"/>
              </w:rPr>
            </w:pPr>
            <w:r>
              <w:rPr>
                <w:rFonts w:eastAsia="宋体"/>
                <w:sz w:val="21"/>
                <w:szCs w:val="21"/>
              </w:rPr>
              <w:t>t</w:t>
            </w:r>
          </w:p>
        </w:tc>
        <w:tc>
          <w:tcPr>
            <w:tcW w:w="702" w:type="pct"/>
            <w:noWrap w:val="0"/>
            <w:vAlign w:val="center"/>
          </w:tcPr>
          <w:p w14:paraId="10CB4D83">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59EB6932">
            <w:pPr>
              <w:widowControl/>
              <w:spacing w:line="240" w:lineRule="exact"/>
              <w:jc w:val="center"/>
              <w:rPr>
                <w:rFonts w:eastAsia="宋体"/>
                <w:sz w:val="21"/>
                <w:szCs w:val="21"/>
              </w:rPr>
            </w:pPr>
            <w:r>
              <w:rPr>
                <w:rFonts w:eastAsia="宋体"/>
                <w:sz w:val="21"/>
                <w:szCs w:val="21"/>
              </w:rPr>
              <w:t>原材料仓</w:t>
            </w:r>
          </w:p>
        </w:tc>
      </w:tr>
      <w:tr w14:paraId="4DB8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327B3E1">
            <w:pPr>
              <w:widowControl/>
              <w:spacing w:line="240" w:lineRule="exact"/>
              <w:jc w:val="center"/>
              <w:rPr>
                <w:rFonts w:eastAsia="宋体"/>
                <w:sz w:val="21"/>
                <w:szCs w:val="21"/>
              </w:rPr>
            </w:pPr>
            <w:r>
              <w:rPr>
                <w:rFonts w:eastAsia="宋体"/>
                <w:sz w:val="21"/>
                <w:szCs w:val="21"/>
              </w:rPr>
              <w:t>4</w:t>
            </w:r>
          </w:p>
        </w:tc>
        <w:tc>
          <w:tcPr>
            <w:tcW w:w="380" w:type="pct"/>
            <w:vMerge w:val="restart"/>
            <w:noWrap w:val="0"/>
            <w:vAlign w:val="center"/>
          </w:tcPr>
          <w:p w14:paraId="7CDDF3AE">
            <w:pPr>
              <w:widowControl/>
              <w:spacing w:line="240" w:lineRule="exact"/>
              <w:jc w:val="center"/>
              <w:rPr>
                <w:rFonts w:eastAsia="宋体"/>
                <w:sz w:val="21"/>
                <w:szCs w:val="21"/>
              </w:rPr>
            </w:pPr>
            <w:r>
              <w:rPr>
                <w:rFonts w:eastAsia="宋体"/>
                <w:sz w:val="21"/>
                <w:szCs w:val="21"/>
              </w:rPr>
              <w:t>配套零部件（锯片）生产线</w:t>
            </w:r>
          </w:p>
        </w:tc>
        <w:tc>
          <w:tcPr>
            <w:tcW w:w="1166" w:type="pct"/>
            <w:noWrap w:val="0"/>
            <w:vAlign w:val="center"/>
          </w:tcPr>
          <w:p w14:paraId="57DC3B6F">
            <w:pPr>
              <w:widowControl/>
              <w:spacing w:line="240" w:lineRule="exact"/>
              <w:jc w:val="center"/>
              <w:rPr>
                <w:rFonts w:eastAsia="宋体"/>
                <w:sz w:val="21"/>
                <w:szCs w:val="21"/>
              </w:rPr>
            </w:pPr>
            <w:r>
              <w:rPr>
                <w:rFonts w:eastAsia="宋体"/>
                <w:sz w:val="21"/>
                <w:szCs w:val="21"/>
              </w:rPr>
              <w:t>钢板</w:t>
            </w:r>
          </w:p>
        </w:tc>
        <w:tc>
          <w:tcPr>
            <w:tcW w:w="973" w:type="pct"/>
            <w:noWrap w:val="0"/>
            <w:vAlign w:val="center"/>
          </w:tcPr>
          <w:p w14:paraId="743A7A7C">
            <w:pPr>
              <w:widowControl/>
              <w:spacing w:line="240" w:lineRule="exact"/>
              <w:jc w:val="center"/>
              <w:rPr>
                <w:rFonts w:eastAsia="宋体"/>
                <w:sz w:val="21"/>
                <w:szCs w:val="21"/>
              </w:rPr>
            </w:pPr>
            <w:r>
              <w:rPr>
                <w:rFonts w:hint="eastAsia" w:eastAsia="宋体"/>
                <w:sz w:val="21"/>
                <w:szCs w:val="21"/>
              </w:rPr>
              <w:t>460</w:t>
            </w:r>
          </w:p>
        </w:tc>
        <w:tc>
          <w:tcPr>
            <w:tcW w:w="598" w:type="pct"/>
            <w:noWrap w:val="0"/>
            <w:vAlign w:val="center"/>
          </w:tcPr>
          <w:p w14:paraId="5C07F216">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798141FD">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2CB0C4BB">
            <w:pPr>
              <w:widowControl/>
              <w:spacing w:line="240" w:lineRule="exact"/>
              <w:jc w:val="center"/>
              <w:rPr>
                <w:rFonts w:eastAsia="宋体"/>
                <w:sz w:val="21"/>
                <w:szCs w:val="21"/>
              </w:rPr>
            </w:pPr>
            <w:r>
              <w:rPr>
                <w:rFonts w:eastAsia="宋体"/>
                <w:sz w:val="21"/>
                <w:szCs w:val="21"/>
              </w:rPr>
              <w:t>原材料仓</w:t>
            </w:r>
          </w:p>
        </w:tc>
      </w:tr>
      <w:tr w14:paraId="4280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6440AD85">
            <w:pPr>
              <w:widowControl/>
              <w:spacing w:line="240" w:lineRule="exact"/>
              <w:jc w:val="center"/>
              <w:rPr>
                <w:rFonts w:eastAsia="宋体"/>
                <w:sz w:val="21"/>
                <w:szCs w:val="21"/>
              </w:rPr>
            </w:pPr>
            <w:r>
              <w:rPr>
                <w:rFonts w:eastAsia="宋体"/>
                <w:sz w:val="21"/>
                <w:szCs w:val="21"/>
              </w:rPr>
              <w:t>5</w:t>
            </w:r>
          </w:p>
        </w:tc>
        <w:tc>
          <w:tcPr>
            <w:tcW w:w="380" w:type="pct"/>
            <w:vMerge w:val="continue"/>
            <w:noWrap w:val="0"/>
            <w:vAlign w:val="center"/>
          </w:tcPr>
          <w:p w14:paraId="0B0C7B2C">
            <w:pPr>
              <w:widowControl/>
              <w:spacing w:line="240" w:lineRule="exact"/>
              <w:jc w:val="center"/>
              <w:rPr>
                <w:rFonts w:eastAsia="宋体"/>
                <w:sz w:val="21"/>
                <w:szCs w:val="21"/>
              </w:rPr>
            </w:pPr>
          </w:p>
        </w:tc>
        <w:tc>
          <w:tcPr>
            <w:tcW w:w="1166" w:type="pct"/>
            <w:noWrap w:val="0"/>
            <w:vAlign w:val="center"/>
          </w:tcPr>
          <w:p w14:paraId="25EA69C9">
            <w:pPr>
              <w:widowControl/>
              <w:spacing w:line="240" w:lineRule="exact"/>
              <w:jc w:val="center"/>
              <w:rPr>
                <w:rFonts w:eastAsia="宋体"/>
                <w:sz w:val="21"/>
                <w:szCs w:val="21"/>
              </w:rPr>
            </w:pPr>
            <w:r>
              <w:rPr>
                <w:rFonts w:eastAsia="宋体"/>
                <w:sz w:val="21"/>
                <w:szCs w:val="21"/>
              </w:rPr>
              <w:t>合金刀头</w:t>
            </w:r>
          </w:p>
        </w:tc>
        <w:tc>
          <w:tcPr>
            <w:tcW w:w="973" w:type="pct"/>
            <w:noWrap w:val="0"/>
            <w:vAlign w:val="center"/>
          </w:tcPr>
          <w:p w14:paraId="1E48140B">
            <w:pPr>
              <w:widowControl/>
              <w:spacing w:line="240" w:lineRule="exact"/>
              <w:jc w:val="center"/>
              <w:rPr>
                <w:rFonts w:eastAsia="宋体"/>
                <w:sz w:val="21"/>
                <w:szCs w:val="21"/>
              </w:rPr>
            </w:pPr>
            <w:r>
              <w:rPr>
                <w:rFonts w:hint="eastAsia" w:eastAsia="宋体"/>
                <w:sz w:val="21"/>
                <w:szCs w:val="21"/>
              </w:rPr>
              <w:t>22</w:t>
            </w:r>
          </w:p>
        </w:tc>
        <w:tc>
          <w:tcPr>
            <w:tcW w:w="598" w:type="pct"/>
            <w:noWrap w:val="0"/>
            <w:vAlign w:val="center"/>
          </w:tcPr>
          <w:p w14:paraId="20047782">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10C5BF0F">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194BB96A">
            <w:pPr>
              <w:widowControl/>
              <w:spacing w:line="240" w:lineRule="exact"/>
              <w:jc w:val="center"/>
              <w:rPr>
                <w:rFonts w:eastAsia="宋体"/>
                <w:sz w:val="21"/>
                <w:szCs w:val="21"/>
              </w:rPr>
            </w:pPr>
            <w:r>
              <w:rPr>
                <w:rFonts w:eastAsia="宋体"/>
                <w:sz w:val="21"/>
                <w:szCs w:val="21"/>
              </w:rPr>
              <w:t>原材料仓</w:t>
            </w:r>
          </w:p>
        </w:tc>
      </w:tr>
      <w:tr w14:paraId="13E2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3832ACDF">
            <w:pPr>
              <w:widowControl/>
              <w:spacing w:line="240" w:lineRule="exact"/>
              <w:jc w:val="center"/>
              <w:rPr>
                <w:rFonts w:eastAsia="宋体"/>
                <w:sz w:val="21"/>
                <w:szCs w:val="21"/>
              </w:rPr>
            </w:pPr>
            <w:r>
              <w:rPr>
                <w:rFonts w:eastAsia="宋体"/>
                <w:sz w:val="21"/>
                <w:szCs w:val="21"/>
              </w:rPr>
              <w:t>6</w:t>
            </w:r>
          </w:p>
        </w:tc>
        <w:tc>
          <w:tcPr>
            <w:tcW w:w="380" w:type="pct"/>
            <w:vMerge w:val="continue"/>
            <w:noWrap w:val="0"/>
            <w:vAlign w:val="center"/>
          </w:tcPr>
          <w:p w14:paraId="61A41E59">
            <w:pPr>
              <w:widowControl/>
              <w:spacing w:line="240" w:lineRule="exact"/>
              <w:jc w:val="center"/>
              <w:rPr>
                <w:rFonts w:eastAsia="宋体"/>
                <w:sz w:val="21"/>
                <w:szCs w:val="21"/>
              </w:rPr>
            </w:pPr>
          </w:p>
        </w:tc>
        <w:tc>
          <w:tcPr>
            <w:tcW w:w="1166" w:type="pct"/>
            <w:noWrap w:val="0"/>
            <w:vAlign w:val="center"/>
          </w:tcPr>
          <w:p w14:paraId="48BC9241">
            <w:pPr>
              <w:widowControl/>
              <w:spacing w:line="240" w:lineRule="exact"/>
              <w:jc w:val="center"/>
              <w:rPr>
                <w:rFonts w:eastAsia="宋体"/>
                <w:sz w:val="21"/>
                <w:szCs w:val="21"/>
              </w:rPr>
            </w:pPr>
            <w:r>
              <w:rPr>
                <w:rFonts w:eastAsia="宋体"/>
                <w:sz w:val="21"/>
                <w:szCs w:val="21"/>
              </w:rPr>
              <w:t>刮刀</w:t>
            </w:r>
          </w:p>
        </w:tc>
        <w:tc>
          <w:tcPr>
            <w:tcW w:w="973" w:type="pct"/>
            <w:noWrap w:val="0"/>
            <w:vAlign w:val="center"/>
          </w:tcPr>
          <w:p w14:paraId="046504D5">
            <w:pPr>
              <w:widowControl/>
              <w:spacing w:line="240" w:lineRule="exact"/>
              <w:jc w:val="center"/>
              <w:rPr>
                <w:rFonts w:eastAsia="宋体"/>
                <w:sz w:val="21"/>
                <w:szCs w:val="21"/>
              </w:rPr>
            </w:pPr>
            <w:r>
              <w:rPr>
                <w:rFonts w:hint="eastAsia" w:eastAsia="宋体"/>
                <w:sz w:val="21"/>
                <w:szCs w:val="21"/>
              </w:rPr>
              <w:t>16</w:t>
            </w:r>
          </w:p>
        </w:tc>
        <w:tc>
          <w:tcPr>
            <w:tcW w:w="598" w:type="pct"/>
            <w:noWrap w:val="0"/>
            <w:vAlign w:val="center"/>
          </w:tcPr>
          <w:p w14:paraId="71ABE37E">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236CE6ED">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0138F3B7">
            <w:pPr>
              <w:widowControl/>
              <w:spacing w:line="240" w:lineRule="exact"/>
              <w:jc w:val="center"/>
              <w:rPr>
                <w:rFonts w:eastAsia="宋体"/>
                <w:sz w:val="21"/>
                <w:szCs w:val="21"/>
              </w:rPr>
            </w:pPr>
            <w:r>
              <w:rPr>
                <w:rFonts w:eastAsia="宋体"/>
                <w:sz w:val="21"/>
                <w:szCs w:val="21"/>
              </w:rPr>
              <w:t>原材料仓</w:t>
            </w:r>
          </w:p>
        </w:tc>
      </w:tr>
      <w:tr w14:paraId="5F09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4D49963">
            <w:pPr>
              <w:widowControl/>
              <w:spacing w:line="240" w:lineRule="exact"/>
              <w:jc w:val="center"/>
              <w:rPr>
                <w:rFonts w:eastAsia="宋体"/>
                <w:sz w:val="21"/>
                <w:szCs w:val="21"/>
              </w:rPr>
            </w:pPr>
            <w:r>
              <w:rPr>
                <w:rFonts w:eastAsia="宋体"/>
                <w:sz w:val="21"/>
                <w:szCs w:val="21"/>
              </w:rPr>
              <w:t>7</w:t>
            </w:r>
          </w:p>
        </w:tc>
        <w:tc>
          <w:tcPr>
            <w:tcW w:w="380" w:type="pct"/>
            <w:vMerge w:val="continue"/>
            <w:noWrap w:val="0"/>
            <w:vAlign w:val="center"/>
          </w:tcPr>
          <w:p w14:paraId="547DAB95">
            <w:pPr>
              <w:widowControl/>
              <w:spacing w:line="240" w:lineRule="exact"/>
              <w:jc w:val="center"/>
              <w:rPr>
                <w:rFonts w:eastAsia="宋体"/>
                <w:sz w:val="21"/>
                <w:szCs w:val="21"/>
              </w:rPr>
            </w:pPr>
          </w:p>
        </w:tc>
        <w:tc>
          <w:tcPr>
            <w:tcW w:w="1166" w:type="pct"/>
            <w:noWrap w:val="0"/>
            <w:vAlign w:val="center"/>
          </w:tcPr>
          <w:p w14:paraId="6FA572D6">
            <w:pPr>
              <w:widowControl/>
              <w:spacing w:line="240" w:lineRule="exact"/>
              <w:jc w:val="center"/>
              <w:rPr>
                <w:rFonts w:eastAsia="宋体"/>
                <w:sz w:val="21"/>
                <w:szCs w:val="21"/>
              </w:rPr>
            </w:pPr>
            <w:r>
              <w:rPr>
                <w:rFonts w:eastAsia="宋体"/>
                <w:sz w:val="21"/>
                <w:szCs w:val="21"/>
              </w:rPr>
              <w:t>银焊丝</w:t>
            </w:r>
          </w:p>
        </w:tc>
        <w:tc>
          <w:tcPr>
            <w:tcW w:w="973" w:type="pct"/>
            <w:noWrap w:val="0"/>
            <w:vAlign w:val="center"/>
          </w:tcPr>
          <w:p w14:paraId="594E0351">
            <w:pPr>
              <w:widowControl/>
              <w:spacing w:line="240" w:lineRule="exact"/>
              <w:jc w:val="center"/>
              <w:rPr>
                <w:rFonts w:eastAsia="宋体"/>
                <w:sz w:val="21"/>
                <w:szCs w:val="21"/>
              </w:rPr>
            </w:pPr>
            <w:r>
              <w:rPr>
                <w:rFonts w:hint="eastAsia" w:eastAsia="宋体"/>
                <w:sz w:val="21"/>
                <w:szCs w:val="21"/>
              </w:rPr>
              <w:t>0.7</w:t>
            </w:r>
          </w:p>
        </w:tc>
        <w:tc>
          <w:tcPr>
            <w:tcW w:w="598" w:type="pct"/>
            <w:noWrap w:val="0"/>
            <w:vAlign w:val="center"/>
          </w:tcPr>
          <w:p w14:paraId="4B7EAAE8">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4F3177EF">
            <w:pPr>
              <w:widowControl/>
              <w:spacing w:line="240" w:lineRule="exact"/>
              <w:jc w:val="center"/>
              <w:rPr>
                <w:rFonts w:eastAsia="宋体"/>
                <w:sz w:val="21"/>
                <w:szCs w:val="21"/>
              </w:rPr>
            </w:pPr>
            <w:r>
              <w:rPr>
                <w:rFonts w:eastAsia="宋体"/>
                <w:sz w:val="21"/>
                <w:szCs w:val="21"/>
              </w:rPr>
              <w:t>卷捆</w:t>
            </w:r>
          </w:p>
        </w:tc>
        <w:tc>
          <w:tcPr>
            <w:tcW w:w="920" w:type="pct"/>
            <w:noWrap w:val="0"/>
            <w:vAlign w:val="center"/>
          </w:tcPr>
          <w:p w14:paraId="035C93BF">
            <w:pPr>
              <w:widowControl/>
              <w:spacing w:line="240" w:lineRule="exact"/>
              <w:jc w:val="center"/>
              <w:rPr>
                <w:rFonts w:eastAsia="宋体"/>
                <w:sz w:val="21"/>
                <w:szCs w:val="21"/>
              </w:rPr>
            </w:pPr>
            <w:r>
              <w:rPr>
                <w:rFonts w:eastAsia="宋体"/>
                <w:sz w:val="21"/>
                <w:szCs w:val="21"/>
              </w:rPr>
              <w:t>原材料仓</w:t>
            </w:r>
          </w:p>
        </w:tc>
      </w:tr>
      <w:tr w14:paraId="5A4C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86D1FF4">
            <w:pPr>
              <w:widowControl/>
              <w:spacing w:line="240" w:lineRule="exact"/>
              <w:jc w:val="center"/>
              <w:rPr>
                <w:rFonts w:eastAsia="宋体"/>
                <w:sz w:val="21"/>
                <w:szCs w:val="21"/>
              </w:rPr>
            </w:pPr>
            <w:r>
              <w:rPr>
                <w:rFonts w:eastAsia="宋体"/>
                <w:sz w:val="21"/>
                <w:szCs w:val="21"/>
              </w:rPr>
              <w:t>8</w:t>
            </w:r>
          </w:p>
        </w:tc>
        <w:tc>
          <w:tcPr>
            <w:tcW w:w="380" w:type="pct"/>
            <w:vMerge w:val="continue"/>
            <w:noWrap w:val="0"/>
            <w:vAlign w:val="center"/>
          </w:tcPr>
          <w:p w14:paraId="11118A47">
            <w:pPr>
              <w:widowControl/>
              <w:spacing w:line="240" w:lineRule="exact"/>
              <w:jc w:val="center"/>
              <w:rPr>
                <w:rFonts w:eastAsia="宋体"/>
                <w:sz w:val="21"/>
                <w:szCs w:val="21"/>
              </w:rPr>
            </w:pPr>
          </w:p>
        </w:tc>
        <w:tc>
          <w:tcPr>
            <w:tcW w:w="1166" w:type="pct"/>
            <w:noWrap w:val="0"/>
            <w:vAlign w:val="center"/>
          </w:tcPr>
          <w:p w14:paraId="26198C27">
            <w:pPr>
              <w:widowControl/>
              <w:spacing w:line="240" w:lineRule="exact"/>
              <w:jc w:val="center"/>
              <w:rPr>
                <w:rFonts w:eastAsia="宋体"/>
                <w:sz w:val="21"/>
                <w:szCs w:val="21"/>
              </w:rPr>
            </w:pPr>
            <w:r>
              <w:rPr>
                <w:rFonts w:eastAsia="宋体"/>
                <w:sz w:val="21"/>
                <w:szCs w:val="21"/>
              </w:rPr>
              <w:t>防锈油</w:t>
            </w:r>
          </w:p>
        </w:tc>
        <w:tc>
          <w:tcPr>
            <w:tcW w:w="973" w:type="pct"/>
            <w:noWrap w:val="0"/>
            <w:vAlign w:val="center"/>
          </w:tcPr>
          <w:p w14:paraId="4632B645">
            <w:pPr>
              <w:widowControl/>
              <w:spacing w:line="240" w:lineRule="exact"/>
              <w:jc w:val="center"/>
              <w:rPr>
                <w:rFonts w:eastAsia="宋体"/>
                <w:sz w:val="21"/>
                <w:szCs w:val="21"/>
              </w:rPr>
            </w:pPr>
            <w:r>
              <w:rPr>
                <w:rFonts w:hint="eastAsia" w:eastAsia="宋体"/>
                <w:sz w:val="21"/>
                <w:szCs w:val="21"/>
              </w:rPr>
              <w:t>2.84</w:t>
            </w:r>
          </w:p>
        </w:tc>
        <w:tc>
          <w:tcPr>
            <w:tcW w:w="598" w:type="pct"/>
            <w:noWrap w:val="0"/>
            <w:vAlign w:val="center"/>
          </w:tcPr>
          <w:p w14:paraId="6F094CE3">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49DCA919">
            <w:pPr>
              <w:widowControl/>
              <w:spacing w:line="240" w:lineRule="exact"/>
              <w:jc w:val="center"/>
              <w:rPr>
                <w:rFonts w:eastAsia="宋体"/>
                <w:sz w:val="21"/>
                <w:szCs w:val="21"/>
              </w:rPr>
            </w:pPr>
            <w:r>
              <w:rPr>
                <w:rFonts w:eastAsia="宋体"/>
                <w:sz w:val="21"/>
                <w:szCs w:val="21"/>
              </w:rPr>
              <w:t>桶装</w:t>
            </w:r>
          </w:p>
        </w:tc>
        <w:tc>
          <w:tcPr>
            <w:tcW w:w="920" w:type="pct"/>
            <w:noWrap w:val="0"/>
            <w:vAlign w:val="center"/>
          </w:tcPr>
          <w:p w14:paraId="4580B70E">
            <w:pPr>
              <w:widowControl/>
              <w:spacing w:line="240" w:lineRule="exact"/>
              <w:jc w:val="center"/>
              <w:rPr>
                <w:rFonts w:eastAsia="宋体"/>
                <w:sz w:val="21"/>
                <w:szCs w:val="21"/>
              </w:rPr>
            </w:pPr>
            <w:r>
              <w:rPr>
                <w:rFonts w:eastAsia="宋体"/>
                <w:sz w:val="21"/>
                <w:szCs w:val="21"/>
              </w:rPr>
              <w:t>原材料仓</w:t>
            </w:r>
          </w:p>
        </w:tc>
      </w:tr>
      <w:tr w14:paraId="2134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E82F7CA">
            <w:pPr>
              <w:widowControl/>
              <w:spacing w:line="240" w:lineRule="exact"/>
              <w:jc w:val="center"/>
              <w:rPr>
                <w:rFonts w:eastAsia="宋体"/>
                <w:sz w:val="21"/>
                <w:szCs w:val="21"/>
              </w:rPr>
            </w:pPr>
            <w:r>
              <w:rPr>
                <w:rFonts w:eastAsia="宋体"/>
                <w:sz w:val="21"/>
                <w:szCs w:val="21"/>
              </w:rPr>
              <w:t>9</w:t>
            </w:r>
          </w:p>
        </w:tc>
        <w:tc>
          <w:tcPr>
            <w:tcW w:w="380" w:type="pct"/>
            <w:vMerge w:val="continue"/>
            <w:noWrap w:val="0"/>
            <w:vAlign w:val="center"/>
          </w:tcPr>
          <w:p w14:paraId="27D3A096">
            <w:pPr>
              <w:widowControl/>
              <w:spacing w:line="240" w:lineRule="exact"/>
              <w:jc w:val="center"/>
              <w:rPr>
                <w:rFonts w:eastAsia="宋体"/>
                <w:sz w:val="21"/>
                <w:szCs w:val="21"/>
              </w:rPr>
            </w:pPr>
          </w:p>
        </w:tc>
        <w:tc>
          <w:tcPr>
            <w:tcW w:w="1166" w:type="pct"/>
            <w:noWrap w:val="0"/>
            <w:vAlign w:val="center"/>
          </w:tcPr>
          <w:p w14:paraId="46E04AF7">
            <w:pPr>
              <w:widowControl/>
              <w:spacing w:line="240" w:lineRule="exact"/>
              <w:jc w:val="center"/>
              <w:rPr>
                <w:rFonts w:eastAsia="宋体"/>
                <w:sz w:val="21"/>
                <w:szCs w:val="21"/>
              </w:rPr>
            </w:pPr>
            <w:r>
              <w:rPr>
                <w:rFonts w:eastAsia="宋体"/>
                <w:sz w:val="21"/>
                <w:szCs w:val="21"/>
              </w:rPr>
              <w:t>水基清洗</w:t>
            </w:r>
          </w:p>
          <w:p w14:paraId="61D4F5F3">
            <w:pPr>
              <w:widowControl/>
              <w:spacing w:line="240" w:lineRule="exact"/>
              <w:jc w:val="center"/>
              <w:rPr>
                <w:rFonts w:eastAsia="宋体"/>
                <w:sz w:val="21"/>
                <w:szCs w:val="21"/>
              </w:rPr>
            </w:pPr>
            <w:r>
              <w:rPr>
                <w:rFonts w:eastAsia="宋体"/>
                <w:sz w:val="21"/>
                <w:szCs w:val="21"/>
              </w:rPr>
              <w:t>剂</w:t>
            </w:r>
          </w:p>
        </w:tc>
        <w:tc>
          <w:tcPr>
            <w:tcW w:w="973" w:type="pct"/>
            <w:noWrap w:val="0"/>
            <w:vAlign w:val="center"/>
          </w:tcPr>
          <w:p w14:paraId="1A11F760">
            <w:pPr>
              <w:widowControl/>
              <w:spacing w:line="240" w:lineRule="exact"/>
              <w:jc w:val="center"/>
              <w:rPr>
                <w:rFonts w:eastAsia="宋体"/>
                <w:sz w:val="21"/>
                <w:szCs w:val="21"/>
              </w:rPr>
            </w:pPr>
            <w:r>
              <w:rPr>
                <w:rFonts w:hint="eastAsia" w:eastAsia="宋体"/>
                <w:sz w:val="21"/>
                <w:szCs w:val="21"/>
              </w:rPr>
              <w:t>2.28</w:t>
            </w:r>
          </w:p>
        </w:tc>
        <w:tc>
          <w:tcPr>
            <w:tcW w:w="598" w:type="pct"/>
            <w:noWrap w:val="0"/>
            <w:vAlign w:val="center"/>
          </w:tcPr>
          <w:p w14:paraId="1FD9A5F3">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26DC0090">
            <w:pPr>
              <w:widowControl/>
              <w:spacing w:line="240" w:lineRule="exact"/>
              <w:jc w:val="center"/>
              <w:rPr>
                <w:rFonts w:eastAsia="宋体"/>
                <w:sz w:val="21"/>
                <w:szCs w:val="21"/>
              </w:rPr>
            </w:pPr>
            <w:r>
              <w:rPr>
                <w:rFonts w:eastAsia="宋体"/>
                <w:sz w:val="21"/>
                <w:szCs w:val="21"/>
              </w:rPr>
              <w:t>桶装</w:t>
            </w:r>
          </w:p>
        </w:tc>
        <w:tc>
          <w:tcPr>
            <w:tcW w:w="920" w:type="pct"/>
            <w:noWrap w:val="0"/>
            <w:vAlign w:val="center"/>
          </w:tcPr>
          <w:p w14:paraId="2548F398">
            <w:pPr>
              <w:widowControl/>
              <w:spacing w:line="240" w:lineRule="exact"/>
              <w:jc w:val="center"/>
              <w:rPr>
                <w:rFonts w:eastAsia="宋体"/>
                <w:sz w:val="21"/>
                <w:szCs w:val="21"/>
              </w:rPr>
            </w:pPr>
            <w:r>
              <w:rPr>
                <w:rFonts w:eastAsia="宋体"/>
                <w:sz w:val="21"/>
                <w:szCs w:val="21"/>
              </w:rPr>
              <w:t>原材料仓</w:t>
            </w:r>
          </w:p>
        </w:tc>
      </w:tr>
      <w:tr w14:paraId="2328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5574404B">
            <w:pPr>
              <w:widowControl/>
              <w:spacing w:line="240" w:lineRule="exact"/>
              <w:jc w:val="center"/>
              <w:rPr>
                <w:rFonts w:eastAsia="宋体"/>
                <w:sz w:val="21"/>
                <w:szCs w:val="21"/>
              </w:rPr>
            </w:pPr>
            <w:r>
              <w:rPr>
                <w:rFonts w:eastAsia="宋体"/>
                <w:sz w:val="21"/>
                <w:szCs w:val="21"/>
              </w:rPr>
              <w:t>10</w:t>
            </w:r>
          </w:p>
        </w:tc>
        <w:tc>
          <w:tcPr>
            <w:tcW w:w="380" w:type="pct"/>
            <w:vMerge w:val="continue"/>
            <w:noWrap w:val="0"/>
            <w:vAlign w:val="center"/>
          </w:tcPr>
          <w:p w14:paraId="0830FB74">
            <w:pPr>
              <w:widowControl/>
              <w:spacing w:line="240" w:lineRule="exact"/>
              <w:jc w:val="center"/>
              <w:rPr>
                <w:rFonts w:eastAsia="宋体"/>
                <w:sz w:val="21"/>
                <w:szCs w:val="21"/>
              </w:rPr>
            </w:pPr>
          </w:p>
        </w:tc>
        <w:tc>
          <w:tcPr>
            <w:tcW w:w="1166" w:type="pct"/>
            <w:noWrap w:val="0"/>
            <w:vAlign w:val="center"/>
          </w:tcPr>
          <w:p w14:paraId="2AFE9B89">
            <w:pPr>
              <w:widowControl/>
              <w:spacing w:line="240" w:lineRule="exact"/>
              <w:jc w:val="center"/>
              <w:rPr>
                <w:rFonts w:eastAsia="宋体"/>
                <w:sz w:val="21"/>
                <w:szCs w:val="21"/>
              </w:rPr>
            </w:pPr>
            <w:r>
              <w:rPr>
                <w:rFonts w:eastAsia="宋体"/>
                <w:sz w:val="21"/>
                <w:szCs w:val="21"/>
              </w:rPr>
              <w:t>切削液</w:t>
            </w:r>
          </w:p>
        </w:tc>
        <w:tc>
          <w:tcPr>
            <w:tcW w:w="973" w:type="pct"/>
            <w:noWrap w:val="0"/>
            <w:vAlign w:val="center"/>
          </w:tcPr>
          <w:p w14:paraId="3E880C8F">
            <w:pPr>
              <w:widowControl/>
              <w:spacing w:line="240" w:lineRule="exact"/>
              <w:jc w:val="center"/>
              <w:rPr>
                <w:rFonts w:eastAsia="宋体"/>
                <w:sz w:val="21"/>
                <w:szCs w:val="21"/>
              </w:rPr>
            </w:pPr>
            <w:r>
              <w:rPr>
                <w:rFonts w:hint="eastAsia" w:eastAsia="宋体"/>
                <w:sz w:val="21"/>
                <w:szCs w:val="21"/>
              </w:rPr>
              <w:t>3.0</w:t>
            </w:r>
          </w:p>
        </w:tc>
        <w:tc>
          <w:tcPr>
            <w:tcW w:w="598" w:type="pct"/>
            <w:noWrap w:val="0"/>
            <w:vAlign w:val="center"/>
          </w:tcPr>
          <w:p w14:paraId="0C15A15C">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7AFB4BB8">
            <w:pPr>
              <w:widowControl/>
              <w:spacing w:line="240" w:lineRule="exact"/>
              <w:jc w:val="center"/>
              <w:rPr>
                <w:rFonts w:eastAsia="宋体"/>
                <w:sz w:val="21"/>
                <w:szCs w:val="21"/>
              </w:rPr>
            </w:pPr>
            <w:r>
              <w:rPr>
                <w:rFonts w:eastAsia="宋体"/>
                <w:sz w:val="21"/>
                <w:szCs w:val="21"/>
              </w:rPr>
              <w:t>桶装</w:t>
            </w:r>
          </w:p>
        </w:tc>
        <w:tc>
          <w:tcPr>
            <w:tcW w:w="920" w:type="pct"/>
            <w:noWrap w:val="0"/>
            <w:vAlign w:val="center"/>
          </w:tcPr>
          <w:p w14:paraId="005ED60D">
            <w:pPr>
              <w:widowControl/>
              <w:spacing w:line="240" w:lineRule="exact"/>
              <w:jc w:val="center"/>
              <w:rPr>
                <w:rFonts w:eastAsia="宋体"/>
                <w:sz w:val="21"/>
                <w:szCs w:val="21"/>
              </w:rPr>
            </w:pPr>
            <w:r>
              <w:rPr>
                <w:rFonts w:eastAsia="宋体"/>
                <w:sz w:val="21"/>
                <w:szCs w:val="21"/>
              </w:rPr>
              <w:t>原材料仓</w:t>
            </w:r>
          </w:p>
        </w:tc>
      </w:tr>
      <w:tr w14:paraId="4184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323827C0">
            <w:pPr>
              <w:widowControl/>
              <w:spacing w:line="240" w:lineRule="exact"/>
              <w:jc w:val="center"/>
              <w:rPr>
                <w:rFonts w:eastAsia="宋体"/>
                <w:sz w:val="21"/>
                <w:szCs w:val="21"/>
              </w:rPr>
            </w:pPr>
            <w:r>
              <w:rPr>
                <w:rFonts w:eastAsia="宋体"/>
                <w:sz w:val="21"/>
                <w:szCs w:val="21"/>
              </w:rPr>
              <w:t>11</w:t>
            </w:r>
          </w:p>
        </w:tc>
        <w:tc>
          <w:tcPr>
            <w:tcW w:w="380" w:type="pct"/>
            <w:vMerge w:val="continue"/>
            <w:noWrap w:val="0"/>
            <w:vAlign w:val="center"/>
          </w:tcPr>
          <w:p w14:paraId="78803DA5">
            <w:pPr>
              <w:widowControl/>
              <w:spacing w:line="240" w:lineRule="exact"/>
              <w:jc w:val="center"/>
              <w:rPr>
                <w:rFonts w:eastAsia="宋体"/>
                <w:sz w:val="21"/>
                <w:szCs w:val="21"/>
              </w:rPr>
            </w:pPr>
          </w:p>
        </w:tc>
        <w:tc>
          <w:tcPr>
            <w:tcW w:w="1166" w:type="pct"/>
            <w:noWrap w:val="0"/>
            <w:vAlign w:val="center"/>
          </w:tcPr>
          <w:p w14:paraId="4EBB9EE4">
            <w:pPr>
              <w:widowControl/>
              <w:spacing w:line="240" w:lineRule="exact"/>
              <w:jc w:val="center"/>
              <w:rPr>
                <w:rFonts w:eastAsia="宋体"/>
                <w:sz w:val="21"/>
                <w:szCs w:val="21"/>
              </w:rPr>
            </w:pPr>
            <w:r>
              <w:rPr>
                <w:rFonts w:eastAsia="宋体"/>
                <w:sz w:val="21"/>
                <w:szCs w:val="21"/>
              </w:rPr>
              <w:t>机械润滑</w:t>
            </w:r>
          </w:p>
          <w:p w14:paraId="4EF953FC">
            <w:pPr>
              <w:widowControl/>
              <w:spacing w:line="240" w:lineRule="exact"/>
              <w:jc w:val="center"/>
              <w:rPr>
                <w:rFonts w:eastAsia="宋体"/>
                <w:sz w:val="21"/>
                <w:szCs w:val="21"/>
              </w:rPr>
            </w:pPr>
            <w:r>
              <w:rPr>
                <w:rFonts w:eastAsia="宋体"/>
                <w:sz w:val="21"/>
                <w:szCs w:val="21"/>
              </w:rPr>
              <w:t>油</w:t>
            </w:r>
          </w:p>
        </w:tc>
        <w:tc>
          <w:tcPr>
            <w:tcW w:w="973" w:type="pct"/>
            <w:noWrap w:val="0"/>
            <w:vAlign w:val="center"/>
          </w:tcPr>
          <w:p w14:paraId="0128F9F4">
            <w:pPr>
              <w:widowControl/>
              <w:spacing w:line="240" w:lineRule="exact"/>
              <w:jc w:val="center"/>
              <w:rPr>
                <w:rFonts w:eastAsia="宋体"/>
                <w:sz w:val="21"/>
                <w:szCs w:val="21"/>
              </w:rPr>
            </w:pPr>
            <w:r>
              <w:rPr>
                <w:rFonts w:hint="eastAsia" w:eastAsia="宋体"/>
                <w:sz w:val="21"/>
                <w:szCs w:val="21"/>
              </w:rPr>
              <w:t>2.88</w:t>
            </w:r>
          </w:p>
        </w:tc>
        <w:tc>
          <w:tcPr>
            <w:tcW w:w="598" w:type="pct"/>
            <w:noWrap w:val="0"/>
            <w:vAlign w:val="center"/>
          </w:tcPr>
          <w:p w14:paraId="22352B83">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62E4DB2D">
            <w:pPr>
              <w:widowControl/>
              <w:spacing w:line="240" w:lineRule="exact"/>
              <w:jc w:val="center"/>
              <w:rPr>
                <w:rFonts w:eastAsia="宋体"/>
                <w:sz w:val="21"/>
                <w:szCs w:val="21"/>
              </w:rPr>
            </w:pPr>
            <w:r>
              <w:rPr>
                <w:rFonts w:eastAsia="宋体"/>
                <w:sz w:val="21"/>
                <w:szCs w:val="21"/>
              </w:rPr>
              <w:t>桶装</w:t>
            </w:r>
          </w:p>
        </w:tc>
        <w:tc>
          <w:tcPr>
            <w:tcW w:w="920" w:type="pct"/>
            <w:noWrap w:val="0"/>
            <w:vAlign w:val="center"/>
          </w:tcPr>
          <w:p w14:paraId="2FCA0DE8">
            <w:pPr>
              <w:widowControl/>
              <w:spacing w:line="240" w:lineRule="exact"/>
              <w:jc w:val="center"/>
              <w:rPr>
                <w:rFonts w:eastAsia="宋体"/>
                <w:sz w:val="21"/>
                <w:szCs w:val="21"/>
              </w:rPr>
            </w:pPr>
            <w:r>
              <w:rPr>
                <w:rFonts w:eastAsia="宋体"/>
                <w:sz w:val="21"/>
                <w:szCs w:val="21"/>
              </w:rPr>
              <w:t>原材料仓</w:t>
            </w:r>
          </w:p>
        </w:tc>
      </w:tr>
      <w:tr w14:paraId="6C57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FD956D9">
            <w:pPr>
              <w:widowControl/>
              <w:spacing w:line="240" w:lineRule="exact"/>
              <w:jc w:val="center"/>
              <w:rPr>
                <w:rFonts w:eastAsia="宋体"/>
                <w:sz w:val="21"/>
                <w:szCs w:val="21"/>
              </w:rPr>
            </w:pPr>
            <w:r>
              <w:rPr>
                <w:rFonts w:eastAsia="宋体"/>
                <w:sz w:val="21"/>
                <w:szCs w:val="21"/>
              </w:rPr>
              <w:t>12</w:t>
            </w:r>
          </w:p>
        </w:tc>
        <w:tc>
          <w:tcPr>
            <w:tcW w:w="380" w:type="pct"/>
            <w:vMerge w:val="continue"/>
            <w:noWrap w:val="0"/>
            <w:vAlign w:val="center"/>
          </w:tcPr>
          <w:p w14:paraId="5122526D">
            <w:pPr>
              <w:widowControl/>
              <w:spacing w:line="240" w:lineRule="exact"/>
              <w:jc w:val="center"/>
              <w:rPr>
                <w:rFonts w:eastAsia="宋体"/>
                <w:sz w:val="21"/>
                <w:szCs w:val="21"/>
              </w:rPr>
            </w:pPr>
          </w:p>
        </w:tc>
        <w:tc>
          <w:tcPr>
            <w:tcW w:w="1166" w:type="pct"/>
            <w:noWrap w:val="0"/>
            <w:vAlign w:val="center"/>
          </w:tcPr>
          <w:p w14:paraId="2C06C1F3">
            <w:pPr>
              <w:widowControl/>
              <w:spacing w:line="240" w:lineRule="exact"/>
              <w:jc w:val="center"/>
              <w:rPr>
                <w:rFonts w:eastAsia="宋体"/>
                <w:sz w:val="21"/>
                <w:szCs w:val="21"/>
              </w:rPr>
            </w:pPr>
            <w:r>
              <w:rPr>
                <w:rFonts w:eastAsia="宋体"/>
                <w:sz w:val="21"/>
                <w:szCs w:val="21"/>
              </w:rPr>
              <w:t>软管</w:t>
            </w:r>
          </w:p>
        </w:tc>
        <w:tc>
          <w:tcPr>
            <w:tcW w:w="973" w:type="pct"/>
            <w:noWrap w:val="0"/>
            <w:vAlign w:val="center"/>
          </w:tcPr>
          <w:p w14:paraId="0E84284A">
            <w:pPr>
              <w:widowControl/>
              <w:spacing w:line="240" w:lineRule="exact"/>
              <w:jc w:val="center"/>
              <w:rPr>
                <w:rFonts w:eastAsia="宋体"/>
                <w:sz w:val="21"/>
                <w:szCs w:val="21"/>
              </w:rPr>
            </w:pPr>
            <w:r>
              <w:rPr>
                <w:rFonts w:hint="eastAsia" w:eastAsia="宋体"/>
                <w:sz w:val="21"/>
                <w:szCs w:val="21"/>
              </w:rPr>
              <w:t>200</w:t>
            </w:r>
          </w:p>
        </w:tc>
        <w:tc>
          <w:tcPr>
            <w:tcW w:w="598" w:type="pct"/>
            <w:noWrap w:val="0"/>
            <w:vAlign w:val="center"/>
          </w:tcPr>
          <w:p w14:paraId="40498449">
            <w:pPr>
              <w:widowControl/>
              <w:spacing w:line="240" w:lineRule="exact"/>
              <w:jc w:val="center"/>
              <w:rPr>
                <w:rFonts w:eastAsia="宋体"/>
                <w:sz w:val="21"/>
                <w:szCs w:val="21"/>
              </w:rPr>
            </w:pPr>
            <w:r>
              <w:rPr>
                <w:rFonts w:eastAsia="宋体"/>
                <w:sz w:val="21"/>
                <w:szCs w:val="21"/>
              </w:rPr>
              <w:t>万米/a</w:t>
            </w:r>
          </w:p>
        </w:tc>
        <w:tc>
          <w:tcPr>
            <w:tcW w:w="702" w:type="pct"/>
            <w:noWrap w:val="0"/>
            <w:vAlign w:val="center"/>
          </w:tcPr>
          <w:p w14:paraId="3FA3576F">
            <w:pPr>
              <w:widowControl/>
              <w:spacing w:line="240" w:lineRule="exact"/>
              <w:jc w:val="center"/>
              <w:rPr>
                <w:rFonts w:eastAsia="宋体"/>
                <w:sz w:val="21"/>
                <w:szCs w:val="21"/>
              </w:rPr>
            </w:pPr>
            <w:r>
              <w:rPr>
                <w:rFonts w:eastAsia="宋体"/>
                <w:sz w:val="21"/>
                <w:szCs w:val="21"/>
              </w:rPr>
              <w:t>桶装</w:t>
            </w:r>
          </w:p>
        </w:tc>
        <w:tc>
          <w:tcPr>
            <w:tcW w:w="920" w:type="pct"/>
            <w:noWrap w:val="0"/>
            <w:vAlign w:val="center"/>
          </w:tcPr>
          <w:p w14:paraId="65A29C6E">
            <w:pPr>
              <w:widowControl/>
              <w:spacing w:line="240" w:lineRule="exact"/>
              <w:jc w:val="center"/>
              <w:rPr>
                <w:rFonts w:eastAsia="宋体"/>
                <w:sz w:val="21"/>
                <w:szCs w:val="21"/>
              </w:rPr>
            </w:pPr>
            <w:r>
              <w:rPr>
                <w:rFonts w:eastAsia="宋体"/>
                <w:sz w:val="21"/>
                <w:szCs w:val="21"/>
              </w:rPr>
              <w:t>原材料仓</w:t>
            </w:r>
          </w:p>
        </w:tc>
      </w:tr>
      <w:tr w14:paraId="2801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2F081225">
            <w:pPr>
              <w:widowControl/>
              <w:spacing w:line="240" w:lineRule="exact"/>
              <w:jc w:val="center"/>
              <w:rPr>
                <w:rFonts w:eastAsia="宋体"/>
                <w:sz w:val="21"/>
                <w:szCs w:val="21"/>
              </w:rPr>
            </w:pPr>
            <w:r>
              <w:rPr>
                <w:rFonts w:eastAsia="宋体"/>
                <w:sz w:val="21"/>
                <w:szCs w:val="21"/>
              </w:rPr>
              <w:t>13</w:t>
            </w:r>
          </w:p>
        </w:tc>
        <w:tc>
          <w:tcPr>
            <w:tcW w:w="380" w:type="pct"/>
            <w:vMerge w:val="continue"/>
            <w:noWrap w:val="0"/>
            <w:vAlign w:val="center"/>
          </w:tcPr>
          <w:p w14:paraId="0CF740E7">
            <w:pPr>
              <w:widowControl/>
              <w:spacing w:line="240" w:lineRule="exact"/>
              <w:jc w:val="center"/>
              <w:rPr>
                <w:rFonts w:eastAsia="宋体"/>
                <w:sz w:val="21"/>
                <w:szCs w:val="21"/>
              </w:rPr>
            </w:pPr>
          </w:p>
        </w:tc>
        <w:tc>
          <w:tcPr>
            <w:tcW w:w="1166" w:type="pct"/>
            <w:noWrap w:val="0"/>
            <w:vAlign w:val="center"/>
          </w:tcPr>
          <w:p w14:paraId="50126BB3">
            <w:pPr>
              <w:widowControl/>
              <w:spacing w:line="240" w:lineRule="exact"/>
              <w:jc w:val="center"/>
              <w:rPr>
                <w:rFonts w:eastAsia="宋体"/>
                <w:sz w:val="21"/>
                <w:szCs w:val="21"/>
              </w:rPr>
            </w:pPr>
            <w:r>
              <w:rPr>
                <w:rFonts w:eastAsia="宋体"/>
                <w:sz w:val="21"/>
                <w:szCs w:val="21"/>
              </w:rPr>
              <w:t>无铅焊料</w:t>
            </w:r>
          </w:p>
        </w:tc>
        <w:tc>
          <w:tcPr>
            <w:tcW w:w="973" w:type="pct"/>
            <w:noWrap w:val="0"/>
            <w:vAlign w:val="center"/>
          </w:tcPr>
          <w:p w14:paraId="3F682323">
            <w:pPr>
              <w:widowControl/>
              <w:spacing w:line="240" w:lineRule="exact"/>
              <w:jc w:val="center"/>
              <w:rPr>
                <w:rFonts w:eastAsia="宋体"/>
                <w:sz w:val="21"/>
                <w:szCs w:val="21"/>
              </w:rPr>
            </w:pPr>
            <w:r>
              <w:rPr>
                <w:rFonts w:hint="eastAsia" w:eastAsia="宋体"/>
                <w:sz w:val="21"/>
                <w:szCs w:val="21"/>
              </w:rPr>
              <w:t>0.2</w:t>
            </w:r>
          </w:p>
        </w:tc>
        <w:tc>
          <w:tcPr>
            <w:tcW w:w="598" w:type="pct"/>
            <w:noWrap w:val="0"/>
            <w:vAlign w:val="center"/>
          </w:tcPr>
          <w:p w14:paraId="282E81AC">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0D0908D4">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3D2EFCA3">
            <w:pPr>
              <w:widowControl/>
              <w:spacing w:line="240" w:lineRule="exact"/>
              <w:jc w:val="center"/>
              <w:rPr>
                <w:rFonts w:eastAsia="宋体"/>
                <w:sz w:val="21"/>
                <w:szCs w:val="21"/>
              </w:rPr>
            </w:pPr>
            <w:r>
              <w:rPr>
                <w:rFonts w:eastAsia="宋体"/>
                <w:sz w:val="21"/>
                <w:szCs w:val="21"/>
              </w:rPr>
              <w:t>原材料仓</w:t>
            </w:r>
          </w:p>
        </w:tc>
      </w:tr>
      <w:tr w14:paraId="15E1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F365CFA">
            <w:pPr>
              <w:widowControl/>
              <w:spacing w:line="240" w:lineRule="exact"/>
              <w:jc w:val="center"/>
              <w:rPr>
                <w:rFonts w:eastAsia="宋体"/>
                <w:sz w:val="21"/>
                <w:szCs w:val="21"/>
              </w:rPr>
            </w:pPr>
            <w:r>
              <w:rPr>
                <w:rFonts w:eastAsia="宋体"/>
                <w:sz w:val="21"/>
                <w:szCs w:val="21"/>
              </w:rPr>
              <w:t>14</w:t>
            </w:r>
          </w:p>
        </w:tc>
        <w:tc>
          <w:tcPr>
            <w:tcW w:w="380" w:type="pct"/>
            <w:vMerge w:val="continue"/>
            <w:noWrap w:val="0"/>
            <w:vAlign w:val="center"/>
          </w:tcPr>
          <w:p w14:paraId="3A6D6D18">
            <w:pPr>
              <w:widowControl/>
              <w:spacing w:line="240" w:lineRule="exact"/>
              <w:jc w:val="center"/>
              <w:rPr>
                <w:rFonts w:eastAsia="宋体"/>
                <w:sz w:val="21"/>
                <w:szCs w:val="21"/>
              </w:rPr>
            </w:pPr>
          </w:p>
        </w:tc>
        <w:tc>
          <w:tcPr>
            <w:tcW w:w="1166" w:type="pct"/>
            <w:noWrap w:val="0"/>
            <w:vAlign w:val="center"/>
          </w:tcPr>
          <w:p w14:paraId="08F24799">
            <w:pPr>
              <w:widowControl/>
              <w:spacing w:line="240" w:lineRule="exact"/>
              <w:jc w:val="center"/>
              <w:rPr>
                <w:rFonts w:eastAsia="宋体"/>
                <w:sz w:val="21"/>
                <w:szCs w:val="21"/>
              </w:rPr>
            </w:pPr>
            <w:r>
              <w:rPr>
                <w:rFonts w:eastAsia="宋体"/>
                <w:sz w:val="21"/>
                <w:szCs w:val="21"/>
              </w:rPr>
              <w:t>金刚砂</w:t>
            </w:r>
          </w:p>
        </w:tc>
        <w:tc>
          <w:tcPr>
            <w:tcW w:w="973" w:type="pct"/>
            <w:noWrap w:val="0"/>
            <w:vAlign w:val="center"/>
          </w:tcPr>
          <w:p w14:paraId="77054E60">
            <w:pPr>
              <w:widowControl/>
              <w:spacing w:line="240" w:lineRule="exact"/>
              <w:jc w:val="center"/>
              <w:rPr>
                <w:rFonts w:eastAsia="宋体"/>
                <w:sz w:val="21"/>
                <w:szCs w:val="21"/>
              </w:rPr>
            </w:pPr>
            <w:r>
              <w:rPr>
                <w:rFonts w:hint="eastAsia" w:eastAsia="宋体"/>
                <w:sz w:val="21"/>
                <w:szCs w:val="21"/>
              </w:rPr>
              <w:t>2.0</w:t>
            </w:r>
          </w:p>
        </w:tc>
        <w:tc>
          <w:tcPr>
            <w:tcW w:w="598" w:type="pct"/>
            <w:noWrap w:val="0"/>
            <w:vAlign w:val="center"/>
          </w:tcPr>
          <w:p w14:paraId="15EE5F23">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5634F58A">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425B664D">
            <w:pPr>
              <w:widowControl/>
              <w:spacing w:line="240" w:lineRule="exact"/>
              <w:jc w:val="center"/>
              <w:rPr>
                <w:rFonts w:eastAsia="宋体"/>
                <w:sz w:val="21"/>
                <w:szCs w:val="21"/>
              </w:rPr>
            </w:pPr>
            <w:r>
              <w:rPr>
                <w:rFonts w:eastAsia="宋体"/>
                <w:sz w:val="21"/>
                <w:szCs w:val="21"/>
              </w:rPr>
              <w:t>原材料仓</w:t>
            </w:r>
          </w:p>
        </w:tc>
      </w:tr>
      <w:tr w14:paraId="5E97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05CADA3D">
            <w:pPr>
              <w:widowControl/>
              <w:spacing w:line="240" w:lineRule="exact"/>
              <w:jc w:val="center"/>
              <w:rPr>
                <w:rFonts w:eastAsia="宋体"/>
                <w:sz w:val="21"/>
                <w:szCs w:val="21"/>
              </w:rPr>
            </w:pPr>
            <w:r>
              <w:rPr>
                <w:rFonts w:eastAsia="宋体"/>
                <w:sz w:val="21"/>
                <w:szCs w:val="21"/>
              </w:rPr>
              <w:t>15</w:t>
            </w:r>
          </w:p>
        </w:tc>
        <w:tc>
          <w:tcPr>
            <w:tcW w:w="380" w:type="pct"/>
            <w:vMerge w:val="continue"/>
            <w:noWrap w:val="0"/>
            <w:vAlign w:val="center"/>
          </w:tcPr>
          <w:p w14:paraId="47C3AC10">
            <w:pPr>
              <w:widowControl/>
              <w:spacing w:line="240" w:lineRule="exact"/>
              <w:jc w:val="center"/>
              <w:rPr>
                <w:rFonts w:eastAsia="宋体"/>
                <w:sz w:val="21"/>
                <w:szCs w:val="21"/>
              </w:rPr>
            </w:pPr>
          </w:p>
        </w:tc>
        <w:tc>
          <w:tcPr>
            <w:tcW w:w="1166" w:type="pct"/>
            <w:noWrap w:val="0"/>
            <w:vAlign w:val="center"/>
          </w:tcPr>
          <w:p w14:paraId="7AA136CF">
            <w:pPr>
              <w:widowControl/>
              <w:spacing w:line="240" w:lineRule="exact"/>
              <w:jc w:val="center"/>
              <w:rPr>
                <w:rFonts w:eastAsia="宋体"/>
                <w:sz w:val="21"/>
                <w:szCs w:val="21"/>
              </w:rPr>
            </w:pPr>
            <w:r>
              <w:rPr>
                <w:rFonts w:eastAsia="宋体"/>
                <w:sz w:val="21"/>
                <w:szCs w:val="21"/>
              </w:rPr>
              <w:t>抹布</w:t>
            </w:r>
          </w:p>
        </w:tc>
        <w:tc>
          <w:tcPr>
            <w:tcW w:w="973" w:type="pct"/>
            <w:noWrap w:val="0"/>
            <w:vAlign w:val="center"/>
          </w:tcPr>
          <w:p w14:paraId="34E4A577">
            <w:pPr>
              <w:widowControl/>
              <w:spacing w:line="240" w:lineRule="exact"/>
              <w:jc w:val="center"/>
              <w:rPr>
                <w:rFonts w:eastAsia="宋体"/>
                <w:sz w:val="21"/>
                <w:szCs w:val="21"/>
              </w:rPr>
            </w:pPr>
            <w:r>
              <w:rPr>
                <w:rFonts w:hint="eastAsia" w:eastAsia="宋体"/>
                <w:sz w:val="21"/>
                <w:szCs w:val="21"/>
              </w:rPr>
              <w:t>0.2</w:t>
            </w:r>
          </w:p>
        </w:tc>
        <w:tc>
          <w:tcPr>
            <w:tcW w:w="598" w:type="pct"/>
            <w:noWrap w:val="0"/>
            <w:vAlign w:val="center"/>
          </w:tcPr>
          <w:p w14:paraId="2F30CBF7">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2EEE6A10">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6D4A5116">
            <w:pPr>
              <w:widowControl/>
              <w:spacing w:line="240" w:lineRule="exact"/>
              <w:jc w:val="center"/>
              <w:rPr>
                <w:rFonts w:eastAsia="宋体"/>
                <w:sz w:val="21"/>
                <w:szCs w:val="21"/>
              </w:rPr>
            </w:pPr>
            <w:r>
              <w:rPr>
                <w:rFonts w:eastAsia="宋体"/>
                <w:sz w:val="21"/>
                <w:szCs w:val="21"/>
              </w:rPr>
              <w:t>原材料仓</w:t>
            </w:r>
          </w:p>
        </w:tc>
      </w:tr>
      <w:tr w14:paraId="3189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6E33F58F">
            <w:pPr>
              <w:widowControl/>
              <w:spacing w:line="240" w:lineRule="exact"/>
              <w:jc w:val="center"/>
              <w:rPr>
                <w:rFonts w:eastAsia="宋体"/>
                <w:sz w:val="21"/>
                <w:szCs w:val="21"/>
              </w:rPr>
            </w:pPr>
            <w:r>
              <w:rPr>
                <w:rFonts w:eastAsia="宋体"/>
                <w:sz w:val="21"/>
                <w:szCs w:val="21"/>
              </w:rPr>
              <w:t>16</w:t>
            </w:r>
          </w:p>
        </w:tc>
        <w:tc>
          <w:tcPr>
            <w:tcW w:w="380" w:type="pct"/>
            <w:vMerge w:val="continue"/>
            <w:noWrap w:val="0"/>
            <w:vAlign w:val="center"/>
          </w:tcPr>
          <w:p w14:paraId="02A7D998">
            <w:pPr>
              <w:widowControl/>
              <w:spacing w:line="240" w:lineRule="exact"/>
              <w:jc w:val="center"/>
              <w:rPr>
                <w:rFonts w:eastAsia="宋体"/>
                <w:sz w:val="21"/>
                <w:szCs w:val="21"/>
              </w:rPr>
            </w:pPr>
          </w:p>
        </w:tc>
        <w:tc>
          <w:tcPr>
            <w:tcW w:w="1166" w:type="pct"/>
            <w:noWrap w:val="0"/>
            <w:vAlign w:val="center"/>
          </w:tcPr>
          <w:p w14:paraId="1E8DCB82">
            <w:pPr>
              <w:widowControl/>
              <w:spacing w:line="240" w:lineRule="exact"/>
              <w:jc w:val="center"/>
              <w:rPr>
                <w:rFonts w:eastAsia="宋体"/>
                <w:sz w:val="21"/>
                <w:szCs w:val="21"/>
              </w:rPr>
            </w:pPr>
            <w:r>
              <w:rPr>
                <w:rFonts w:eastAsia="宋体"/>
                <w:sz w:val="21"/>
                <w:szCs w:val="21"/>
              </w:rPr>
              <w:t>手套</w:t>
            </w:r>
          </w:p>
        </w:tc>
        <w:tc>
          <w:tcPr>
            <w:tcW w:w="973" w:type="pct"/>
            <w:noWrap w:val="0"/>
            <w:vAlign w:val="center"/>
          </w:tcPr>
          <w:p w14:paraId="7F7FAC0C">
            <w:pPr>
              <w:widowControl/>
              <w:spacing w:line="240" w:lineRule="exact"/>
              <w:jc w:val="center"/>
              <w:rPr>
                <w:rFonts w:eastAsia="宋体"/>
                <w:sz w:val="21"/>
                <w:szCs w:val="21"/>
              </w:rPr>
            </w:pPr>
            <w:r>
              <w:rPr>
                <w:rFonts w:hint="eastAsia" w:eastAsia="宋体"/>
                <w:sz w:val="21"/>
                <w:szCs w:val="21"/>
              </w:rPr>
              <w:t>0.2</w:t>
            </w:r>
          </w:p>
        </w:tc>
        <w:tc>
          <w:tcPr>
            <w:tcW w:w="598" w:type="pct"/>
            <w:noWrap w:val="0"/>
            <w:vAlign w:val="center"/>
          </w:tcPr>
          <w:p w14:paraId="3A415964">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6107F44C">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036CC52C">
            <w:pPr>
              <w:widowControl/>
              <w:spacing w:line="240" w:lineRule="exact"/>
              <w:jc w:val="center"/>
              <w:rPr>
                <w:rFonts w:eastAsia="宋体"/>
                <w:sz w:val="21"/>
                <w:szCs w:val="21"/>
              </w:rPr>
            </w:pPr>
            <w:r>
              <w:rPr>
                <w:rFonts w:eastAsia="宋体"/>
                <w:sz w:val="21"/>
                <w:szCs w:val="21"/>
              </w:rPr>
              <w:t>原材料仓</w:t>
            </w:r>
          </w:p>
        </w:tc>
      </w:tr>
      <w:tr w14:paraId="7D0F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081DE07A">
            <w:pPr>
              <w:widowControl/>
              <w:spacing w:line="240" w:lineRule="exact"/>
              <w:jc w:val="center"/>
              <w:rPr>
                <w:rFonts w:eastAsia="宋体"/>
                <w:sz w:val="21"/>
                <w:szCs w:val="21"/>
              </w:rPr>
            </w:pPr>
            <w:r>
              <w:rPr>
                <w:rFonts w:eastAsia="宋体"/>
                <w:sz w:val="21"/>
                <w:szCs w:val="21"/>
              </w:rPr>
              <w:t>17</w:t>
            </w:r>
          </w:p>
        </w:tc>
        <w:tc>
          <w:tcPr>
            <w:tcW w:w="380" w:type="pct"/>
            <w:vMerge w:val="continue"/>
            <w:noWrap w:val="0"/>
            <w:vAlign w:val="center"/>
          </w:tcPr>
          <w:p w14:paraId="64C7BEB4">
            <w:pPr>
              <w:widowControl/>
              <w:spacing w:line="240" w:lineRule="exact"/>
              <w:jc w:val="center"/>
              <w:rPr>
                <w:rFonts w:eastAsia="宋体"/>
                <w:sz w:val="21"/>
                <w:szCs w:val="21"/>
              </w:rPr>
            </w:pPr>
          </w:p>
        </w:tc>
        <w:tc>
          <w:tcPr>
            <w:tcW w:w="1166" w:type="pct"/>
            <w:noWrap w:val="0"/>
            <w:vAlign w:val="center"/>
          </w:tcPr>
          <w:p w14:paraId="0933CD42">
            <w:pPr>
              <w:widowControl/>
              <w:spacing w:line="240" w:lineRule="exact"/>
              <w:jc w:val="center"/>
              <w:rPr>
                <w:rFonts w:eastAsia="宋体"/>
                <w:sz w:val="21"/>
                <w:szCs w:val="21"/>
              </w:rPr>
            </w:pPr>
            <w:r>
              <w:rPr>
                <w:rFonts w:eastAsia="宋体"/>
                <w:sz w:val="21"/>
                <w:szCs w:val="21"/>
              </w:rPr>
              <w:t>硝盐</w:t>
            </w:r>
          </w:p>
        </w:tc>
        <w:tc>
          <w:tcPr>
            <w:tcW w:w="973" w:type="pct"/>
            <w:noWrap w:val="0"/>
            <w:vAlign w:val="center"/>
          </w:tcPr>
          <w:p w14:paraId="77A88200">
            <w:pPr>
              <w:widowControl/>
              <w:spacing w:line="240" w:lineRule="exact"/>
              <w:jc w:val="center"/>
              <w:rPr>
                <w:rFonts w:eastAsia="宋体"/>
                <w:sz w:val="21"/>
                <w:szCs w:val="21"/>
              </w:rPr>
            </w:pPr>
            <w:r>
              <w:rPr>
                <w:rFonts w:hint="eastAsia" w:eastAsia="宋体"/>
                <w:sz w:val="21"/>
                <w:szCs w:val="21"/>
              </w:rPr>
              <w:t>22</w:t>
            </w:r>
          </w:p>
        </w:tc>
        <w:tc>
          <w:tcPr>
            <w:tcW w:w="598" w:type="pct"/>
            <w:noWrap w:val="0"/>
            <w:vAlign w:val="center"/>
          </w:tcPr>
          <w:p w14:paraId="7E9A91D4">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490CA9EB">
            <w:pPr>
              <w:widowControl/>
              <w:spacing w:line="240" w:lineRule="exact"/>
              <w:jc w:val="center"/>
              <w:rPr>
                <w:rFonts w:eastAsia="宋体"/>
                <w:sz w:val="21"/>
                <w:szCs w:val="21"/>
              </w:rPr>
            </w:pPr>
            <w:r>
              <w:rPr>
                <w:rFonts w:eastAsia="宋体"/>
                <w:sz w:val="21"/>
                <w:szCs w:val="21"/>
              </w:rPr>
              <w:t>/</w:t>
            </w:r>
          </w:p>
        </w:tc>
        <w:tc>
          <w:tcPr>
            <w:tcW w:w="920" w:type="pct"/>
            <w:noWrap w:val="0"/>
            <w:vAlign w:val="center"/>
          </w:tcPr>
          <w:p w14:paraId="01D7117B">
            <w:pPr>
              <w:widowControl/>
              <w:spacing w:line="240" w:lineRule="exact"/>
              <w:jc w:val="center"/>
              <w:rPr>
                <w:rFonts w:eastAsia="宋体"/>
                <w:sz w:val="21"/>
                <w:szCs w:val="21"/>
              </w:rPr>
            </w:pPr>
            <w:r>
              <w:rPr>
                <w:rFonts w:eastAsia="宋体"/>
                <w:sz w:val="21"/>
                <w:szCs w:val="21"/>
              </w:rPr>
              <w:t>原材料仓</w:t>
            </w:r>
          </w:p>
        </w:tc>
      </w:tr>
      <w:tr w14:paraId="502A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77F80299">
            <w:pPr>
              <w:widowControl/>
              <w:spacing w:line="240" w:lineRule="exact"/>
              <w:jc w:val="center"/>
              <w:rPr>
                <w:rFonts w:hint="eastAsia" w:eastAsia="宋体"/>
                <w:sz w:val="21"/>
                <w:szCs w:val="21"/>
                <w:lang w:eastAsia="zh-CN"/>
              </w:rPr>
            </w:pPr>
            <w:r>
              <w:rPr>
                <w:rFonts w:eastAsia="宋体"/>
                <w:sz w:val="21"/>
                <w:szCs w:val="21"/>
              </w:rPr>
              <w:t>1</w:t>
            </w:r>
            <w:r>
              <w:rPr>
                <w:rFonts w:hint="eastAsia" w:eastAsia="宋体"/>
                <w:sz w:val="21"/>
                <w:szCs w:val="21"/>
                <w:lang w:val="en-US" w:eastAsia="zh-CN"/>
              </w:rPr>
              <w:t>8</w:t>
            </w:r>
          </w:p>
        </w:tc>
        <w:tc>
          <w:tcPr>
            <w:tcW w:w="380" w:type="pct"/>
            <w:vMerge w:val="continue"/>
            <w:noWrap w:val="0"/>
            <w:vAlign w:val="center"/>
          </w:tcPr>
          <w:p w14:paraId="23A2D349">
            <w:pPr>
              <w:widowControl/>
              <w:spacing w:line="240" w:lineRule="exact"/>
              <w:jc w:val="center"/>
              <w:rPr>
                <w:rFonts w:eastAsia="宋体"/>
                <w:sz w:val="21"/>
                <w:szCs w:val="21"/>
              </w:rPr>
            </w:pPr>
          </w:p>
        </w:tc>
        <w:tc>
          <w:tcPr>
            <w:tcW w:w="1166" w:type="pct"/>
            <w:noWrap w:val="0"/>
            <w:vAlign w:val="center"/>
          </w:tcPr>
          <w:p w14:paraId="28358B0C">
            <w:pPr>
              <w:widowControl/>
              <w:spacing w:line="240" w:lineRule="exact"/>
              <w:jc w:val="center"/>
              <w:rPr>
                <w:rFonts w:eastAsia="宋体"/>
                <w:sz w:val="21"/>
                <w:szCs w:val="21"/>
              </w:rPr>
            </w:pPr>
            <w:r>
              <w:rPr>
                <w:rFonts w:eastAsia="宋体"/>
                <w:sz w:val="21"/>
                <w:szCs w:val="21"/>
              </w:rPr>
              <w:t>水性漆</w:t>
            </w:r>
          </w:p>
        </w:tc>
        <w:tc>
          <w:tcPr>
            <w:tcW w:w="973" w:type="pct"/>
            <w:noWrap w:val="0"/>
            <w:vAlign w:val="center"/>
          </w:tcPr>
          <w:p w14:paraId="6BE0E919">
            <w:pPr>
              <w:widowControl/>
              <w:spacing w:line="240" w:lineRule="exact"/>
              <w:jc w:val="center"/>
              <w:rPr>
                <w:rFonts w:hint="eastAsia" w:eastAsia="宋体"/>
                <w:sz w:val="21"/>
                <w:szCs w:val="21"/>
                <w:lang w:val="en-US" w:eastAsia="zh-CN"/>
              </w:rPr>
            </w:pPr>
            <w:r>
              <w:rPr>
                <w:rFonts w:hint="eastAsia"/>
                <w:sz w:val="21"/>
                <w:szCs w:val="21"/>
                <w:lang w:eastAsia="zh-CN"/>
              </w:rPr>
              <w:t>2.05425</w:t>
            </w:r>
          </w:p>
        </w:tc>
        <w:tc>
          <w:tcPr>
            <w:tcW w:w="598" w:type="pct"/>
            <w:noWrap w:val="0"/>
            <w:vAlign w:val="center"/>
          </w:tcPr>
          <w:p w14:paraId="0A0DDE00">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49F368C0">
            <w:pPr>
              <w:widowControl/>
              <w:spacing w:line="240" w:lineRule="exact"/>
              <w:jc w:val="center"/>
              <w:rPr>
                <w:rFonts w:hint="default" w:eastAsia="宋体"/>
                <w:sz w:val="21"/>
                <w:szCs w:val="21"/>
                <w:lang w:val="en-US" w:eastAsia="zh-CN"/>
              </w:rPr>
            </w:pPr>
            <w:r>
              <w:rPr>
                <w:rFonts w:hint="eastAsia"/>
                <w:sz w:val="21"/>
                <w:szCs w:val="21"/>
                <w:lang w:val="en-US" w:eastAsia="zh-CN"/>
              </w:rPr>
              <w:t>20kg/桶</w:t>
            </w:r>
          </w:p>
        </w:tc>
        <w:tc>
          <w:tcPr>
            <w:tcW w:w="920" w:type="pct"/>
            <w:noWrap w:val="0"/>
            <w:vAlign w:val="center"/>
          </w:tcPr>
          <w:p w14:paraId="78CD9C43">
            <w:pPr>
              <w:widowControl/>
              <w:spacing w:line="240" w:lineRule="exact"/>
              <w:jc w:val="center"/>
              <w:rPr>
                <w:rFonts w:eastAsia="宋体"/>
                <w:sz w:val="21"/>
                <w:szCs w:val="21"/>
              </w:rPr>
            </w:pPr>
            <w:r>
              <w:rPr>
                <w:rFonts w:eastAsia="宋体"/>
                <w:sz w:val="21"/>
                <w:szCs w:val="21"/>
              </w:rPr>
              <w:t>原材料仓</w:t>
            </w:r>
          </w:p>
        </w:tc>
      </w:tr>
      <w:tr w14:paraId="1C8B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noWrap w:val="0"/>
            <w:vAlign w:val="center"/>
          </w:tcPr>
          <w:p w14:paraId="152868FB">
            <w:pPr>
              <w:widowControl/>
              <w:spacing w:line="240" w:lineRule="exact"/>
              <w:jc w:val="center"/>
              <w:rPr>
                <w:rFonts w:hint="default" w:eastAsia="宋体"/>
                <w:sz w:val="21"/>
                <w:szCs w:val="21"/>
                <w:lang w:val="en-US" w:eastAsia="zh-CN"/>
              </w:rPr>
            </w:pPr>
            <w:r>
              <w:rPr>
                <w:rFonts w:hint="eastAsia" w:eastAsia="宋体"/>
                <w:sz w:val="21"/>
                <w:szCs w:val="21"/>
                <w:lang w:val="en-US" w:eastAsia="zh-CN"/>
              </w:rPr>
              <w:t>19</w:t>
            </w:r>
          </w:p>
        </w:tc>
        <w:tc>
          <w:tcPr>
            <w:tcW w:w="380" w:type="pct"/>
            <w:vMerge w:val="continue"/>
            <w:noWrap w:val="0"/>
            <w:vAlign w:val="center"/>
          </w:tcPr>
          <w:p w14:paraId="202E9616">
            <w:pPr>
              <w:widowControl/>
              <w:spacing w:line="240" w:lineRule="exact"/>
              <w:jc w:val="center"/>
              <w:rPr>
                <w:rFonts w:eastAsia="宋体"/>
                <w:sz w:val="21"/>
                <w:szCs w:val="21"/>
              </w:rPr>
            </w:pPr>
          </w:p>
        </w:tc>
        <w:tc>
          <w:tcPr>
            <w:tcW w:w="1166" w:type="pct"/>
            <w:noWrap w:val="0"/>
            <w:vAlign w:val="center"/>
          </w:tcPr>
          <w:p w14:paraId="2D8D8B0F">
            <w:pPr>
              <w:widowControl/>
              <w:spacing w:line="240" w:lineRule="exact"/>
              <w:jc w:val="center"/>
              <w:rPr>
                <w:rFonts w:eastAsia="宋体"/>
                <w:sz w:val="21"/>
                <w:szCs w:val="21"/>
              </w:rPr>
            </w:pPr>
            <w:r>
              <w:rPr>
                <w:rFonts w:eastAsia="宋体"/>
                <w:sz w:val="21"/>
                <w:szCs w:val="21"/>
              </w:rPr>
              <w:t>油性漆</w:t>
            </w:r>
          </w:p>
        </w:tc>
        <w:tc>
          <w:tcPr>
            <w:tcW w:w="973" w:type="pct"/>
            <w:noWrap w:val="0"/>
            <w:vAlign w:val="center"/>
          </w:tcPr>
          <w:p w14:paraId="7EE1DC39">
            <w:pPr>
              <w:widowControl/>
              <w:spacing w:line="240" w:lineRule="exact"/>
              <w:jc w:val="center"/>
              <w:rPr>
                <w:rFonts w:eastAsia="宋体"/>
                <w:sz w:val="21"/>
                <w:szCs w:val="21"/>
              </w:rPr>
            </w:pPr>
            <w:r>
              <w:rPr>
                <w:rFonts w:eastAsia="宋体"/>
                <w:sz w:val="21"/>
                <w:szCs w:val="21"/>
              </w:rPr>
              <w:t>0.1245</w:t>
            </w:r>
          </w:p>
        </w:tc>
        <w:tc>
          <w:tcPr>
            <w:tcW w:w="598" w:type="pct"/>
            <w:noWrap w:val="0"/>
            <w:vAlign w:val="center"/>
          </w:tcPr>
          <w:p w14:paraId="63095FFC">
            <w:pPr>
              <w:widowControl/>
              <w:spacing w:line="240" w:lineRule="exact"/>
              <w:jc w:val="center"/>
              <w:rPr>
                <w:rFonts w:eastAsia="宋体"/>
                <w:sz w:val="21"/>
                <w:szCs w:val="21"/>
              </w:rPr>
            </w:pPr>
            <w:r>
              <w:rPr>
                <w:rFonts w:eastAsia="宋体"/>
                <w:sz w:val="21"/>
                <w:szCs w:val="21"/>
              </w:rPr>
              <w:t>t/a</w:t>
            </w:r>
          </w:p>
        </w:tc>
        <w:tc>
          <w:tcPr>
            <w:tcW w:w="702" w:type="pct"/>
            <w:noWrap w:val="0"/>
            <w:vAlign w:val="center"/>
          </w:tcPr>
          <w:p w14:paraId="48E6C062">
            <w:pPr>
              <w:widowControl/>
              <w:spacing w:line="240" w:lineRule="exact"/>
              <w:jc w:val="center"/>
              <w:rPr>
                <w:rFonts w:eastAsia="宋体"/>
                <w:sz w:val="21"/>
                <w:szCs w:val="21"/>
              </w:rPr>
            </w:pPr>
            <w:r>
              <w:rPr>
                <w:rFonts w:hint="eastAsia"/>
                <w:sz w:val="21"/>
                <w:szCs w:val="21"/>
                <w:lang w:val="en-US" w:eastAsia="zh-CN"/>
              </w:rPr>
              <w:t>20kg/桶</w:t>
            </w:r>
          </w:p>
        </w:tc>
        <w:tc>
          <w:tcPr>
            <w:tcW w:w="920" w:type="pct"/>
            <w:noWrap w:val="0"/>
            <w:vAlign w:val="center"/>
          </w:tcPr>
          <w:p w14:paraId="68598AED">
            <w:pPr>
              <w:widowControl/>
              <w:spacing w:line="240" w:lineRule="exact"/>
              <w:jc w:val="center"/>
              <w:rPr>
                <w:rFonts w:eastAsia="宋体"/>
                <w:sz w:val="21"/>
                <w:szCs w:val="21"/>
              </w:rPr>
            </w:pPr>
            <w:r>
              <w:rPr>
                <w:rFonts w:eastAsia="宋体"/>
                <w:sz w:val="21"/>
                <w:szCs w:val="21"/>
              </w:rPr>
              <w:t>原材料仓</w:t>
            </w:r>
          </w:p>
        </w:tc>
      </w:tr>
    </w:tbl>
    <w:p w14:paraId="656532FD">
      <w:pPr>
        <w:pStyle w:val="122"/>
        <w:ind w:firstLine="0" w:firstLineChars="0"/>
        <w:outlineLvl w:val="2"/>
        <w:rPr>
          <w:b/>
          <w:color w:val="auto"/>
        </w:rPr>
      </w:pPr>
      <w:r>
        <w:rPr>
          <w:rFonts w:hint="eastAsia"/>
          <w:b/>
          <w:color w:val="auto"/>
        </w:rPr>
        <w:t>1</w:t>
      </w:r>
      <w:r>
        <w:rPr>
          <w:b/>
          <w:color w:val="auto"/>
        </w:rPr>
        <w:t>.4</w:t>
      </w:r>
      <w:r>
        <w:rPr>
          <w:rFonts w:hint="eastAsia"/>
          <w:b/>
          <w:color w:val="auto"/>
        </w:rPr>
        <w:t>主要生产设备</w:t>
      </w:r>
    </w:p>
    <w:p w14:paraId="766209FF">
      <w:pPr>
        <w:pStyle w:val="122"/>
        <w:ind w:firstLine="480"/>
        <w:rPr>
          <w:b/>
          <w:color w:val="auto"/>
        </w:rPr>
      </w:pPr>
      <w:bookmarkStart w:id="32" w:name="_Hlk156825366"/>
      <w:r>
        <w:rPr>
          <w:rFonts w:hint="eastAsia"/>
          <w:color w:val="auto"/>
        </w:rPr>
        <w:t>本次项目为迁建项目，部分生产设备由现有设备搬迁而来，</w:t>
      </w:r>
      <w:r>
        <w:rPr>
          <w:rFonts w:hint="eastAsia"/>
          <w:color w:val="auto"/>
          <w:lang w:val="en-US" w:eastAsia="zh-CN"/>
        </w:rPr>
        <w:t>同时</w:t>
      </w:r>
      <w:r>
        <w:rPr>
          <w:rFonts w:hint="eastAsia"/>
          <w:color w:val="auto"/>
        </w:rPr>
        <w:t>将新购置一部分设备，本项目生产设备见下表</w:t>
      </w:r>
      <w:r>
        <w:rPr>
          <w:color w:val="auto"/>
        </w:rPr>
        <w:t>。</w:t>
      </w:r>
    </w:p>
    <w:p w14:paraId="2A265FAB">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表4</w:t>
      </w:r>
      <w:r>
        <w:rPr>
          <w:rFonts w:hint="eastAsia"/>
          <w:color w:val="auto"/>
        </w:rPr>
        <w:t>本项目主要设备一览表</w:t>
      </w:r>
    </w:p>
    <w:bookmarkEnd w:id="32"/>
    <w:tbl>
      <w:tblPr>
        <w:tblStyle w:val="88"/>
        <w:tblW w:w="4994" w:type="pct"/>
        <w:jc w:val="center"/>
        <w:tblLayout w:type="autofit"/>
        <w:tblCellMar>
          <w:top w:w="0" w:type="dxa"/>
          <w:left w:w="108" w:type="dxa"/>
          <w:bottom w:w="0" w:type="dxa"/>
          <w:right w:w="108" w:type="dxa"/>
        </w:tblCellMar>
      </w:tblPr>
      <w:tblGrid>
        <w:gridCol w:w="842"/>
        <w:gridCol w:w="1126"/>
        <w:gridCol w:w="1804"/>
        <w:gridCol w:w="685"/>
        <w:gridCol w:w="724"/>
        <w:gridCol w:w="901"/>
        <w:gridCol w:w="833"/>
        <w:gridCol w:w="1114"/>
        <w:gridCol w:w="1717"/>
      </w:tblGrid>
      <w:tr w14:paraId="71F0FDB7">
        <w:trPr>
          <w:trHeight w:val="90" w:hRule="atLeast"/>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BB08138">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序号</w:t>
            </w:r>
          </w:p>
        </w:tc>
        <w:tc>
          <w:tcPr>
            <w:tcW w:w="57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86DC2F">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设备名称</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3D4186">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设备规格</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24CA3B">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lang w:val="en-US" w:eastAsia="zh-CN"/>
              </w:rPr>
              <w:t>原审批</w:t>
            </w:r>
            <w:r>
              <w:rPr>
                <w:rFonts w:hint="default" w:ascii="Times New Roman" w:hAnsi="Times New Roman" w:cs="Times New Roman"/>
                <w:color w:val="auto"/>
                <w:kern w:val="0"/>
                <w:sz w:val="18"/>
                <w:szCs w:val="18"/>
              </w:rPr>
              <w:t>设备数量</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8008BE">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本次新增设备数量</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3882E2">
            <w:pPr>
              <w:adjustRightInd w:val="0"/>
              <w:snapToGrid w:val="0"/>
              <w:jc w:val="center"/>
              <w:textAlignment w:val="baseline"/>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搬迁</w:t>
            </w:r>
            <w:r>
              <w:rPr>
                <w:rFonts w:hint="default" w:ascii="Times New Roman" w:hAnsi="Times New Roman" w:cs="Times New Roman"/>
                <w:color w:val="auto"/>
                <w:kern w:val="0"/>
                <w:sz w:val="18"/>
                <w:szCs w:val="18"/>
              </w:rPr>
              <w:t>设备数量</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531B60">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项目建成后全厂设备数量</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D0EE4C">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依托情况</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11E42828">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较原审批增减量</w:t>
            </w:r>
          </w:p>
        </w:tc>
      </w:tr>
      <w:tr w14:paraId="17CFD745">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239B5E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A78A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铰孔机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C1487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330AF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5F9E4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6</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6C48E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266B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DF2DB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6FE22AD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+6</w:t>
            </w:r>
          </w:p>
        </w:tc>
      </w:tr>
      <w:tr w14:paraId="1B900B08">
        <w:tblPrEx>
          <w:tblCellMar>
            <w:top w:w="0" w:type="dxa"/>
            <w:left w:w="108" w:type="dxa"/>
            <w:bottom w:w="0" w:type="dxa"/>
            <w:right w:w="108" w:type="dxa"/>
          </w:tblCellMar>
        </w:tblPrEx>
        <w:trPr>
          <w:trHeight w:val="90" w:hRule="atLeast"/>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B74108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CC50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磨床</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89B2A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72791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18</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7D7E2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32</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A1E39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18</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3690F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50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2CC87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623FBAA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+32</w:t>
            </w:r>
          </w:p>
        </w:tc>
      </w:tr>
      <w:tr w14:paraId="229010A3">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61427A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4FFA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激光打标机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EBB30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DD0A7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F79B3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12</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8D2B8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457D1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0C5D1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257687F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+12</w:t>
            </w:r>
          </w:p>
        </w:tc>
      </w:tr>
      <w:tr w14:paraId="3E7D606E">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9AC744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CBB6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开齿机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989A2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EDA05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15</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FE381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160B9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15</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12F0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4DBB7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304B032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+10</w:t>
            </w:r>
          </w:p>
        </w:tc>
      </w:tr>
      <w:tr w14:paraId="0C940CAA">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255180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75B1F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自动焊机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10A24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220C/单项</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DBD84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33</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2DB98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67</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A8892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33</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833FC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01BE3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03D0A76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+67</w:t>
            </w:r>
          </w:p>
        </w:tc>
      </w:tr>
      <w:tr w14:paraId="33FC0C81">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E26C31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57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448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手动焊机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3D0A3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A0BDE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4E260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D1FEE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02260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351CD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1D02FDB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r>
      <w:tr w14:paraId="344177AD">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5107E9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6376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洗齿机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67318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C13D6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63EA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13</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B5BF8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747E0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F9092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1253133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+13</w:t>
            </w:r>
          </w:p>
        </w:tc>
      </w:tr>
      <w:tr w14:paraId="371711A4">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5B5A24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DF59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磨齿机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B2AE0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B6E65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B1A1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570</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46598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A9025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600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E8641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1AD0AB2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+570</w:t>
            </w:r>
          </w:p>
        </w:tc>
      </w:tr>
      <w:tr w14:paraId="18B7260D">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076F5A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9</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47A3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回火炉</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62D89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1F29D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E09C9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33</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03C2E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60A9F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8DBB7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32D9E01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+33</w:t>
            </w:r>
          </w:p>
        </w:tc>
      </w:tr>
      <w:tr w14:paraId="52799274">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6210CC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532C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洗片机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6BACA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B0B1C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8390C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6</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C27D1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7C8B2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5D8B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1BBC257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+6</w:t>
            </w:r>
          </w:p>
        </w:tc>
      </w:tr>
      <w:tr w14:paraId="70B52E5A">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3EA3BB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5A0A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抛光机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671D6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CB6FA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49E84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11</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A1170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6D904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DE73D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4489D13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+11</w:t>
            </w:r>
          </w:p>
        </w:tc>
      </w:tr>
      <w:tr w14:paraId="6F3A6D52">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C6FA7D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AD61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线切割</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0CBD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204E6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18</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E888A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459AC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18</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56559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9EAF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3C0B4C2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r>
      <w:tr w14:paraId="53DEEC74">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C30720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391B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冷水机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D1F55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A96F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5</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2D989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E7D7B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5</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A6495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63BA9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037659F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+5</w:t>
            </w:r>
          </w:p>
        </w:tc>
      </w:tr>
      <w:tr w14:paraId="1E5CAD44">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9649D5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14</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6EAF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空压机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E02E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62708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7</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6165B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643B1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7</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B6364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24435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4E164D3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+3</w:t>
            </w:r>
          </w:p>
        </w:tc>
      </w:tr>
      <w:tr w14:paraId="160C92E9">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2BF9BE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15</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A9F6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激光切割机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0A2E1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18A65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BAA87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8</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C0C28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E501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7316D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7947C93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+8</w:t>
            </w:r>
          </w:p>
        </w:tc>
      </w:tr>
      <w:tr w14:paraId="03360449">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A98D98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16</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776A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密封式喷砂机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990DC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C62F9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984AE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r>
              <w:rPr>
                <w:rFonts w:hint="eastAsia" w:cs="Times New Roman"/>
                <w:color w:val="auto"/>
                <w:kern w:val="0"/>
                <w:sz w:val="18"/>
                <w:szCs w:val="18"/>
                <w:lang w:val="en-US" w:eastAsia="zh-CN"/>
              </w:rPr>
              <w:t>3</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88238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2</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2C676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5ECA4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65843B9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default" w:ascii="Times New Roman" w:hAnsi="Times New Roman" w:eastAsia="宋体" w:cs="Times New Roman"/>
                <w:color w:val="auto"/>
                <w:kern w:val="0"/>
                <w:sz w:val="18"/>
                <w:szCs w:val="18"/>
                <w:lang w:val="en-US" w:eastAsia="zh-CN"/>
              </w:rPr>
              <w:t>1</w:t>
            </w:r>
            <w:r>
              <w:rPr>
                <w:rFonts w:hint="eastAsia" w:cs="Times New Roman"/>
                <w:color w:val="auto"/>
                <w:kern w:val="0"/>
                <w:sz w:val="18"/>
                <w:szCs w:val="18"/>
                <w:lang w:val="en-US" w:eastAsia="zh-CN"/>
              </w:rPr>
              <w:t>3</w:t>
            </w:r>
          </w:p>
        </w:tc>
      </w:tr>
      <w:tr w14:paraId="3697F153">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032199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17</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40BD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锯片刮刀焊接机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AE1B1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F0193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8D304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r>
              <w:rPr>
                <w:rFonts w:hint="eastAsia" w:cs="Times New Roman"/>
                <w:color w:val="auto"/>
                <w:kern w:val="0"/>
                <w:sz w:val="18"/>
                <w:szCs w:val="18"/>
                <w:lang w:val="en-US" w:eastAsia="zh-CN"/>
              </w:rPr>
              <w:t>4</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1C48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1</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AC3AD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F9FBD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部分依托</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6C7ABC2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default" w:ascii="Times New Roman" w:hAnsi="Times New Roman" w:eastAsia="宋体" w:cs="Times New Roman"/>
                <w:color w:val="auto"/>
                <w:kern w:val="0"/>
                <w:sz w:val="18"/>
                <w:szCs w:val="18"/>
                <w:lang w:val="en-US" w:eastAsia="zh-CN"/>
              </w:rPr>
              <w:t>1</w:t>
            </w:r>
            <w:r>
              <w:rPr>
                <w:rFonts w:hint="eastAsia" w:cs="Times New Roman"/>
                <w:color w:val="auto"/>
                <w:kern w:val="0"/>
                <w:sz w:val="18"/>
                <w:szCs w:val="18"/>
                <w:lang w:val="en-US" w:eastAsia="zh-CN"/>
              </w:rPr>
              <w:t>4</w:t>
            </w:r>
          </w:p>
        </w:tc>
      </w:tr>
      <w:tr w14:paraId="77C7B9E4">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82E510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18</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8E2B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全自动喷涂机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CDE81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FC505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DC673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41A32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69B56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4</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2E205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1CC9FA0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r>
      <w:tr w14:paraId="1846B787">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E270B2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19</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AE35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PVD镀膜机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CF016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36610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AEE13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18A19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8B04B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71E8C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B20441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10</w:t>
            </w:r>
          </w:p>
        </w:tc>
      </w:tr>
      <w:tr w14:paraId="150B70A3">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49E958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20</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C7BB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组装流水线</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78E0A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48BEB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9CFA6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F375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72698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8D5FD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5F2203E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2</w:t>
            </w:r>
          </w:p>
        </w:tc>
      </w:tr>
      <w:tr w14:paraId="2CCA7B96">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2F749D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21</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0BF1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车铣床</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56FFD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8A58D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BEB81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CA7A1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9C9F8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2A352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76ECD35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25</w:t>
            </w:r>
          </w:p>
        </w:tc>
      </w:tr>
      <w:tr w14:paraId="42FCF74E">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C2A5B3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22</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40E9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整平机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46AF2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9A9B9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FA40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DE423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54BD3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DDD8B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A3DE9C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3</w:t>
            </w:r>
          </w:p>
        </w:tc>
      </w:tr>
      <w:tr w14:paraId="60B4B0A3">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97CDB8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23</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CC74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压腰机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62B5B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6AD08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D728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80B4C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D4662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05623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62B0945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15</w:t>
            </w:r>
          </w:p>
        </w:tc>
      </w:tr>
      <w:tr w14:paraId="392A965B">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DEFAEEF">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24</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EA19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磨刮刀机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D9D05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F9930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A47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12</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81E4A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FBBD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12</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4DFD7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505D2E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12</w:t>
            </w:r>
          </w:p>
        </w:tc>
      </w:tr>
      <w:tr w14:paraId="66DC1C35">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FE41387">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25</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C558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热处理淬火线</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56263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C449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D34F7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5B675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84021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61D12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DAF8C4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w:t>
            </w:r>
          </w:p>
        </w:tc>
      </w:tr>
      <w:tr w14:paraId="7F20EC5E">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D8C54A5">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26</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1FC7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毛刺机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80110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BFD82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49661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8FE19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F1858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9B8DD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543BF12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5</w:t>
            </w:r>
          </w:p>
        </w:tc>
      </w:tr>
      <w:tr w14:paraId="0351E502">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A2AA34F">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27</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3C38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压机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39424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7DBDA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EFA70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5B4A2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D68AB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87347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411D8A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25</w:t>
            </w:r>
          </w:p>
        </w:tc>
      </w:tr>
      <w:tr w14:paraId="752DE8DA">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2EBDC28">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28</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5B75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磨刮刀机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36CE2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A461D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6A4BE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23B37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F1E4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C637A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6D1CA8F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15</w:t>
            </w:r>
          </w:p>
        </w:tc>
      </w:tr>
      <w:tr w14:paraId="67687740">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0CBB4E4">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29</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4D6B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冲床</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D7A2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B596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F5055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C91D5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B47AB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EF10C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082D581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15</w:t>
            </w:r>
          </w:p>
        </w:tc>
      </w:tr>
      <w:tr w14:paraId="7AB52C5B">
        <w:tblPrEx>
          <w:tblCellMar>
            <w:top w:w="0" w:type="dxa"/>
            <w:left w:w="108" w:type="dxa"/>
            <w:bottom w:w="0" w:type="dxa"/>
            <w:right w:w="108" w:type="dxa"/>
          </w:tblCellMar>
        </w:tblPrEx>
        <w:trPr>
          <w:jc w:val="center"/>
        </w:trPr>
        <w:tc>
          <w:tcPr>
            <w:tcW w:w="43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9B78770">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30</w:t>
            </w:r>
          </w:p>
        </w:tc>
        <w:tc>
          <w:tcPr>
            <w:tcW w:w="5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17A6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包装机</w:t>
            </w:r>
          </w:p>
        </w:tc>
        <w:tc>
          <w:tcPr>
            <w:tcW w:w="92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2A12D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380V/3项5线</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97C80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9CBCA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0ECCD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w:t>
            </w:r>
          </w:p>
        </w:tc>
        <w:tc>
          <w:tcPr>
            <w:tcW w:w="42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55018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15</w:t>
            </w:r>
          </w:p>
        </w:tc>
        <w:tc>
          <w:tcPr>
            <w:tcW w:w="57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B6082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新购设备</w:t>
            </w:r>
          </w:p>
        </w:tc>
        <w:tc>
          <w:tcPr>
            <w:tcW w:w="880"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589562A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w:t>
            </w:r>
            <w:r>
              <w:rPr>
                <w:rFonts w:hint="eastAsia" w:ascii="Times New Roman" w:hAnsi="Times New Roman" w:eastAsia="宋体" w:cs="Times New Roman"/>
                <w:color w:val="auto"/>
                <w:kern w:val="0"/>
                <w:sz w:val="18"/>
                <w:szCs w:val="18"/>
                <w:lang w:val="en-US" w:eastAsia="zh-CN"/>
              </w:rPr>
              <w:t>15</w:t>
            </w:r>
          </w:p>
        </w:tc>
      </w:tr>
    </w:tbl>
    <w:p w14:paraId="21E34745">
      <w:pPr>
        <w:pStyle w:val="116"/>
        <w:numPr>
          <w:ilvl w:val="0"/>
          <w:numId w:val="0"/>
        </w:numPr>
        <w:spacing w:before="0" w:beforeLines="0"/>
        <w:ind w:left="0" w:leftChars="0" w:hanging="420" w:firstLineChars="0"/>
        <w:rPr>
          <w:color w:val="auto"/>
        </w:rPr>
      </w:pPr>
      <w:r>
        <w:rPr>
          <w:color w:val="auto"/>
        </w:rPr>
        <w:br w:type="page"/>
      </w:r>
    </w:p>
    <w:p w14:paraId="2731F277">
      <w:pPr>
        <w:pStyle w:val="122"/>
        <w:ind w:firstLine="0" w:firstLineChars="0"/>
        <w:outlineLvl w:val="2"/>
        <w:rPr>
          <w:b/>
          <w:color w:val="auto"/>
        </w:rPr>
      </w:pPr>
      <w:r>
        <w:rPr>
          <w:rFonts w:hint="eastAsia"/>
          <w:b/>
          <w:color w:val="auto"/>
        </w:rPr>
        <w:t>1</w:t>
      </w:r>
      <w:r>
        <w:rPr>
          <w:b/>
          <w:color w:val="auto"/>
        </w:rPr>
        <w:t>.5</w:t>
      </w:r>
      <w:r>
        <w:rPr>
          <w:rFonts w:hint="eastAsia"/>
          <w:b/>
          <w:color w:val="auto"/>
        </w:rPr>
        <w:t>生产工艺</w:t>
      </w:r>
    </w:p>
    <w:p w14:paraId="422F9540">
      <w:pPr>
        <w:autoSpaceDE w:val="0"/>
        <w:autoSpaceDN w:val="0"/>
        <w:adjustRightInd w:val="0"/>
        <w:spacing w:line="360" w:lineRule="auto"/>
        <w:jc w:val="center"/>
        <w:rPr>
          <w:rFonts w:hint="eastAsia" w:eastAsia="宋体"/>
          <w:color w:val="auto"/>
          <w:lang w:eastAsia="zh-CN"/>
        </w:rPr>
      </w:pPr>
      <w:r>
        <w:rPr>
          <w:rFonts w:hint="eastAsia" w:eastAsia="宋体"/>
          <w:color w:val="auto"/>
          <w:lang w:eastAsia="zh-CN"/>
        </w:rPr>
        <w:drawing>
          <wp:inline distT="0" distB="0" distL="114300" distR="114300">
            <wp:extent cx="6051550" cy="3003550"/>
            <wp:effectExtent l="0" t="0" r="0" b="0"/>
            <wp:docPr id="36" name="图片 36" descr="锯床工艺流程(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锯床工艺流程(10.21)"/>
                    <pic:cNvPicPr>
                      <a:picLocks noChangeAspect="1"/>
                    </pic:cNvPicPr>
                  </pic:nvPicPr>
                  <pic:blipFill>
                    <a:blip r:embed="rId15"/>
                    <a:stretch>
                      <a:fillRect/>
                    </a:stretch>
                  </pic:blipFill>
                  <pic:spPr>
                    <a:xfrm>
                      <a:off x="0" y="0"/>
                      <a:ext cx="6051550" cy="3003550"/>
                    </a:xfrm>
                    <a:prstGeom prst="rect">
                      <a:avLst/>
                    </a:prstGeom>
                  </pic:spPr>
                </pic:pic>
              </a:graphicData>
            </a:graphic>
          </wp:inline>
        </w:drawing>
      </w:r>
    </w:p>
    <w:p w14:paraId="367D7FCF">
      <w:pPr>
        <w:pStyle w:val="45"/>
        <w:adjustRightInd w:val="0"/>
        <w:snapToGrid w:val="0"/>
        <w:spacing w:line="360" w:lineRule="auto"/>
        <w:rPr>
          <w:rFonts w:ascii="Times New Roman" w:hAnsi="Times New Roman"/>
          <w:b/>
          <w:color w:val="auto"/>
          <w:sz w:val="24"/>
          <w:szCs w:val="24"/>
        </w:rPr>
      </w:pPr>
      <w:r>
        <w:rPr>
          <w:rFonts w:hint="eastAsia" w:ascii="Times New Roman" w:hAnsi="Times New Roman"/>
          <w:b/>
          <w:color w:val="auto"/>
          <w:sz w:val="24"/>
          <w:szCs w:val="24"/>
        </w:rPr>
        <w:t>图1</w:t>
      </w:r>
      <w:r>
        <w:rPr>
          <w:rFonts w:ascii="Times New Roman" w:hAnsi="Times New Roman"/>
          <w:b/>
          <w:color w:val="auto"/>
          <w:sz w:val="24"/>
          <w:szCs w:val="24"/>
        </w:rPr>
        <w:t xml:space="preserve">  </w:t>
      </w:r>
      <w:r>
        <w:rPr>
          <w:rFonts w:hint="eastAsia" w:ascii="Times New Roman" w:hAnsi="Times New Roman"/>
          <w:b/>
          <w:color w:val="auto"/>
          <w:sz w:val="24"/>
          <w:szCs w:val="24"/>
          <w:lang w:val="en-US" w:eastAsia="zh-CN"/>
        </w:rPr>
        <w:t>圆锯床生产</w:t>
      </w:r>
      <w:r>
        <w:rPr>
          <w:rFonts w:hint="eastAsia" w:ascii="Times New Roman" w:hAnsi="Times New Roman"/>
          <w:b/>
          <w:color w:val="auto"/>
          <w:sz w:val="24"/>
          <w:szCs w:val="24"/>
        </w:rPr>
        <w:t>工艺流程图</w:t>
      </w:r>
    </w:p>
    <w:p w14:paraId="079CED96">
      <w:pPr>
        <w:pStyle w:val="122"/>
        <w:adjustRightInd w:val="0"/>
        <w:snapToGrid w:val="0"/>
        <w:ind w:firstLine="482"/>
        <w:rPr>
          <w:b/>
          <w:color w:val="auto"/>
        </w:rPr>
      </w:pPr>
      <w:r>
        <w:rPr>
          <w:rFonts w:hint="eastAsia"/>
          <w:b/>
          <w:color w:val="auto"/>
          <w:lang w:val="en-US" w:eastAsia="zh-CN"/>
        </w:rPr>
        <w:t>圆锯床</w:t>
      </w:r>
      <w:r>
        <w:rPr>
          <w:rFonts w:hint="eastAsia"/>
          <w:b/>
          <w:color w:val="auto"/>
        </w:rPr>
        <w:t>工艺说明：</w:t>
      </w:r>
    </w:p>
    <w:p w14:paraId="06A35C5F">
      <w:pPr>
        <w:pStyle w:val="122"/>
        <w:ind w:firstLine="482"/>
        <w:rPr>
          <w:rFonts w:hint="eastAsia"/>
          <w:color w:val="auto"/>
        </w:rPr>
      </w:pPr>
      <w:r>
        <w:rPr>
          <w:rFonts w:hint="eastAsia"/>
          <w:color w:val="auto"/>
        </w:rPr>
        <w:t>（1）金加工：将金属铸件、其余各类零部件、五金件作为原料投入，开展切割、打磨等金加工操作 。在加工过程中，因物料的机械切削、研磨等动作，会产生G1</w:t>
      </w:r>
      <w:r>
        <w:rPr>
          <w:rFonts w:hint="eastAsia"/>
          <w:color w:val="auto"/>
          <w:lang w:val="en-US" w:eastAsia="zh-CN"/>
        </w:rPr>
        <w:t>-1</w:t>
      </w:r>
      <w:r>
        <w:rPr>
          <w:rFonts w:hint="eastAsia"/>
          <w:color w:val="auto"/>
        </w:rPr>
        <w:t>金属粉尘（主要污染物为颗粒物），同时会产生S</w:t>
      </w:r>
      <w:r>
        <w:rPr>
          <w:rFonts w:hint="eastAsia"/>
          <w:color w:val="auto"/>
          <w:lang w:val="en-US" w:eastAsia="zh-CN"/>
        </w:rPr>
        <w:t>1-</w:t>
      </w:r>
      <w:r>
        <w:rPr>
          <w:rFonts w:hint="eastAsia"/>
          <w:color w:val="auto"/>
        </w:rPr>
        <w:t>1废金属屑，加工后的半成品进入后续焊接环节，另外各类成品锯片参与后续流程。</w:t>
      </w:r>
    </w:p>
    <w:p w14:paraId="1827FD31">
      <w:pPr>
        <w:pStyle w:val="122"/>
        <w:ind w:firstLine="482"/>
        <w:rPr>
          <w:rFonts w:hint="eastAsia"/>
          <w:color w:val="auto"/>
        </w:rPr>
      </w:pPr>
      <w:r>
        <w:rPr>
          <w:rFonts w:hint="eastAsia"/>
          <w:color w:val="auto"/>
        </w:rPr>
        <w:t>（2）焊接：金加工后的半成品与焊料一同进行焊接作业，焊接时高温使焊料及工件表面物质挥发、氧化，产生G</w:t>
      </w:r>
      <w:r>
        <w:rPr>
          <w:rFonts w:hint="eastAsia"/>
          <w:color w:val="auto"/>
          <w:lang w:val="en-US" w:eastAsia="zh-CN"/>
        </w:rPr>
        <w:t>1-</w:t>
      </w:r>
      <w:r>
        <w:rPr>
          <w:rFonts w:hint="eastAsia"/>
          <w:color w:val="auto"/>
        </w:rPr>
        <w:t>2焊接烟气（主要污染物为颗粒物），焊接完成的部件送往配件检验环节。</w:t>
      </w:r>
    </w:p>
    <w:p w14:paraId="1A23A6F4">
      <w:pPr>
        <w:pStyle w:val="122"/>
        <w:ind w:firstLine="482"/>
        <w:rPr>
          <w:rFonts w:hint="eastAsia"/>
          <w:color w:val="auto"/>
        </w:rPr>
      </w:pPr>
      <w:r>
        <w:rPr>
          <w:rFonts w:hint="eastAsia"/>
          <w:color w:val="auto"/>
        </w:rPr>
        <w:t>（3）配件检验：对焊接后的配件进行外观、尺寸、性能等方面检验，筛选出合格配件进入装配组装，此环节无产排污。</w:t>
      </w:r>
    </w:p>
    <w:p w14:paraId="690A1364">
      <w:pPr>
        <w:pStyle w:val="122"/>
        <w:ind w:firstLine="482"/>
        <w:rPr>
          <w:rFonts w:hint="eastAsia"/>
          <w:color w:val="auto"/>
        </w:rPr>
      </w:pPr>
      <w:r>
        <w:rPr>
          <w:rFonts w:hint="eastAsia"/>
          <w:color w:val="auto"/>
        </w:rPr>
        <w:t>（4）装配组装：将检验合格的配件，按照设计要求进行装配、组合，把各类成品锯片等部件整合，形成完整成品，该环节主要是机械组合操作，无明显产排污。</w:t>
      </w:r>
    </w:p>
    <w:p w14:paraId="3EE67053">
      <w:pPr>
        <w:pStyle w:val="122"/>
        <w:ind w:firstLine="482"/>
        <w:rPr>
          <w:rFonts w:hint="eastAsia"/>
          <w:color w:val="auto"/>
        </w:rPr>
      </w:pPr>
      <w:r>
        <w:rPr>
          <w:rFonts w:hint="eastAsia"/>
          <w:color w:val="auto"/>
        </w:rPr>
        <w:t>（5）成品入库：装配组装好的成品，搬运至仓库进行存储，以待销售或后续使用，此环节为物流及存储动作，无产排污。</w:t>
      </w:r>
    </w:p>
    <w:p w14:paraId="4BE198AE">
      <w:pPr>
        <w:pStyle w:val="122"/>
        <w:rPr>
          <w:rFonts w:hint="eastAsia"/>
          <w:color w:val="auto"/>
        </w:rPr>
        <w:sectPr>
          <w:pgSz w:w="11906" w:h="16838"/>
          <w:pgMar w:top="1418" w:right="1230" w:bottom="1418" w:left="1134" w:header="851" w:footer="992" w:gutter="0"/>
          <w:pgNumType w:fmt="decimal"/>
          <w:cols w:space="425" w:num="1"/>
          <w:docGrid w:type="linesAndChars" w:linePitch="312" w:charSpace="0"/>
        </w:sectPr>
      </w:pPr>
    </w:p>
    <w:p w14:paraId="2C8F59FB">
      <w:pPr>
        <w:pStyle w:val="122"/>
        <w:ind w:left="0" w:leftChars="0" w:firstLine="0" w:firstLineChars="0"/>
        <w:rPr>
          <w:rFonts w:hint="eastAsia" w:eastAsia="宋体"/>
          <w:color w:val="auto"/>
          <w:lang w:eastAsia="zh-CN"/>
        </w:rPr>
      </w:pPr>
      <w:r>
        <w:rPr>
          <w:rFonts w:hint="eastAsia" w:eastAsia="宋体"/>
          <w:color w:val="auto"/>
          <w:lang w:eastAsia="zh-CN"/>
        </w:rPr>
        <w:drawing>
          <wp:inline distT="0" distB="0" distL="114300" distR="114300">
            <wp:extent cx="8858250" cy="5036820"/>
            <wp:effectExtent l="0" t="0" r="0" b="0"/>
            <wp:docPr id="66" name="图片 66" descr="锯片生产线（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锯片生产线（10.22）"/>
                    <pic:cNvPicPr>
                      <a:picLocks noChangeAspect="1"/>
                    </pic:cNvPicPr>
                  </pic:nvPicPr>
                  <pic:blipFill>
                    <a:blip r:embed="rId16"/>
                    <a:stretch>
                      <a:fillRect/>
                    </a:stretch>
                  </pic:blipFill>
                  <pic:spPr>
                    <a:xfrm>
                      <a:off x="0" y="0"/>
                      <a:ext cx="8858250" cy="5036820"/>
                    </a:xfrm>
                    <a:prstGeom prst="rect">
                      <a:avLst/>
                    </a:prstGeom>
                  </pic:spPr>
                </pic:pic>
              </a:graphicData>
            </a:graphic>
          </wp:inline>
        </w:drawing>
      </w:r>
    </w:p>
    <w:p w14:paraId="2F8063F1">
      <w:pPr>
        <w:pStyle w:val="122"/>
        <w:ind w:left="0" w:leftChars="0" w:firstLine="0" w:firstLineChars="0"/>
        <w:rPr>
          <w:rFonts w:hint="eastAsia" w:eastAsia="宋体"/>
          <w:color w:val="auto"/>
          <w:lang w:eastAsia="zh-CN"/>
        </w:rPr>
      </w:pPr>
    </w:p>
    <w:p w14:paraId="5A361255">
      <w:pPr>
        <w:pStyle w:val="45"/>
        <w:adjustRightInd w:val="0"/>
        <w:snapToGrid w:val="0"/>
        <w:spacing w:line="360" w:lineRule="auto"/>
        <w:rPr>
          <w:rFonts w:hint="default" w:ascii="Times New Roman" w:hAnsi="Times New Roman" w:eastAsia="宋体" w:cs="Times New Roman"/>
          <w:b/>
          <w:color w:val="auto"/>
          <w:sz w:val="24"/>
          <w:szCs w:val="24"/>
          <w:lang w:val="en-US" w:eastAsia="zh-CN"/>
        </w:rPr>
        <w:sectPr>
          <w:pgSz w:w="16838" w:h="11906" w:orient="landscape"/>
          <w:pgMar w:top="1134" w:right="1418" w:bottom="1230" w:left="1418" w:header="851" w:footer="992" w:gutter="0"/>
          <w:pgNumType w:fmt="decimal"/>
          <w:cols w:space="425" w:num="1"/>
          <w:docGrid w:type="linesAndChars" w:linePitch="312" w:charSpace="0"/>
        </w:sectPr>
      </w:pPr>
      <w:r>
        <w:rPr>
          <w:rFonts w:hint="eastAsia" w:ascii="Times New Roman" w:hAnsi="Times New Roman" w:eastAsia="宋体" w:cs="Times New Roman"/>
          <w:b/>
          <w:color w:val="auto"/>
          <w:sz w:val="24"/>
          <w:szCs w:val="24"/>
          <w:lang w:val="en-US" w:eastAsia="zh-CN"/>
        </w:rPr>
        <w:t xml:space="preserve">图2 </w:t>
      </w:r>
      <w:r>
        <w:rPr>
          <w:rFonts w:hint="eastAsia" w:ascii="Times New Roman" w:hAnsi="Times New Roman" w:eastAsia="宋体" w:cs="Times New Roman"/>
          <w:b/>
          <w:color w:val="auto"/>
          <w:sz w:val="24"/>
          <w:szCs w:val="24"/>
        </w:rPr>
        <w:t>配套零部件（锯片）生产</w:t>
      </w:r>
      <w:r>
        <w:rPr>
          <w:rFonts w:hint="eastAsia" w:ascii="Times New Roman" w:hAnsi="Times New Roman" w:eastAsia="宋体" w:cs="Times New Roman"/>
          <w:b/>
          <w:color w:val="auto"/>
          <w:sz w:val="24"/>
          <w:szCs w:val="24"/>
          <w:lang w:val="en-US" w:eastAsia="zh-CN"/>
        </w:rPr>
        <w:t>工艺流程图</w:t>
      </w:r>
    </w:p>
    <w:p w14:paraId="2F06D6CF">
      <w:pPr>
        <w:pStyle w:val="122"/>
        <w:rPr>
          <w:rFonts w:hint="default"/>
          <w:color w:val="auto"/>
          <w:lang w:val="en-US"/>
        </w:rPr>
      </w:pPr>
      <w:r>
        <w:rPr>
          <w:rFonts w:hint="eastAsia" w:ascii="Times New Roman" w:hAnsi="Times New Roman" w:eastAsia="宋体" w:cs="Times New Roman"/>
          <w:b/>
          <w:color w:val="auto"/>
          <w:sz w:val="24"/>
          <w:szCs w:val="24"/>
        </w:rPr>
        <w:t>配套零部件（锯片）生产</w:t>
      </w:r>
      <w:r>
        <w:rPr>
          <w:rFonts w:hint="eastAsia" w:ascii="Times New Roman" w:hAnsi="Times New Roman" w:eastAsia="宋体" w:cs="Times New Roman"/>
          <w:b/>
          <w:color w:val="auto"/>
          <w:sz w:val="24"/>
          <w:szCs w:val="24"/>
          <w:lang w:val="en-US" w:eastAsia="zh-CN"/>
        </w:rPr>
        <w:t>工艺说明：</w:t>
      </w:r>
    </w:p>
    <w:p w14:paraId="32124D8B">
      <w:pPr>
        <w:pStyle w:val="122"/>
        <w:ind w:firstLine="482"/>
        <w:rPr>
          <w:rFonts w:hint="eastAsia"/>
          <w:color w:val="auto"/>
        </w:rPr>
      </w:pPr>
      <w:r>
        <w:rPr>
          <w:rFonts w:hint="eastAsia"/>
          <w:color w:val="auto"/>
        </w:rPr>
        <w:t>（1）激光切割</w:t>
      </w:r>
    </w:p>
    <w:p w14:paraId="017DC964">
      <w:pPr>
        <w:pStyle w:val="122"/>
        <w:ind w:firstLine="482"/>
        <w:rPr>
          <w:rFonts w:hint="eastAsia"/>
          <w:color w:val="auto"/>
        </w:rPr>
      </w:pPr>
      <w:r>
        <w:rPr>
          <w:rFonts w:hint="eastAsia"/>
          <w:color w:val="auto"/>
        </w:rPr>
        <w:t>钢材落料作为初始原料，进入激光切割设备。激光束聚焦产生高温，瞬间熔化、气化钢材，实现切割成型。此过程中，因钢材的熔化、气化及飞溅，产生G</w:t>
      </w:r>
      <w:r>
        <w:rPr>
          <w:rFonts w:hint="eastAsia"/>
          <w:color w:val="auto"/>
          <w:lang w:val="en-US" w:eastAsia="zh-CN"/>
        </w:rPr>
        <w:t>2-</w:t>
      </w:r>
      <w:r>
        <w:rPr>
          <w:rFonts w:hint="eastAsia"/>
          <w:color w:val="auto"/>
        </w:rPr>
        <w:t>1切割粉尘（主要污染物为颗粒物）；同时，切割产生的边角料、未完全气化残留，形成S</w:t>
      </w:r>
      <w:r>
        <w:rPr>
          <w:rFonts w:hint="eastAsia"/>
          <w:color w:val="auto"/>
          <w:lang w:val="en-US" w:eastAsia="zh-CN"/>
        </w:rPr>
        <w:t>2-</w:t>
      </w:r>
      <w:r>
        <w:rPr>
          <w:rFonts w:hint="eastAsia"/>
          <w:color w:val="auto"/>
        </w:rPr>
        <w:t>1废金属屑。切割后的工件，输送至热处理工序的入炉预热环节。</w:t>
      </w:r>
    </w:p>
    <w:p w14:paraId="3802E540">
      <w:pPr>
        <w:pStyle w:val="122"/>
        <w:ind w:firstLine="482"/>
        <w:rPr>
          <w:rFonts w:hint="eastAsia"/>
          <w:color w:val="auto"/>
        </w:rPr>
      </w:pPr>
      <w:r>
        <w:rPr>
          <w:rFonts w:hint="eastAsia"/>
          <w:color w:val="auto"/>
        </w:rPr>
        <w:t>（2）入炉预热</w:t>
      </w:r>
    </w:p>
    <w:p w14:paraId="156142B7">
      <w:pPr>
        <w:pStyle w:val="122"/>
        <w:ind w:firstLine="482"/>
        <w:rPr>
          <w:rFonts w:hint="eastAsia"/>
          <w:color w:val="auto"/>
        </w:rPr>
      </w:pPr>
      <w:r>
        <w:rPr>
          <w:rFonts w:hint="eastAsia"/>
          <w:color w:val="auto"/>
        </w:rPr>
        <w:t>切割后的工件送入工业电炉，电炉通过电加热，使炉内温度逐步升高（一般升至300 - 500℃），对工件均匀预热。此环节是为后续高温加热创造温度条件，主要是热量传递、工件温度缓慢上升过程，无产排污，预热完成后进入高温加热工序。</w:t>
      </w:r>
    </w:p>
    <w:p w14:paraId="0895F5FA">
      <w:pPr>
        <w:pStyle w:val="122"/>
        <w:ind w:firstLine="482"/>
        <w:rPr>
          <w:rFonts w:hint="eastAsia"/>
          <w:color w:val="auto"/>
        </w:rPr>
      </w:pPr>
      <w:r>
        <w:rPr>
          <w:rFonts w:hint="eastAsia"/>
          <w:color w:val="auto"/>
        </w:rPr>
        <w:t>（3）高温加热</w:t>
      </w:r>
    </w:p>
    <w:p w14:paraId="0E824EC4">
      <w:pPr>
        <w:pStyle w:val="122"/>
        <w:ind w:firstLine="482"/>
        <w:rPr>
          <w:rFonts w:hint="eastAsia"/>
          <w:color w:val="auto"/>
        </w:rPr>
      </w:pPr>
      <w:r>
        <w:rPr>
          <w:rFonts w:hint="eastAsia"/>
          <w:color w:val="auto"/>
        </w:rPr>
        <w:t>预热后的工件在电炉内继续升温，达到工艺要求的高温（通常800</w:t>
      </w:r>
      <w:r>
        <w:rPr>
          <w:rFonts w:hint="eastAsia"/>
          <w:color w:val="auto"/>
          <w:lang w:val="en-US" w:eastAsia="zh-CN"/>
        </w:rPr>
        <w:t>-</w:t>
      </w:r>
      <w:r>
        <w:rPr>
          <w:rFonts w:hint="eastAsia"/>
          <w:color w:val="auto"/>
        </w:rPr>
        <w:t>1200℃，因钢材材质不同有差异），使工件内部金属晶粒、组织开始转变，为淬火做组织准备。该步骤核心是热传递引发的材料内部物理变化，无产排污，高温保温到设定时长后，进入硝盐冷却淬火环节。</w:t>
      </w:r>
    </w:p>
    <w:p w14:paraId="4BDBE02D">
      <w:pPr>
        <w:pStyle w:val="122"/>
        <w:ind w:firstLine="482"/>
        <w:rPr>
          <w:rFonts w:hint="eastAsia"/>
          <w:color w:val="auto"/>
        </w:rPr>
      </w:pPr>
      <w:r>
        <w:rPr>
          <w:rFonts w:hint="eastAsia"/>
          <w:color w:val="auto"/>
        </w:rPr>
        <w:t>（4）硝盐冷却淬火</w:t>
      </w:r>
    </w:p>
    <w:p w14:paraId="1AB06D78">
      <w:pPr>
        <w:pStyle w:val="122"/>
        <w:ind w:firstLine="482"/>
        <w:rPr>
          <w:rFonts w:hint="eastAsia"/>
          <w:color w:val="auto"/>
        </w:rPr>
      </w:pPr>
      <w:r>
        <w:rPr>
          <w:rFonts w:hint="eastAsia"/>
          <w:color w:val="auto"/>
        </w:rPr>
        <w:t>高温加热后的工件，迅速转移至硝盐池中（硝盐为混合盐类，亚硝酸钠等），工件在硝盐中冷却定型，硝盐逐渐吸附工件表面杂质、失效，形成S</w:t>
      </w:r>
      <w:r>
        <w:rPr>
          <w:rFonts w:hint="eastAsia"/>
          <w:color w:val="auto"/>
          <w:lang w:val="en-US" w:eastAsia="zh-CN"/>
        </w:rPr>
        <w:t>2-</w:t>
      </w:r>
      <w:r>
        <w:rPr>
          <w:rFonts w:hint="eastAsia"/>
          <w:color w:val="auto"/>
        </w:rPr>
        <w:t>2废硝盐。淬火完成后，工件输送至压片整形环节。</w:t>
      </w:r>
    </w:p>
    <w:p w14:paraId="1F73F8B3">
      <w:pPr>
        <w:pStyle w:val="122"/>
        <w:ind w:firstLine="482"/>
        <w:rPr>
          <w:rFonts w:hint="eastAsia"/>
          <w:color w:val="auto"/>
        </w:rPr>
      </w:pPr>
      <w:r>
        <w:rPr>
          <w:rFonts w:hint="eastAsia"/>
          <w:color w:val="auto"/>
        </w:rPr>
        <w:t>（5）压片整形</w:t>
      </w:r>
    </w:p>
    <w:p w14:paraId="31B6B8EE">
      <w:pPr>
        <w:pStyle w:val="122"/>
        <w:ind w:firstLine="482"/>
        <w:rPr>
          <w:rFonts w:hint="eastAsia"/>
          <w:color w:val="auto"/>
        </w:rPr>
      </w:pPr>
      <w:r>
        <w:rPr>
          <w:rFonts w:hint="eastAsia"/>
          <w:color w:val="auto"/>
        </w:rPr>
        <w:t>淬火后的工件，通过压力机施加压力，对工件的平面度、弧度等外形尺寸进行修正，使工件形状精度满足后续加工要求。此环节是物理外力作用下的形变过程，无产排污，整形后进入清洗残盐工序。</w:t>
      </w:r>
    </w:p>
    <w:p w14:paraId="10C58334">
      <w:pPr>
        <w:pStyle w:val="122"/>
        <w:ind w:firstLine="482"/>
        <w:rPr>
          <w:rFonts w:hint="eastAsia"/>
          <w:color w:val="auto"/>
        </w:rPr>
      </w:pPr>
      <w:r>
        <w:rPr>
          <w:rFonts w:hint="eastAsia"/>
          <w:color w:val="auto"/>
        </w:rPr>
        <w:t>（6）清洗残盐</w:t>
      </w:r>
    </w:p>
    <w:p w14:paraId="0ACAD203">
      <w:pPr>
        <w:pStyle w:val="122"/>
        <w:ind w:firstLine="482"/>
        <w:rPr>
          <w:rFonts w:hint="eastAsia"/>
          <w:color w:val="auto"/>
        </w:rPr>
      </w:pPr>
      <w:r>
        <w:rPr>
          <w:rFonts w:hint="eastAsia"/>
          <w:color w:val="auto"/>
        </w:rPr>
        <w:t>整形后的工件，进入清洗槽，通过喷淋或浸泡方式，用水冲洗表面残留的硝盐。清洗过程中，硝盐溶解于水，产生W</w:t>
      </w:r>
      <w:r>
        <w:rPr>
          <w:rFonts w:hint="eastAsia"/>
          <w:color w:val="auto"/>
          <w:lang w:val="en-US" w:eastAsia="zh-CN"/>
        </w:rPr>
        <w:t>2-</w:t>
      </w:r>
      <w:r>
        <w:rPr>
          <w:rFonts w:hint="eastAsia"/>
          <w:color w:val="auto"/>
        </w:rPr>
        <w:t>1清洗废水（废水主要污染物为COD、SS）。清洗后的工件，输送至加压回火环节。</w:t>
      </w:r>
    </w:p>
    <w:p w14:paraId="117ADB16">
      <w:pPr>
        <w:pStyle w:val="122"/>
        <w:ind w:firstLine="482"/>
        <w:rPr>
          <w:rFonts w:hint="eastAsia"/>
          <w:color w:val="auto"/>
        </w:rPr>
      </w:pPr>
      <w:r>
        <w:rPr>
          <w:rFonts w:hint="eastAsia"/>
          <w:color w:val="auto"/>
        </w:rPr>
        <w:t>（7）加压回火</w:t>
      </w:r>
    </w:p>
    <w:p w14:paraId="74847337">
      <w:pPr>
        <w:pStyle w:val="122"/>
        <w:ind w:firstLine="482"/>
        <w:rPr>
          <w:rFonts w:hint="eastAsia"/>
          <w:color w:val="auto"/>
        </w:rPr>
      </w:pPr>
      <w:r>
        <w:rPr>
          <w:rFonts w:hint="eastAsia"/>
          <w:color w:val="auto"/>
        </w:rPr>
        <w:t>清洗后的工件，再次送入电炉，同时压力设备对工件施加一定压力，在加热和压力共同作用下，稳定工件内部组织、消除淬火应力，提升工件韧性和尺寸稳定性。此过程是热-力耦合的物理变化，无产排污，完成后热处理工序结束，工件进入铰孔环节。</w:t>
      </w:r>
    </w:p>
    <w:p w14:paraId="60D3E204">
      <w:pPr>
        <w:pStyle w:val="122"/>
        <w:ind w:firstLine="482"/>
        <w:rPr>
          <w:rFonts w:hint="eastAsia"/>
          <w:color w:val="auto"/>
        </w:rPr>
      </w:pPr>
      <w:r>
        <w:rPr>
          <w:rFonts w:hint="eastAsia"/>
          <w:color w:val="auto"/>
        </w:rPr>
        <w:t>（8）铰孔</w:t>
      </w:r>
    </w:p>
    <w:p w14:paraId="3BEFFB7D">
      <w:pPr>
        <w:pStyle w:val="122"/>
        <w:ind w:firstLine="482"/>
        <w:rPr>
          <w:rFonts w:hint="eastAsia"/>
          <w:color w:val="auto"/>
        </w:rPr>
      </w:pPr>
      <w:r>
        <w:rPr>
          <w:rFonts w:hint="eastAsia"/>
          <w:color w:val="auto"/>
        </w:rPr>
        <w:t>热处理后的工件，固定在钻床或铰孔</w:t>
      </w:r>
      <w:r>
        <w:rPr>
          <w:rFonts w:hint="eastAsia"/>
          <w:color w:val="auto"/>
          <w:lang w:val="en-US" w:eastAsia="zh-CN"/>
        </w:rPr>
        <w:t>钻</w:t>
      </w:r>
      <w:r>
        <w:rPr>
          <w:rFonts w:hint="eastAsia"/>
          <w:color w:val="auto"/>
        </w:rPr>
        <w:t>机上，铰刀旋转并进给，对工件特定部位进行铰孔加工，以达到精确孔径、光洁孔壁的要求。加工中，铰刀切削工件金属，产生S</w:t>
      </w:r>
      <w:r>
        <w:rPr>
          <w:rFonts w:hint="eastAsia"/>
          <w:color w:val="auto"/>
          <w:lang w:val="en-US" w:eastAsia="zh-CN"/>
        </w:rPr>
        <w:t>2-</w:t>
      </w:r>
      <w:r>
        <w:rPr>
          <w:rFonts w:hint="eastAsia"/>
          <w:color w:val="auto"/>
        </w:rPr>
        <w:t>1废金属屑，铰孔后工件进入平面磨环节。</w:t>
      </w:r>
    </w:p>
    <w:p w14:paraId="41D1372C">
      <w:pPr>
        <w:pStyle w:val="122"/>
        <w:ind w:firstLine="482"/>
        <w:rPr>
          <w:rFonts w:hint="eastAsia"/>
          <w:color w:val="auto"/>
        </w:rPr>
      </w:pPr>
      <w:r>
        <w:rPr>
          <w:rFonts w:hint="eastAsia"/>
          <w:color w:val="auto"/>
        </w:rPr>
        <w:t>（9）平面磨</w:t>
      </w:r>
    </w:p>
    <w:p w14:paraId="217237CC">
      <w:pPr>
        <w:pStyle w:val="122"/>
        <w:ind w:firstLine="482"/>
        <w:rPr>
          <w:rFonts w:hint="eastAsia"/>
          <w:color w:val="auto"/>
        </w:rPr>
      </w:pPr>
      <w:r>
        <w:rPr>
          <w:rFonts w:hint="eastAsia"/>
          <w:color w:val="auto"/>
        </w:rPr>
        <w:t>工件固定在平面磨床工作台上，砂轮高速旋转（线速度超30m/s），配合切削液，对工件平面磨削。磨削时，砂轮与工件金属摩擦、切削，产生S</w:t>
      </w:r>
      <w:r>
        <w:rPr>
          <w:rFonts w:hint="eastAsia"/>
          <w:color w:val="auto"/>
          <w:lang w:val="en-US" w:eastAsia="zh-CN"/>
        </w:rPr>
        <w:t>2-</w:t>
      </w:r>
      <w:r>
        <w:rPr>
          <w:rFonts w:hint="eastAsia"/>
          <w:color w:val="auto"/>
        </w:rPr>
        <w:t>1废金属屑；切削液因混入金属屑、砂轮碎屑、油污等，失效形成S</w:t>
      </w:r>
      <w:r>
        <w:rPr>
          <w:rFonts w:hint="eastAsia"/>
          <w:color w:val="auto"/>
          <w:lang w:val="en-US" w:eastAsia="zh-CN"/>
        </w:rPr>
        <w:t>2-2</w:t>
      </w:r>
      <w:r>
        <w:rPr>
          <w:rFonts w:hint="eastAsia"/>
          <w:color w:val="auto"/>
        </w:rPr>
        <w:t>废切削液。磨削后的工件，进入打标环节。</w:t>
      </w:r>
    </w:p>
    <w:p w14:paraId="14BBA715">
      <w:pPr>
        <w:pStyle w:val="122"/>
        <w:ind w:firstLine="482"/>
        <w:rPr>
          <w:rFonts w:hint="eastAsia"/>
          <w:color w:val="auto"/>
        </w:rPr>
      </w:pPr>
      <w:r>
        <w:rPr>
          <w:rFonts w:hint="eastAsia"/>
          <w:color w:val="auto"/>
        </w:rPr>
        <w:t>（10）打标</w:t>
      </w:r>
    </w:p>
    <w:p w14:paraId="61607B92">
      <w:pPr>
        <w:pStyle w:val="122"/>
        <w:ind w:firstLine="482"/>
        <w:rPr>
          <w:rFonts w:hint="eastAsia"/>
          <w:color w:val="auto"/>
        </w:rPr>
      </w:pPr>
      <w:r>
        <w:rPr>
          <w:rFonts w:hint="eastAsia"/>
          <w:color w:val="auto"/>
        </w:rPr>
        <w:t>采用激光打标或气动打标设备，在工件表面标记型号、规格、生产编号等信息。激光打标是通过激光烧蚀工件表面形成标记，气动打标是利用针头冲击留下凹痕，均为物理标识操作，无产排污，打标后进入开齿环节。</w:t>
      </w:r>
    </w:p>
    <w:p w14:paraId="737272B8">
      <w:pPr>
        <w:pStyle w:val="122"/>
        <w:ind w:firstLine="482"/>
        <w:rPr>
          <w:rFonts w:hint="eastAsia"/>
          <w:color w:val="auto"/>
        </w:rPr>
      </w:pPr>
      <w:r>
        <w:rPr>
          <w:rFonts w:hint="eastAsia"/>
          <w:color w:val="auto"/>
        </w:rPr>
        <w:t>（11）开齿</w:t>
      </w:r>
    </w:p>
    <w:p w14:paraId="0A5EAF53">
      <w:pPr>
        <w:pStyle w:val="122"/>
        <w:ind w:firstLine="482"/>
        <w:rPr>
          <w:rFonts w:hint="eastAsia"/>
          <w:color w:val="auto"/>
        </w:rPr>
      </w:pPr>
      <w:r>
        <w:rPr>
          <w:rFonts w:hint="eastAsia"/>
          <w:color w:val="auto"/>
        </w:rPr>
        <w:t>工件装夹在开齿机上，铣刀旋转、进给，在工件边缘铣削出齿形。加工中，刀具切削金属，产生S1 - 1废金属屑，开齿后的工件进入焊接环节。</w:t>
      </w:r>
    </w:p>
    <w:p w14:paraId="371C1C63">
      <w:pPr>
        <w:pStyle w:val="122"/>
        <w:ind w:firstLine="482"/>
        <w:rPr>
          <w:rFonts w:hint="eastAsia"/>
          <w:color w:val="auto"/>
        </w:rPr>
      </w:pPr>
      <w:r>
        <w:rPr>
          <w:rFonts w:hint="eastAsia"/>
          <w:color w:val="auto"/>
        </w:rPr>
        <w:t>（12）焊接</w:t>
      </w:r>
    </w:p>
    <w:p w14:paraId="5A8EB313">
      <w:pPr>
        <w:pStyle w:val="122"/>
        <w:ind w:firstLine="482"/>
        <w:rPr>
          <w:rFonts w:hint="eastAsia"/>
          <w:color w:val="auto"/>
        </w:rPr>
      </w:pPr>
      <w:r>
        <w:rPr>
          <w:rFonts w:hint="eastAsia"/>
          <w:color w:val="auto"/>
        </w:rPr>
        <w:t>使用无铅焊料（如锡银铜合金）、刮刀辅助，对工件特定部位（如齿部连接点）焊接。焊接时，焊料高温熔化、凝固，产生G1 - 2 焊接烟气（主要污染物为颗粒物）；焊接过程中，焊料飞溅、工件边缘未融合产生的废料，形成S1 - 1废金属屑（固体废物，含焊料碎屑、工件焊接残留），焊接后工件进入焊接验证环节。</w:t>
      </w:r>
    </w:p>
    <w:p w14:paraId="4E643F5A">
      <w:pPr>
        <w:pStyle w:val="122"/>
        <w:ind w:firstLine="482"/>
        <w:rPr>
          <w:rFonts w:hint="eastAsia"/>
          <w:color w:val="auto"/>
        </w:rPr>
      </w:pPr>
      <w:r>
        <w:rPr>
          <w:rFonts w:hint="eastAsia"/>
          <w:color w:val="auto"/>
        </w:rPr>
        <w:t>（13）焊接验证</w:t>
      </w:r>
    </w:p>
    <w:p w14:paraId="6DD27366">
      <w:pPr>
        <w:pStyle w:val="122"/>
        <w:ind w:firstLine="482"/>
        <w:rPr>
          <w:rFonts w:hint="eastAsia"/>
          <w:color w:val="auto"/>
        </w:rPr>
      </w:pPr>
      <w:r>
        <w:rPr>
          <w:rFonts w:hint="eastAsia"/>
          <w:color w:val="auto"/>
        </w:rPr>
        <w:t>采用拉力测试设备，检测焊接部位的焊缝质量（如是否有裂纹、虚焊，焊接强度是否达标）。此环节是质量检测，无产排污，验证合格后进入喷砂/刷齿环节。经焊接验证后的工件分三路：一路进入经喷砂/刷齿后进行PVD镀膜，最终形成冷锯片产品；一路去往外协电镀，形成外协电镀产品；还有一路经清洗后进入厂区内涂装工序。</w:t>
      </w:r>
    </w:p>
    <w:p w14:paraId="65490AFF">
      <w:pPr>
        <w:pStyle w:val="122"/>
        <w:ind w:firstLine="482"/>
        <w:rPr>
          <w:rFonts w:hint="eastAsia"/>
          <w:color w:val="auto"/>
        </w:rPr>
      </w:pPr>
      <w:r>
        <w:rPr>
          <w:rFonts w:hint="eastAsia"/>
          <w:color w:val="auto"/>
        </w:rPr>
        <w:t>（14）喷砂/刷齿</w:t>
      </w:r>
    </w:p>
    <w:p w14:paraId="261258B3">
      <w:pPr>
        <w:pStyle w:val="122"/>
        <w:ind w:firstLine="482"/>
        <w:rPr>
          <w:rFonts w:hint="eastAsia"/>
          <w:color w:val="auto"/>
        </w:rPr>
      </w:pPr>
      <w:r>
        <w:rPr>
          <w:rFonts w:hint="eastAsia"/>
          <w:color w:val="auto"/>
        </w:rPr>
        <w:t>金刚砂通过喷砂设备喷射，或刷齿设备的刷轮抛射，冲击工件表面，去除氧化皮、焊接残渣，优化齿部粗糙度。加工中，金刚砂因撞击、磨损失效，产生S1 - 4废砂。</w:t>
      </w:r>
    </w:p>
    <w:p w14:paraId="6799E47C">
      <w:pPr>
        <w:pStyle w:val="122"/>
        <w:ind w:firstLine="482"/>
        <w:rPr>
          <w:rFonts w:hint="eastAsia"/>
          <w:color w:val="auto"/>
        </w:rPr>
      </w:pPr>
      <w:r>
        <w:rPr>
          <w:rFonts w:hint="eastAsia"/>
          <w:color w:val="auto"/>
        </w:rPr>
        <w:t>（15）PVD 镀膜</w:t>
      </w:r>
    </w:p>
    <w:p w14:paraId="5B2BF09D">
      <w:pPr>
        <w:pStyle w:val="122"/>
        <w:ind w:firstLine="482"/>
        <w:rPr>
          <w:rFonts w:hint="eastAsia"/>
          <w:color w:val="auto"/>
        </w:rPr>
      </w:pPr>
      <w:r>
        <w:rPr>
          <w:rFonts w:hint="eastAsia"/>
          <w:color w:val="auto"/>
        </w:rPr>
        <w:t>将锯片放进镀膜设备中，进过抽真空和加热阶段，到一定条件，利用电子枪加热镀膜材料并蒸发到基片表面形成薄膜，同时充入氧气和氩气以确保镀膜效果，精确控制每一层膜的厚度，等到设定的程度完成后，放置到大气状态自然冷却。项目镀膜过程中镀膜设备需采用间接冷却水进行冷却，以保护设备不因加热阶段温度升高而损坏，设备冷却水为全封闭循环水，不外排。</w:t>
      </w:r>
    </w:p>
    <w:p w14:paraId="42A82D4A">
      <w:pPr>
        <w:pStyle w:val="122"/>
        <w:ind w:firstLine="482"/>
        <w:rPr>
          <w:rFonts w:hint="eastAsia"/>
          <w:color w:val="auto"/>
        </w:rPr>
      </w:pPr>
      <w:r>
        <w:rPr>
          <w:rFonts w:hint="eastAsia"/>
          <w:color w:val="auto"/>
        </w:rPr>
        <w:t>（16）外协电镀</w:t>
      </w:r>
    </w:p>
    <w:p w14:paraId="6210FB34">
      <w:pPr>
        <w:pStyle w:val="122"/>
        <w:ind w:firstLine="482"/>
        <w:rPr>
          <w:rFonts w:hint="eastAsia"/>
          <w:color w:val="auto"/>
        </w:rPr>
      </w:pPr>
      <w:r>
        <w:rPr>
          <w:rFonts w:hint="eastAsia"/>
          <w:color w:val="auto"/>
        </w:rPr>
        <w:t>工件送外部协作厂家，进行电镀加工（如镀镍、镀铬，提升表面硬度、防腐性 ）。属于外协环节，本厂流程中无产排污，电镀后工件返厂进行产品检验，检验合格后包装入库。</w:t>
      </w:r>
    </w:p>
    <w:p w14:paraId="39205EBB">
      <w:pPr>
        <w:pStyle w:val="122"/>
        <w:ind w:firstLine="482"/>
        <w:rPr>
          <w:rFonts w:hint="eastAsia"/>
          <w:color w:val="auto"/>
        </w:rPr>
      </w:pPr>
      <w:r>
        <w:rPr>
          <w:rFonts w:hint="eastAsia"/>
          <w:color w:val="auto"/>
        </w:rPr>
        <w:t>（17）一次清洗</w:t>
      </w:r>
    </w:p>
    <w:p w14:paraId="0796D408">
      <w:pPr>
        <w:pStyle w:val="122"/>
        <w:ind w:firstLine="482"/>
        <w:rPr>
          <w:rFonts w:hint="eastAsia"/>
          <w:color w:val="auto"/>
        </w:rPr>
      </w:pPr>
      <w:r>
        <w:rPr>
          <w:rFonts w:hint="eastAsia"/>
          <w:color w:val="auto"/>
        </w:rPr>
        <w:t>另一路工件，先进入清洗槽，用水冲洗表面，产生W</w:t>
      </w:r>
      <w:r>
        <w:rPr>
          <w:rFonts w:hint="eastAsia"/>
          <w:color w:val="auto"/>
          <w:lang w:val="en-US" w:eastAsia="zh-CN"/>
        </w:rPr>
        <w:t>2-</w:t>
      </w:r>
      <w:r>
        <w:rPr>
          <w:rFonts w:hint="eastAsia"/>
          <w:color w:val="auto"/>
        </w:rPr>
        <w:t>2 清洗废水（废水主要污染物为SS），清洗后工件进入喷砂/刷齿环节（与前述工艺一致，不再赘述）。</w:t>
      </w:r>
    </w:p>
    <w:p w14:paraId="45804F49">
      <w:pPr>
        <w:pStyle w:val="122"/>
        <w:ind w:firstLine="482"/>
        <w:rPr>
          <w:rFonts w:hint="eastAsia"/>
          <w:color w:val="auto"/>
        </w:rPr>
      </w:pPr>
      <w:r>
        <w:rPr>
          <w:rFonts w:hint="eastAsia"/>
          <w:color w:val="auto"/>
        </w:rPr>
        <w:t>（18）二次清洗</w:t>
      </w:r>
    </w:p>
    <w:p w14:paraId="5BD98543">
      <w:pPr>
        <w:pStyle w:val="122"/>
        <w:ind w:firstLine="482"/>
        <w:rPr>
          <w:rFonts w:hint="eastAsia"/>
          <w:color w:val="auto"/>
        </w:rPr>
      </w:pPr>
      <w:r>
        <w:rPr>
          <w:rFonts w:hint="eastAsia"/>
          <w:color w:val="auto"/>
        </w:rPr>
        <w:t>再次喷砂/刷齿后的工件，进入清洗槽，用水冲洗表面残留的金刚砂、杂质等，产生W</w:t>
      </w:r>
      <w:r>
        <w:rPr>
          <w:rFonts w:hint="eastAsia"/>
          <w:color w:val="auto"/>
          <w:lang w:val="en-US" w:eastAsia="zh-CN"/>
        </w:rPr>
        <w:t>2-</w:t>
      </w:r>
      <w:r>
        <w:rPr>
          <w:rFonts w:hint="eastAsia"/>
          <w:color w:val="auto"/>
        </w:rPr>
        <w:t>3清洗废水（废水主要污染物为SS），清洗后进入喷涂环节。</w:t>
      </w:r>
    </w:p>
    <w:p w14:paraId="03950783">
      <w:pPr>
        <w:pStyle w:val="122"/>
        <w:ind w:firstLine="482"/>
        <w:rPr>
          <w:rFonts w:hint="eastAsia"/>
          <w:color w:val="auto"/>
        </w:rPr>
      </w:pPr>
      <w:r>
        <w:rPr>
          <w:rFonts w:hint="eastAsia"/>
          <w:color w:val="auto"/>
        </w:rPr>
        <w:t>（19）喷涂</w:t>
      </w:r>
    </w:p>
    <w:p w14:paraId="3B3B6011">
      <w:pPr>
        <w:pStyle w:val="122"/>
        <w:ind w:firstLine="482"/>
        <w:rPr>
          <w:rFonts w:hint="eastAsia"/>
          <w:color w:val="auto"/>
        </w:rPr>
      </w:pPr>
      <w:r>
        <w:rPr>
          <w:rFonts w:hint="eastAsia"/>
          <w:color w:val="auto"/>
        </w:rPr>
        <w:t>采用全自动喷涂设备，将油性漆/水性漆/特氟龙（根据工艺选）喷涂在工件表面，形成防护、装饰涂层。喷涂时，漆雾未附着在工件上的部分，被水帘设备捕捉，产生W</w:t>
      </w:r>
      <w:r>
        <w:rPr>
          <w:rFonts w:hint="eastAsia"/>
          <w:color w:val="auto"/>
          <w:lang w:val="en-US" w:eastAsia="zh-CN"/>
        </w:rPr>
        <w:t>2-</w:t>
      </w:r>
      <w:r>
        <w:rPr>
          <w:rFonts w:hint="eastAsia"/>
          <w:color w:val="auto"/>
        </w:rPr>
        <w:t>4 水帘废水（废水，含漆雾、有机溶剂）；漆料挥发的有机溶剂（如苯系物、酯类），形成G</w:t>
      </w:r>
      <w:r>
        <w:rPr>
          <w:rFonts w:hint="eastAsia"/>
          <w:color w:val="auto"/>
          <w:lang w:val="en-US" w:eastAsia="zh-CN"/>
        </w:rPr>
        <w:t>2-</w:t>
      </w:r>
      <w:r>
        <w:rPr>
          <w:rFonts w:hint="eastAsia"/>
          <w:color w:val="auto"/>
        </w:rPr>
        <w:t>3喷涂废气（主要污染物为挥发性有机物（VOCs））；喷涂过程中，过滤棉吸附的漆渣、设备清理的残漆，成为S</w:t>
      </w:r>
      <w:r>
        <w:rPr>
          <w:rFonts w:hint="eastAsia"/>
          <w:color w:val="auto"/>
          <w:lang w:val="en-US" w:eastAsia="zh-CN"/>
        </w:rPr>
        <w:t>2-</w:t>
      </w:r>
      <w:r>
        <w:rPr>
          <w:rFonts w:hint="eastAsia"/>
          <w:color w:val="auto"/>
        </w:rPr>
        <w:t>5漆渣（固体废物，属危险废物），喷涂后工件进入磨齿（齿轮开刃）环节。</w:t>
      </w:r>
    </w:p>
    <w:p w14:paraId="360CBD63">
      <w:pPr>
        <w:pStyle w:val="122"/>
        <w:ind w:firstLine="482"/>
        <w:rPr>
          <w:rFonts w:hint="eastAsia"/>
          <w:color w:val="auto"/>
        </w:rPr>
      </w:pPr>
      <w:r>
        <w:rPr>
          <w:rFonts w:hint="eastAsia"/>
          <w:color w:val="auto"/>
        </w:rPr>
        <w:t>（20）磨齿（齿轮开刃）</w:t>
      </w:r>
    </w:p>
    <w:p w14:paraId="00BB0639">
      <w:pPr>
        <w:pStyle w:val="122"/>
        <w:ind w:firstLine="482"/>
        <w:rPr>
          <w:color w:val="auto"/>
        </w:rPr>
      </w:pPr>
      <w:r>
        <w:rPr>
          <w:rFonts w:hint="eastAsia"/>
          <w:color w:val="auto"/>
        </w:rPr>
        <w:t>工件装夹在磨齿机上，砂轮高速磨削齿部，对齿形开刃、精修，提升锯切锋利度。磨削时，砂轮切削金属，产生S</w:t>
      </w:r>
      <w:r>
        <w:rPr>
          <w:rFonts w:hint="eastAsia"/>
          <w:color w:val="auto"/>
          <w:lang w:val="en-US" w:eastAsia="zh-CN"/>
        </w:rPr>
        <w:t>2-</w:t>
      </w:r>
      <w:r>
        <w:rPr>
          <w:rFonts w:hint="eastAsia"/>
          <w:color w:val="auto"/>
        </w:rPr>
        <w:t>1 废金属屑（固体废物，为钢材磨削碎屑），磨齿后工件最终产品入库，完成全流程。</w:t>
      </w:r>
    </w:p>
    <w:p w14:paraId="21EA6DE9">
      <w:pPr>
        <w:pStyle w:val="122"/>
        <w:ind w:firstLine="0" w:firstLineChars="0"/>
        <w:rPr>
          <w:b/>
          <w:color w:val="auto"/>
        </w:rPr>
      </w:pPr>
      <w:r>
        <w:rPr>
          <w:rFonts w:hint="eastAsia"/>
          <w:b/>
          <w:color w:val="auto"/>
        </w:rPr>
        <w:t>1</w:t>
      </w:r>
      <w:r>
        <w:rPr>
          <w:b/>
          <w:color w:val="auto"/>
        </w:rPr>
        <w:t>.6</w:t>
      </w:r>
      <w:r>
        <w:rPr>
          <w:rFonts w:hint="eastAsia"/>
          <w:b/>
          <w:color w:val="auto"/>
        </w:rPr>
        <w:t>主要产排污分析</w:t>
      </w:r>
    </w:p>
    <w:p w14:paraId="398735C6">
      <w:pPr>
        <w:spacing w:line="360" w:lineRule="auto"/>
        <w:ind w:firstLine="420" w:firstLineChars="200"/>
        <w:rPr>
          <w:bCs/>
          <w:color w:val="auto"/>
        </w:rPr>
      </w:pPr>
      <w:r>
        <w:rPr>
          <w:bCs/>
          <w:color w:val="auto"/>
        </w:rPr>
        <w:t>根据工艺流程可知，项目产污环节及污染因子分析如下：</w:t>
      </w:r>
    </w:p>
    <w:p w14:paraId="1326BFC4">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表6</w:t>
      </w:r>
      <w:r>
        <w:rPr>
          <w:color w:val="auto"/>
        </w:rPr>
        <w:t>项目产污环节及污染因子一览表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74"/>
        <w:gridCol w:w="688"/>
        <w:gridCol w:w="804"/>
        <w:gridCol w:w="3304"/>
        <w:gridCol w:w="2007"/>
        <w:gridCol w:w="2079"/>
      </w:tblGrid>
      <w:tr w14:paraId="6B31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Align w:val="center"/>
          </w:tcPr>
          <w:p w14:paraId="5097814B">
            <w:pPr>
              <w:adjustRightInd w:val="0"/>
              <w:snapToGrid w:val="0"/>
              <w:jc w:val="center"/>
              <w:rPr>
                <w:color w:val="auto"/>
                <w:sz w:val="18"/>
                <w:szCs w:val="18"/>
              </w:rPr>
            </w:pPr>
            <w:r>
              <w:rPr>
                <w:color w:val="auto"/>
                <w:sz w:val="18"/>
                <w:szCs w:val="18"/>
              </w:rPr>
              <w:t>影响因素类型</w:t>
            </w:r>
          </w:p>
        </w:tc>
        <w:tc>
          <w:tcPr>
            <w:tcW w:w="356" w:type="pct"/>
            <w:vAlign w:val="center"/>
          </w:tcPr>
          <w:p w14:paraId="5F47F1D6">
            <w:pPr>
              <w:adjustRightInd w:val="0"/>
              <w:snapToGrid w:val="0"/>
              <w:jc w:val="center"/>
              <w:rPr>
                <w:color w:val="auto"/>
                <w:sz w:val="18"/>
                <w:szCs w:val="18"/>
              </w:rPr>
            </w:pPr>
            <w:r>
              <w:rPr>
                <w:color w:val="auto"/>
                <w:sz w:val="18"/>
                <w:szCs w:val="18"/>
              </w:rPr>
              <w:t>污染</w:t>
            </w:r>
            <w:r>
              <w:rPr>
                <w:rFonts w:hint="eastAsia"/>
                <w:color w:val="auto"/>
                <w:sz w:val="18"/>
                <w:szCs w:val="18"/>
              </w:rPr>
              <w:t>类型</w:t>
            </w:r>
          </w:p>
        </w:tc>
        <w:tc>
          <w:tcPr>
            <w:tcW w:w="416" w:type="pct"/>
            <w:vAlign w:val="center"/>
          </w:tcPr>
          <w:p w14:paraId="6615858B">
            <w:pPr>
              <w:adjustRightInd w:val="0"/>
              <w:snapToGrid w:val="0"/>
              <w:jc w:val="center"/>
              <w:rPr>
                <w:color w:val="auto"/>
                <w:sz w:val="18"/>
                <w:szCs w:val="18"/>
              </w:rPr>
            </w:pPr>
            <w:r>
              <w:rPr>
                <w:color w:val="auto"/>
                <w:sz w:val="18"/>
                <w:szCs w:val="18"/>
              </w:rPr>
              <w:t>编号</w:t>
            </w:r>
          </w:p>
        </w:tc>
        <w:tc>
          <w:tcPr>
            <w:tcW w:w="1710" w:type="pct"/>
            <w:vAlign w:val="center"/>
          </w:tcPr>
          <w:p w14:paraId="62B1076D">
            <w:pPr>
              <w:adjustRightInd w:val="0"/>
              <w:snapToGrid w:val="0"/>
              <w:jc w:val="center"/>
              <w:rPr>
                <w:color w:val="auto"/>
                <w:sz w:val="18"/>
                <w:szCs w:val="18"/>
              </w:rPr>
            </w:pPr>
            <w:r>
              <w:rPr>
                <w:color w:val="auto"/>
                <w:sz w:val="18"/>
                <w:szCs w:val="18"/>
              </w:rPr>
              <w:t>名称</w:t>
            </w:r>
          </w:p>
        </w:tc>
        <w:tc>
          <w:tcPr>
            <w:tcW w:w="1039" w:type="pct"/>
            <w:vAlign w:val="center"/>
          </w:tcPr>
          <w:p w14:paraId="3C76C9F3">
            <w:pPr>
              <w:adjustRightInd w:val="0"/>
              <w:snapToGrid w:val="0"/>
              <w:jc w:val="center"/>
              <w:rPr>
                <w:color w:val="auto"/>
                <w:sz w:val="18"/>
                <w:szCs w:val="18"/>
              </w:rPr>
            </w:pPr>
            <w:r>
              <w:rPr>
                <w:color w:val="auto"/>
                <w:sz w:val="18"/>
                <w:szCs w:val="18"/>
              </w:rPr>
              <w:t>产生工序</w:t>
            </w:r>
          </w:p>
        </w:tc>
        <w:tc>
          <w:tcPr>
            <w:tcW w:w="1075" w:type="pct"/>
            <w:vAlign w:val="center"/>
          </w:tcPr>
          <w:p w14:paraId="342E3197">
            <w:pPr>
              <w:adjustRightInd w:val="0"/>
              <w:snapToGrid w:val="0"/>
              <w:jc w:val="center"/>
              <w:rPr>
                <w:color w:val="auto"/>
                <w:sz w:val="18"/>
                <w:szCs w:val="18"/>
              </w:rPr>
            </w:pPr>
            <w:r>
              <w:rPr>
                <w:color w:val="auto"/>
                <w:sz w:val="18"/>
                <w:szCs w:val="18"/>
              </w:rPr>
              <w:t>主要污染物</w:t>
            </w:r>
          </w:p>
        </w:tc>
      </w:tr>
      <w:tr w14:paraId="40BA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restart"/>
            <w:vAlign w:val="center"/>
          </w:tcPr>
          <w:p w14:paraId="5B2B39C2">
            <w:pPr>
              <w:adjustRightInd w:val="0"/>
              <w:snapToGrid w:val="0"/>
              <w:jc w:val="center"/>
              <w:rPr>
                <w:color w:val="auto"/>
                <w:sz w:val="18"/>
                <w:szCs w:val="18"/>
              </w:rPr>
            </w:pPr>
            <w:r>
              <w:rPr>
                <w:rFonts w:hint="eastAsia"/>
                <w:color w:val="auto"/>
                <w:sz w:val="18"/>
                <w:szCs w:val="18"/>
              </w:rPr>
              <w:t>污染影响因素</w:t>
            </w:r>
          </w:p>
        </w:tc>
        <w:tc>
          <w:tcPr>
            <w:tcW w:w="356" w:type="pct"/>
            <w:vMerge w:val="restart"/>
            <w:vAlign w:val="center"/>
          </w:tcPr>
          <w:p w14:paraId="2453B998">
            <w:pPr>
              <w:adjustRightInd w:val="0"/>
              <w:snapToGrid w:val="0"/>
              <w:jc w:val="center"/>
              <w:rPr>
                <w:color w:val="auto"/>
                <w:sz w:val="18"/>
                <w:szCs w:val="18"/>
              </w:rPr>
            </w:pPr>
            <w:r>
              <w:rPr>
                <w:rFonts w:hint="eastAsia"/>
                <w:color w:val="auto"/>
                <w:sz w:val="18"/>
                <w:szCs w:val="18"/>
              </w:rPr>
              <w:t>废气</w:t>
            </w:r>
          </w:p>
        </w:tc>
        <w:tc>
          <w:tcPr>
            <w:tcW w:w="416" w:type="pct"/>
            <w:shd w:val="clear" w:color="auto" w:fill="auto"/>
            <w:vAlign w:val="center"/>
          </w:tcPr>
          <w:p w14:paraId="3B03C832">
            <w:pPr>
              <w:adjustRightInd w:val="0"/>
              <w:snapToGrid w:val="0"/>
              <w:jc w:val="center"/>
              <w:rPr>
                <w:rFonts w:hint="default" w:eastAsia="宋体"/>
                <w:color w:val="auto"/>
                <w:sz w:val="18"/>
                <w:szCs w:val="18"/>
                <w:lang w:val="en-US" w:eastAsia="zh-CN"/>
              </w:rPr>
            </w:pPr>
            <w:r>
              <w:rPr>
                <w:rFonts w:hint="eastAsia"/>
                <w:color w:val="auto"/>
                <w:sz w:val="18"/>
                <w:szCs w:val="18"/>
              </w:rPr>
              <w:t>G</w:t>
            </w:r>
            <w:r>
              <w:rPr>
                <w:color w:val="auto"/>
                <w:sz w:val="18"/>
                <w:szCs w:val="18"/>
              </w:rPr>
              <w:t>1</w:t>
            </w:r>
            <w:r>
              <w:rPr>
                <w:rFonts w:hint="eastAsia"/>
                <w:color w:val="auto"/>
                <w:sz w:val="18"/>
                <w:szCs w:val="18"/>
                <w:lang w:val="en-US" w:eastAsia="zh-CN"/>
              </w:rPr>
              <w:t>-1</w:t>
            </w:r>
          </w:p>
        </w:tc>
        <w:tc>
          <w:tcPr>
            <w:tcW w:w="1710" w:type="pct"/>
            <w:vAlign w:val="center"/>
          </w:tcPr>
          <w:p w14:paraId="1B24070D">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金属粉尘</w:t>
            </w:r>
          </w:p>
        </w:tc>
        <w:tc>
          <w:tcPr>
            <w:tcW w:w="1039" w:type="pct"/>
            <w:vAlign w:val="center"/>
          </w:tcPr>
          <w:p w14:paraId="502F2BE1">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金加工</w:t>
            </w:r>
          </w:p>
        </w:tc>
        <w:tc>
          <w:tcPr>
            <w:tcW w:w="1075" w:type="pct"/>
            <w:vAlign w:val="center"/>
          </w:tcPr>
          <w:p w14:paraId="3CB32C62">
            <w:pPr>
              <w:adjustRightInd w:val="0"/>
              <w:snapToGrid w:val="0"/>
              <w:spacing w:line="240" w:lineRule="atLeast"/>
              <w:jc w:val="center"/>
              <w:rPr>
                <w:color w:val="auto"/>
                <w:sz w:val="18"/>
                <w:szCs w:val="18"/>
              </w:rPr>
            </w:pPr>
            <w:r>
              <w:rPr>
                <w:rFonts w:hint="eastAsia"/>
                <w:color w:val="auto"/>
                <w:sz w:val="18"/>
                <w:szCs w:val="18"/>
              </w:rPr>
              <w:t>颗粒物</w:t>
            </w:r>
          </w:p>
        </w:tc>
      </w:tr>
      <w:tr w14:paraId="46DA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4C67CB33">
            <w:pPr>
              <w:adjustRightInd w:val="0"/>
              <w:snapToGrid w:val="0"/>
              <w:jc w:val="center"/>
              <w:rPr>
                <w:color w:val="auto"/>
                <w:sz w:val="18"/>
                <w:szCs w:val="18"/>
              </w:rPr>
            </w:pPr>
          </w:p>
        </w:tc>
        <w:tc>
          <w:tcPr>
            <w:tcW w:w="356" w:type="pct"/>
            <w:vMerge w:val="continue"/>
            <w:vAlign w:val="center"/>
          </w:tcPr>
          <w:p w14:paraId="44EB4323">
            <w:pPr>
              <w:adjustRightInd w:val="0"/>
              <w:snapToGrid w:val="0"/>
              <w:jc w:val="center"/>
              <w:rPr>
                <w:color w:val="auto"/>
                <w:sz w:val="18"/>
                <w:szCs w:val="18"/>
              </w:rPr>
            </w:pPr>
          </w:p>
        </w:tc>
        <w:tc>
          <w:tcPr>
            <w:tcW w:w="416" w:type="pct"/>
            <w:shd w:val="clear" w:color="auto" w:fill="auto"/>
            <w:vAlign w:val="center"/>
          </w:tcPr>
          <w:p w14:paraId="107B66DE">
            <w:pPr>
              <w:adjustRightInd w:val="0"/>
              <w:snapToGrid w:val="0"/>
              <w:jc w:val="center"/>
              <w:rPr>
                <w:color w:val="auto"/>
                <w:sz w:val="18"/>
                <w:szCs w:val="18"/>
              </w:rPr>
            </w:pPr>
            <w:r>
              <w:rPr>
                <w:rFonts w:hint="eastAsia"/>
                <w:color w:val="auto"/>
                <w:sz w:val="18"/>
                <w:szCs w:val="18"/>
              </w:rPr>
              <w:t>G</w:t>
            </w:r>
            <w:r>
              <w:rPr>
                <w:rFonts w:hint="eastAsia"/>
                <w:color w:val="auto"/>
                <w:sz w:val="18"/>
                <w:szCs w:val="18"/>
                <w:lang w:val="en-US" w:eastAsia="zh-CN"/>
              </w:rPr>
              <w:t>1-</w:t>
            </w:r>
            <w:r>
              <w:rPr>
                <w:color w:val="auto"/>
                <w:sz w:val="18"/>
                <w:szCs w:val="18"/>
              </w:rPr>
              <w:t>2</w:t>
            </w:r>
          </w:p>
        </w:tc>
        <w:tc>
          <w:tcPr>
            <w:tcW w:w="1710" w:type="pct"/>
            <w:vAlign w:val="center"/>
          </w:tcPr>
          <w:p w14:paraId="6925FB42">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lang w:val="en-US" w:eastAsia="zh-CN"/>
              </w:rPr>
              <w:t>焊接烟气</w:t>
            </w:r>
          </w:p>
        </w:tc>
        <w:tc>
          <w:tcPr>
            <w:tcW w:w="1039" w:type="pct"/>
            <w:vAlign w:val="center"/>
          </w:tcPr>
          <w:p w14:paraId="7124FE0C">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焊接</w:t>
            </w:r>
          </w:p>
        </w:tc>
        <w:tc>
          <w:tcPr>
            <w:tcW w:w="1075" w:type="pct"/>
            <w:vAlign w:val="center"/>
          </w:tcPr>
          <w:p w14:paraId="333301DB">
            <w:pPr>
              <w:adjustRightInd w:val="0"/>
              <w:snapToGrid w:val="0"/>
              <w:spacing w:line="240" w:lineRule="atLeast"/>
              <w:jc w:val="center"/>
              <w:rPr>
                <w:color w:val="auto"/>
                <w:sz w:val="18"/>
                <w:szCs w:val="18"/>
              </w:rPr>
            </w:pPr>
            <w:r>
              <w:rPr>
                <w:rFonts w:hint="eastAsia"/>
                <w:color w:val="auto"/>
                <w:sz w:val="18"/>
                <w:szCs w:val="18"/>
              </w:rPr>
              <w:t>颗粒物</w:t>
            </w:r>
          </w:p>
        </w:tc>
      </w:tr>
      <w:tr w14:paraId="63F6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57BC3251">
            <w:pPr>
              <w:adjustRightInd w:val="0"/>
              <w:snapToGrid w:val="0"/>
              <w:jc w:val="center"/>
              <w:rPr>
                <w:color w:val="auto"/>
                <w:sz w:val="18"/>
                <w:szCs w:val="18"/>
              </w:rPr>
            </w:pPr>
          </w:p>
        </w:tc>
        <w:tc>
          <w:tcPr>
            <w:tcW w:w="356" w:type="pct"/>
            <w:vMerge w:val="continue"/>
            <w:vAlign w:val="center"/>
          </w:tcPr>
          <w:p w14:paraId="69E33B32">
            <w:pPr>
              <w:adjustRightInd w:val="0"/>
              <w:snapToGrid w:val="0"/>
              <w:jc w:val="center"/>
              <w:rPr>
                <w:color w:val="auto"/>
                <w:sz w:val="18"/>
                <w:szCs w:val="18"/>
              </w:rPr>
            </w:pPr>
          </w:p>
        </w:tc>
        <w:tc>
          <w:tcPr>
            <w:tcW w:w="416" w:type="pct"/>
            <w:shd w:val="clear" w:color="auto" w:fill="auto"/>
            <w:vAlign w:val="center"/>
          </w:tcPr>
          <w:p w14:paraId="4D62CAF9">
            <w:pPr>
              <w:adjustRightInd w:val="0"/>
              <w:snapToGrid w:val="0"/>
              <w:jc w:val="center"/>
              <w:rPr>
                <w:rFonts w:hint="default" w:eastAsia="宋体"/>
                <w:color w:val="auto"/>
                <w:sz w:val="18"/>
                <w:szCs w:val="18"/>
                <w:lang w:val="en-US" w:eastAsia="zh-CN"/>
              </w:rPr>
            </w:pPr>
            <w:r>
              <w:rPr>
                <w:rFonts w:hint="eastAsia"/>
                <w:color w:val="auto"/>
                <w:sz w:val="18"/>
                <w:szCs w:val="18"/>
              </w:rPr>
              <w:t>G</w:t>
            </w:r>
            <w:r>
              <w:rPr>
                <w:rFonts w:hint="eastAsia"/>
                <w:color w:val="auto"/>
                <w:sz w:val="18"/>
                <w:szCs w:val="18"/>
                <w:lang w:val="en-US" w:eastAsia="zh-CN"/>
              </w:rPr>
              <w:t>2-1</w:t>
            </w:r>
          </w:p>
        </w:tc>
        <w:tc>
          <w:tcPr>
            <w:tcW w:w="1710" w:type="pct"/>
            <w:vAlign w:val="center"/>
          </w:tcPr>
          <w:p w14:paraId="62119C2E">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切割粉尘</w:t>
            </w:r>
          </w:p>
        </w:tc>
        <w:tc>
          <w:tcPr>
            <w:tcW w:w="1039" w:type="pct"/>
            <w:vAlign w:val="center"/>
          </w:tcPr>
          <w:p w14:paraId="58A175DD">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激光切割</w:t>
            </w:r>
          </w:p>
        </w:tc>
        <w:tc>
          <w:tcPr>
            <w:tcW w:w="1075" w:type="pct"/>
            <w:vAlign w:val="center"/>
          </w:tcPr>
          <w:p w14:paraId="4533815E">
            <w:pPr>
              <w:adjustRightInd w:val="0"/>
              <w:snapToGrid w:val="0"/>
              <w:spacing w:line="240" w:lineRule="atLeast"/>
              <w:jc w:val="center"/>
              <w:rPr>
                <w:color w:val="auto"/>
                <w:sz w:val="18"/>
                <w:szCs w:val="18"/>
              </w:rPr>
            </w:pPr>
            <w:r>
              <w:rPr>
                <w:rFonts w:hint="eastAsia"/>
                <w:color w:val="auto"/>
                <w:sz w:val="18"/>
                <w:szCs w:val="18"/>
              </w:rPr>
              <w:t>颗粒物</w:t>
            </w:r>
          </w:p>
        </w:tc>
      </w:tr>
      <w:tr w14:paraId="55A7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0CCCC6FA">
            <w:pPr>
              <w:adjustRightInd w:val="0"/>
              <w:snapToGrid w:val="0"/>
              <w:jc w:val="center"/>
              <w:rPr>
                <w:color w:val="auto"/>
                <w:sz w:val="18"/>
                <w:szCs w:val="18"/>
              </w:rPr>
            </w:pPr>
          </w:p>
        </w:tc>
        <w:tc>
          <w:tcPr>
            <w:tcW w:w="356" w:type="pct"/>
            <w:vMerge w:val="continue"/>
            <w:vAlign w:val="center"/>
          </w:tcPr>
          <w:p w14:paraId="26FA0F88">
            <w:pPr>
              <w:adjustRightInd w:val="0"/>
              <w:snapToGrid w:val="0"/>
              <w:jc w:val="center"/>
              <w:rPr>
                <w:color w:val="auto"/>
                <w:sz w:val="18"/>
                <w:szCs w:val="18"/>
              </w:rPr>
            </w:pPr>
          </w:p>
        </w:tc>
        <w:tc>
          <w:tcPr>
            <w:tcW w:w="416" w:type="pct"/>
            <w:shd w:val="clear" w:color="auto" w:fill="auto"/>
            <w:vAlign w:val="center"/>
          </w:tcPr>
          <w:p w14:paraId="62329C69">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G2-2</w:t>
            </w:r>
          </w:p>
        </w:tc>
        <w:tc>
          <w:tcPr>
            <w:tcW w:w="1710" w:type="pct"/>
            <w:vAlign w:val="center"/>
          </w:tcPr>
          <w:p w14:paraId="4AA75756">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焊接烟气</w:t>
            </w:r>
          </w:p>
        </w:tc>
        <w:tc>
          <w:tcPr>
            <w:tcW w:w="1039" w:type="pct"/>
            <w:vAlign w:val="center"/>
          </w:tcPr>
          <w:p w14:paraId="10CE6D5D">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焊接</w:t>
            </w:r>
          </w:p>
        </w:tc>
        <w:tc>
          <w:tcPr>
            <w:tcW w:w="1075" w:type="pct"/>
            <w:vAlign w:val="center"/>
          </w:tcPr>
          <w:p w14:paraId="5A464A92">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颗粒物</w:t>
            </w:r>
          </w:p>
        </w:tc>
      </w:tr>
      <w:tr w14:paraId="22F0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1CFD5599">
            <w:pPr>
              <w:adjustRightInd w:val="0"/>
              <w:snapToGrid w:val="0"/>
              <w:jc w:val="center"/>
              <w:rPr>
                <w:color w:val="auto"/>
                <w:sz w:val="18"/>
                <w:szCs w:val="18"/>
              </w:rPr>
            </w:pPr>
          </w:p>
        </w:tc>
        <w:tc>
          <w:tcPr>
            <w:tcW w:w="356" w:type="pct"/>
            <w:vMerge w:val="continue"/>
            <w:vAlign w:val="center"/>
          </w:tcPr>
          <w:p w14:paraId="3DC997A3">
            <w:pPr>
              <w:adjustRightInd w:val="0"/>
              <w:snapToGrid w:val="0"/>
              <w:jc w:val="center"/>
              <w:rPr>
                <w:color w:val="auto"/>
                <w:sz w:val="18"/>
                <w:szCs w:val="18"/>
              </w:rPr>
            </w:pPr>
          </w:p>
        </w:tc>
        <w:tc>
          <w:tcPr>
            <w:tcW w:w="416" w:type="pct"/>
            <w:shd w:val="clear" w:color="auto" w:fill="auto"/>
            <w:vAlign w:val="center"/>
          </w:tcPr>
          <w:p w14:paraId="79CB25DF">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G2-3</w:t>
            </w:r>
          </w:p>
        </w:tc>
        <w:tc>
          <w:tcPr>
            <w:tcW w:w="1710" w:type="pct"/>
            <w:vAlign w:val="center"/>
          </w:tcPr>
          <w:p w14:paraId="0178DE2B">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lang w:val="en-US" w:eastAsia="zh-CN"/>
              </w:rPr>
              <w:t>喷涂废气</w:t>
            </w:r>
          </w:p>
        </w:tc>
        <w:tc>
          <w:tcPr>
            <w:tcW w:w="1039" w:type="pct"/>
            <w:vAlign w:val="center"/>
          </w:tcPr>
          <w:p w14:paraId="14EFB85E">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涂装</w:t>
            </w:r>
          </w:p>
        </w:tc>
        <w:tc>
          <w:tcPr>
            <w:tcW w:w="1075" w:type="pct"/>
            <w:vAlign w:val="center"/>
          </w:tcPr>
          <w:p w14:paraId="4B80B016">
            <w:pPr>
              <w:adjustRightInd w:val="0"/>
              <w:snapToGrid w:val="0"/>
              <w:spacing w:line="240" w:lineRule="atLeast"/>
              <w:jc w:val="center"/>
              <w:rPr>
                <w:rFonts w:hint="eastAsia" w:eastAsia="宋体"/>
                <w:color w:val="auto"/>
                <w:sz w:val="18"/>
                <w:szCs w:val="18"/>
                <w:lang w:eastAsia="zh-CN"/>
              </w:rPr>
            </w:pPr>
            <w:r>
              <w:rPr>
                <w:rFonts w:hint="eastAsia"/>
                <w:color w:val="auto"/>
                <w:sz w:val="18"/>
                <w:szCs w:val="18"/>
                <w:lang w:val="en-US" w:eastAsia="zh-CN"/>
              </w:rPr>
              <w:t>TVOC</w:t>
            </w:r>
          </w:p>
        </w:tc>
      </w:tr>
      <w:tr w14:paraId="670A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7D2687B6">
            <w:pPr>
              <w:adjustRightInd w:val="0"/>
              <w:snapToGrid w:val="0"/>
              <w:jc w:val="center"/>
              <w:rPr>
                <w:color w:val="auto"/>
                <w:sz w:val="18"/>
                <w:szCs w:val="18"/>
              </w:rPr>
            </w:pPr>
          </w:p>
        </w:tc>
        <w:tc>
          <w:tcPr>
            <w:tcW w:w="356" w:type="pct"/>
            <w:vMerge w:val="restart"/>
            <w:vAlign w:val="center"/>
          </w:tcPr>
          <w:p w14:paraId="2097C903">
            <w:pPr>
              <w:adjustRightInd w:val="0"/>
              <w:snapToGrid w:val="0"/>
              <w:jc w:val="center"/>
              <w:rPr>
                <w:color w:val="auto"/>
                <w:sz w:val="18"/>
                <w:szCs w:val="18"/>
              </w:rPr>
            </w:pPr>
            <w:r>
              <w:rPr>
                <w:color w:val="auto"/>
                <w:sz w:val="18"/>
                <w:szCs w:val="18"/>
              </w:rPr>
              <w:t>固废</w:t>
            </w:r>
          </w:p>
        </w:tc>
        <w:tc>
          <w:tcPr>
            <w:tcW w:w="416" w:type="pct"/>
            <w:vAlign w:val="center"/>
          </w:tcPr>
          <w:p w14:paraId="7A074CAE">
            <w:pPr>
              <w:adjustRightInd w:val="0"/>
              <w:snapToGrid w:val="0"/>
              <w:spacing w:line="240" w:lineRule="atLeast"/>
              <w:jc w:val="center"/>
              <w:rPr>
                <w:rFonts w:hint="default" w:eastAsia="宋体"/>
                <w:color w:val="auto"/>
                <w:sz w:val="18"/>
                <w:szCs w:val="18"/>
                <w:lang w:val="en-US" w:eastAsia="zh-CN"/>
              </w:rPr>
            </w:pPr>
            <w:r>
              <w:rPr>
                <w:color w:val="auto"/>
                <w:sz w:val="18"/>
                <w:szCs w:val="18"/>
              </w:rPr>
              <w:t>S1</w:t>
            </w:r>
            <w:r>
              <w:rPr>
                <w:rFonts w:hint="eastAsia"/>
                <w:color w:val="auto"/>
                <w:sz w:val="18"/>
                <w:szCs w:val="18"/>
                <w:lang w:val="en-US" w:eastAsia="zh-CN"/>
              </w:rPr>
              <w:t>-1</w:t>
            </w:r>
          </w:p>
        </w:tc>
        <w:tc>
          <w:tcPr>
            <w:tcW w:w="1710" w:type="pct"/>
            <w:vAlign w:val="center"/>
          </w:tcPr>
          <w:p w14:paraId="0515B231">
            <w:pPr>
              <w:pStyle w:val="12"/>
              <w:topLinePunct/>
              <w:ind w:left="0" w:leftChars="0" w:firstLine="0" w:firstLineChars="0"/>
              <w:jc w:val="center"/>
              <w:rPr>
                <w:rFonts w:hint="eastAsia" w:ascii="Times New Roman" w:hAnsi="Times New Roman" w:eastAsia="宋体"/>
                <w:color w:val="auto"/>
                <w:kern w:val="0"/>
                <w:sz w:val="18"/>
                <w:szCs w:val="18"/>
                <w:lang w:eastAsia="zh-CN"/>
              </w:rPr>
            </w:pPr>
            <w:r>
              <w:rPr>
                <w:rFonts w:hint="eastAsia" w:ascii="宋体" w:hAnsi="宋体"/>
                <w:color w:val="auto"/>
                <w:sz w:val="18"/>
                <w:szCs w:val="18"/>
                <w:lang w:val="en-US" w:eastAsia="zh-CN"/>
              </w:rPr>
              <w:t>废金属屑</w:t>
            </w:r>
          </w:p>
        </w:tc>
        <w:tc>
          <w:tcPr>
            <w:tcW w:w="1039" w:type="pct"/>
            <w:vAlign w:val="center"/>
          </w:tcPr>
          <w:p w14:paraId="2C61A265">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宋体" w:hAnsi="宋体"/>
                <w:color w:val="auto"/>
                <w:sz w:val="18"/>
                <w:szCs w:val="18"/>
                <w:lang w:val="en-US" w:eastAsia="zh-CN"/>
              </w:rPr>
              <w:t>金加工</w:t>
            </w:r>
          </w:p>
        </w:tc>
        <w:tc>
          <w:tcPr>
            <w:tcW w:w="1075" w:type="pct"/>
            <w:vAlign w:val="center"/>
          </w:tcPr>
          <w:p w14:paraId="389FD70E">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宋体" w:hAnsi="宋体"/>
                <w:color w:val="auto"/>
                <w:sz w:val="18"/>
                <w:szCs w:val="18"/>
                <w:lang w:val="en-US" w:eastAsia="zh-CN"/>
              </w:rPr>
              <w:t>废金属屑</w:t>
            </w:r>
          </w:p>
        </w:tc>
      </w:tr>
      <w:tr w14:paraId="1F65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081B4AE5">
            <w:pPr>
              <w:adjustRightInd w:val="0"/>
              <w:snapToGrid w:val="0"/>
              <w:jc w:val="center"/>
              <w:rPr>
                <w:color w:val="auto"/>
                <w:sz w:val="18"/>
                <w:szCs w:val="18"/>
              </w:rPr>
            </w:pPr>
          </w:p>
        </w:tc>
        <w:tc>
          <w:tcPr>
            <w:tcW w:w="356" w:type="pct"/>
            <w:vMerge w:val="continue"/>
            <w:vAlign w:val="center"/>
          </w:tcPr>
          <w:p w14:paraId="1A14DDAE">
            <w:pPr>
              <w:adjustRightInd w:val="0"/>
              <w:snapToGrid w:val="0"/>
              <w:jc w:val="center"/>
              <w:rPr>
                <w:color w:val="auto"/>
                <w:sz w:val="18"/>
                <w:szCs w:val="18"/>
              </w:rPr>
            </w:pPr>
          </w:p>
        </w:tc>
        <w:tc>
          <w:tcPr>
            <w:tcW w:w="416" w:type="pct"/>
            <w:vAlign w:val="center"/>
          </w:tcPr>
          <w:p w14:paraId="2D890F50">
            <w:pPr>
              <w:adjustRightInd w:val="0"/>
              <w:snapToGrid w:val="0"/>
              <w:spacing w:line="240" w:lineRule="atLeast"/>
              <w:jc w:val="center"/>
              <w:rPr>
                <w:rFonts w:hint="default" w:eastAsia="宋体"/>
                <w:color w:val="auto"/>
                <w:sz w:val="18"/>
                <w:szCs w:val="18"/>
                <w:lang w:val="en-US" w:eastAsia="zh-CN"/>
              </w:rPr>
            </w:pPr>
            <w:r>
              <w:rPr>
                <w:color w:val="auto"/>
                <w:sz w:val="18"/>
                <w:szCs w:val="18"/>
              </w:rPr>
              <w:t>S2</w:t>
            </w:r>
            <w:r>
              <w:rPr>
                <w:rFonts w:hint="eastAsia"/>
                <w:color w:val="auto"/>
                <w:sz w:val="18"/>
                <w:szCs w:val="18"/>
                <w:lang w:val="en-US" w:eastAsia="zh-CN"/>
              </w:rPr>
              <w:t>-1</w:t>
            </w:r>
          </w:p>
        </w:tc>
        <w:tc>
          <w:tcPr>
            <w:tcW w:w="1710" w:type="pct"/>
            <w:shd w:val="clear" w:color="auto" w:fill="auto"/>
            <w:vAlign w:val="center"/>
          </w:tcPr>
          <w:p w14:paraId="7E1D4541">
            <w:pPr>
              <w:pStyle w:val="12"/>
              <w:topLinePunct/>
              <w:ind w:left="0" w:leftChars="0" w:firstLine="0" w:firstLineChars="0"/>
              <w:jc w:val="center"/>
              <w:rPr>
                <w:rFonts w:hint="eastAsia" w:ascii="Times New Roman" w:hAnsi="Times New Roman" w:eastAsia="宋体" w:cs="Times New Roman"/>
                <w:color w:val="auto"/>
                <w:kern w:val="0"/>
                <w:sz w:val="18"/>
                <w:szCs w:val="18"/>
                <w:lang w:val="zh-CN" w:eastAsia="zh-CN" w:bidi="ar-SA"/>
              </w:rPr>
            </w:pPr>
            <w:r>
              <w:rPr>
                <w:rFonts w:hint="eastAsia" w:ascii="宋体" w:hAnsi="宋体"/>
                <w:color w:val="auto"/>
                <w:sz w:val="18"/>
                <w:szCs w:val="18"/>
                <w:lang w:val="en-US" w:eastAsia="zh-CN"/>
              </w:rPr>
              <w:t>废金属屑</w:t>
            </w:r>
          </w:p>
        </w:tc>
        <w:tc>
          <w:tcPr>
            <w:tcW w:w="1039" w:type="pct"/>
            <w:shd w:val="clear" w:color="auto" w:fill="auto"/>
            <w:vAlign w:val="center"/>
          </w:tcPr>
          <w:p w14:paraId="43F6BC9C">
            <w:pPr>
              <w:pStyle w:val="12"/>
              <w:topLinePunct/>
              <w:ind w:left="0" w:leftChars="0" w:firstLine="0" w:firstLineChars="0"/>
              <w:jc w:val="center"/>
              <w:rPr>
                <w:rFonts w:hint="default" w:ascii="Times New Roman" w:hAnsi="Times New Roman" w:eastAsia="宋体" w:cs="Times New Roman"/>
                <w:color w:val="auto"/>
                <w:kern w:val="0"/>
                <w:sz w:val="18"/>
                <w:szCs w:val="18"/>
                <w:lang w:val="en-US" w:eastAsia="zh-CN" w:bidi="ar-SA"/>
              </w:rPr>
            </w:pPr>
            <w:r>
              <w:rPr>
                <w:rFonts w:hint="eastAsia" w:ascii="宋体" w:hAnsi="宋体"/>
                <w:color w:val="auto"/>
                <w:sz w:val="18"/>
                <w:szCs w:val="18"/>
                <w:lang w:val="en-US" w:eastAsia="zh-CN"/>
              </w:rPr>
              <w:t>激光切割、平面磨、开齿等</w:t>
            </w:r>
          </w:p>
        </w:tc>
        <w:tc>
          <w:tcPr>
            <w:tcW w:w="1075" w:type="pct"/>
            <w:shd w:val="clear" w:color="auto" w:fill="auto"/>
            <w:vAlign w:val="center"/>
          </w:tcPr>
          <w:p w14:paraId="6BAE7905">
            <w:pPr>
              <w:pStyle w:val="12"/>
              <w:topLinePunct/>
              <w:ind w:left="0" w:leftChars="0" w:firstLine="0" w:firstLineChars="0"/>
              <w:jc w:val="center"/>
              <w:rPr>
                <w:rFonts w:hint="eastAsia" w:ascii="Times New Roman" w:hAnsi="Times New Roman" w:eastAsia="宋体" w:cs="Times New Roman"/>
                <w:color w:val="auto"/>
                <w:kern w:val="0"/>
                <w:sz w:val="18"/>
                <w:szCs w:val="18"/>
                <w:lang w:val="en-US" w:eastAsia="zh-CN" w:bidi="ar-SA"/>
              </w:rPr>
            </w:pPr>
            <w:r>
              <w:rPr>
                <w:rFonts w:hint="eastAsia" w:ascii="宋体" w:hAnsi="宋体"/>
                <w:color w:val="auto"/>
                <w:sz w:val="18"/>
                <w:szCs w:val="18"/>
                <w:lang w:val="en-US" w:eastAsia="zh-CN"/>
              </w:rPr>
              <w:t>废金属屑</w:t>
            </w:r>
          </w:p>
        </w:tc>
      </w:tr>
      <w:tr w14:paraId="60FB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1C656C90">
            <w:pPr>
              <w:adjustRightInd w:val="0"/>
              <w:snapToGrid w:val="0"/>
              <w:jc w:val="center"/>
              <w:rPr>
                <w:color w:val="auto"/>
                <w:sz w:val="18"/>
                <w:szCs w:val="18"/>
              </w:rPr>
            </w:pPr>
          </w:p>
        </w:tc>
        <w:tc>
          <w:tcPr>
            <w:tcW w:w="356" w:type="pct"/>
            <w:vMerge w:val="continue"/>
            <w:vAlign w:val="center"/>
          </w:tcPr>
          <w:p w14:paraId="7A028F66">
            <w:pPr>
              <w:adjustRightInd w:val="0"/>
              <w:snapToGrid w:val="0"/>
              <w:jc w:val="center"/>
              <w:rPr>
                <w:color w:val="auto"/>
                <w:sz w:val="18"/>
                <w:szCs w:val="18"/>
              </w:rPr>
            </w:pPr>
          </w:p>
        </w:tc>
        <w:tc>
          <w:tcPr>
            <w:tcW w:w="416" w:type="pct"/>
            <w:vAlign w:val="center"/>
          </w:tcPr>
          <w:p w14:paraId="4F443A02">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rPr>
              <w:t>S</w:t>
            </w:r>
            <w:r>
              <w:rPr>
                <w:rFonts w:hint="eastAsia"/>
                <w:color w:val="auto"/>
                <w:sz w:val="18"/>
                <w:szCs w:val="18"/>
                <w:lang w:val="en-US" w:eastAsia="zh-CN"/>
              </w:rPr>
              <w:t>2-2</w:t>
            </w:r>
          </w:p>
        </w:tc>
        <w:tc>
          <w:tcPr>
            <w:tcW w:w="1710" w:type="pct"/>
            <w:shd w:val="clear" w:color="auto" w:fill="auto"/>
            <w:vAlign w:val="center"/>
          </w:tcPr>
          <w:p w14:paraId="0772459B">
            <w:pPr>
              <w:pStyle w:val="12"/>
              <w:topLinePunct/>
              <w:ind w:left="-105" w:leftChars="-50" w:right="-105" w:rightChars="-5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sz w:val="18"/>
                <w:szCs w:val="18"/>
                <w:lang w:val="en-US" w:eastAsia="zh-CN"/>
              </w:rPr>
              <w:t>废切削液</w:t>
            </w:r>
          </w:p>
        </w:tc>
        <w:tc>
          <w:tcPr>
            <w:tcW w:w="1039" w:type="pct"/>
            <w:shd w:val="clear" w:color="auto" w:fill="auto"/>
            <w:vAlign w:val="center"/>
          </w:tcPr>
          <w:p w14:paraId="45E50DD8">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平面磨</w:t>
            </w:r>
          </w:p>
        </w:tc>
        <w:tc>
          <w:tcPr>
            <w:tcW w:w="1075" w:type="pct"/>
            <w:shd w:val="clear" w:color="auto" w:fill="auto"/>
            <w:vAlign w:val="center"/>
          </w:tcPr>
          <w:p w14:paraId="7F50FCB1">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废切削液</w:t>
            </w:r>
          </w:p>
        </w:tc>
      </w:tr>
      <w:tr w14:paraId="2E56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1D49366F">
            <w:pPr>
              <w:adjustRightInd w:val="0"/>
              <w:snapToGrid w:val="0"/>
              <w:jc w:val="center"/>
              <w:rPr>
                <w:color w:val="auto"/>
                <w:sz w:val="18"/>
                <w:szCs w:val="18"/>
              </w:rPr>
            </w:pPr>
          </w:p>
        </w:tc>
        <w:tc>
          <w:tcPr>
            <w:tcW w:w="356" w:type="pct"/>
            <w:vMerge w:val="continue"/>
            <w:vAlign w:val="center"/>
          </w:tcPr>
          <w:p w14:paraId="1CBA08B5">
            <w:pPr>
              <w:adjustRightInd w:val="0"/>
              <w:snapToGrid w:val="0"/>
              <w:jc w:val="center"/>
              <w:rPr>
                <w:color w:val="auto"/>
                <w:sz w:val="18"/>
                <w:szCs w:val="18"/>
              </w:rPr>
            </w:pPr>
          </w:p>
        </w:tc>
        <w:tc>
          <w:tcPr>
            <w:tcW w:w="416" w:type="pct"/>
            <w:vAlign w:val="center"/>
          </w:tcPr>
          <w:p w14:paraId="27ECCD10">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lang w:val="en-US" w:eastAsia="zh-CN"/>
              </w:rPr>
              <w:t>S2-3</w:t>
            </w:r>
          </w:p>
        </w:tc>
        <w:tc>
          <w:tcPr>
            <w:tcW w:w="1710" w:type="pct"/>
            <w:shd w:val="clear" w:color="auto" w:fill="auto"/>
            <w:vAlign w:val="center"/>
          </w:tcPr>
          <w:p w14:paraId="4283B953">
            <w:pPr>
              <w:pStyle w:val="12"/>
              <w:topLinePunct/>
              <w:ind w:left="-105" w:leftChars="-50" w:right="-105" w:rightChars="-5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sz w:val="18"/>
                <w:szCs w:val="18"/>
                <w:lang w:val="en-US" w:eastAsia="zh-CN"/>
              </w:rPr>
              <w:t>废硝盐</w:t>
            </w:r>
          </w:p>
        </w:tc>
        <w:tc>
          <w:tcPr>
            <w:tcW w:w="1039" w:type="pct"/>
            <w:shd w:val="clear" w:color="auto" w:fill="auto"/>
            <w:vAlign w:val="center"/>
          </w:tcPr>
          <w:p w14:paraId="52698F2D">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宋体" w:hAnsi="宋体"/>
                <w:color w:val="auto"/>
                <w:sz w:val="18"/>
                <w:szCs w:val="18"/>
                <w:lang w:val="en-US" w:eastAsia="zh-CN"/>
              </w:rPr>
              <w:t>硝盐冷却淬火</w:t>
            </w:r>
          </w:p>
        </w:tc>
        <w:tc>
          <w:tcPr>
            <w:tcW w:w="1075" w:type="pct"/>
            <w:shd w:val="clear" w:color="auto" w:fill="auto"/>
            <w:vAlign w:val="center"/>
          </w:tcPr>
          <w:p w14:paraId="36A68C03">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废硝盐</w:t>
            </w:r>
          </w:p>
        </w:tc>
      </w:tr>
      <w:tr w14:paraId="11E6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3930D25C">
            <w:pPr>
              <w:adjustRightInd w:val="0"/>
              <w:snapToGrid w:val="0"/>
              <w:jc w:val="center"/>
              <w:rPr>
                <w:color w:val="auto"/>
                <w:sz w:val="18"/>
                <w:szCs w:val="18"/>
              </w:rPr>
            </w:pPr>
          </w:p>
        </w:tc>
        <w:tc>
          <w:tcPr>
            <w:tcW w:w="356" w:type="pct"/>
            <w:vMerge w:val="continue"/>
            <w:vAlign w:val="center"/>
          </w:tcPr>
          <w:p w14:paraId="2102E5C5">
            <w:pPr>
              <w:adjustRightInd w:val="0"/>
              <w:snapToGrid w:val="0"/>
              <w:jc w:val="center"/>
              <w:rPr>
                <w:color w:val="auto"/>
                <w:sz w:val="18"/>
                <w:szCs w:val="18"/>
              </w:rPr>
            </w:pPr>
          </w:p>
        </w:tc>
        <w:tc>
          <w:tcPr>
            <w:tcW w:w="416" w:type="pct"/>
            <w:vAlign w:val="center"/>
          </w:tcPr>
          <w:p w14:paraId="073581F3">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rPr>
              <w:t>S</w:t>
            </w:r>
            <w:r>
              <w:rPr>
                <w:rFonts w:hint="eastAsia"/>
                <w:color w:val="auto"/>
                <w:sz w:val="18"/>
                <w:szCs w:val="18"/>
                <w:lang w:val="en-US" w:eastAsia="zh-CN"/>
              </w:rPr>
              <w:t>2-4</w:t>
            </w:r>
          </w:p>
        </w:tc>
        <w:tc>
          <w:tcPr>
            <w:tcW w:w="1710" w:type="pct"/>
            <w:shd w:val="clear" w:color="auto" w:fill="auto"/>
            <w:vAlign w:val="center"/>
          </w:tcPr>
          <w:p w14:paraId="2AC6F06A">
            <w:pPr>
              <w:pStyle w:val="12"/>
              <w:topLinePunct/>
              <w:ind w:left="-105" w:leftChars="-50" w:right="-105" w:rightChars="-5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废砂</w:t>
            </w:r>
          </w:p>
        </w:tc>
        <w:tc>
          <w:tcPr>
            <w:tcW w:w="1039" w:type="pct"/>
            <w:shd w:val="clear" w:color="auto" w:fill="auto"/>
            <w:vAlign w:val="center"/>
          </w:tcPr>
          <w:p w14:paraId="2D01E1A2">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喷砂/刷齿</w:t>
            </w:r>
          </w:p>
        </w:tc>
        <w:tc>
          <w:tcPr>
            <w:tcW w:w="1075" w:type="pct"/>
            <w:shd w:val="clear" w:color="auto" w:fill="auto"/>
            <w:vAlign w:val="center"/>
          </w:tcPr>
          <w:p w14:paraId="3C39D67F">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废砂</w:t>
            </w:r>
          </w:p>
        </w:tc>
      </w:tr>
      <w:tr w14:paraId="6844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59969457">
            <w:pPr>
              <w:adjustRightInd w:val="0"/>
              <w:snapToGrid w:val="0"/>
              <w:jc w:val="center"/>
              <w:rPr>
                <w:color w:val="auto"/>
                <w:sz w:val="18"/>
                <w:szCs w:val="18"/>
              </w:rPr>
            </w:pPr>
          </w:p>
        </w:tc>
        <w:tc>
          <w:tcPr>
            <w:tcW w:w="356" w:type="pct"/>
            <w:vMerge w:val="continue"/>
            <w:vAlign w:val="center"/>
          </w:tcPr>
          <w:p w14:paraId="00C5C499">
            <w:pPr>
              <w:adjustRightInd w:val="0"/>
              <w:snapToGrid w:val="0"/>
              <w:jc w:val="center"/>
              <w:rPr>
                <w:color w:val="auto"/>
                <w:sz w:val="18"/>
                <w:szCs w:val="18"/>
              </w:rPr>
            </w:pPr>
          </w:p>
        </w:tc>
        <w:tc>
          <w:tcPr>
            <w:tcW w:w="416" w:type="pct"/>
            <w:vAlign w:val="center"/>
          </w:tcPr>
          <w:p w14:paraId="3E13BFC7">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rPr>
              <w:t>S</w:t>
            </w:r>
            <w:r>
              <w:rPr>
                <w:rFonts w:hint="eastAsia"/>
                <w:color w:val="auto"/>
                <w:sz w:val="18"/>
                <w:szCs w:val="18"/>
                <w:lang w:val="en-US" w:eastAsia="zh-CN"/>
              </w:rPr>
              <w:t>2-5</w:t>
            </w:r>
          </w:p>
        </w:tc>
        <w:tc>
          <w:tcPr>
            <w:tcW w:w="1710" w:type="pct"/>
            <w:shd w:val="clear" w:color="auto" w:fill="auto"/>
            <w:vAlign w:val="center"/>
          </w:tcPr>
          <w:p w14:paraId="16B116DB">
            <w:pPr>
              <w:pStyle w:val="12"/>
              <w:topLinePunct/>
              <w:ind w:left="-105" w:leftChars="-50" w:right="-105" w:rightChars="-5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漆渣</w:t>
            </w:r>
          </w:p>
        </w:tc>
        <w:tc>
          <w:tcPr>
            <w:tcW w:w="1039" w:type="pct"/>
            <w:shd w:val="clear" w:color="auto" w:fill="auto"/>
            <w:vAlign w:val="center"/>
          </w:tcPr>
          <w:p w14:paraId="22C67B2B">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涂装</w:t>
            </w:r>
          </w:p>
        </w:tc>
        <w:tc>
          <w:tcPr>
            <w:tcW w:w="1075" w:type="pct"/>
            <w:shd w:val="clear" w:color="auto" w:fill="auto"/>
            <w:vAlign w:val="center"/>
          </w:tcPr>
          <w:p w14:paraId="336FEF86">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漆渣</w:t>
            </w:r>
          </w:p>
        </w:tc>
      </w:tr>
      <w:tr w14:paraId="3AD5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2C8AED7D">
            <w:pPr>
              <w:adjustRightInd w:val="0"/>
              <w:snapToGrid w:val="0"/>
              <w:jc w:val="center"/>
              <w:rPr>
                <w:color w:val="auto"/>
                <w:sz w:val="18"/>
                <w:szCs w:val="18"/>
              </w:rPr>
            </w:pPr>
          </w:p>
        </w:tc>
        <w:tc>
          <w:tcPr>
            <w:tcW w:w="356" w:type="pct"/>
            <w:vMerge w:val="continue"/>
            <w:vAlign w:val="center"/>
          </w:tcPr>
          <w:p w14:paraId="68C5924C">
            <w:pPr>
              <w:adjustRightInd w:val="0"/>
              <w:snapToGrid w:val="0"/>
              <w:jc w:val="center"/>
              <w:rPr>
                <w:color w:val="auto"/>
                <w:sz w:val="18"/>
                <w:szCs w:val="18"/>
              </w:rPr>
            </w:pPr>
          </w:p>
        </w:tc>
        <w:tc>
          <w:tcPr>
            <w:tcW w:w="416" w:type="pct"/>
            <w:vAlign w:val="center"/>
          </w:tcPr>
          <w:p w14:paraId="7E8A6F28">
            <w:pPr>
              <w:adjustRightInd w:val="0"/>
              <w:snapToGrid w:val="0"/>
              <w:spacing w:line="240" w:lineRule="atLeast"/>
              <w:jc w:val="center"/>
              <w:rPr>
                <w:rFonts w:hint="eastAsia" w:eastAsia="宋体"/>
                <w:color w:val="auto"/>
                <w:sz w:val="18"/>
                <w:szCs w:val="18"/>
                <w:lang w:val="en-US" w:eastAsia="zh-CN"/>
              </w:rPr>
            </w:pPr>
            <w:r>
              <w:rPr>
                <w:rFonts w:hint="eastAsia"/>
                <w:color w:val="auto"/>
                <w:sz w:val="18"/>
                <w:szCs w:val="18"/>
              </w:rPr>
              <w:t>S</w:t>
            </w:r>
            <w:r>
              <w:rPr>
                <w:rFonts w:hint="eastAsia"/>
                <w:color w:val="auto"/>
                <w:sz w:val="18"/>
                <w:szCs w:val="18"/>
                <w:lang w:val="en-US" w:eastAsia="zh-CN"/>
              </w:rPr>
              <w:t>3</w:t>
            </w:r>
          </w:p>
        </w:tc>
        <w:tc>
          <w:tcPr>
            <w:tcW w:w="1710" w:type="pct"/>
            <w:shd w:val="clear" w:color="auto" w:fill="auto"/>
            <w:vAlign w:val="center"/>
          </w:tcPr>
          <w:p w14:paraId="1FD753E9">
            <w:pPr>
              <w:pStyle w:val="12"/>
              <w:topLinePunct/>
              <w:ind w:left="-105" w:leftChars="-50" w:right="-105" w:rightChars="-50" w:firstLine="0" w:firstLineChars="0"/>
              <w:jc w:val="center"/>
              <w:rPr>
                <w:rFonts w:ascii="Times New Roman" w:hAnsi="Times New Roman"/>
                <w:color w:val="auto"/>
                <w:kern w:val="0"/>
                <w:sz w:val="18"/>
                <w:szCs w:val="18"/>
                <w:lang w:val="en-US"/>
              </w:rPr>
            </w:pPr>
            <w:r>
              <w:rPr>
                <w:rFonts w:hint="eastAsia" w:ascii="Times New Roman" w:hAnsi="Times New Roman"/>
                <w:color w:val="auto"/>
                <w:kern w:val="0"/>
                <w:sz w:val="18"/>
                <w:szCs w:val="18"/>
                <w:lang w:val="en-US"/>
              </w:rPr>
              <w:t>生活垃圾</w:t>
            </w:r>
          </w:p>
        </w:tc>
        <w:tc>
          <w:tcPr>
            <w:tcW w:w="1039" w:type="pct"/>
            <w:shd w:val="clear" w:color="auto" w:fill="auto"/>
            <w:vAlign w:val="center"/>
          </w:tcPr>
          <w:p w14:paraId="22BAC738">
            <w:pPr>
              <w:pStyle w:val="12"/>
              <w:topLinePunct/>
              <w:ind w:left="0" w:leftChars="0" w:firstLine="0" w:firstLineChars="0"/>
              <w:jc w:val="center"/>
              <w:rPr>
                <w:rFonts w:ascii="Times New Roman" w:hAnsi="Times New Roman"/>
                <w:color w:val="auto"/>
                <w:kern w:val="0"/>
                <w:sz w:val="18"/>
                <w:szCs w:val="18"/>
                <w:lang w:val="en-US"/>
              </w:rPr>
            </w:pPr>
            <w:r>
              <w:rPr>
                <w:rFonts w:hint="eastAsia" w:ascii="Times New Roman" w:hAnsi="Times New Roman"/>
                <w:color w:val="auto"/>
                <w:kern w:val="0"/>
                <w:sz w:val="18"/>
                <w:szCs w:val="18"/>
                <w:lang w:val="en-US"/>
              </w:rPr>
              <w:t>员工生活</w:t>
            </w:r>
          </w:p>
        </w:tc>
        <w:tc>
          <w:tcPr>
            <w:tcW w:w="1075" w:type="pct"/>
            <w:shd w:val="clear" w:color="auto" w:fill="auto"/>
            <w:vAlign w:val="center"/>
          </w:tcPr>
          <w:p w14:paraId="7279844F">
            <w:pPr>
              <w:pStyle w:val="12"/>
              <w:topLinePunct/>
              <w:ind w:left="0" w:leftChars="0" w:firstLine="0" w:firstLineChars="0"/>
              <w:jc w:val="center"/>
              <w:rPr>
                <w:rFonts w:ascii="Times New Roman" w:hAnsi="Times New Roman"/>
                <w:color w:val="auto"/>
                <w:kern w:val="0"/>
                <w:sz w:val="18"/>
                <w:szCs w:val="18"/>
                <w:lang w:val="en-US"/>
              </w:rPr>
            </w:pPr>
            <w:r>
              <w:rPr>
                <w:rFonts w:hint="eastAsia" w:ascii="Times New Roman" w:hAnsi="Times New Roman"/>
                <w:color w:val="auto"/>
                <w:kern w:val="0"/>
                <w:sz w:val="18"/>
                <w:szCs w:val="18"/>
                <w:lang w:val="en-US"/>
              </w:rPr>
              <w:t>生活垃圾</w:t>
            </w:r>
          </w:p>
        </w:tc>
      </w:tr>
      <w:tr w14:paraId="295B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36B912F5">
            <w:pPr>
              <w:adjustRightInd w:val="0"/>
              <w:snapToGrid w:val="0"/>
              <w:jc w:val="center"/>
              <w:rPr>
                <w:color w:val="auto"/>
                <w:sz w:val="18"/>
                <w:szCs w:val="18"/>
              </w:rPr>
            </w:pPr>
          </w:p>
        </w:tc>
        <w:tc>
          <w:tcPr>
            <w:tcW w:w="356" w:type="pct"/>
            <w:vMerge w:val="restart"/>
            <w:vAlign w:val="center"/>
          </w:tcPr>
          <w:p w14:paraId="75192435">
            <w:pPr>
              <w:adjustRightInd w:val="0"/>
              <w:snapToGrid w:val="0"/>
              <w:jc w:val="center"/>
              <w:rPr>
                <w:color w:val="auto"/>
                <w:sz w:val="18"/>
                <w:szCs w:val="18"/>
              </w:rPr>
            </w:pPr>
            <w:r>
              <w:rPr>
                <w:rFonts w:hint="eastAsia"/>
                <w:color w:val="auto"/>
                <w:sz w:val="18"/>
                <w:szCs w:val="18"/>
              </w:rPr>
              <w:t>废水</w:t>
            </w:r>
          </w:p>
        </w:tc>
        <w:tc>
          <w:tcPr>
            <w:tcW w:w="416" w:type="pct"/>
            <w:vAlign w:val="center"/>
          </w:tcPr>
          <w:p w14:paraId="608EF1F9">
            <w:pPr>
              <w:adjustRightInd w:val="0"/>
              <w:snapToGrid w:val="0"/>
              <w:spacing w:line="240" w:lineRule="atLeast"/>
              <w:jc w:val="center"/>
              <w:rPr>
                <w:color w:val="auto"/>
                <w:sz w:val="18"/>
                <w:szCs w:val="18"/>
              </w:rPr>
            </w:pPr>
            <w:r>
              <w:rPr>
                <w:rFonts w:hint="eastAsia"/>
                <w:color w:val="auto"/>
                <w:sz w:val="18"/>
                <w:szCs w:val="18"/>
              </w:rPr>
              <w:t>W1</w:t>
            </w:r>
          </w:p>
        </w:tc>
        <w:tc>
          <w:tcPr>
            <w:tcW w:w="1710" w:type="pct"/>
            <w:vAlign w:val="center"/>
          </w:tcPr>
          <w:p w14:paraId="66E5CCE0">
            <w:pPr>
              <w:pStyle w:val="12"/>
              <w:topLinePunct/>
              <w:ind w:left="-105" w:leftChars="-50" w:right="-105" w:rightChars="-50" w:firstLine="0" w:firstLineChars="0"/>
              <w:jc w:val="center"/>
              <w:rPr>
                <w:rFonts w:hint="eastAsia" w:ascii="Times New Roman" w:hAnsi="Times New Roman" w:eastAsia="宋体"/>
                <w:color w:val="auto"/>
                <w:sz w:val="18"/>
                <w:szCs w:val="18"/>
                <w:lang w:val="en-US" w:eastAsia="zh-CN"/>
              </w:rPr>
            </w:pPr>
            <w:r>
              <w:rPr>
                <w:rFonts w:hint="eastAsia" w:ascii="Times New Roman" w:hAnsi="Times New Roman"/>
                <w:color w:val="auto"/>
                <w:sz w:val="18"/>
                <w:szCs w:val="18"/>
                <w:lang w:val="en-US" w:eastAsia="zh-CN"/>
              </w:rPr>
              <w:t>生活污水</w:t>
            </w:r>
          </w:p>
        </w:tc>
        <w:tc>
          <w:tcPr>
            <w:tcW w:w="1039" w:type="pct"/>
            <w:vAlign w:val="center"/>
          </w:tcPr>
          <w:p w14:paraId="18F18B0A">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员工生活</w:t>
            </w:r>
          </w:p>
        </w:tc>
        <w:tc>
          <w:tcPr>
            <w:tcW w:w="1075" w:type="pct"/>
            <w:vAlign w:val="center"/>
          </w:tcPr>
          <w:p w14:paraId="056FB410">
            <w:pPr>
              <w:pStyle w:val="12"/>
              <w:topLinePunct/>
              <w:ind w:left="0" w:leftChars="0" w:firstLine="0" w:firstLineChars="0"/>
              <w:jc w:val="center"/>
              <w:rPr>
                <w:rFonts w:ascii="Times New Roman" w:hAnsi="Times New Roman"/>
                <w:color w:val="auto"/>
                <w:kern w:val="0"/>
                <w:sz w:val="18"/>
                <w:szCs w:val="18"/>
                <w:lang w:val="en-US"/>
              </w:rPr>
            </w:pPr>
            <w:r>
              <w:rPr>
                <w:rFonts w:hint="eastAsia" w:ascii="Times New Roman" w:hAnsi="Times New Roman"/>
                <w:color w:val="auto"/>
                <w:kern w:val="0"/>
                <w:sz w:val="18"/>
                <w:szCs w:val="18"/>
                <w:lang w:val="en-US"/>
              </w:rPr>
              <w:t>COD、氨氮、SS</w:t>
            </w:r>
          </w:p>
        </w:tc>
      </w:tr>
      <w:tr w14:paraId="7682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675E7EBF">
            <w:pPr>
              <w:adjustRightInd w:val="0"/>
              <w:snapToGrid w:val="0"/>
              <w:jc w:val="center"/>
              <w:rPr>
                <w:color w:val="auto"/>
                <w:sz w:val="18"/>
                <w:szCs w:val="18"/>
              </w:rPr>
            </w:pPr>
          </w:p>
        </w:tc>
        <w:tc>
          <w:tcPr>
            <w:tcW w:w="356" w:type="pct"/>
            <w:vMerge w:val="continue"/>
            <w:vAlign w:val="center"/>
          </w:tcPr>
          <w:p w14:paraId="118B08D4">
            <w:pPr>
              <w:adjustRightInd w:val="0"/>
              <w:snapToGrid w:val="0"/>
              <w:jc w:val="center"/>
              <w:rPr>
                <w:rFonts w:hint="eastAsia"/>
                <w:color w:val="auto"/>
                <w:sz w:val="18"/>
                <w:szCs w:val="18"/>
              </w:rPr>
            </w:pPr>
          </w:p>
        </w:tc>
        <w:tc>
          <w:tcPr>
            <w:tcW w:w="416" w:type="pct"/>
            <w:vAlign w:val="center"/>
          </w:tcPr>
          <w:p w14:paraId="1B1CE288">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lang w:val="en-US" w:eastAsia="zh-CN"/>
              </w:rPr>
              <w:t>W2-1</w:t>
            </w:r>
          </w:p>
        </w:tc>
        <w:tc>
          <w:tcPr>
            <w:tcW w:w="1710" w:type="pct"/>
            <w:vAlign w:val="center"/>
          </w:tcPr>
          <w:p w14:paraId="25F5B200">
            <w:pPr>
              <w:pStyle w:val="12"/>
              <w:topLinePunct/>
              <w:ind w:left="-105" w:leftChars="-50" w:right="-105" w:rightChars="-50" w:firstLine="0" w:firstLineChars="0"/>
              <w:jc w:val="center"/>
              <w:rPr>
                <w:rFonts w:hint="eastAsia" w:ascii="Times New Roman" w:hAnsi="Times New Roman" w:eastAsia="宋体"/>
                <w:color w:val="auto"/>
                <w:sz w:val="18"/>
                <w:szCs w:val="18"/>
                <w:lang w:val="en-US" w:eastAsia="zh-CN"/>
              </w:rPr>
            </w:pPr>
            <w:r>
              <w:rPr>
                <w:rFonts w:hint="eastAsia" w:ascii="Times New Roman" w:hAnsi="Times New Roman"/>
                <w:color w:val="auto"/>
                <w:sz w:val="18"/>
                <w:szCs w:val="18"/>
                <w:lang w:val="en-US" w:eastAsia="zh-CN"/>
              </w:rPr>
              <w:t>清洗废水</w:t>
            </w:r>
          </w:p>
        </w:tc>
        <w:tc>
          <w:tcPr>
            <w:tcW w:w="1039" w:type="pct"/>
            <w:vAlign w:val="center"/>
          </w:tcPr>
          <w:p w14:paraId="760200A2">
            <w:pPr>
              <w:pStyle w:val="12"/>
              <w:topLinePunct/>
              <w:ind w:left="0" w:leftChars="0" w:firstLine="0" w:firstLineChars="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清洗残盐</w:t>
            </w:r>
          </w:p>
        </w:tc>
        <w:tc>
          <w:tcPr>
            <w:tcW w:w="1075" w:type="pct"/>
            <w:vAlign w:val="center"/>
          </w:tcPr>
          <w:p w14:paraId="33A51DBB">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COD、氨氮</w:t>
            </w:r>
          </w:p>
        </w:tc>
      </w:tr>
      <w:tr w14:paraId="2434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31041E1C">
            <w:pPr>
              <w:adjustRightInd w:val="0"/>
              <w:snapToGrid w:val="0"/>
              <w:jc w:val="center"/>
              <w:rPr>
                <w:color w:val="auto"/>
                <w:sz w:val="18"/>
                <w:szCs w:val="18"/>
              </w:rPr>
            </w:pPr>
          </w:p>
        </w:tc>
        <w:tc>
          <w:tcPr>
            <w:tcW w:w="356" w:type="pct"/>
            <w:vMerge w:val="continue"/>
            <w:vAlign w:val="center"/>
          </w:tcPr>
          <w:p w14:paraId="579508F1">
            <w:pPr>
              <w:adjustRightInd w:val="0"/>
              <w:snapToGrid w:val="0"/>
              <w:jc w:val="center"/>
              <w:rPr>
                <w:rFonts w:hint="eastAsia"/>
                <w:color w:val="auto"/>
                <w:sz w:val="18"/>
                <w:szCs w:val="18"/>
              </w:rPr>
            </w:pPr>
          </w:p>
        </w:tc>
        <w:tc>
          <w:tcPr>
            <w:tcW w:w="416" w:type="pct"/>
            <w:vAlign w:val="center"/>
          </w:tcPr>
          <w:p w14:paraId="142652BE">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lang w:val="en-US" w:eastAsia="zh-CN"/>
              </w:rPr>
              <w:t>W2-2</w:t>
            </w:r>
          </w:p>
        </w:tc>
        <w:tc>
          <w:tcPr>
            <w:tcW w:w="1710" w:type="pct"/>
            <w:vAlign w:val="center"/>
          </w:tcPr>
          <w:p w14:paraId="0C0C136D">
            <w:pPr>
              <w:pStyle w:val="12"/>
              <w:topLinePunct/>
              <w:ind w:left="-105" w:leftChars="-50" w:right="-105" w:rightChars="-50" w:firstLine="0" w:firstLineChars="0"/>
              <w:jc w:val="center"/>
              <w:rPr>
                <w:rFonts w:hint="eastAsia" w:ascii="Times New Roman" w:hAnsi="Times New Roman" w:eastAsia="宋体"/>
                <w:color w:val="auto"/>
                <w:sz w:val="18"/>
                <w:szCs w:val="18"/>
                <w:lang w:val="en-US" w:eastAsia="zh-CN"/>
              </w:rPr>
            </w:pPr>
            <w:r>
              <w:rPr>
                <w:rFonts w:hint="eastAsia" w:ascii="Times New Roman" w:hAnsi="Times New Roman"/>
                <w:color w:val="auto"/>
                <w:sz w:val="18"/>
                <w:szCs w:val="18"/>
                <w:lang w:val="en-US" w:eastAsia="zh-CN"/>
              </w:rPr>
              <w:t>清洗废水</w:t>
            </w:r>
          </w:p>
        </w:tc>
        <w:tc>
          <w:tcPr>
            <w:tcW w:w="1039" w:type="pct"/>
            <w:vAlign w:val="center"/>
          </w:tcPr>
          <w:p w14:paraId="25FF7DD8">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一次清洗</w:t>
            </w:r>
          </w:p>
        </w:tc>
        <w:tc>
          <w:tcPr>
            <w:tcW w:w="1075" w:type="pct"/>
            <w:vAlign w:val="center"/>
          </w:tcPr>
          <w:p w14:paraId="3B3E3107">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COD、SS</w:t>
            </w:r>
          </w:p>
        </w:tc>
      </w:tr>
      <w:tr w14:paraId="6299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62607B7B">
            <w:pPr>
              <w:adjustRightInd w:val="0"/>
              <w:snapToGrid w:val="0"/>
              <w:jc w:val="center"/>
              <w:rPr>
                <w:color w:val="auto"/>
                <w:sz w:val="18"/>
                <w:szCs w:val="18"/>
              </w:rPr>
            </w:pPr>
          </w:p>
        </w:tc>
        <w:tc>
          <w:tcPr>
            <w:tcW w:w="356" w:type="pct"/>
            <w:vMerge w:val="continue"/>
            <w:vAlign w:val="center"/>
          </w:tcPr>
          <w:p w14:paraId="6A60C075">
            <w:pPr>
              <w:adjustRightInd w:val="0"/>
              <w:snapToGrid w:val="0"/>
              <w:jc w:val="center"/>
              <w:rPr>
                <w:rFonts w:hint="eastAsia"/>
                <w:color w:val="auto"/>
                <w:sz w:val="18"/>
                <w:szCs w:val="18"/>
              </w:rPr>
            </w:pPr>
          </w:p>
        </w:tc>
        <w:tc>
          <w:tcPr>
            <w:tcW w:w="416" w:type="pct"/>
            <w:vAlign w:val="center"/>
          </w:tcPr>
          <w:p w14:paraId="1CCF6AB1">
            <w:pPr>
              <w:adjustRightInd w:val="0"/>
              <w:snapToGrid w:val="0"/>
              <w:spacing w:line="240" w:lineRule="atLeast"/>
              <w:jc w:val="center"/>
              <w:rPr>
                <w:rFonts w:hint="default" w:eastAsia="宋体"/>
                <w:color w:val="auto"/>
                <w:sz w:val="18"/>
                <w:szCs w:val="18"/>
                <w:lang w:val="en-US" w:eastAsia="zh-CN"/>
              </w:rPr>
            </w:pPr>
            <w:r>
              <w:rPr>
                <w:rFonts w:hint="eastAsia"/>
                <w:color w:val="auto"/>
                <w:sz w:val="18"/>
                <w:szCs w:val="18"/>
                <w:lang w:val="en-US" w:eastAsia="zh-CN"/>
              </w:rPr>
              <w:t>W2-3</w:t>
            </w:r>
          </w:p>
        </w:tc>
        <w:tc>
          <w:tcPr>
            <w:tcW w:w="1710" w:type="pct"/>
            <w:vAlign w:val="center"/>
          </w:tcPr>
          <w:p w14:paraId="463A81D6">
            <w:pPr>
              <w:pStyle w:val="12"/>
              <w:topLinePunct/>
              <w:ind w:left="-105" w:leftChars="-50" w:right="-105" w:rightChars="-50" w:firstLine="0" w:firstLineChars="0"/>
              <w:jc w:val="center"/>
              <w:rPr>
                <w:rFonts w:hint="eastAsia" w:ascii="Times New Roman" w:hAnsi="Times New Roman" w:eastAsia="宋体"/>
                <w:color w:val="auto"/>
                <w:sz w:val="18"/>
                <w:szCs w:val="18"/>
                <w:lang w:val="en-US" w:eastAsia="zh-CN"/>
              </w:rPr>
            </w:pPr>
            <w:r>
              <w:rPr>
                <w:rFonts w:hint="eastAsia" w:ascii="Times New Roman" w:hAnsi="Times New Roman"/>
                <w:color w:val="auto"/>
                <w:sz w:val="18"/>
                <w:szCs w:val="18"/>
                <w:lang w:val="en-US" w:eastAsia="zh-CN"/>
              </w:rPr>
              <w:t>清洗废水</w:t>
            </w:r>
          </w:p>
        </w:tc>
        <w:tc>
          <w:tcPr>
            <w:tcW w:w="1039" w:type="pct"/>
            <w:vAlign w:val="center"/>
          </w:tcPr>
          <w:p w14:paraId="096A8C75">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二次清洗</w:t>
            </w:r>
          </w:p>
        </w:tc>
        <w:tc>
          <w:tcPr>
            <w:tcW w:w="1075" w:type="pct"/>
            <w:vAlign w:val="center"/>
          </w:tcPr>
          <w:p w14:paraId="0E5C8E5E">
            <w:pPr>
              <w:pStyle w:val="12"/>
              <w:topLinePunct/>
              <w:ind w:left="0" w:leftChars="0" w:firstLine="0" w:firstLineChars="0"/>
              <w:jc w:val="center"/>
              <w:rPr>
                <w:rFonts w:hint="default"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COD、SS</w:t>
            </w:r>
          </w:p>
        </w:tc>
      </w:tr>
      <w:tr w14:paraId="5A75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39C7E835">
            <w:pPr>
              <w:adjustRightInd w:val="0"/>
              <w:snapToGrid w:val="0"/>
              <w:jc w:val="center"/>
              <w:rPr>
                <w:color w:val="auto"/>
                <w:sz w:val="18"/>
                <w:szCs w:val="18"/>
              </w:rPr>
            </w:pPr>
          </w:p>
        </w:tc>
        <w:tc>
          <w:tcPr>
            <w:tcW w:w="356" w:type="pct"/>
            <w:vMerge w:val="continue"/>
            <w:vAlign w:val="center"/>
          </w:tcPr>
          <w:p w14:paraId="3B2B7DE3">
            <w:pPr>
              <w:adjustRightInd w:val="0"/>
              <w:snapToGrid w:val="0"/>
              <w:jc w:val="center"/>
              <w:rPr>
                <w:rFonts w:hint="eastAsia"/>
                <w:color w:val="auto"/>
                <w:sz w:val="18"/>
                <w:szCs w:val="18"/>
              </w:rPr>
            </w:pPr>
          </w:p>
        </w:tc>
        <w:tc>
          <w:tcPr>
            <w:tcW w:w="416" w:type="pct"/>
            <w:vAlign w:val="center"/>
          </w:tcPr>
          <w:p w14:paraId="5E08AC0B">
            <w:pPr>
              <w:adjustRightInd w:val="0"/>
              <w:snapToGrid w:val="0"/>
              <w:spacing w:line="240" w:lineRule="atLeast"/>
              <w:jc w:val="center"/>
              <w:rPr>
                <w:rFonts w:hint="default"/>
                <w:color w:val="auto"/>
                <w:sz w:val="18"/>
                <w:szCs w:val="18"/>
                <w:lang w:val="en-US" w:eastAsia="zh-CN"/>
              </w:rPr>
            </w:pPr>
            <w:r>
              <w:rPr>
                <w:rFonts w:hint="eastAsia"/>
                <w:color w:val="auto"/>
                <w:sz w:val="18"/>
                <w:szCs w:val="18"/>
                <w:lang w:val="en-US" w:eastAsia="zh-CN"/>
              </w:rPr>
              <w:t>W2-4</w:t>
            </w:r>
          </w:p>
        </w:tc>
        <w:tc>
          <w:tcPr>
            <w:tcW w:w="1710" w:type="pct"/>
            <w:vAlign w:val="center"/>
          </w:tcPr>
          <w:p w14:paraId="4EB7870D">
            <w:pPr>
              <w:pStyle w:val="12"/>
              <w:topLinePunct/>
              <w:ind w:left="-105" w:leftChars="-50" w:right="-105" w:rightChars="-50" w:firstLine="0" w:firstLineChars="0"/>
              <w:jc w:val="center"/>
              <w:rPr>
                <w:rFonts w:hint="default" w:ascii="Times New Roman" w:hAnsi="Times New Roman"/>
                <w:color w:val="auto"/>
                <w:sz w:val="18"/>
                <w:szCs w:val="18"/>
                <w:lang w:val="en-US" w:eastAsia="zh-CN"/>
              </w:rPr>
            </w:pPr>
            <w:r>
              <w:rPr>
                <w:rFonts w:hint="eastAsia" w:ascii="Times New Roman" w:hAnsi="Times New Roman"/>
                <w:color w:val="auto"/>
                <w:sz w:val="18"/>
                <w:szCs w:val="18"/>
                <w:lang w:val="en-US" w:eastAsia="zh-CN"/>
              </w:rPr>
              <w:t>水帘废水</w:t>
            </w:r>
          </w:p>
        </w:tc>
        <w:tc>
          <w:tcPr>
            <w:tcW w:w="1039" w:type="pct"/>
            <w:vAlign w:val="center"/>
          </w:tcPr>
          <w:p w14:paraId="04BCA250">
            <w:pPr>
              <w:pStyle w:val="12"/>
              <w:topLinePunct/>
              <w:ind w:left="0" w:leftChars="0" w:firstLine="0" w:firstLineChars="0"/>
              <w:jc w:val="center"/>
              <w:rPr>
                <w:rFonts w:hint="default" w:ascii="Times New Roman" w:hAnsi="Times New Roman"/>
                <w:color w:val="auto"/>
                <w:kern w:val="0"/>
                <w:sz w:val="18"/>
                <w:szCs w:val="18"/>
                <w:lang w:val="en-US" w:eastAsia="zh-CN"/>
              </w:rPr>
            </w:pPr>
            <w:r>
              <w:rPr>
                <w:rFonts w:hint="eastAsia" w:ascii="Times New Roman" w:hAnsi="Times New Roman"/>
                <w:color w:val="auto"/>
                <w:kern w:val="0"/>
                <w:sz w:val="18"/>
                <w:szCs w:val="18"/>
                <w:lang w:val="en-US" w:eastAsia="zh-CN"/>
              </w:rPr>
              <w:t>涂装</w:t>
            </w:r>
          </w:p>
        </w:tc>
        <w:tc>
          <w:tcPr>
            <w:tcW w:w="1075" w:type="pct"/>
            <w:vAlign w:val="center"/>
          </w:tcPr>
          <w:p w14:paraId="4C93D6F8">
            <w:pPr>
              <w:pStyle w:val="12"/>
              <w:topLinePunct/>
              <w:ind w:left="0" w:leftChars="0" w:firstLine="0" w:firstLineChars="0"/>
              <w:jc w:val="center"/>
              <w:rPr>
                <w:rFonts w:hint="default" w:ascii="Times New Roman" w:hAnsi="Times New Roman"/>
                <w:color w:val="auto"/>
                <w:kern w:val="0"/>
                <w:sz w:val="18"/>
                <w:szCs w:val="18"/>
                <w:lang w:val="en-US" w:eastAsia="zh-CN"/>
              </w:rPr>
            </w:pPr>
            <w:r>
              <w:rPr>
                <w:rFonts w:hint="eastAsia" w:ascii="Times New Roman" w:hAnsi="Times New Roman"/>
                <w:color w:val="auto"/>
                <w:kern w:val="0"/>
                <w:sz w:val="18"/>
                <w:szCs w:val="18"/>
                <w:lang w:val="en-US" w:eastAsia="zh-CN"/>
              </w:rPr>
              <w:t>COD、氨氮、SS</w:t>
            </w:r>
          </w:p>
        </w:tc>
      </w:tr>
      <w:tr w14:paraId="71FB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vAlign w:val="center"/>
          </w:tcPr>
          <w:p w14:paraId="538C500E">
            <w:pPr>
              <w:adjustRightInd w:val="0"/>
              <w:snapToGrid w:val="0"/>
              <w:jc w:val="center"/>
              <w:rPr>
                <w:color w:val="auto"/>
                <w:sz w:val="18"/>
                <w:szCs w:val="18"/>
              </w:rPr>
            </w:pPr>
          </w:p>
        </w:tc>
        <w:tc>
          <w:tcPr>
            <w:tcW w:w="356" w:type="pct"/>
            <w:vAlign w:val="center"/>
          </w:tcPr>
          <w:p w14:paraId="2755BB6C">
            <w:pPr>
              <w:adjustRightInd w:val="0"/>
              <w:snapToGrid w:val="0"/>
              <w:jc w:val="center"/>
              <w:rPr>
                <w:color w:val="auto"/>
                <w:sz w:val="18"/>
                <w:szCs w:val="18"/>
              </w:rPr>
            </w:pPr>
            <w:r>
              <w:rPr>
                <w:color w:val="auto"/>
                <w:sz w:val="18"/>
                <w:szCs w:val="18"/>
              </w:rPr>
              <w:t>噪声</w:t>
            </w:r>
          </w:p>
        </w:tc>
        <w:tc>
          <w:tcPr>
            <w:tcW w:w="4241" w:type="pct"/>
            <w:gridSpan w:val="4"/>
            <w:vAlign w:val="center"/>
          </w:tcPr>
          <w:p w14:paraId="1F03DB27">
            <w:pPr>
              <w:adjustRightInd w:val="0"/>
              <w:snapToGrid w:val="0"/>
              <w:rPr>
                <w:color w:val="auto"/>
                <w:sz w:val="18"/>
                <w:szCs w:val="18"/>
              </w:rPr>
            </w:pPr>
            <w:r>
              <w:rPr>
                <w:color w:val="auto"/>
                <w:sz w:val="18"/>
                <w:szCs w:val="18"/>
              </w:rPr>
              <w:t>设备运转产生的机械噪声。</w:t>
            </w:r>
          </w:p>
        </w:tc>
      </w:tr>
    </w:tbl>
    <w:p w14:paraId="4D19B0FF">
      <w:pPr>
        <w:pStyle w:val="122"/>
        <w:ind w:firstLine="482"/>
        <w:rPr>
          <w:b/>
          <w:bCs/>
          <w:color w:val="auto"/>
        </w:rPr>
      </w:pPr>
      <w:r>
        <w:rPr>
          <w:rFonts w:hint="eastAsia"/>
          <w:b/>
          <w:bCs/>
          <w:color w:val="auto"/>
        </w:rPr>
        <w:t>1</w:t>
      </w:r>
      <w:r>
        <w:rPr>
          <w:b/>
          <w:bCs/>
          <w:color w:val="auto"/>
        </w:rPr>
        <w:t>.6.1</w:t>
      </w:r>
      <w:r>
        <w:rPr>
          <w:rFonts w:hint="eastAsia"/>
          <w:b/>
          <w:bCs/>
          <w:color w:val="auto"/>
        </w:rPr>
        <w:t>废气</w:t>
      </w:r>
    </w:p>
    <w:p w14:paraId="6DA7FDC7">
      <w:pPr>
        <w:adjustRightInd w:val="0"/>
        <w:snapToGrid w:val="0"/>
        <w:spacing w:line="360" w:lineRule="auto"/>
        <w:ind w:firstLine="480" w:firstLineChars="200"/>
        <w:rPr>
          <w:color w:val="auto"/>
          <w:sz w:val="24"/>
          <w:szCs w:val="24"/>
        </w:rPr>
      </w:pPr>
      <w:r>
        <w:rPr>
          <w:rFonts w:hint="eastAsia"/>
          <w:color w:val="auto"/>
          <w:sz w:val="24"/>
          <w:szCs w:val="24"/>
        </w:rPr>
        <w:t>项目废气主要为下料粉尘、木制粉尘、油漆废气。</w:t>
      </w:r>
    </w:p>
    <w:p w14:paraId="60BF9EA5">
      <w:pPr>
        <w:adjustRightInd w:val="0"/>
        <w:snapToGrid w:val="0"/>
        <w:spacing w:line="360" w:lineRule="auto"/>
        <w:ind w:firstLine="480" w:firstLineChars="200"/>
        <w:rPr>
          <w:color w:val="auto"/>
          <w:sz w:val="24"/>
          <w:szCs w:val="24"/>
        </w:rPr>
      </w:pPr>
      <w:bookmarkStart w:id="33" w:name="_Toc3029"/>
      <w:r>
        <w:rPr>
          <w:rFonts w:hint="eastAsia"/>
          <w:color w:val="auto"/>
          <w:sz w:val="24"/>
          <w:szCs w:val="24"/>
        </w:rPr>
        <w:t>（1）废气产生情况</w:t>
      </w:r>
      <w:bookmarkEnd w:id="33"/>
    </w:p>
    <w:p w14:paraId="32361AC0">
      <w:pPr>
        <w:adjustRightInd w:val="0"/>
        <w:snapToGrid w:val="0"/>
        <w:spacing w:line="360" w:lineRule="auto"/>
        <w:ind w:firstLine="480" w:firstLineChars="200"/>
        <w:rPr>
          <w:color w:val="auto"/>
          <w:sz w:val="24"/>
          <w:szCs w:val="24"/>
        </w:rPr>
      </w:pPr>
      <w:r>
        <w:rPr>
          <w:rFonts w:hint="eastAsia"/>
          <w:color w:val="auto"/>
          <w:sz w:val="24"/>
          <w:szCs w:val="24"/>
        </w:rPr>
        <w:t>1）</w:t>
      </w:r>
      <w:r>
        <w:rPr>
          <w:rFonts w:hint="eastAsia"/>
          <w:color w:val="auto"/>
          <w:sz w:val="24"/>
          <w:szCs w:val="24"/>
          <w:lang w:val="en-US" w:eastAsia="zh-CN"/>
        </w:rPr>
        <w:t>金属粉尘、切割粉尘</w:t>
      </w:r>
      <w:r>
        <w:rPr>
          <w:rFonts w:hint="eastAsia"/>
          <w:color w:val="auto"/>
          <w:sz w:val="24"/>
          <w:szCs w:val="24"/>
        </w:rPr>
        <w:t>（G</w:t>
      </w:r>
      <w:r>
        <w:rPr>
          <w:rFonts w:hint="eastAsia"/>
          <w:color w:val="auto"/>
          <w:sz w:val="24"/>
          <w:szCs w:val="24"/>
          <w:lang w:val="en-US" w:eastAsia="zh-CN"/>
        </w:rPr>
        <w:t>1-</w:t>
      </w:r>
      <w:r>
        <w:rPr>
          <w:rFonts w:hint="eastAsia"/>
          <w:color w:val="auto"/>
          <w:sz w:val="24"/>
          <w:szCs w:val="24"/>
        </w:rPr>
        <w:t>1、G2</w:t>
      </w:r>
      <w:r>
        <w:rPr>
          <w:rFonts w:hint="eastAsia"/>
          <w:color w:val="auto"/>
          <w:sz w:val="24"/>
          <w:szCs w:val="24"/>
          <w:lang w:val="en-US" w:eastAsia="zh-CN"/>
        </w:rPr>
        <w:t>-1</w:t>
      </w:r>
      <w:r>
        <w:rPr>
          <w:rFonts w:hint="eastAsia"/>
          <w:color w:val="auto"/>
          <w:sz w:val="24"/>
          <w:szCs w:val="24"/>
        </w:rPr>
        <w:t>）</w:t>
      </w:r>
    </w:p>
    <w:p w14:paraId="66FE6C0E">
      <w:pPr>
        <w:adjustRightInd w:val="0"/>
        <w:snapToGrid w:val="0"/>
        <w:spacing w:line="360" w:lineRule="auto"/>
        <w:ind w:firstLine="480" w:firstLineChars="200"/>
        <w:rPr>
          <w:rFonts w:hint="eastAsia"/>
          <w:color w:val="auto"/>
          <w:sz w:val="24"/>
          <w:szCs w:val="24"/>
        </w:rPr>
      </w:pPr>
      <w:r>
        <w:rPr>
          <w:rFonts w:hint="eastAsia"/>
          <w:color w:val="auto"/>
          <w:sz w:val="24"/>
          <w:szCs w:val="24"/>
        </w:rPr>
        <w:t>将金属铸件、其余各类零部件、五金件作为原料投入，开展切割、打磨等金加工操作。在加工过程中，因物料的机械切削、研磨等动作，会产生G1金属粉尘（主要污染物为颗粒物）。</w:t>
      </w:r>
    </w:p>
    <w:p w14:paraId="3675D408">
      <w:pPr>
        <w:adjustRightInd w:val="0"/>
        <w:snapToGrid w:val="0"/>
        <w:spacing w:line="360" w:lineRule="auto"/>
        <w:ind w:firstLine="480" w:firstLineChars="200"/>
        <w:rPr>
          <w:rFonts w:hint="eastAsia"/>
          <w:color w:val="auto"/>
          <w:sz w:val="24"/>
          <w:szCs w:val="24"/>
        </w:rPr>
      </w:pPr>
      <w:r>
        <w:rPr>
          <w:rFonts w:hint="eastAsia"/>
          <w:color w:val="auto"/>
          <w:sz w:val="24"/>
          <w:szCs w:val="24"/>
        </w:rPr>
        <w:t>由于原料为成品锯片和各类外购成品零部件及金属铸件，需要进行金加工的材料非常少，因此此股废气仅进行定性分析，不再进行定量分析，仅有微量金属粉尘车间内无组织排放，且金属粉尘沉降系数较高，大部分在车间内沉降至车间地面，经清扫后与废金属屑一同暂存至一般工业固废暂存场所。</w:t>
      </w:r>
    </w:p>
    <w:p w14:paraId="5362CF4C">
      <w:pPr>
        <w:adjustRightInd w:val="0"/>
        <w:snapToGrid w:val="0"/>
        <w:spacing w:line="360" w:lineRule="auto"/>
        <w:ind w:firstLine="480" w:firstLineChars="200"/>
        <w:rPr>
          <w:rFonts w:hint="eastAsia"/>
          <w:color w:val="auto"/>
          <w:sz w:val="24"/>
          <w:szCs w:val="24"/>
        </w:rPr>
      </w:pPr>
      <w:r>
        <w:rPr>
          <w:rFonts w:hint="eastAsia"/>
          <w:color w:val="auto"/>
          <w:sz w:val="24"/>
          <w:szCs w:val="24"/>
        </w:rPr>
        <w:t>2）焊接烟气（G</w:t>
      </w:r>
      <w:r>
        <w:rPr>
          <w:rFonts w:hint="eastAsia"/>
          <w:color w:val="auto"/>
          <w:sz w:val="24"/>
          <w:szCs w:val="24"/>
          <w:lang w:val="en-US" w:eastAsia="zh-CN"/>
        </w:rPr>
        <w:t>1-2、G2-2</w:t>
      </w:r>
      <w:r>
        <w:rPr>
          <w:rFonts w:hint="eastAsia"/>
          <w:color w:val="auto"/>
          <w:sz w:val="24"/>
          <w:szCs w:val="24"/>
        </w:rPr>
        <w:t>）</w:t>
      </w:r>
    </w:p>
    <w:p w14:paraId="1873C753">
      <w:pPr>
        <w:adjustRightInd w:val="0"/>
        <w:snapToGrid w:val="0"/>
        <w:spacing w:line="360" w:lineRule="auto"/>
        <w:ind w:firstLine="480" w:firstLineChars="200"/>
        <w:rPr>
          <w:rFonts w:hint="eastAsia"/>
          <w:color w:val="auto"/>
          <w:sz w:val="24"/>
          <w:szCs w:val="24"/>
          <w:lang w:val="en-US" w:eastAsia="zh-CN"/>
        </w:rPr>
      </w:pPr>
      <w:r>
        <w:rPr>
          <w:rFonts w:hint="eastAsia"/>
          <w:color w:val="auto"/>
          <w:sz w:val="24"/>
          <w:szCs w:val="24"/>
          <w:lang w:val="en-US" w:eastAsia="zh-CN"/>
        </w:rPr>
        <w:t>使用焊料、刮刀辅助，对工件特定部位（如齿部连接点）焊接。焊接时，焊料高温熔化、凝固，产生焊接烟气（主要污染物为颗粒物）。本次评价根据《排放源统计调查产排污核算方法和系数手册》中《机械行业系数手册》对颗粒物进行污染物源强核算。根据手册确定产污系数，工业废气量：2130193m³/吨原料、颗粒物：9.9千克/吨原料，经计算，本项目合计使用各类焊料0.235t/a，则焊接烟气产生量为500595.355m³/a，颗粒物污染物产生量为0.002t/a。</w:t>
      </w:r>
    </w:p>
    <w:p w14:paraId="5922C8D2">
      <w:pPr>
        <w:adjustRightInd w:val="0"/>
        <w:snapToGrid w:val="0"/>
        <w:spacing w:line="360" w:lineRule="auto"/>
        <w:ind w:firstLine="480" w:firstLineChars="200"/>
        <w:rPr>
          <w:rFonts w:hint="default" w:eastAsia="宋体"/>
          <w:color w:val="auto"/>
          <w:sz w:val="24"/>
          <w:szCs w:val="24"/>
          <w:lang w:val="en-US" w:eastAsia="zh-CN"/>
        </w:rPr>
      </w:pPr>
      <w:r>
        <w:rPr>
          <w:rFonts w:hint="eastAsia"/>
          <w:color w:val="auto"/>
          <w:sz w:val="24"/>
          <w:szCs w:val="24"/>
          <w:lang w:val="en-US" w:eastAsia="zh-CN"/>
        </w:rPr>
        <w:t>本项目焊接工位拟采用移动式焊接烟尘净化装置对焊接烟气进行收集处理，由于产生量较小，经收集净化后的焊接烟气车间内无组织排放，保守考虑约50%焊接烟气能够得到有效收集处理，则无组织排放量为0.001t/a。</w:t>
      </w:r>
    </w:p>
    <w:p w14:paraId="68957B1F">
      <w:pPr>
        <w:adjustRightInd w:val="0"/>
        <w:snapToGrid w:val="0"/>
        <w:spacing w:line="360" w:lineRule="auto"/>
        <w:ind w:firstLine="480" w:firstLineChars="200"/>
        <w:rPr>
          <w:color w:val="auto"/>
          <w:sz w:val="24"/>
          <w:szCs w:val="24"/>
        </w:rPr>
      </w:pPr>
      <w:r>
        <w:rPr>
          <w:rFonts w:hint="eastAsia"/>
          <w:color w:val="auto"/>
          <w:sz w:val="24"/>
          <w:szCs w:val="24"/>
        </w:rPr>
        <w:t>3）</w:t>
      </w:r>
      <w:r>
        <w:rPr>
          <w:rFonts w:hint="eastAsia"/>
          <w:color w:val="auto"/>
          <w:sz w:val="24"/>
          <w:szCs w:val="24"/>
          <w:lang w:val="en-US" w:eastAsia="zh-CN"/>
        </w:rPr>
        <w:t>喷涂</w:t>
      </w:r>
      <w:r>
        <w:rPr>
          <w:rFonts w:hint="eastAsia"/>
          <w:color w:val="auto"/>
          <w:sz w:val="24"/>
          <w:szCs w:val="24"/>
        </w:rPr>
        <w:t>废气（G</w:t>
      </w:r>
      <w:r>
        <w:rPr>
          <w:rFonts w:hint="eastAsia"/>
          <w:color w:val="auto"/>
          <w:sz w:val="24"/>
          <w:szCs w:val="24"/>
          <w:lang w:val="en-US" w:eastAsia="zh-CN"/>
        </w:rPr>
        <w:t>2-3</w:t>
      </w:r>
      <w:r>
        <w:rPr>
          <w:rFonts w:hint="eastAsia"/>
          <w:color w:val="auto"/>
          <w:sz w:val="24"/>
          <w:szCs w:val="24"/>
        </w:rPr>
        <w:t>）</w:t>
      </w:r>
    </w:p>
    <w:p w14:paraId="664D750E">
      <w:pPr>
        <w:adjustRightInd w:val="0"/>
        <w:snapToGrid w:val="0"/>
        <w:spacing w:line="360" w:lineRule="auto"/>
        <w:ind w:firstLine="480" w:firstLineChars="200"/>
        <w:rPr>
          <w:rFonts w:hint="eastAsia"/>
          <w:color w:val="auto"/>
          <w:sz w:val="24"/>
          <w:szCs w:val="24"/>
        </w:rPr>
      </w:pPr>
      <w:r>
        <w:rPr>
          <w:rFonts w:hint="eastAsia"/>
          <w:color w:val="auto"/>
          <w:sz w:val="24"/>
          <w:szCs w:val="24"/>
        </w:rPr>
        <w:t>项目生产过程中根据订单及客户需求，部分锯片进行喷漆：</w:t>
      </w:r>
    </w:p>
    <w:p w14:paraId="75C23DD7">
      <w:pPr>
        <w:adjustRightInd w:val="0"/>
        <w:snapToGrid w:val="0"/>
        <w:spacing w:line="360" w:lineRule="auto"/>
        <w:ind w:firstLine="480" w:firstLineChars="200"/>
        <w:rPr>
          <w:rFonts w:hint="eastAsia"/>
          <w:color w:val="auto"/>
          <w:sz w:val="24"/>
          <w:szCs w:val="24"/>
        </w:rPr>
      </w:pPr>
      <w:r>
        <w:rPr>
          <w:rFonts w:hint="eastAsia"/>
          <w:color w:val="auto"/>
          <w:sz w:val="24"/>
          <w:szCs w:val="24"/>
        </w:rPr>
        <w:t>①单片锯片两面圆面面积：</w:t>
      </w:r>
    </w:p>
    <w:p w14:paraId="0613C83B">
      <w:pPr>
        <w:adjustRightInd w:val="0"/>
        <w:snapToGrid w:val="0"/>
        <w:spacing w:line="360" w:lineRule="auto"/>
        <w:ind w:firstLine="480" w:firstLineChars="200"/>
        <w:rPr>
          <w:rFonts w:hint="eastAsia"/>
          <w:color w:val="auto"/>
          <w:sz w:val="24"/>
          <w:szCs w:val="24"/>
        </w:rPr>
      </w:pPr>
      <w:r>
        <w:rPr>
          <w:rFonts w:hint="eastAsia"/>
          <w:color w:val="auto"/>
          <w:sz w:val="24"/>
          <w:szCs w:val="24"/>
        </w:rPr>
        <w:t>半径r=230÷2=115毫米=11.5厘米，</w:t>
      </w:r>
    </w:p>
    <w:p w14:paraId="4AB958B6">
      <w:pPr>
        <w:adjustRightInd w:val="0"/>
        <w:snapToGrid w:val="0"/>
        <w:spacing w:line="360" w:lineRule="auto"/>
        <w:ind w:firstLine="480" w:firstLineChars="200"/>
        <w:rPr>
          <w:rFonts w:hint="eastAsia"/>
          <w:color w:val="auto"/>
          <w:sz w:val="24"/>
          <w:szCs w:val="24"/>
        </w:rPr>
      </w:pPr>
      <w:r>
        <w:rPr>
          <w:rFonts w:hint="eastAsia"/>
          <w:color w:val="auto"/>
          <w:sz w:val="24"/>
          <w:szCs w:val="24"/>
        </w:rPr>
        <w:t>两面面积=2×πr²=2×3.14×11.5²≈830.54平方厘米。</w:t>
      </w:r>
    </w:p>
    <w:p w14:paraId="77E5379D">
      <w:pPr>
        <w:adjustRightInd w:val="0"/>
        <w:snapToGrid w:val="0"/>
        <w:spacing w:line="360" w:lineRule="auto"/>
        <w:ind w:firstLine="480" w:firstLineChars="200"/>
        <w:rPr>
          <w:rFonts w:hint="eastAsia"/>
          <w:color w:val="auto"/>
          <w:sz w:val="24"/>
          <w:szCs w:val="24"/>
        </w:rPr>
      </w:pPr>
      <w:r>
        <w:rPr>
          <w:rFonts w:hint="eastAsia"/>
          <w:color w:val="auto"/>
          <w:sz w:val="24"/>
          <w:szCs w:val="24"/>
        </w:rPr>
        <w:t>②单片涂料体积：</w:t>
      </w:r>
    </w:p>
    <w:p w14:paraId="51352309">
      <w:pPr>
        <w:adjustRightInd w:val="0"/>
        <w:snapToGrid w:val="0"/>
        <w:spacing w:line="360" w:lineRule="auto"/>
        <w:ind w:firstLine="480" w:firstLineChars="200"/>
        <w:rPr>
          <w:rFonts w:hint="eastAsia"/>
          <w:color w:val="auto"/>
          <w:sz w:val="24"/>
          <w:szCs w:val="24"/>
        </w:rPr>
      </w:pPr>
      <w:r>
        <w:rPr>
          <w:rFonts w:hint="eastAsia"/>
          <w:color w:val="auto"/>
          <w:sz w:val="24"/>
          <w:szCs w:val="24"/>
        </w:rPr>
        <w:t>830.54×0.005≈4.15立方厘米。</w:t>
      </w:r>
    </w:p>
    <w:p w14:paraId="49399152">
      <w:pPr>
        <w:adjustRightInd w:val="0"/>
        <w:snapToGrid w:val="0"/>
        <w:spacing w:line="360" w:lineRule="auto"/>
        <w:ind w:firstLine="480" w:firstLineChars="200"/>
        <w:rPr>
          <w:rFonts w:hint="eastAsia"/>
          <w:color w:val="auto"/>
          <w:sz w:val="24"/>
          <w:szCs w:val="24"/>
        </w:rPr>
      </w:pPr>
      <w:r>
        <w:rPr>
          <w:rFonts w:hint="eastAsia"/>
          <w:color w:val="auto"/>
          <w:sz w:val="24"/>
          <w:szCs w:val="24"/>
        </w:rPr>
        <w:t>③每10000片总涂料体积：</w:t>
      </w:r>
    </w:p>
    <w:p w14:paraId="50A3E62C">
      <w:pPr>
        <w:adjustRightInd w:val="0"/>
        <w:snapToGrid w:val="0"/>
        <w:spacing w:line="360" w:lineRule="auto"/>
        <w:ind w:firstLine="480" w:firstLineChars="200"/>
        <w:rPr>
          <w:rFonts w:hint="eastAsia"/>
          <w:color w:val="auto"/>
          <w:sz w:val="24"/>
          <w:szCs w:val="24"/>
        </w:rPr>
      </w:pPr>
      <w:r>
        <w:rPr>
          <w:rFonts w:hint="eastAsia"/>
          <w:color w:val="auto"/>
          <w:sz w:val="24"/>
          <w:szCs w:val="24"/>
        </w:rPr>
        <w:t>4.15×10000=41500立方厘米=41.5升。</w:t>
      </w:r>
    </w:p>
    <w:p w14:paraId="0ABDB432">
      <w:pPr>
        <w:adjustRightInd w:val="0"/>
        <w:snapToGrid w:val="0"/>
        <w:spacing w:line="360" w:lineRule="auto"/>
        <w:ind w:firstLine="480" w:firstLineChars="200"/>
        <w:rPr>
          <w:rFonts w:hint="eastAsia"/>
          <w:color w:val="auto"/>
          <w:sz w:val="24"/>
          <w:szCs w:val="24"/>
        </w:rPr>
      </w:pPr>
      <w:r>
        <w:rPr>
          <w:rFonts w:hint="eastAsia"/>
          <w:color w:val="auto"/>
          <w:sz w:val="24"/>
          <w:szCs w:val="24"/>
        </w:rPr>
        <w:t>本次项目设置1套全自动喷涂机，全自动喷涂机喷涂附着效率取80%，</w:t>
      </w:r>
      <w:r>
        <w:rPr>
          <w:rFonts w:hint="eastAsia"/>
          <w:color w:val="auto"/>
          <w:sz w:val="24"/>
          <w:szCs w:val="24"/>
          <w:lang w:val="en-US" w:eastAsia="zh-CN"/>
        </w:rPr>
        <w:t>油漆密度取1.2kg/L，</w:t>
      </w:r>
      <w:r>
        <w:rPr>
          <w:rFonts w:hint="eastAsia"/>
          <w:color w:val="auto"/>
          <w:sz w:val="24"/>
          <w:szCs w:val="24"/>
        </w:rPr>
        <w:t>各锯片产品经表面预处理后约有100万片外协电镀，65万片经PVD镀膜后作为冷锯片本色产品直接入库，35万片锯片需进行喷涂，其中2万片锯片使用油性漆进行喷涂，</w:t>
      </w:r>
      <w:r>
        <w:rPr>
          <w:rFonts w:hint="eastAsia"/>
          <w:color w:val="auto"/>
          <w:sz w:val="24"/>
          <w:szCs w:val="24"/>
          <w:lang w:val="en-US" w:eastAsia="zh-CN"/>
        </w:rPr>
        <w:t>3</w:t>
      </w:r>
      <w:r>
        <w:rPr>
          <w:rFonts w:hint="eastAsia"/>
          <w:color w:val="auto"/>
          <w:sz w:val="24"/>
          <w:szCs w:val="24"/>
        </w:rPr>
        <w:t>3万片锯片使用水性漆进行喷涂。</w:t>
      </w:r>
    </w:p>
    <w:p w14:paraId="265827AD">
      <w:pPr>
        <w:adjustRightInd w:val="0"/>
        <w:snapToGrid w:val="0"/>
        <w:spacing w:line="360" w:lineRule="auto"/>
        <w:ind w:firstLine="480" w:firstLineChars="200"/>
        <w:rPr>
          <w:rFonts w:hint="eastAsia"/>
          <w:color w:val="auto"/>
          <w:sz w:val="24"/>
          <w:szCs w:val="24"/>
        </w:rPr>
      </w:pPr>
      <w:r>
        <w:rPr>
          <w:rFonts w:hint="eastAsia"/>
          <w:color w:val="auto"/>
          <w:sz w:val="24"/>
          <w:szCs w:val="24"/>
        </w:rPr>
        <w:t>根据上述涂料使用情况及喷涂附着效率，经计算，本项目水性漆用量为</w:t>
      </w:r>
      <w:r>
        <w:rPr>
          <w:rFonts w:hint="eastAsia"/>
          <w:color w:val="auto"/>
          <w:sz w:val="24"/>
          <w:szCs w:val="24"/>
          <w:lang w:eastAsia="zh-CN"/>
        </w:rPr>
        <w:t>2.05425</w:t>
      </w:r>
      <w:r>
        <w:rPr>
          <w:rFonts w:hint="eastAsia"/>
          <w:color w:val="auto"/>
          <w:sz w:val="24"/>
          <w:szCs w:val="24"/>
        </w:rPr>
        <w:t>t/a，油性漆用量为0.1245t/a。</w:t>
      </w:r>
    </w:p>
    <w:p w14:paraId="50692AEC">
      <w:pPr>
        <w:adjustRightInd w:val="0"/>
        <w:snapToGrid w:val="0"/>
        <w:spacing w:line="360" w:lineRule="auto"/>
        <w:ind w:firstLine="480" w:firstLineChars="200"/>
        <w:rPr>
          <w:rFonts w:hint="eastAsia"/>
          <w:color w:val="auto"/>
          <w:sz w:val="24"/>
          <w:szCs w:val="24"/>
        </w:rPr>
      </w:pPr>
      <w:r>
        <w:rPr>
          <w:rFonts w:hint="eastAsia"/>
          <w:color w:val="auto"/>
          <w:sz w:val="24"/>
          <w:szCs w:val="24"/>
        </w:rPr>
        <w:t>全自动喷涂设备内部设置有水帘柜，用于除漆雾，设备整体采用密闭负压收集，废气经收集后接入1套“活性炭吸附+脱附催化燃烧”吸附装置处理后经1根不低于15m高排气筒高空排放。</w:t>
      </w:r>
    </w:p>
    <w:p w14:paraId="47C2E97F">
      <w:pPr>
        <w:adjustRightInd w:val="0"/>
        <w:snapToGrid w:val="0"/>
        <w:spacing w:line="360" w:lineRule="auto"/>
        <w:ind w:firstLine="480" w:firstLineChars="200"/>
        <w:rPr>
          <w:rFonts w:hint="default" w:eastAsia="宋体"/>
          <w:color w:val="auto"/>
          <w:sz w:val="24"/>
          <w:szCs w:val="24"/>
          <w:lang w:val="en-US" w:eastAsia="zh-CN"/>
        </w:rPr>
      </w:pPr>
      <w:r>
        <w:rPr>
          <w:rFonts w:hint="eastAsia"/>
          <w:color w:val="auto"/>
          <w:sz w:val="24"/>
          <w:szCs w:val="24"/>
        </w:rPr>
        <w:t>本次项目使用水性漆、油性漆涂料作为本次喷涂的原料，根据本次拟使用的油漆的MSDS（详见附件）确定本项目涉及使用的涂料组分。</w:t>
      </w:r>
    </w:p>
    <w:p w14:paraId="1B84863B">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表8</w:t>
      </w:r>
      <w:r>
        <w:rPr>
          <w:rFonts w:hint="eastAsia"/>
          <w:color w:val="auto"/>
          <w:sz w:val="24"/>
          <w:szCs w:val="24"/>
          <w:lang w:val="en-US"/>
        </w:rPr>
        <w:t>所用油漆成分及含量</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243"/>
        <w:gridCol w:w="2259"/>
        <w:gridCol w:w="1004"/>
        <w:gridCol w:w="1628"/>
        <w:gridCol w:w="1109"/>
      </w:tblGrid>
      <w:tr w14:paraId="42A4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0C46B7F9">
            <w:pPr>
              <w:widowControl/>
              <w:spacing w:line="240" w:lineRule="exact"/>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序号</w:t>
            </w:r>
          </w:p>
        </w:tc>
        <w:tc>
          <w:tcPr>
            <w:tcW w:w="2243" w:type="dxa"/>
            <w:noWrap w:val="0"/>
            <w:vAlign w:val="center"/>
          </w:tcPr>
          <w:p w14:paraId="122EAB64">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品类</w:t>
            </w:r>
          </w:p>
        </w:tc>
        <w:tc>
          <w:tcPr>
            <w:tcW w:w="2259" w:type="dxa"/>
            <w:noWrap w:val="0"/>
            <w:vAlign w:val="center"/>
          </w:tcPr>
          <w:p w14:paraId="1989C07B">
            <w:pPr>
              <w:widowControl/>
              <w:spacing w:line="240" w:lineRule="exact"/>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成分</w:t>
            </w:r>
          </w:p>
        </w:tc>
        <w:tc>
          <w:tcPr>
            <w:tcW w:w="1004" w:type="dxa"/>
            <w:noWrap w:val="0"/>
            <w:vAlign w:val="center"/>
          </w:tcPr>
          <w:p w14:paraId="2E9F6FB6">
            <w:pPr>
              <w:widowControl/>
              <w:spacing w:line="240" w:lineRule="exact"/>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含量</w:t>
            </w:r>
          </w:p>
        </w:tc>
        <w:tc>
          <w:tcPr>
            <w:tcW w:w="1628" w:type="dxa"/>
            <w:noWrap w:val="0"/>
            <w:vAlign w:val="center"/>
          </w:tcPr>
          <w:p w14:paraId="01FB0AA6">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数据来源</w:t>
            </w:r>
          </w:p>
        </w:tc>
        <w:tc>
          <w:tcPr>
            <w:tcW w:w="1004" w:type="dxa"/>
            <w:noWrap w:val="0"/>
            <w:vAlign w:val="center"/>
          </w:tcPr>
          <w:p w14:paraId="659295D3">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油漆用量</w:t>
            </w:r>
          </w:p>
        </w:tc>
      </w:tr>
      <w:tr w14:paraId="6F8F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16C62502">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w:t>
            </w:r>
          </w:p>
        </w:tc>
        <w:tc>
          <w:tcPr>
            <w:tcW w:w="2243" w:type="dxa"/>
            <w:vMerge w:val="restart"/>
            <w:noWrap w:val="0"/>
            <w:vAlign w:val="center"/>
          </w:tcPr>
          <w:p w14:paraId="0D238BD0">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水性漆</w:t>
            </w:r>
          </w:p>
        </w:tc>
        <w:tc>
          <w:tcPr>
            <w:tcW w:w="2259" w:type="dxa"/>
            <w:noWrap w:val="0"/>
            <w:vAlign w:val="center"/>
          </w:tcPr>
          <w:p w14:paraId="5FC6997C">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硬脂酸锌</w:t>
            </w:r>
          </w:p>
        </w:tc>
        <w:tc>
          <w:tcPr>
            <w:tcW w:w="1004" w:type="dxa"/>
            <w:noWrap w:val="0"/>
            <w:vAlign w:val="center"/>
          </w:tcPr>
          <w:p w14:paraId="187B039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1%-3%</w:t>
            </w:r>
          </w:p>
        </w:tc>
        <w:tc>
          <w:tcPr>
            <w:tcW w:w="1628" w:type="dxa"/>
            <w:vMerge w:val="restart"/>
            <w:noWrap w:val="0"/>
            <w:vAlign w:val="center"/>
          </w:tcPr>
          <w:p w14:paraId="0AE361E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双组份水性透明底漆</w:t>
            </w:r>
            <w:r>
              <w:rPr>
                <w:rFonts w:hint="default" w:ascii="Times New Roman" w:hAnsi="Times New Roman" w:eastAsia="宋体" w:cs="Times New Roman"/>
                <w:color w:val="auto"/>
                <w:kern w:val="0"/>
                <w:sz w:val="21"/>
                <w:szCs w:val="21"/>
                <w:lang w:val="en-US" w:eastAsia="zh-CN" w:bidi="ar"/>
              </w:rPr>
              <w:t>安全技术说明书（MSDS）</w:t>
            </w:r>
          </w:p>
        </w:tc>
        <w:tc>
          <w:tcPr>
            <w:tcW w:w="1004" w:type="dxa"/>
            <w:vMerge w:val="restart"/>
            <w:noWrap w:val="0"/>
            <w:vAlign w:val="center"/>
          </w:tcPr>
          <w:p w14:paraId="6193BCE2">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2.05425</w:t>
            </w:r>
            <w:r>
              <w:rPr>
                <w:rFonts w:hint="default" w:ascii="Times New Roman" w:hAnsi="Times New Roman" w:eastAsia="宋体" w:cs="Times New Roman"/>
                <w:color w:val="auto"/>
                <w:kern w:val="0"/>
                <w:sz w:val="21"/>
                <w:szCs w:val="21"/>
                <w:lang w:val="en-US" w:eastAsia="zh-CN" w:bidi="ar"/>
              </w:rPr>
              <w:t>t/a</w:t>
            </w:r>
          </w:p>
        </w:tc>
      </w:tr>
      <w:tr w14:paraId="4A0B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1CB464E3">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w:t>
            </w:r>
          </w:p>
        </w:tc>
        <w:tc>
          <w:tcPr>
            <w:tcW w:w="2243" w:type="dxa"/>
            <w:vMerge w:val="continue"/>
            <w:noWrap w:val="0"/>
            <w:vAlign w:val="center"/>
          </w:tcPr>
          <w:p w14:paraId="1CD81731">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3339D625">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氢氧化铵</w:t>
            </w:r>
          </w:p>
        </w:tc>
        <w:tc>
          <w:tcPr>
            <w:tcW w:w="1004" w:type="dxa"/>
            <w:noWrap w:val="0"/>
            <w:vAlign w:val="center"/>
          </w:tcPr>
          <w:p w14:paraId="5D955B8D">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0.3%-1%</w:t>
            </w:r>
          </w:p>
        </w:tc>
        <w:tc>
          <w:tcPr>
            <w:tcW w:w="1628" w:type="dxa"/>
            <w:vMerge w:val="continue"/>
            <w:noWrap w:val="0"/>
            <w:vAlign w:val="center"/>
          </w:tcPr>
          <w:p w14:paraId="49E5CE90">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24CAD07C">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0DE28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7BCB4073">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3</w:t>
            </w:r>
          </w:p>
        </w:tc>
        <w:tc>
          <w:tcPr>
            <w:tcW w:w="2243" w:type="dxa"/>
            <w:vMerge w:val="continue"/>
            <w:noWrap w:val="0"/>
            <w:vAlign w:val="center"/>
          </w:tcPr>
          <w:p w14:paraId="0932A7F2">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74FCD1DF">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VOCs</w:t>
            </w:r>
          </w:p>
        </w:tc>
        <w:tc>
          <w:tcPr>
            <w:tcW w:w="1004" w:type="dxa"/>
            <w:noWrap w:val="0"/>
            <w:vAlign w:val="center"/>
          </w:tcPr>
          <w:p w14:paraId="4499FB73">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104g/L</w:t>
            </w:r>
          </w:p>
        </w:tc>
        <w:tc>
          <w:tcPr>
            <w:tcW w:w="1628" w:type="dxa"/>
            <w:vMerge w:val="restart"/>
            <w:noWrap w:val="0"/>
            <w:vAlign w:val="center"/>
          </w:tcPr>
          <w:p w14:paraId="73E05B52">
            <w:pPr>
              <w:widowControl/>
              <w:spacing w:line="240" w:lineRule="exact"/>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VOCs检测报告</w:t>
            </w:r>
          </w:p>
        </w:tc>
        <w:tc>
          <w:tcPr>
            <w:tcW w:w="1004" w:type="dxa"/>
            <w:vMerge w:val="continue"/>
            <w:noWrap w:val="0"/>
            <w:vAlign w:val="center"/>
          </w:tcPr>
          <w:p w14:paraId="0D755DFD">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4A71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702BAEA2">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w:t>
            </w:r>
          </w:p>
        </w:tc>
        <w:tc>
          <w:tcPr>
            <w:tcW w:w="2243" w:type="dxa"/>
            <w:vMerge w:val="continue"/>
            <w:noWrap w:val="0"/>
            <w:vAlign w:val="center"/>
          </w:tcPr>
          <w:p w14:paraId="13ABBF99">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12D004A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苯及苯系物</w:t>
            </w:r>
          </w:p>
        </w:tc>
        <w:tc>
          <w:tcPr>
            <w:tcW w:w="1004" w:type="dxa"/>
            <w:noWrap w:val="0"/>
            <w:vAlign w:val="center"/>
          </w:tcPr>
          <w:p w14:paraId="609C107D">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未检出</w:t>
            </w:r>
          </w:p>
        </w:tc>
        <w:tc>
          <w:tcPr>
            <w:tcW w:w="1628" w:type="dxa"/>
            <w:vMerge w:val="continue"/>
            <w:noWrap w:val="0"/>
            <w:vAlign w:val="center"/>
          </w:tcPr>
          <w:p w14:paraId="2D52694F">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67C987DE">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1056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011B64C8">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5</w:t>
            </w:r>
          </w:p>
        </w:tc>
        <w:tc>
          <w:tcPr>
            <w:tcW w:w="2243" w:type="dxa"/>
            <w:vMerge w:val="continue"/>
            <w:noWrap w:val="0"/>
            <w:vAlign w:val="center"/>
          </w:tcPr>
          <w:p w14:paraId="2B869D1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3A6B7FDE">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游离甲醛</w:t>
            </w:r>
          </w:p>
        </w:tc>
        <w:tc>
          <w:tcPr>
            <w:tcW w:w="1004" w:type="dxa"/>
            <w:noWrap w:val="0"/>
            <w:vAlign w:val="center"/>
          </w:tcPr>
          <w:p w14:paraId="03137AB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未检出</w:t>
            </w:r>
          </w:p>
        </w:tc>
        <w:tc>
          <w:tcPr>
            <w:tcW w:w="1628" w:type="dxa"/>
            <w:vMerge w:val="continue"/>
            <w:noWrap w:val="0"/>
            <w:vAlign w:val="center"/>
          </w:tcPr>
          <w:p w14:paraId="698559E3">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2C0343F0">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437A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69A94920">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6</w:t>
            </w:r>
          </w:p>
        </w:tc>
        <w:tc>
          <w:tcPr>
            <w:tcW w:w="2243" w:type="dxa"/>
            <w:vMerge w:val="continue"/>
            <w:noWrap w:val="0"/>
            <w:vAlign w:val="center"/>
          </w:tcPr>
          <w:p w14:paraId="49C576B6">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6A285FB0">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各类酯、醚</w:t>
            </w:r>
          </w:p>
        </w:tc>
        <w:tc>
          <w:tcPr>
            <w:tcW w:w="1004" w:type="dxa"/>
            <w:noWrap w:val="0"/>
            <w:vAlign w:val="center"/>
          </w:tcPr>
          <w:p w14:paraId="638E9BF8">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未检出</w:t>
            </w:r>
          </w:p>
        </w:tc>
        <w:tc>
          <w:tcPr>
            <w:tcW w:w="1628" w:type="dxa"/>
            <w:vMerge w:val="continue"/>
            <w:noWrap w:val="0"/>
            <w:vAlign w:val="center"/>
          </w:tcPr>
          <w:p w14:paraId="056BF749">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2A137507">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2B23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0BB41F24">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w:t>
            </w:r>
          </w:p>
        </w:tc>
        <w:tc>
          <w:tcPr>
            <w:tcW w:w="2243" w:type="dxa"/>
            <w:vMerge w:val="continue"/>
            <w:noWrap w:val="0"/>
            <w:vAlign w:val="center"/>
          </w:tcPr>
          <w:p w14:paraId="338CF08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3161913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硬脂酸锌</w:t>
            </w:r>
          </w:p>
        </w:tc>
        <w:tc>
          <w:tcPr>
            <w:tcW w:w="1004" w:type="dxa"/>
            <w:noWrap w:val="0"/>
            <w:vAlign w:val="center"/>
          </w:tcPr>
          <w:p w14:paraId="678F4FEE">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1%-3%</w:t>
            </w:r>
          </w:p>
        </w:tc>
        <w:tc>
          <w:tcPr>
            <w:tcW w:w="1628" w:type="dxa"/>
            <w:vMerge w:val="continue"/>
            <w:noWrap w:val="0"/>
            <w:vAlign w:val="center"/>
          </w:tcPr>
          <w:p w14:paraId="63E0A52A">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49AF7A75">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3032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54EB2E0D">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8</w:t>
            </w:r>
          </w:p>
        </w:tc>
        <w:tc>
          <w:tcPr>
            <w:tcW w:w="2243" w:type="dxa"/>
            <w:vMerge w:val="restart"/>
            <w:noWrap w:val="0"/>
            <w:vAlign w:val="center"/>
          </w:tcPr>
          <w:p w14:paraId="132A2A4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油性漆</w:t>
            </w:r>
          </w:p>
        </w:tc>
        <w:tc>
          <w:tcPr>
            <w:tcW w:w="2259" w:type="dxa"/>
            <w:noWrap w:val="0"/>
            <w:vAlign w:val="center"/>
          </w:tcPr>
          <w:p w14:paraId="6E93B3DE">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有机硅改性树脂</w:t>
            </w:r>
          </w:p>
        </w:tc>
        <w:tc>
          <w:tcPr>
            <w:tcW w:w="1004" w:type="dxa"/>
            <w:noWrap w:val="0"/>
            <w:vAlign w:val="center"/>
          </w:tcPr>
          <w:p w14:paraId="021A3FF8">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50~70%</w:t>
            </w:r>
          </w:p>
        </w:tc>
        <w:tc>
          <w:tcPr>
            <w:tcW w:w="1628" w:type="dxa"/>
            <w:vMerge w:val="restart"/>
            <w:noWrap w:val="0"/>
            <w:vAlign w:val="center"/>
          </w:tcPr>
          <w:p w14:paraId="4066F795">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A5500-B211137化学品安全技术说明书</w:t>
            </w:r>
            <w:r>
              <w:rPr>
                <w:rFonts w:hint="default" w:ascii="Times New Roman" w:hAnsi="Times New Roman" w:eastAsia="宋体" w:cs="Times New Roman"/>
                <w:color w:val="auto"/>
                <w:kern w:val="0"/>
                <w:sz w:val="21"/>
                <w:szCs w:val="21"/>
                <w:lang w:val="en-US" w:eastAsia="zh-CN" w:bidi="ar"/>
              </w:rPr>
              <w:t>（MSDS）</w:t>
            </w:r>
          </w:p>
        </w:tc>
        <w:tc>
          <w:tcPr>
            <w:tcW w:w="1004" w:type="dxa"/>
            <w:vMerge w:val="restart"/>
            <w:noWrap w:val="0"/>
            <w:vAlign w:val="center"/>
          </w:tcPr>
          <w:p w14:paraId="38D9F561">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0.1245t/a</w:t>
            </w:r>
          </w:p>
        </w:tc>
      </w:tr>
      <w:tr w14:paraId="2737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51CDD199">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9</w:t>
            </w:r>
          </w:p>
        </w:tc>
        <w:tc>
          <w:tcPr>
            <w:tcW w:w="2243" w:type="dxa"/>
            <w:vMerge w:val="continue"/>
            <w:noWrap w:val="0"/>
            <w:vAlign w:val="center"/>
          </w:tcPr>
          <w:p w14:paraId="75D08E2C">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7C9D96E0">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环氧树脂</w:t>
            </w:r>
          </w:p>
        </w:tc>
        <w:tc>
          <w:tcPr>
            <w:tcW w:w="1004" w:type="dxa"/>
            <w:noWrap w:val="0"/>
            <w:vAlign w:val="center"/>
          </w:tcPr>
          <w:p w14:paraId="4B905FB0">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0~10%</w:t>
            </w:r>
          </w:p>
        </w:tc>
        <w:tc>
          <w:tcPr>
            <w:tcW w:w="1628" w:type="dxa"/>
            <w:vMerge w:val="continue"/>
            <w:noWrap w:val="0"/>
            <w:vAlign w:val="center"/>
          </w:tcPr>
          <w:p w14:paraId="503C00F4">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7E933553">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36FF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54120BAD">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10</w:t>
            </w:r>
          </w:p>
        </w:tc>
        <w:tc>
          <w:tcPr>
            <w:tcW w:w="2243" w:type="dxa"/>
            <w:vMerge w:val="continue"/>
            <w:noWrap w:val="0"/>
            <w:vAlign w:val="center"/>
          </w:tcPr>
          <w:p w14:paraId="39C6E6FF">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227999BA">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炭黑</w:t>
            </w:r>
          </w:p>
        </w:tc>
        <w:tc>
          <w:tcPr>
            <w:tcW w:w="1004" w:type="dxa"/>
            <w:noWrap w:val="0"/>
            <w:vAlign w:val="center"/>
          </w:tcPr>
          <w:p w14:paraId="56377B66">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0~0.5%</w:t>
            </w:r>
          </w:p>
        </w:tc>
        <w:tc>
          <w:tcPr>
            <w:tcW w:w="1628" w:type="dxa"/>
            <w:vMerge w:val="continue"/>
            <w:noWrap w:val="0"/>
            <w:vAlign w:val="center"/>
          </w:tcPr>
          <w:p w14:paraId="6B1EA061">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7515D8E3">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1458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7058C7B2">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11</w:t>
            </w:r>
          </w:p>
        </w:tc>
        <w:tc>
          <w:tcPr>
            <w:tcW w:w="2243" w:type="dxa"/>
            <w:vMerge w:val="continue"/>
            <w:noWrap w:val="0"/>
            <w:vAlign w:val="center"/>
          </w:tcPr>
          <w:p w14:paraId="4DF27DD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3204D36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钛白粉</w:t>
            </w:r>
          </w:p>
        </w:tc>
        <w:tc>
          <w:tcPr>
            <w:tcW w:w="1004" w:type="dxa"/>
            <w:noWrap w:val="0"/>
            <w:vAlign w:val="center"/>
          </w:tcPr>
          <w:p w14:paraId="306B123C">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10~20%</w:t>
            </w:r>
          </w:p>
        </w:tc>
        <w:tc>
          <w:tcPr>
            <w:tcW w:w="1628" w:type="dxa"/>
            <w:vMerge w:val="continue"/>
            <w:noWrap w:val="0"/>
            <w:vAlign w:val="center"/>
          </w:tcPr>
          <w:p w14:paraId="21002BBB">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45B8014F">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7A13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6236F786">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12</w:t>
            </w:r>
          </w:p>
        </w:tc>
        <w:tc>
          <w:tcPr>
            <w:tcW w:w="2243" w:type="dxa"/>
            <w:vMerge w:val="continue"/>
            <w:noWrap w:val="0"/>
            <w:vAlign w:val="center"/>
          </w:tcPr>
          <w:p w14:paraId="6BEDD203">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768A118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二氧化硅</w:t>
            </w:r>
          </w:p>
        </w:tc>
        <w:tc>
          <w:tcPr>
            <w:tcW w:w="1004" w:type="dxa"/>
            <w:noWrap w:val="0"/>
            <w:vAlign w:val="center"/>
          </w:tcPr>
          <w:p w14:paraId="4292ABB0">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1~10%</w:t>
            </w:r>
          </w:p>
        </w:tc>
        <w:tc>
          <w:tcPr>
            <w:tcW w:w="1628" w:type="dxa"/>
            <w:vMerge w:val="continue"/>
            <w:noWrap w:val="0"/>
            <w:vAlign w:val="center"/>
          </w:tcPr>
          <w:p w14:paraId="2D6DB821">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02E9AD48">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7BFA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0A8098E4">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13</w:t>
            </w:r>
          </w:p>
        </w:tc>
        <w:tc>
          <w:tcPr>
            <w:tcW w:w="2243" w:type="dxa"/>
            <w:vMerge w:val="continue"/>
            <w:noWrap w:val="0"/>
            <w:vAlign w:val="center"/>
          </w:tcPr>
          <w:p w14:paraId="5D3FC07D">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700CE7AD">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丙二醇甲醚醋酸酯</w:t>
            </w:r>
          </w:p>
        </w:tc>
        <w:tc>
          <w:tcPr>
            <w:tcW w:w="1004" w:type="dxa"/>
            <w:noWrap w:val="0"/>
            <w:vAlign w:val="center"/>
          </w:tcPr>
          <w:p w14:paraId="707E3A6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10~20%</w:t>
            </w:r>
          </w:p>
        </w:tc>
        <w:tc>
          <w:tcPr>
            <w:tcW w:w="1628" w:type="dxa"/>
            <w:vMerge w:val="continue"/>
            <w:noWrap w:val="0"/>
            <w:vAlign w:val="center"/>
          </w:tcPr>
          <w:p w14:paraId="256DAB71">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272F2FAD">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22DC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06C610F5">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14</w:t>
            </w:r>
          </w:p>
        </w:tc>
        <w:tc>
          <w:tcPr>
            <w:tcW w:w="2243" w:type="dxa"/>
            <w:vMerge w:val="continue"/>
            <w:noWrap w:val="0"/>
            <w:vAlign w:val="center"/>
          </w:tcPr>
          <w:p w14:paraId="2B26D118">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179092BE">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醋酸丁酯</w:t>
            </w:r>
          </w:p>
        </w:tc>
        <w:tc>
          <w:tcPr>
            <w:tcW w:w="1004" w:type="dxa"/>
            <w:noWrap w:val="0"/>
            <w:vAlign w:val="center"/>
          </w:tcPr>
          <w:p w14:paraId="4596DC1F">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10~20%</w:t>
            </w:r>
          </w:p>
        </w:tc>
        <w:tc>
          <w:tcPr>
            <w:tcW w:w="1628" w:type="dxa"/>
            <w:vMerge w:val="continue"/>
            <w:noWrap w:val="0"/>
            <w:vAlign w:val="center"/>
          </w:tcPr>
          <w:p w14:paraId="54510969">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c>
          <w:tcPr>
            <w:tcW w:w="1004" w:type="dxa"/>
            <w:vMerge w:val="continue"/>
            <w:noWrap w:val="0"/>
            <w:vAlign w:val="center"/>
          </w:tcPr>
          <w:p w14:paraId="5BEAACB8">
            <w:pPr>
              <w:widowControl/>
              <w:spacing w:line="240" w:lineRule="exact"/>
              <w:jc w:val="center"/>
              <w:textAlignment w:val="center"/>
              <w:rPr>
                <w:rFonts w:hint="default" w:ascii="Times New Roman" w:hAnsi="Times New Roman" w:eastAsia="宋体" w:cs="Times New Roman"/>
                <w:color w:val="auto"/>
                <w:kern w:val="0"/>
                <w:sz w:val="21"/>
                <w:szCs w:val="21"/>
                <w:lang w:bidi="ar"/>
              </w:rPr>
            </w:pPr>
          </w:p>
        </w:tc>
      </w:tr>
      <w:tr w14:paraId="2599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4" w:type="dxa"/>
            <w:noWrap w:val="0"/>
            <w:vAlign w:val="center"/>
          </w:tcPr>
          <w:p w14:paraId="6CC53287">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15</w:t>
            </w:r>
          </w:p>
        </w:tc>
        <w:tc>
          <w:tcPr>
            <w:tcW w:w="2243" w:type="dxa"/>
            <w:vMerge w:val="continue"/>
            <w:noWrap w:val="0"/>
            <w:vAlign w:val="center"/>
          </w:tcPr>
          <w:p w14:paraId="53B74CD5">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2259" w:type="dxa"/>
            <w:noWrap w:val="0"/>
            <w:vAlign w:val="center"/>
          </w:tcPr>
          <w:p w14:paraId="2DCC81F4">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VOCs</w:t>
            </w:r>
          </w:p>
        </w:tc>
        <w:tc>
          <w:tcPr>
            <w:tcW w:w="1004" w:type="dxa"/>
            <w:noWrap w:val="0"/>
            <w:vAlign w:val="center"/>
          </w:tcPr>
          <w:p w14:paraId="43EA714B">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160g/L</w:t>
            </w:r>
          </w:p>
        </w:tc>
        <w:tc>
          <w:tcPr>
            <w:tcW w:w="1628" w:type="dxa"/>
            <w:noWrap w:val="0"/>
            <w:vAlign w:val="center"/>
          </w:tcPr>
          <w:p w14:paraId="7670A893">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VOCs检测报告</w:t>
            </w:r>
          </w:p>
        </w:tc>
        <w:tc>
          <w:tcPr>
            <w:tcW w:w="1004" w:type="dxa"/>
            <w:vMerge w:val="continue"/>
            <w:noWrap w:val="0"/>
            <w:vAlign w:val="center"/>
          </w:tcPr>
          <w:p w14:paraId="4942534C">
            <w:pPr>
              <w:widowControl/>
              <w:spacing w:line="240" w:lineRule="exact"/>
              <w:jc w:val="center"/>
              <w:textAlignment w:val="center"/>
              <w:rPr>
                <w:rFonts w:hint="default" w:ascii="Times New Roman" w:hAnsi="Times New Roman" w:eastAsia="宋体" w:cs="Times New Roman"/>
                <w:color w:val="auto"/>
                <w:kern w:val="0"/>
                <w:sz w:val="21"/>
                <w:szCs w:val="21"/>
                <w:lang w:val="en-US" w:eastAsia="zh-CN" w:bidi="ar"/>
              </w:rPr>
            </w:pPr>
          </w:p>
        </w:tc>
      </w:tr>
    </w:tbl>
    <w:p w14:paraId="52EB09D1">
      <w:pPr>
        <w:adjustRightInd w:val="0"/>
        <w:snapToGrid w:val="0"/>
        <w:spacing w:line="360" w:lineRule="auto"/>
        <w:ind w:firstLine="480" w:firstLineChars="200"/>
        <w:rPr>
          <w:color w:val="auto"/>
          <w:sz w:val="24"/>
          <w:szCs w:val="24"/>
        </w:rPr>
      </w:pPr>
      <w:r>
        <w:rPr>
          <w:rFonts w:hint="eastAsia"/>
          <w:color w:val="auto"/>
          <w:sz w:val="24"/>
          <w:szCs w:val="24"/>
        </w:rPr>
        <w:t>本项目所用涂料为水性漆、油性漆涂料，涂料密度按1.2kg/L计，本项目设计年使用水性漆</w:t>
      </w:r>
      <w:r>
        <w:rPr>
          <w:rFonts w:hint="eastAsia"/>
          <w:color w:val="auto"/>
          <w:sz w:val="24"/>
          <w:szCs w:val="24"/>
          <w:lang w:eastAsia="zh-CN"/>
        </w:rPr>
        <w:t>2.05425</w:t>
      </w:r>
      <w:r>
        <w:rPr>
          <w:rFonts w:hint="eastAsia"/>
          <w:color w:val="auto"/>
          <w:sz w:val="24"/>
          <w:szCs w:val="24"/>
        </w:rPr>
        <w:t>t</w:t>
      </w:r>
      <w:r>
        <w:rPr>
          <w:rFonts w:hint="eastAsia"/>
          <w:color w:val="auto"/>
          <w:sz w:val="24"/>
          <w:szCs w:val="24"/>
          <w:lang w:eastAsia="zh-CN"/>
        </w:rPr>
        <w:t>（</w:t>
      </w:r>
      <w:r>
        <w:rPr>
          <w:rFonts w:hint="eastAsia"/>
          <w:color w:val="auto"/>
          <w:sz w:val="24"/>
          <w:szCs w:val="24"/>
          <w:lang w:val="en-US" w:eastAsia="zh-CN"/>
        </w:rPr>
        <w:t>1711.875L</w:t>
      </w:r>
      <w:r>
        <w:rPr>
          <w:rFonts w:hint="eastAsia"/>
          <w:color w:val="auto"/>
          <w:sz w:val="24"/>
          <w:szCs w:val="24"/>
          <w:lang w:eastAsia="zh-CN"/>
        </w:rPr>
        <w:t>）</w:t>
      </w:r>
      <w:r>
        <w:rPr>
          <w:rFonts w:hint="eastAsia"/>
          <w:color w:val="auto"/>
          <w:sz w:val="24"/>
          <w:szCs w:val="24"/>
        </w:rPr>
        <w:t>、油性漆0.1245t/a</w:t>
      </w:r>
      <w:r>
        <w:rPr>
          <w:rFonts w:hint="eastAsia"/>
          <w:color w:val="auto"/>
          <w:sz w:val="24"/>
          <w:szCs w:val="24"/>
          <w:lang w:eastAsia="zh-CN"/>
        </w:rPr>
        <w:t>（</w:t>
      </w:r>
      <w:r>
        <w:rPr>
          <w:rFonts w:hint="eastAsia"/>
          <w:color w:val="auto"/>
          <w:sz w:val="24"/>
          <w:szCs w:val="24"/>
          <w:lang w:val="en-US" w:eastAsia="zh-CN"/>
        </w:rPr>
        <w:t>103.75L</w:t>
      </w:r>
      <w:r>
        <w:rPr>
          <w:rFonts w:hint="eastAsia"/>
          <w:color w:val="auto"/>
          <w:sz w:val="24"/>
          <w:szCs w:val="24"/>
          <w:lang w:eastAsia="zh-CN"/>
        </w:rPr>
        <w:t>）</w:t>
      </w:r>
      <w:r>
        <w:rPr>
          <w:rFonts w:hint="eastAsia"/>
          <w:color w:val="auto"/>
          <w:sz w:val="24"/>
          <w:szCs w:val="24"/>
        </w:rPr>
        <w:t>，根据水性漆</w:t>
      </w:r>
      <w:r>
        <w:rPr>
          <w:rFonts w:hint="eastAsia"/>
          <w:color w:val="auto"/>
          <w:sz w:val="24"/>
          <w:szCs w:val="24"/>
          <w:lang w:val="en-US" w:eastAsia="zh-CN"/>
        </w:rPr>
        <w:t>和油性漆</w:t>
      </w:r>
      <w:r>
        <w:rPr>
          <w:rFonts w:hint="eastAsia"/>
          <w:color w:val="auto"/>
          <w:sz w:val="24"/>
          <w:szCs w:val="24"/>
        </w:rPr>
        <w:t>的VOCs检测报告，经计算水性漆使用过程总挥发性有机物（TVOC）污染物产生量约为0.1</w:t>
      </w:r>
      <w:r>
        <w:rPr>
          <w:rFonts w:hint="eastAsia"/>
          <w:color w:val="auto"/>
          <w:sz w:val="24"/>
          <w:szCs w:val="24"/>
          <w:lang w:val="en-US" w:eastAsia="zh-CN"/>
        </w:rPr>
        <w:t>78</w:t>
      </w:r>
      <w:r>
        <w:rPr>
          <w:rFonts w:hint="eastAsia"/>
          <w:color w:val="auto"/>
          <w:sz w:val="24"/>
          <w:szCs w:val="24"/>
        </w:rPr>
        <w:t>t/a；油性漆使用过程总挥发性有机物（TVOC）污染物产生量约为0.</w:t>
      </w:r>
      <w:r>
        <w:rPr>
          <w:rFonts w:hint="eastAsia"/>
          <w:color w:val="auto"/>
          <w:sz w:val="24"/>
          <w:szCs w:val="24"/>
          <w:lang w:val="en-US" w:eastAsia="zh-CN"/>
        </w:rPr>
        <w:t>017</w:t>
      </w:r>
      <w:r>
        <w:rPr>
          <w:rFonts w:hint="eastAsia"/>
          <w:color w:val="auto"/>
          <w:sz w:val="24"/>
          <w:szCs w:val="24"/>
        </w:rPr>
        <w:t>t/a；</w:t>
      </w:r>
      <w:r>
        <w:rPr>
          <w:rFonts w:hint="eastAsia"/>
          <w:color w:val="auto"/>
          <w:sz w:val="24"/>
          <w:szCs w:val="24"/>
          <w:lang w:val="en-US" w:eastAsia="zh-CN"/>
        </w:rPr>
        <w:t>合计总挥发性有机物（TVOC）污染物产生量为0.195t/a。本项目喷涂</w:t>
      </w:r>
      <w:r>
        <w:rPr>
          <w:rFonts w:hint="eastAsia"/>
          <w:color w:val="auto"/>
          <w:sz w:val="24"/>
          <w:szCs w:val="24"/>
        </w:rPr>
        <w:t>废气</w:t>
      </w:r>
      <w:r>
        <w:rPr>
          <w:rFonts w:hint="eastAsia"/>
          <w:color w:val="auto"/>
          <w:sz w:val="24"/>
          <w:szCs w:val="24"/>
          <w:lang w:val="en-US" w:eastAsia="zh-CN"/>
        </w:rPr>
        <w:t>均在一体化自动喷涂设备内产生，废气</w:t>
      </w:r>
      <w:r>
        <w:rPr>
          <w:rFonts w:hint="eastAsia"/>
          <w:color w:val="auto"/>
          <w:sz w:val="24"/>
          <w:szCs w:val="24"/>
        </w:rPr>
        <w:t>经过</w:t>
      </w:r>
      <w:r>
        <w:rPr>
          <w:rFonts w:hint="eastAsia"/>
          <w:color w:val="auto"/>
          <w:sz w:val="24"/>
          <w:szCs w:val="24"/>
          <w:lang w:val="en-US" w:eastAsia="zh-CN"/>
        </w:rPr>
        <w:t>设备自带的</w:t>
      </w:r>
      <w:r>
        <w:rPr>
          <w:rFonts w:hint="eastAsia"/>
          <w:color w:val="auto"/>
          <w:sz w:val="24"/>
          <w:szCs w:val="24"/>
        </w:rPr>
        <w:t>水帘除漆装置后，雾化的漆转化为漆渣，极少部分有机废气形成浮渣，捞出后作为危险固废处置，其余有机废气沿水帘后方的引风管收集后经</w:t>
      </w:r>
      <w:r>
        <w:rPr>
          <w:rFonts w:hint="eastAsia"/>
          <w:color w:val="auto"/>
          <w:sz w:val="24"/>
          <w:szCs w:val="24"/>
          <w:lang w:eastAsia="zh-CN"/>
        </w:rPr>
        <w:t>“活性炭吸附+脱附催化燃烧”</w:t>
      </w:r>
      <w:r>
        <w:rPr>
          <w:rFonts w:hint="eastAsia"/>
          <w:color w:val="auto"/>
          <w:sz w:val="24"/>
          <w:szCs w:val="24"/>
        </w:rPr>
        <w:t>装置处理后引至排气筒高空排放。该项目</w:t>
      </w:r>
      <w:r>
        <w:rPr>
          <w:rFonts w:hint="eastAsia"/>
          <w:color w:val="auto"/>
          <w:sz w:val="24"/>
          <w:szCs w:val="24"/>
          <w:lang w:val="en-US" w:eastAsia="zh-CN"/>
        </w:rPr>
        <w:t>喷涂</w:t>
      </w:r>
      <w:r>
        <w:rPr>
          <w:rFonts w:hint="eastAsia"/>
          <w:color w:val="auto"/>
          <w:sz w:val="24"/>
          <w:szCs w:val="24"/>
        </w:rPr>
        <w:t>采用</w:t>
      </w:r>
      <w:r>
        <w:rPr>
          <w:rFonts w:hint="eastAsia"/>
          <w:color w:val="auto"/>
          <w:sz w:val="24"/>
          <w:szCs w:val="24"/>
          <w:lang w:val="en-US" w:eastAsia="zh-CN"/>
        </w:rPr>
        <w:t>一体化全自动喷涂设备，设备</w:t>
      </w:r>
      <w:r>
        <w:rPr>
          <w:rFonts w:hint="eastAsia"/>
          <w:color w:val="auto"/>
          <w:sz w:val="24"/>
          <w:szCs w:val="24"/>
        </w:rPr>
        <w:t>密闭负压对废气进行收集封闭性较好，集气率以95%，</w:t>
      </w:r>
      <w:r>
        <w:rPr>
          <w:rFonts w:hint="eastAsia"/>
          <w:color w:val="auto"/>
          <w:sz w:val="24"/>
          <w:szCs w:val="24"/>
          <w:lang w:eastAsia="zh-CN"/>
        </w:rPr>
        <w:t>“活性炭吸附+脱附催化燃烧”</w:t>
      </w:r>
      <w:r>
        <w:rPr>
          <w:rFonts w:hint="eastAsia"/>
          <w:color w:val="auto"/>
          <w:sz w:val="24"/>
          <w:szCs w:val="24"/>
          <w:lang w:val="en-US" w:eastAsia="zh-CN"/>
        </w:rPr>
        <w:t>装置去除</w:t>
      </w:r>
      <w:r>
        <w:rPr>
          <w:rFonts w:hint="eastAsia"/>
          <w:color w:val="auto"/>
          <w:sz w:val="24"/>
          <w:szCs w:val="24"/>
        </w:rPr>
        <w:t>效率</w:t>
      </w:r>
      <w:r>
        <w:rPr>
          <w:rFonts w:hint="eastAsia"/>
          <w:color w:val="auto"/>
          <w:sz w:val="24"/>
          <w:szCs w:val="24"/>
          <w:lang w:val="en-US" w:eastAsia="zh-CN"/>
        </w:rPr>
        <w:t>按80</w:t>
      </w:r>
      <w:r>
        <w:rPr>
          <w:rFonts w:hint="eastAsia"/>
          <w:color w:val="auto"/>
          <w:sz w:val="24"/>
          <w:szCs w:val="24"/>
        </w:rPr>
        <w:t>%计；本项目使用的全自动喷涂设备采用整体密闭负压收集方式对喷漆废气进行收集，根据企业提供的工程设计方案，配套风机风量为5</w:t>
      </w:r>
      <w:r>
        <w:rPr>
          <w:rFonts w:hint="eastAsia"/>
          <w:color w:val="auto"/>
          <w:sz w:val="24"/>
          <w:szCs w:val="24"/>
          <w:lang w:val="en-US" w:eastAsia="zh-CN"/>
        </w:rPr>
        <w:t>0</w:t>
      </w:r>
      <w:r>
        <w:rPr>
          <w:rFonts w:hint="eastAsia"/>
          <w:color w:val="auto"/>
          <w:sz w:val="24"/>
          <w:szCs w:val="24"/>
        </w:rPr>
        <w:t>00m³/h。喷漆作业以300d计，日作业以4h计(含喷漆、自然干燥)。则总挥发性有机物有组织排放量约为0.0</w:t>
      </w:r>
      <w:r>
        <w:rPr>
          <w:rFonts w:hint="eastAsia"/>
          <w:color w:val="auto"/>
          <w:sz w:val="24"/>
          <w:szCs w:val="24"/>
          <w:lang w:val="en-US" w:eastAsia="zh-CN"/>
        </w:rPr>
        <w:t>37</w:t>
      </w:r>
      <w:r>
        <w:rPr>
          <w:rFonts w:hint="eastAsia"/>
          <w:color w:val="auto"/>
          <w:sz w:val="24"/>
          <w:szCs w:val="24"/>
        </w:rPr>
        <w:t>t/a（即0.0</w:t>
      </w:r>
      <w:r>
        <w:rPr>
          <w:rFonts w:hint="eastAsia"/>
          <w:color w:val="auto"/>
          <w:sz w:val="24"/>
          <w:szCs w:val="24"/>
          <w:lang w:val="en-US" w:eastAsia="zh-CN"/>
        </w:rPr>
        <w:t>31</w:t>
      </w:r>
      <w:r>
        <w:rPr>
          <w:rFonts w:hint="eastAsia"/>
          <w:color w:val="auto"/>
          <w:sz w:val="24"/>
          <w:szCs w:val="24"/>
        </w:rPr>
        <w:t>kg/h），排放浓度为</w:t>
      </w:r>
      <w:r>
        <w:rPr>
          <w:rFonts w:hint="eastAsia"/>
          <w:color w:val="auto"/>
          <w:sz w:val="24"/>
          <w:szCs w:val="24"/>
          <w:lang w:val="en-US" w:eastAsia="zh-CN"/>
        </w:rPr>
        <w:t>6.2</w:t>
      </w:r>
      <w:r>
        <w:rPr>
          <w:rFonts w:hint="eastAsia"/>
          <w:color w:val="auto"/>
          <w:sz w:val="24"/>
          <w:szCs w:val="24"/>
        </w:rPr>
        <w:t>mg/m³；总挥发性有机物的无组织（以非甲烷总烃计）产生量为0.01t/a（即0.0</w:t>
      </w:r>
      <w:r>
        <w:rPr>
          <w:rFonts w:hint="eastAsia"/>
          <w:color w:val="auto"/>
          <w:sz w:val="24"/>
          <w:szCs w:val="24"/>
          <w:lang w:val="en-US" w:eastAsia="zh-CN"/>
        </w:rPr>
        <w:t>08</w:t>
      </w:r>
      <w:r>
        <w:rPr>
          <w:rFonts w:hint="eastAsia"/>
          <w:color w:val="auto"/>
          <w:sz w:val="24"/>
          <w:szCs w:val="24"/>
        </w:rPr>
        <w:t>kg/h），喷漆过程中将有微量恶臭污染物产生，污染因子以“臭气浓度”计，本次评价仅做定性分析</w:t>
      </w:r>
      <w:r>
        <w:rPr>
          <w:color w:val="auto"/>
          <w:sz w:val="24"/>
          <w:szCs w:val="24"/>
        </w:rPr>
        <w:t>。</w:t>
      </w:r>
    </w:p>
    <w:p w14:paraId="4C1870D4">
      <w:pPr>
        <w:adjustRightInd w:val="0"/>
        <w:snapToGrid w:val="0"/>
        <w:spacing w:line="360" w:lineRule="auto"/>
        <w:ind w:firstLine="480" w:firstLineChars="200"/>
        <w:rPr>
          <w:rFonts w:hint="eastAsia"/>
          <w:color w:val="auto"/>
          <w:sz w:val="24"/>
          <w:szCs w:val="24"/>
        </w:rPr>
      </w:pPr>
      <w:r>
        <w:rPr>
          <w:rFonts w:hint="eastAsia"/>
          <w:color w:val="auto"/>
          <w:sz w:val="24"/>
          <w:szCs w:val="24"/>
          <w:lang w:val="en-US" w:eastAsia="zh-CN"/>
        </w:rPr>
        <w:t>喷涂</w:t>
      </w:r>
      <w:r>
        <w:rPr>
          <w:rFonts w:hint="eastAsia"/>
          <w:color w:val="auto"/>
          <w:sz w:val="24"/>
          <w:szCs w:val="24"/>
        </w:rPr>
        <w:t>废气排放情况见下表。</w:t>
      </w:r>
    </w:p>
    <w:p w14:paraId="6292A0AC">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表9</w:t>
      </w:r>
      <w:r>
        <w:rPr>
          <w:rFonts w:hint="eastAsia"/>
          <w:color w:val="auto"/>
          <w:lang w:val="en-US"/>
        </w:rPr>
        <w:t>项目喷涂</w:t>
      </w:r>
      <w:r>
        <w:rPr>
          <w:rFonts w:hint="eastAsia"/>
          <w:color w:val="auto"/>
        </w:rPr>
        <w:t>废气</w:t>
      </w:r>
      <w:r>
        <w:rPr>
          <w:rFonts w:hint="eastAsia"/>
          <w:color w:val="auto"/>
          <w:lang w:val="en-US"/>
        </w:rPr>
        <w:t>产排</w:t>
      </w:r>
      <w:r>
        <w:rPr>
          <w:rFonts w:hint="eastAsia"/>
          <w:color w:val="auto"/>
        </w:rPr>
        <w:t>情况</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036"/>
        <w:gridCol w:w="1036"/>
        <w:gridCol w:w="835"/>
        <w:gridCol w:w="1036"/>
        <w:gridCol w:w="622"/>
        <w:gridCol w:w="686"/>
        <w:gridCol w:w="770"/>
        <w:gridCol w:w="1037"/>
        <w:gridCol w:w="1037"/>
      </w:tblGrid>
      <w:tr w14:paraId="27B1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 w:type="pct"/>
            <w:vMerge w:val="restart"/>
            <w:vAlign w:val="center"/>
          </w:tcPr>
          <w:p w14:paraId="2E2AC98A">
            <w:pPr>
              <w:adjustRightInd w:val="0"/>
              <w:snapToGrid w:val="0"/>
              <w:jc w:val="center"/>
              <w:rPr>
                <w:color w:val="auto"/>
                <w:sz w:val="18"/>
                <w:szCs w:val="18"/>
              </w:rPr>
            </w:pPr>
            <w:r>
              <w:rPr>
                <w:rFonts w:hint="eastAsia"/>
                <w:color w:val="auto"/>
                <w:sz w:val="18"/>
                <w:szCs w:val="18"/>
              </w:rPr>
              <w:t>废气种类</w:t>
            </w:r>
          </w:p>
        </w:tc>
        <w:tc>
          <w:tcPr>
            <w:tcW w:w="533" w:type="pct"/>
            <w:vMerge w:val="restart"/>
            <w:vAlign w:val="center"/>
          </w:tcPr>
          <w:p w14:paraId="3A8291EB">
            <w:pPr>
              <w:adjustRightInd w:val="0"/>
              <w:snapToGrid w:val="0"/>
              <w:jc w:val="center"/>
              <w:rPr>
                <w:color w:val="auto"/>
                <w:sz w:val="18"/>
                <w:szCs w:val="18"/>
              </w:rPr>
            </w:pPr>
            <w:r>
              <w:rPr>
                <w:rFonts w:hint="eastAsia"/>
                <w:color w:val="auto"/>
                <w:sz w:val="18"/>
                <w:szCs w:val="18"/>
              </w:rPr>
              <w:t>排放方式</w:t>
            </w:r>
          </w:p>
        </w:tc>
        <w:tc>
          <w:tcPr>
            <w:tcW w:w="533" w:type="pct"/>
            <w:vAlign w:val="center"/>
          </w:tcPr>
          <w:p w14:paraId="3E24B598">
            <w:pPr>
              <w:adjustRightInd w:val="0"/>
              <w:snapToGrid w:val="0"/>
              <w:jc w:val="center"/>
              <w:rPr>
                <w:color w:val="auto"/>
                <w:sz w:val="18"/>
                <w:szCs w:val="18"/>
              </w:rPr>
            </w:pPr>
            <w:r>
              <w:rPr>
                <w:rFonts w:hint="eastAsia"/>
                <w:color w:val="auto"/>
                <w:sz w:val="18"/>
                <w:szCs w:val="18"/>
                <w:lang w:val="en-US" w:eastAsia="zh-CN"/>
              </w:rPr>
              <w:t>收集</w:t>
            </w:r>
            <w:r>
              <w:rPr>
                <w:rFonts w:hint="eastAsia"/>
                <w:color w:val="auto"/>
                <w:sz w:val="18"/>
                <w:szCs w:val="18"/>
              </w:rPr>
              <w:t>效率</w:t>
            </w:r>
          </w:p>
        </w:tc>
        <w:tc>
          <w:tcPr>
            <w:tcW w:w="430" w:type="pct"/>
            <w:shd w:val="clear" w:color="auto" w:fill="auto"/>
            <w:vAlign w:val="center"/>
          </w:tcPr>
          <w:p w14:paraId="21575E2A">
            <w:pPr>
              <w:adjustRightInd w:val="0"/>
              <w:snapToGrid w:val="0"/>
              <w:jc w:val="center"/>
              <w:rPr>
                <w:color w:val="auto"/>
                <w:sz w:val="18"/>
                <w:szCs w:val="18"/>
              </w:rPr>
            </w:pPr>
            <w:r>
              <w:rPr>
                <w:rFonts w:hint="eastAsia"/>
                <w:color w:val="auto"/>
                <w:sz w:val="18"/>
                <w:szCs w:val="18"/>
              </w:rPr>
              <w:t>产生量</w:t>
            </w:r>
          </w:p>
        </w:tc>
        <w:tc>
          <w:tcPr>
            <w:tcW w:w="533" w:type="pct"/>
            <w:shd w:val="clear" w:color="auto" w:fill="auto"/>
            <w:vAlign w:val="center"/>
          </w:tcPr>
          <w:p w14:paraId="2FC431D9">
            <w:pPr>
              <w:adjustRightInd w:val="0"/>
              <w:snapToGrid w:val="0"/>
              <w:jc w:val="center"/>
              <w:rPr>
                <w:color w:val="auto"/>
                <w:sz w:val="18"/>
                <w:szCs w:val="18"/>
              </w:rPr>
            </w:pPr>
            <w:r>
              <w:rPr>
                <w:rFonts w:hint="eastAsia"/>
                <w:color w:val="auto"/>
                <w:sz w:val="18"/>
                <w:szCs w:val="18"/>
              </w:rPr>
              <w:t>去除效率</w:t>
            </w:r>
          </w:p>
        </w:tc>
        <w:tc>
          <w:tcPr>
            <w:tcW w:w="1051" w:type="pct"/>
            <w:gridSpan w:val="3"/>
            <w:vAlign w:val="center"/>
          </w:tcPr>
          <w:p w14:paraId="14B91B57">
            <w:pPr>
              <w:adjustRightInd w:val="0"/>
              <w:snapToGrid w:val="0"/>
              <w:jc w:val="center"/>
              <w:rPr>
                <w:color w:val="auto"/>
                <w:sz w:val="18"/>
                <w:szCs w:val="18"/>
              </w:rPr>
            </w:pPr>
            <w:r>
              <w:rPr>
                <w:rFonts w:hint="eastAsia"/>
                <w:color w:val="auto"/>
                <w:sz w:val="18"/>
                <w:szCs w:val="18"/>
              </w:rPr>
              <w:t>排放量</w:t>
            </w:r>
          </w:p>
        </w:tc>
        <w:tc>
          <w:tcPr>
            <w:tcW w:w="533" w:type="pct"/>
            <w:vAlign w:val="center"/>
          </w:tcPr>
          <w:p w14:paraId="1C5A935A">
            <w:pPr>
              <w:adjustRightInd w:val="0"/>
              <w:snapToGrid w:val="0"/>
              <w:jc w:val="center"/>
              <w:rPr>
                <w:color w:val="auto"/>
                <w:sz w:val="18"/>
                <w:szCs w:val="18"/>
              </w:rPr>
            </w:pPr>
            <w:r>
              <w:rPr>
                <w:rFonts w:hint="eastAsia"/>
                <w:color w:val="auto"/>
                <w:sz w:val="18"/>
                <w:szCs w:val="18"/>
              </w:rPr>
              <w:t>设计风量</w:t>
            </w:r>
          </w:p>
        </w:tc>
        <w:tc>
          <w:tcPr>
            <w:tcW w:w="533" w:type="pct"/>
            <w:vAlign w:val="center"/>
          </w:tcPr>
          <w:p w14:paraId="59D3A6C1">
            <w:pPr>
              <w:adjustRightInd w:val="0"/>
              <w:snapToGrid w:val="0"/>
              <w:jc w:val="center"/>
              <w:rPr>
                <w:color w:val="auto"/>
                <w:sz w:val="18"/>
                <w:szCs w:val="18"/>
              </w:rPr>
            </w:pPr>
            <w:r>
              <w:rPr>
                <w:rFonts w:hint="eastAsia"/>
                <w:color w:val="auto"/>
                <w:sz w:val="18"/>
                <w:szCs w:val="18"/>
              </w:rPr>
              <w:t>排放时间</w:t>
            </w:r>
          </w:p>
        </w:tc>
      </w:tr>
      <w:tr w14:paraId="76D5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Merge w:val="continue"/>
            <w:vAlign w:val="center"/>
          </w:tcPr>
          <w:p w14:paraId="529BC3AE">
            <w:pPr>
              <w:adjustRightInd w:val="0"/>
              <w:snapToGrid w:val="0"/>
              <w:jc w:val="center"/>
              <w:rPr>
                <w:color w:val="auto"/>
                <w:sz w:val="18"/>
                <w:szCs w:val="18"/>
              </w:rPr>
            </w:pPr>
          </w:p>
        </w:tc>
        <w:tc>
          <w:tcPr>
            <w:tcW w:w="533" w:type="pct"/>
            <w:vMerge w:val="continue"/>
            <w:vAlign w:val="center"/>
          </w:tcPr>
          <w:p w14:paraId="3CAEB9A3">
            <w:pPr>
              <w:adjustRightInd w:val="0"/>
              <w:snapToGrid w:val="0"/>
              <w:jc w:val="center"/>
              <w:rPr>
                <w:color w:val="auto"/>
                <w:sz w:val="18"/>
                <w:szCs w:val="18"/>
              </w:rPr>
            </w:pPr>
          </w:p>
        </w:tc>
        <w:tc>
          <w:tcPr>
            <w:tcW w:w="533" w:type="pct"/>
            <w:vAlign w:val="center"/>
          </w:tcPr>
          <w:p w14:paraId="16146A60">
            <w:pPr>
              <w:adjustRightInd w:val="0"/>
              <w:snapToGrid w:val="0"/>
              <w:jc w:val="center"/>
              <w:rPr>
                <w:color w:val="auto"/>
                <w:sz w:val="18"/>
                <w:szCs w:val="18"/>
              </w:rPr>
            </w:pPr>
            <w:r>
              <w:rPr>
                <w:rFonts w:hint="eastAsia"/>
                <w:color w:val="auto"/>
                <w:sz w:val="18"/>
                <w:szCs w:val="18"/>
              </w:rPr>
              <w:t>%</w:t>
            </w:r>
          </w:p>
        </w:tc>
        <w:tc>
          <w:tcPr>
            <w:tcW w:w="430" w:type="pct"/>
            <w:shd w:val="clear" w:color="auto" w:fill="auto"/>
            <w:vAlign w:val="center"/>
          </w:tcPr>
          <w:p w14:paraId="28419548">
            <w:pPr>
              <w:adjustRightInd w:val="0"/>
              <w:snapToGrid w:val="0"/>
              <w:jc w:val="center"/>
              <w:rPr>
                <w:color w:val="auto"/>
                <w:sz w:val="18"/>
                <w:szCs w:val="18"/>
              </w:rPr>
            </w:pPr>
            <w:r>
              <w:rPr>
                <w:rFonts w:hint="eastAsia"/>
                <w:color w:val="auto"/>
                <w:sz w:val="18"/>
                <w:szCs w:val="18"/>
              </w:rPr>
              <w:t>t/a</w:t>
            </w:r>
          </w:p>
        </w:tc>
        <w:tc>
          <w:tcPr>
            <w:tcW w:w="533" w:type="pct"/>
            <w:shd w:val="clear" w:color="auto" w:fill="auto"/>
            <w:vAlign w:val="center"/>
          </w:tcPr>
          <w:p w14:paraId="7708ABAB">
            <w:pPr>
              <w:adjustRightInd w:val="0"/>
              <w:snapToGrid w:val="0"/>
              <w:jc w:val="center"/>
              <w:rPr>
                <w:color w:val="auto"/>
                <w:sz w:val="18"/>
                <w:szCs w:val="18"/>
              </w:rPr>
            </w:pPr>
            <w:r>
              <w:rPr>
                <w:rFonts w:hint="eastAsia"/>
                <w:color w:val="auto"/>
                <w:sz w:val="18"/>
                <w:szCs w:val="18"/>
              </w:rPr>
              <w:t>%</w:t>
            </w:r>
          </w:p>
        </w:tc>
        <w:tc>
          <w:tcPr>
            <w:tcW w:w="302" w:type="pct"/>
            <w:vAlign w:val="center"/>
          </w:tcPr>
          <w:p w14:paraId="22AEA806">
            <w:pPr>
              <w:adjustRightInd w:val="0"/>
              <w:snapToGrid w:val="0"/>
              <w:jc w:val="center"/>
              <w:rPr>
                <w:color w:val="auto"/>
                <w:sz w:val="18"/>
                <w:szCs w:val="18"/>
              </w:rPr>
            </w:pPr>
            <w:r>
              <w:rPr>
                <w:rFonts w:hint="eastAsia"/>
                <w:color w:val="auto"/>
                <w:sz w:val="18"/>
                <w:szCs w:val="18"/>
              </w:rPr>
              <w:t>t/a</w:t>
            </w:r>
          </w:p>
        </w:tc>
        <w:tc>
          <w:tcPr>
            <w:tcW w:w="353" w:type="pct"/>
            <w:vAlign w:val="center"/>
          </w:tcPr>
          <w:p w14:paraId="2170AD0C">
            <w:pPr>
              <w:adjustRightInd w:val="0"/>
              <w:snapToGrid w:val="0"/>
              <w:jc w:val="center"/>
              <w:rPr>
                <w:color w:val="auto"/>
                <w:sz w:val="18"/>
                <w:szCs w:val="18"/>
              </w:rPr>
            </w:pPr>
            <w:r>
              <w:rPr>
                <w:rFonts w:hint="eastAsia"/>
                <w:color w:val="auto"/>
                <w:sz w:val="18"/>
                <w:szCs w:val="18"/>
              </w:rPr>
              <w:t>kg/h</w:t>
            </w:r>
          </w:p>
        </w:tc>
        <w:tc>
          <w:tcPr>
            <w:tcW w:w="395" w:type="pct"/>
            <w:vAlign w:val="center"/>
          </w:tcPr>
          <w:p w14:paraId="7AAB680B">
            <w:pPr>
              <w:adjustRightInd w:val="0"/>
              <w:snapToGrid w:val="0"/>
              <w:jc w:val="center"/>
              <w:rPr>
                <w:color w:val="auto"/>
                <w:sz w:val="18"/>
                <w:szCs w:val="18"/>
              </w:rPr>
            </w:pPr>
            <w:r>
              <w:rPr>
                <w:rFonts w:hint="eastAsia"/>
                <w:color w:val="auto"/>
                <w:sz w:val="18"/>
                <w:szCs w:val="18"/>
              </w:rPr>
              <w:t>mg/m</w:t>
            </w:r>
            <w:r>
              <w:rPr>
                <w:rFonts w:hint="eastAsia"/>
                <w:color w:val="auto"/>
                <w:sz w:val="18"/>
                <w:szCs w:val="18"/>
                <w:vertAlign w:val="superscript"/>
              </w:rPr>
              <w:t>3</w:t>
            </w:r>
          </w:p>
        </w:tc>
        <w:tc>
          <w:tcPr>
            <w:tcW w:w="533" w:type="pct"/>
            <w:shd w:val="clear" w:color="auto" w:fill="auto"/>
            <w:vAlign w:val="center"/>
          </w:tcPr>
          <w:p w14:paraId="1CC3612A">
            <w:pPr>
              <w:adjustRightInd w:val="0"/>
              <w:snapToGrid w:val="0"/>
              <w:jc w:val="center"/>
              <w:rPr>
                <w:color w:val="auto"/>
                <w:sz w:val="18"/>
                <w:szCs w:val="18"/>
              </w:rPr>
            </w:pPr>
            <w:r>
              <w:rPr>
                <w:rFonts w:hint="eastAsia"/>
                <w:color w:val="auto"/>
                <w:sz w:val="18"/>
                <w:szCs w:val="18"/>
              </w:rPr>
              <w:t>m</w:t>
            </w:r>
            <w:r>
              <w:rPr>
                <w:rFonts w:hint="eastAsia"/>
                <w:color w:val="auto"/>
                <w:sz w:val="18"/>
                <w:szCs w:val="18"/>
                <w:vertAlign w:val="superscript"/>
              </w:rPr>
              <w:t>3</w:t>
            </w:r>
            <w:r>
              <w:rPr>
                <w:rFonts w:hint="eastAsia"/>
                <w:color w:val="auto"/>
                <w:sz w:val="18"/>
                <w:szCs w:val="18"/>
              </w:rPr>
              <w:t>/h</w:t>
            </w:r>
          </w:p>
        </w:tc>
        <w:tc>
          <w:tcPr>
            <w:tcW w:w="533" w:type="pct"/>
            <w:shd w:val="clear" w:color="auto" w:fill="auto"/>
            <w:vAlign w:val="center"/>
          </w:tcPr>
          <w:p w14:paraId="0E7342C8">
            <w:pPr>
              <w:adjustRightInd w:val="0"/>
              <w:snapToGrid w:val="0"/>
              <w:jc w:val="center"/>
              <w:rPr>
                <w:color w:val="auto"/>
                <w:sz w:val="18"/>
                <w:szCs w:val="18"/>
              </w:rPr>
            </w:pPr>
            <w:r>
              <w:rPr>
                <w:rFonts w:hint="eastAsia"/>
                <w:color w:val="auto"/>
                <w:sz w:val="18"/>
                <w:szCs w:val="18"/>
              </w:rPr>
              <w:t>h</w:t>
            </w:r>
          </w:p>
        </w:tc>
      </w:tr>
      <w:tr w14:paraId="37B7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7C872134">
            <w:pPr>
              <w:adjustRightInd w:val="0"/>
              <w:snapToGrid w:val="0"/>
              <w:jc w:val="center"/>
              <w:rPr>
                <w:color w:val="auto"/>
                <w:sz w:val="18"/>
                <w:szCs w:val="18"/>
              </w:rPr>
            </w:pPr>
            <w:r>
              <w:rPr>
                <w:rFonts w:hint="eastAsia"/>
                <w:color w:val="auto"/>
                <w:sz w:val="18"/>
                <w:szCs w:val="18"/>
              </w:rPr>
              <w:t>TVOC（DA001）</w:t>
            </w:r>
          </w:p>
        </w:tc>
        <w:tc>
          <w:tcPr>
            <w:tcW w:w="533" w:type="pct"/>
            <w:vAlign w:val="center"/>
          </w:tcPr>
          <w:p w14:paraId="6711B968">
            <w:pPr>
              <w:adjustRightInd w:val="0"/>
              <w:snapToGrid w:val="0"/>
              <w:jc w:val="center"/>
              <w:rPr>
                <w:color w:val="auto"/>
                <w:sz w:val="18"/>
                <w:szCs w:val="18"/>
              </w:rPr>
            </w:pPr>
            <w:r>
              <w:rPr>
                <w:rFonts w:hint="eastAsia"/>
                <w:color w:val="auto"/>
                <w:sz w:val="18"/>
                <w:szCs w:val="18"/>
              </w:rPr>
              <w:t>有组织</w:t>
            </w:r>
          </w:p>
        </w:tc>
        <w:tc>
          <w:tcPr>
            <w:tcW w:w="533" w:type="pct"/>
            <w:vMerge w:val="restart"/>
            <w:vAlign w:val="center"/>
          </w:tcPr>
          <w:p w14:paraId="2E02ABD1">
            <w:pPr>
              <w:adjustRightInd w:val="0"/>
              <w:snapToGrid w:val="0"/>
              <w:jc w:val="center"/>
              <w:rPr>
                <w:color w:val="auto"/>
                <w:sz w:val="18"/>
                <w:szCs w:val="18"/>
              </w:rPr>
            </w:pPr>
            <w:r>
              <w:rPr>
                <w:rFonts w:hint="eastAsia"/>
                <w:color w:val="auto"/>
                <w:sz w:val="18"/>
                <w:szCs w:val="18"/>
              </w:rPr>
              <w:t>95</w:t>
            </w:r>
          </w:p>
        </w:tc>
        <w:tc>
          <w:tcPr>
            <w:tcW w:w="430" w:type="pct"/>
            <w:shd w:val="clear" w:color="auto" w:fill="auto"/>
            <w:vAlign w:val="center"/>
          </w:tcPr>
          <w:p w14:paraId="37862D05">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0.185</w:t>
            </w:r>
          </w:p>
        </w:tc>
        <w:tc>
          <w:tcPr>
            <w:tcW w:w="533" w:type="pct"/>
            <w:shd w:val="clear" w:color="auto" w:fill="auto"/>
            <w:vAlign w:val="center"/>
          </w:tcPr>
          <w:p w14:paraId="3179E638">
            <w:pPr>
              <w:adjustRightInd w:val="0"/>
              <w:snapToGrid w:val="0"/>
              <w:jc w:val="center"/>
              <w:rPr>
                <w:rFonts w:hint="eastAsia" w:eastAsia="宋体"/>
                <w:color w:val="auto"/>
                <w:sz w:val="18"/>
                <w:szCs w:val="18"/>
                <w:lang w:val="en-US" w:eastAsia="zh-CN"/>
              </w:rPr>
            </w:pPr>
            <w:r>
              <w:rPr>
                <w:rFonts w:hint="eastAsia"/>
                <w:color w:val="auto"/>
                <w:sz w:val="18"/>
                <w:szCs w:val="18"/>
              </w:rPr>
              <w:t>8</w:t>
            </w:r>
            <w:r>
              <w:rPr>
                <w:rFonts w:hint="eastAsia"/>
                <w:color w:val="auto"/>
                <w:sz w:val="18"/>
                <w:szCs w:val="18"/>
                <w:lang w:val="en-US" w:eastAsia="zh-CN"/>
              </w:rPr>
              <w:t>0</w:t>
            </w:r>
          </w:p>
        </w:tc>
        <w:tc>
          <w:tcPr>
            <w:tcW w:w="302" w:type="pct"/>
            <w:vAlign w:val="center"/>
          </w:tcPr>
          <w:p w14:paraId="2C81BE2C">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0.037</w:t>
            </w:r>
          </w:p>
        </w:tc>
        <w:tc>
          <w:tcPr>
            <w:tcW w:w="353" w:type="pct"/>
            <w:vAlign w:val="center"/>
          </w:tcPr>
          <w:p w14:paraId="086970EF">
            <w:pPr>
              <w:adjustRightInd w:val="0"/>
              <w:snapToGrid w:val="0"/>
              <w:jc w:val="center"/>
              <w:rPr>
                <w:rFonts w:hint="default" w:eastAsia="宋体"/>
                <w:color w:val="auto"/>
                <w:sz w:val="18"/>
                <w:szCs w:val="18"/>
                <w:lang w:val="en-US" w:eastAsia="zh-CN"/>
              </w:rPr>
            </w:pPr>
            <w:r>
              <w:rPr>
                <w:rFonts w:hint="eastAsia"/>
                <w:color w:val="auto"/>
                <w:sz w:val="18"/>
                <w:szCs w:val="18"/>
              </w:rPr>
              <w:t>0.</w:t>
            </w:r>
            <w:r>
              <w:rPr>
                <w:rFonts w:hint="eastAsia"/>
                <w:color w:val="auto"/>
                <w:sz w:val="18"/>
                <w:szCs w:val="18"/>
                <w:lang w:val="en-US" w:eastAsia="zh-CN"/>
              </w:rPr>
              <w:t>154</w:t>
            </w:r>
          </w:p>
        </w:tc>
        <w:tc>
          <w:tcPr>
            <w:tcW w:w="395" w:type="pct"/>
            <w:vAlign w:val="center"/>
          </w:tcPr>
          <w:p w14:paraId="501E3739">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6.2</w:t>
            </w:r>
          </w:p>
        </w:tc>
        <w:tc>
          <w:tcPr>
            <w:tcW w:w="533" w:type="pct"/>
            <w:vAlign w:val="center"/>
          </w:tcPr>
          <w:p w14:paraId="32395A9A">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5000</w:t>
            </w:r>
          </w:p>
        </w:tc>
        <w:tc>
          <w:tcPr>
            <w:tcW w:w="533" w:type="pct"/>
            <w:vAlign w:val="center"/>
          </w:tcPr>
          <w:p w14:paraId="5D559811">
            <w:pPr>
              <w:adjustRightInd w:val="0"/>
              <w:snapToGrid w:val="0"/>
              <w:jc w:val="center"/>
              <w:rPr>
                <w:color w:val="auto"/>
                <w:sz w:val="18"/>
                <w:szCs w:val="18"/>
              </w:rPr>
            </w:pPr>
            <w:r>
              <w:rPr>
                <w:rFonts w:hint="eastAsia"/>
                <w:color w:val="auto"/>
                <w:sz w:val="18"/>
                <w:szCs w:val="18"/>
              </w:rPr>
              <w:t>1200</w:t>
            </w:r>
          </w:p>
        </w:tc>
      </w:tr>
      <w:tr w14:paraId="1B8B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1AA8CBF4">
            <w:pPr>
              <w:adjustRightInd w:val="0"/>
              <w:snapToGrid w:val="0"/>
              <w:jc w:val="center"/>
              <w:rPr>
                <w:color w:val="auto"/>
                <w:sz w:val="18"/>
                <w:szCs w:val="18"/>
              </w:rPr>
            </w:pPr>
            <w:r>
              <w:rPr>
                <w:rFonts w:hint="eastAsia"/>
                <w:color w:val="auto"/>
                <w:sz w:val="18"/>
                <w:szCs w:val="18"/>
              </w:rPr>
              <w:t>NMHC</w:t>
            </w:r>
          </w:p>
        </w:tc>
        <w:tc>
          <w:tcPr>
            <w:tcW w:w="533" w:type="pct"/>
            <w:vAlign w:val="center"/>
          </w:tcPr>
          <w:p w14:paraId="58A51DA4">
            <w:pPr>
              <w:adjustRightInd w:val="0"/>
              <w:snapToGrid w:val="0"/>
              <w:jc w:val="center"/>
              <w:rPr>
                <w:color w:val="auto"/>
                <w:sz w:val="18"/>
                <w:szCs w:val="18"/>
              </w:rPr>
            </w:pPr>
            <w:r>
              <w:rPr>
                <w:rFonts w:hint="eastAsia"/>
                <w:color w:val="auto"/>
                <w:sz w:val="18"/>
                <w:szCs w:val="18"/>
              </w:rPr>
              <w:t>无组织</w:t>
            </w:r>
          </w:p>
        </w:tc>
        <w:tc>
          <w:tcPr>
            <w:tcW w:w="533" w:type="pct"/>
            <w:vMerge w:val="continue"/>
            <w:vAlign w:val="center"/>
          </w:tcPr>
          <w:p w14:paraId="516EF9CA">
            <w:pPr>
              <w:adjustRightInd w:val="0"/>
              <w:snapToGrid w:val="0"/>
              <w:jc w:val="center"/>
              <w:rPr>
                <w:color w:val="auto"/>
                <w:sz w:val="18"/>
                <w:szCs w:val="18"/>
              </w:rPr>
            </w:pPr>
          </w:p>
        </w:tc>
        <w:tc>
          <w:tcPr>
            <w:tcW w:w="430" w:type="pct"/>
            <w:vAlign w:val="center"/>
          </w:tcPr>
          <w:p w14:paraId="297192BA">
            <w:pPr>
              <w:adjustRightInd w:val="0"/>
              <w:snapToGrid w:val="0"/>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1</w:t>
            </w:r>
          </w:p>
        </w:tc>
        <w:tc>
          <w:tcPr>
            <w:tcW w:w="533" w:type="pct"/>
            <w:shd w:val="clear" w:color="auto" w:fill="auto"/>
            <w:vAlign w:val="center"/>
          </w:tcPr>
          <w:p w14:paraId="0516A2F8">
            <w:pPr>
              <w:adjustRightInd w:val="0"/>
              <w:snapToGrid w:val="0"/>
              <w:jc w:val="center"/>
              <w:rPr>
                <w:color w:val="auto"/>
                <w:sz w:val="18"/>
                <w:szCs w:val="18"/>
              </w:rPr>
            </w:pPr>
            <w:r>
              <w:rPr>
                <w:rFonts w:hint="eastAsia"/>
                <w:color w:val="auto"/>
                <w:sz w:val="18"/>
                <w:szCs w:val="18"/>
              </w:rPr>
              <w:t>/</w:t>
            </w:r>
          </w:p>
        </w:tc>
        <w:tc>
          <w:tcPr>
            <w:tcW w:w="302" w:type="pct"/>
            <w:vAlign w:val="center"/>
          </w:tcPr>
          <w:p w14:paraId="5076BCD0">
            <w:pPr>
              <w:adjustRightInd w:val="0"/>
              <w:snapToGrid w:val="0"/>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1</w:t>
            </w:r>
          </w:p>
        </w:tc>
        <w:tc>
          <w:tcPr>
            <w:tcW w:w="353" w:type="pct"/>
            <w:vAlign w:val="center"/>
          </w:tcPr>
          <w:p w14:paraId="763664A8">
            <w:pPr>
              <w:adjustRightInd w:val="0"/>
              <w:snapToGrid w:val="0"/>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08</w:t>
            </w:r>
          </w:p>
        </w:tc>
        <w:tc>
          <w:tcPr>
            <w:tcW w:w="395" w:type="pct"/>
            <w:vAlign w:val="center"/>
          </w:tcPr>
          <w:p w14:paraId="1FC06CDB">
            <w:pPr>
              <w:adjustRightInd w:val="0"/>
              <w:snapToGrid w:val="0"/>
              <w:jc w:val="center"/>
              <w:rPr>
                <w:color w:val="auto"/>
                <w:sz w:val="18"/>
                <w:szCs w:val="18"/>
              </w:rPr>
            </w:pPr>
            <w:r>
              <w:rPr>
                <w:rFonts w:hint="eastAsia"/>
                <w:color w:val="auto"/>
                <w:sz w:val="18"/>
                <w:szCs w:val="18"/>
              </w:rPr>
              <w:t>/</w:t>
            </w:r>
          </w:p>
        </w:tc>
        <w:tc>
          <w:tcPr>
            <w:tcW w:w="533" w:type="pct"/>
            <w:vAlign w:val="center"/>
          </w:tcPr>
          <w:p w14:paraId="341CCFB9">
            <w:pPr>
              <w:adjustRightInd w:val="0"/>
              <w:snapToGrid w:val="0"/>
              <w:jc w:val="center"/>
              <w:rPr>
                <w:color w:val="auto"/>
                <w:sz w:val="18"/>
                <w:szCs w:val="18"/>
              </w:rPr>
            </w:pPr>
            <w:r>
              <w:rPr>
                <w:rFonts w:hint="eastAsia"/>
                <w:color w:val="auto"/>
                <w:sz w:val="18"/>
                <w:szCs w:val="18"/>
              </w:rPr>
              <w:t>/</w:t>
            </w:r>
          </w:p>
        </w:tc>
        <w:tc>
          <w:tcPr>
            <w:tcW w:w="533" w:type="pct"/>
            <w:vAlign w:val="center"/>
          </w:tcPr>
          <w:p w14:paraId="5059AE98">
            <w:pPr>
              <w:adjustRightInd w:val="0"/>
              <w:snapToGrid w:val="0"/>
              <w:jc w:val="center"/>
              <w:rPr>
                <w:color w:val="auto"/>
                <w:sz w:val="18"/>
                <w:szCs w:val="18"/>
              </w:rPr>
            </w:pPr>
            <w:r>
              <w:rPr>
                <w:rFonts w:hint="eastAsia"/>
                <w:color w:val="auto"/>
                <w:sz w:val="18"/>
                <w:szCs w:val="18"/>
              </w:rPr>
              <w:t>1200</w:t>
            </w:r>
          </w:p>
        </w:tc>
      </w:tr>
      <w:tr w14:paraId="5D9F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3376DA00">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臭气浓度</w:t>
            </w:r>
          </w:p>
        </w:tc>
        <w:tc>
          <w:tcPr>
            <w:tcW w:w="533" w:type="pct"/>
            <w:vAlign w:val="center"/>
          </w:tcPr>
          <w:p w14:paraId="37C4F924">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有组织/无组织</w:t>
            </w:r>
          </w:p>
        </w:tc>
        <w:tc>
          <w:tcPr>
            <w:tcW w:w="533" w:type="pct"/>
            <w:vAlign w:val="center"/>
          </w:tcPr>
          <w:p w14:paraId="3F94FA92">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430" w:type="pct"/>
            <w:vAlign w:val="center"/>
          </w:tcPr>
          <w:p w14:paraId="2352660B">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533" w:type="pct"/>
            <w:shd w:val="clear" w:color="auto" w:fill="auto"/>
            <w:vAlign w:val="center"/>
          </w:tcPr>
          <w:p w14:paraId="3622B86B">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302" w:type="pct"/>
            <w:vAlign w:val="center"/>
          </w:tcPr>
          <w:p w14:paraId="58639C58">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353" w:type="pct"/>
            <w:vAlign w:val="center"/>
          </w:tcPr>
          <w:p w14:paraId="33A8FFC7">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395" w:type="pct"/>
            <w:vAlign w:val="center"/>
          </w:tcPr>
          <w:p w14:paraId="12CEECA9">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533" w:type="pct"/>
            <w:vAlign w:val="center"/>
          </w:tcPr>
          <w:p w14:paraId="0FD01201">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533" w:type="pct"/>
            <w:vAlign w:val="center"/>
          </w:tcPr>
          <w:p w14:paraId="11261BA4">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r>
      <w:tr w14:paraId="51D7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5E647084">
            <w:pPr>
              <w:adjustRightInd w:val="0"/>
              <w:snapToGrid w:val="0"/>
              <w:jc w:val="center"/>
              <w:rPr>
                <w:color w:val="auto"/>
                <w:sz w:val="18"/>
                <w:szCs w:val="18"/>
              </w:rPr>
            </w:pPr>
            <w:r>
              <w:rPr>
                <w:rFonts w:hint="eastAsia"/>
                <w:color w:val="auto"/>
                <w:sz w:val="18"/>
                <w:szCs w:val="18"/>
              </w:rPr>
              <w:t>合计</w:t>
            </w:r>
          </w:p>
        </w:tc>
        <w:tc>
          <w:tcPr>
            <w:tcW w:w="533" w:type="pct"/>
            <w:vAlign w:val="center"/>
          </w:tcPr>
          <w:p w14:paraId="4E3D6A5E">
            <w:pPr>
              <w:adjustRightInd w:val="0"/>
              <w:snapToGrid w:val="0"/>
              <w:jc w:val="center"/>
              <w:rPr>
                <w:color w:val="auto"/>
                <w:sz w:val="18"/>
                <w:szCs w:val="18"/>
              </w:rPr>
            </w:pPr>
            <w:r>
              <w:rPr>
                <w:rFonts w:hint="eastAsia"/>
                <w:color w:val="auto"/>
                <w:sz w:val="18"/>
                <w:szCs w:val="18"/>
              </w:rPr>
              <w:t>/</w:t>
            </w:r>
          </w:p>
        </w:tc>
        <w:tc>
          <w:tcPr>
            <w:tcW w:w="533" w:type="pct"/>
            <w:vAlign w:val="center"/>
          </w:tcPr>
          <w:p w14:paraId="25268000">
            <w:pPr>
              <w:adjustRightInd w:val="0"/>
              <w:snapToGrid w:val="0"/>
              <w:jc w:val="center"/>
              <w:rPr>
                <w:color w:val="auto"/>
                <w:sz w:val="18"/>
                <w:szCs w:val="18"/>
              </w:rPr>
            </w:pPr>
            <w:r>
              <w:rPr>
                <w:rFonts w:hint="eastAsia"/>
                <w:color w:val="auto"/>
                <w:sz w:val="18"/>
                <w:szCs w:val="18"/>
              </w:rPr>
              <w:t>/</w:t>
            </w:r>
          </w:p>
        </w:tc>
        <w:tc>
          <w:tcPr>
            <w:tcW w:w="430" w:type="pct"/>
            <w:vAlign w:val="center"/>
          </w:tcPr>
          <w:p w14:paraId="51095066">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0.195</w:t>
            </w:r>
          </w:p>
        </w:tc>
        <w:tc>
          <w:tcPr>
            <w:tcW w:w="533" w:type="pct"/>
            <w:shd w:val="clear" w:color="auto" w:fill="auto"/>
            <w:vAlign w:val="center"/>
          </w:tcPr>
          <w:p w14:paraId="6D5E2F12">
            <w:pPr>
              <w:adjustRightInd w:val="0"/>
              <w:snapToGrid w:val="0"/>
              <w:jc w:val="center"/>
              <w:rPr>
                <w:color w:val="auto"/>
                <w:sz w:val="18"/>
                <w:szCs w:val="18"/>
              </w:rPr>
            </w:pPr>
            <w:r>
              <w:rPr>
                <w:rFonts w:hint="eastAsia"/>
                <w:color w:val="auto"/>
                <w:sz w:val="18"/>
                <w:szCs w:val="18"/>
              </w:rPr>
              <w:t>/</w:t>
            </w:r>
          </w:p>
        </w:tc>
        <w:tc>
          <w:tcPr>
            <w:tcW w:w="302" w:type="pct"/>
            <w:vAlign w:val="center"/>
          </w:tcPr>
          <w:p w14:paraId="5140B375">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0.047</w:t>
            </w:r>
          </w:p>
        </w:tc>
        <w:tc>
          <w:tcPr>
            <w:tcW w:w="353" w:type="pct"/>
            <w:vAlign w:val="center"/>
          </w:tcPr>
          <w:p w14:paraId="3A317B54">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395" w:type="pct"/>
            <w:vAlign w:val="center"/>
          </w:tcPr>
          <w:p w14:paraId="1755079B">
            <w:pPr>
              <w:adjustRightInd w:val="0"/>
              <w:snapToGrid w:val="0"/>
              <w:jc w:val="center"/>
              <w:rPr>
                <w:color w:val="auto"/>
                <w:sz w:val="18"/>
                <w:szCs w:val="18"/>
              </w:rPr>
            </w:pPr>
            <w:r>
              <w:rPr>
                <w:rFonts w:hint="eastAsia"/>
                <w:color w:val="auto"/>
                <w:sz w:val="18"/>
                <w:szCs w:val="18"/>
              </w:rPr>
              <w:t>/</w:t>
            </w:r>
          </w:p>
        </w:tc>
        <w:tc>
          <w:tcPr>
            <w:tcW w:w="533" w:type="pct"/>
            <w:vAlign w:val="center"/>
          </w:tcPr>
          <w:p w14:paraId="341180BA">
            <w:pPr>
              <w:adjustRightInd w:val="0"/>
              <w:snapToGrid w:val="0"/>
              <w:jc w:val="center"/>
              <w:rPr>
                <w:color w:val="auto"/>
                <w:sz w:val="18"/>
                <w:szCs w:val="18"/>
              </w:rPr>
            </w:pPr>
            <w:r>
              <w:rPr>
                <w:rFonts w:hint="eastAsia"/>
                <w:color w:val="auto"/>
                <w:sz w:val="18"/>
                <w:szCs w:val="18"/>
              </w:rPr>
              <w:t>/</w:t>
            </w:r>
          </w:p>
        </w:tc>
        <w:tc>
          <w:tcPr>
            <w:tcW w:w="533" w:type="pct"/>
            <w:vAlign w:val="center"/>
          </w:tcPr>
          <w:p w14:paraId="1E843AFC">
            <w:pPr>
              <w:adjustRightInd w:val="0"/>
              <w:snapToGrid w:val="0"/>
              <w:jc w:val="center"/>
              <w:rPr>
                <w:color w:val="auto"/>
                <w:sz w:val="18"/>
                <w:szCs w:val="18"/>
              </w:rPr>
            </w:pPr>
            <w:r>
              <w:rPr>
                <w:rFonts w:hint="eastAsia"/>
                <w:color w:val="auto"/>
                <w:sz w:val="18"/>
                <w:szCs w:val="18"/>
              </w:rPr>
              <w:t>1200</w:t>
            </w:r>
          </w:p>
        </w:tc>
      </w:tr>
    </w:tbl>
    <w:p w14:paraId="5A6286F3">
      <w:pPr>
        <w:adjustRightInd w:val="0"/>
        <w:snapToGrid w:val="0"/>
        <w:spacing w:line="360" w:lineRule="auto"/>
        <w:ind w:firstLine="480" w:firstLineChars="200"/>
        <w:rPr>
          <w:color w:val="auto"/>
          <w:sz w:val="24"/>
          <w:szCs w:val="24"/>
        </w:rPr>
      </w:pPr>
      <w:bookmarkStart w:id="34" w:name="_Toc20986"/>
      <w:r>
        <w:rPr>
          <w:rFonts w:hint="eastAsia"/>
          <w:color w:val="auto"/>
          <w:sz w:val="24"/>
          <w:szCs w:val="24"/>
        </w:rPr>
        <w:t>（3）汇总</w:t>
      </w:r>
      <w:bookmarkEnd w:id="34"/>
    </w:p>
    <w:p w14:paraId="10DFFCFC">
      <w:pPr>
        <w:adjustRightInd w:val="0"/>
        <w:snapToGrid w:val="0"/>
        <w:spacing w:line="360" w:lineRule="auto"/>
        <w:ind w:firstLine="480" w:firstLineChars="200"/>
        <w:rPr>
          <w:color w:val="auto"/>
          <w:sz w:val="24"/>
          <w:szCs w:val="24"/>
        </w:rPr>
        <w:sectPr>
          <w:pgSz w:w="11906" w:h="16838"/>
          <w:pgMar w:top="1418" w:right="1230" w:bottom="1418" w:left="1134" w:header="851" w:footer="992" w:gutter="0"/>
          <w:pgNumType w:fmt="decimal"/>
          <w:cols w:space="425" w:num="1"/>
          <w:docGrid w:type="linesAndChars" w:linePitch="312" w:charSpace="0"/>
        </w:sectPr>
      </w:pPr>
      <w:r>
        <w:rPr>
          <w:rFonts w:hint="eastAsia"/>
          <w:color w:val="auto"/>
          <w:sz w:val="24"/>
          <w:szCs w:val="24"/>
        </w:rPr>
        <w:t>根据企业废气收集处理方案，废气产排情况如下。</w:t>
      </w:r>
    </w:p>
    <w:p w14:paraId="7BF907D1">
      <w:pPr>
        <w:adjustRightInd w:val="0"/>
        <w:snapToGrid w:val="0"/>
        <w:spacing w:line="360" w:lineRule="auto"/>
        <w:rPr>
          <w:color w:val="auto"/>
          <w:sz w:val="24"/>
          <w:szCs w:val="24"/>
        </w:rPr>
      </w:pPr>
    </w:p>
    <w:p w14:paraId="1BADC694">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表11</w:t>
      </w:r>
      <w:r>
        <w:rPr>
          <w:rFonts w:hint="eastAsia"/>
          <w:color w:val="auto"/>
        </w:rPr>
        <w:t>废气产排情况</w:t>
      </w:r>
    </w:p>
    <w:tbl>
      <w:tblPr>
        <w:tblStyle w:val="88"/>
        <w:tblW w:w="5017"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06"/>
        <w:gridCol w:w="923"/>
        <w:gridCol w:w="934"/>
        <w:gridCol w:w="934"/>
        <w:gridCol w:w="934"/>
        <w:gridCol w:w="886"/>
        <w:gridCol w:w="743"/>
        <w:gridCol w:w="954"/>
        <w:gridCol w:w="850"/>
        <w:gridCol w:w="768"/>
        <w:gridCol w:w="709"/>
        <w:gridCol w:w="928"/>
        <w:gridCol w:w="698"/>
        <w:gridCol w:w="673"/>
        <w:gridCol w:w="790"/>
        <w:gridCol w:w="832"/>
        <w:gridCol w:w="590"/>
      </w:tblGrid>
      <w:tr w14:paraId="34EE2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2" w:type="pct"/>
            <w:vMerge w:val="restart"/>
            <w:vAlign w:val="center"/>
          </w:tcPr>
          <w:p w14:paraId="74A7D3BC">
            <w:pPr>
              <w:widowControl/>
              <w:jc w:val="center"/>
              <w:rPr>
                <w:color w:val="auto"/>
                <w:kern w:val="0"/>
                <w:sz w:val="18"/>
                <w:szCs w:val="18"/>
              </w:rPr>
            </w:pPr>
            <w:r>
              <w:rPr>
                <w:rFonts w:hint="eastAsia"/>
                <w:color w:val="auto"/>
                <w:kern w:val="0"/>
                <w:sz w:val="18"/>
                <w:szCs w:val="18"/>
              </w:rPr>
              <w:t>工序/</w:t>
            </w:r>
          </w:p>
          <w:p w14:paraId="6572C76F">
            <w:pPr>
              <w:widowControl/>
              <w:jc w:val="center"/>
              <w:rPr>
                <w:color w:val="auto"/>
                <w:kern w:val="0"/>
                <w:sz w:val="18"/>
                <w:szCs w:val="18"/>
              </w:rPr>
            </w:pPr>
            <w:r>
              <w:rPr>
                <w:rFonts w:hint="eastAsia"/>
                <w:color w:val="auto"/>
                <w:kern w:val="0"/>
                <w:sz w:val="18"/>
                <w:szCs w:val="18"/>
              </w:rPr>
              <w:t>生产线</w:t>
            </w:r>
          </w:p>
        </w:tc>
        <w:tc>
          <w:tcPr>
            <w:tcW w:w="328" w:type="pct"/>
            <w:vMerge w:val="restart"/>
            <w:vAlign w:val="center"/>
          </w:tcPr>
          <w:p w14:paraId="7F59DC24">
            <w:pPr>
              <w:widowControl/>
              <w:jc w:val="center"/>
              <w:rPr>
                <w:color w:val="auto"/>
                <w:kern w:val="0"/>
                <w:sz w:val="18"/>
                <w:szCs w:val="18"/>
              </w:rPr>
            </w:pPr>
            <w:r>
              <w:rPr>
                <w:rFonts w:hint="eastAsia"/>
                <w:color w:val="auto"/>
                <w:kern w:val="0"/>
                <w:sz w:val="18"/>
                <w:szCs w:val="18"/>
              </w:rPr>
              <w:t>装置</w:t>
            </w:r>
          </w:p>
        </w:tc>
        <w:tc>
          <w:tcPr>
            <w:tcW w:w="332" w:type="pct"/>
            <w:vMerge w:val="restart"/>
            <w:vAlign w:val="center"/>
          </w:tcPr>
          <w:p w14:paraId="355F43B8">
            <w:pPr>
              <w:widowControl/>
              <w:jc w:val="center"/>
              <w:rPr>
                <w:color w:val="auto"/>
                <w:kern w:val="0"/>
                <w:sz w:val="18"/>
                <w:szCs w:val="18"/>
              </w:rPr>
            </w:pPr>
            <w:r>
              <w:rPr>
                <w:rFonts w:hint="eastAsia"/>
                <w:color w:val="auto"/>
                <w:kern w:val="0"/>
                <w:sz w:val="18"/>
                <w:szCs w:val="18"/>
              </w:rPr>
              <w:t>污染源</w:t>
            </w:r>
          </w:p>
        </w:tc>
        <w:tc>
          <w:tcPr>
            <w:tcW w:w="332" w:type="pct"/>
            <w:vMerge w:val="restart"/>
            <w:vAlign w:val="center"/>
          </w:tcPr>
          <w:p w14:paraId="22B5C063">
            <w:pPr>
              <w:widowControl/>
              <w:jc w:val="center"/>
              <w:rPr>
                <w:color w:val="auto"/>
                <w:kern w:val="0"/>
                <w:sz w:val="18"/>
                <w:szCs w:val="18"/>
              </w:rPr>
            </w:pPr>
            <w:r>
              <w:rPr>
                <w:rFonts w:hint="eastAsia"/>
                <w:color w:val="auto"/>
                <w:kern w:val="0"/>
                <w:sz w:val="18"/>
                <w:szCs w:val="18"/>
              </w:rPr>
              <w:t>污染物</w:t>
            </w:r>
          </w:p>
        </w:tc>
        <w:tc>
          <w:tcPr>
            <w:tcW w:w="1553" w:type="pct"/>
            <w:gridSpan w:val="5"/>
            <w:vAlign w:val="center"/>
          </w:tcPr>
          <w:p w14:paraId="31A267F0">
            <w:pPr>
              <w:widowControl/>
              <w:jc w:val="center"/>
              <w:rPr>
                <w:color w:val="auto"/>
                <w:kern w:val="0"/>
                <w:sz w:val="18"/>
                <w:szCs w:val="18"/>
              </w:rPr>
            </w:pPr>
            <w:r>
              <w:rPr>
                <w:rFonts w:hint="eastAsia"/>
                <w:color w:val="auto"/>
                <w:kern w:val="0"/>
                <w:sz w:val="18"/>
                <w:szCs w:val="18"/>
              </w:rPr>
              <w:t>污染物产生</w:t>
            </w:r>
          </w:p>
        </w:tc>
        <w:tc>
          <w:tcPr>
            <w:tcW w:w="525" w:type="pct"/>
            <w:gridSpan w:val="2"/>
            <w:vAlign w:val="center"/>
          </w:tcPr>
          <w:p w14:paraId="3E7A3116">
            <w:pPr>
              <w:widowControl/>
              <w:jc w:val="center"/>
              <w:rPr>
                <w:color w:val="auto"/>
                <w:kern w:val="0"/>
                <w:sz w:val="18"/>
                <w:szCs w:val="18"/>
              </w:rPr>
            </w:pPr>
            <w:r>
              <w:rPr>
                <w:rFonts w:hint="eastAsia"/>
                <w:color w:val="auto"/>
                <w:kern w:val="0"/>
                <w:sz w:val="18"/>
                <w:szCs w:val="18"/>
              </w:rPr>
              <w:t>治理措施</w:t>
            </w:r>
          </w:p>
        </w:tc>
        <w:tc>
          <w:tcPr>
            <w:tcW w:w="1395" w:type="pct"/>
            <w:gridSpan w:val="5"/>
            <w:vAlign w:val="center"/>
          </w:tcPr>
          <w:p w14:paraId="70B9FD18">
            <w:pPr>
              <w:widowControl/>
              <w:jc w:val="center"/>
              <w:rPr>
                <w:color w:val="auto"/>
                <w:kern w:val="0"/>
                <w:sz w:val="18"/>
                <w:szCs w:val="18"/>
              </w:rPr>
            </w:pPr>
            <w:r>
              <w:rPr>
                <w:rFonts w:hint="eastAsia"/>
                <w:color w:val="auto"/>
                <w:kern w:val="0"/>
                <w:sz w:val="18"/>
                <w:szCs w:val="18"/>
              </w:rPr>
              <w:t>污染物排放</w:t>
            </w:r>
          </w:p>
        </w:tc>
        <w:tc>
          <w:tcPr>
            <w:tcW w:w="209" w:type="pct"/>
            <w:vMerge w:val="restart"/>
            <w:vAlign w:val="center"/>
          </w:tcPr>
          <w:p w14:paraId="2A2F7556">
            <w:pPr>
              <w:widowControl/>
              <w:jc w:val="center"/>
              <w:rPr>
                <w:color w:val="auto"/>
                <w:kern w:val="0"/>
                <w:sz w:val="18"/>
                <w:szCs w:val="18"/>
              </w:rPr>
            </w:pPr>
            <w:r>
              <w:rPr>
                <w:rFonts w:hint="eastAsia"/>
                <w:color w:val="auto"/>
                <w:kern w:val="0"/>
                <w:sz w:val="18"/>
                <w:szCs w:val="18"/>
              </w:rPr>
              <w:t>排放</w:t>
            </w:r>
          </w:p>
          <w:p w14:paraId="79B52234">
            <w:pPr>
              <w:widowControl/>
              <w:jc w:val="center"/>
              <w:rPr>
                <w:color w:val="auto"/>
                <w:kern w:val="0"/>
                <w:sz w:val="18"/>
                <w:szCs w:val="18"/>
              </w:rPr>
            </w:pPr>
            <w:r>
              <w:rPr>
                <w:rFonts w:hint="eastAsia"/>
                <w:color w:val="auto"/>
                <w:kern w:val="0"/>
                <w:sz w:val="18"/>
                <w:szCs w:val="18"/>
              </w:rPr>
              <w:t>时间</w:t>
            </w:r>
          </w:p>
        </w:tc>
      </w:tr>
      <w:tr w14:paraId="2CEA81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2" w:type="pct"/>
            <w:vMerge w:val="continue"/>
            <w:vAlign w:val="center"/>
          </w:tcPr>
          <w:p w14:paraId="3050ED30">
            <w:pPr>
              <w:widowControl/>
              <w:jc w:val="center"/>
              <w:rPr>
                <w:color w:val="auto"/>
                <w:kern w:val="0"/>
                <w:sz w:val="18"/>
                <w:szCs w:val="18"/>
              </w:rPr>
            </w:pPr>
          </w:p>
        </w:tc>
        <w:tc>
          <w:tcPr>
            <w:tcW w:w="328" w:type="pct"/>
            <w:vMerge w:val="continue"/>
            <w:vAlign w:val="center"/>
          </w:tcPr>
          <w:p w14:paraId="2BA80E53">
            <w:pPr>
              <w:widowControl/>
              <w:jc w:val="center"/>
              <w:rPr>
                <w:color w:val="auto"/>
                <w:kern w:val="0"/>
                <w:sz w:val="18"/>
                <w:szCs w:val="18"/>
              </w:rPr>
            </w:pPr>
          </w:p>
        </w:tc>
        <w:tc>
          <w:tcPr>
            <w:tcW w:w="332" w:type="pct"/>
            <w:vMerge w:val="continue"/>
            <w:vAlign w:val="center"/>
          </w:tcPr>
          <w:p w14:paraId="693A4F5B">
            <w:pPr>
              <w:widowControl/>
              <w:jc w:val="center"/>
              <w:rPr>
                <w:color w:val="auto"/>
                <w:kern w:val="0"/>
                <w:sz w:val="18"/>
                <w:szCs w:val="18"/>
              </w:rPr>
            </w:pPr>
          </w:p>
        </w:tc>
        <w:tc>
          <w:tcPr>
            <w:tcW w:w="332" w:type="pct"/>
            <w:vMerge w:val="continue"/>
            <w:vAlign w:val="center"/>
          </w:tcPr>
          <w:p w14:paraId="7D0341A7">
            <w:pPr>
              <w:widowControl/>
              <w:jc w:val="center"/>
              <w:rPr>
                <w:color w:val="auto"/>
                <w:kern w:val="0"/>
                <w:sz w:val="18"/>
                <w:szCs w:val="18"/>
              </w:rPr>
            </w:pPr>
          </w:p>
        </w:tc>
        <w:tc>
          <w:tcPr>
            <w:tcW w:w="332" w:type="pct"/>
            <w:vMerge w:val="restart"/>
            <w:vAlign w:val="center"/>
          </w:tcPr>
          <w:p w14:paraId="00FA9D95">
            <w:pPr>
              <w:widowControl/>
              <w:jc w:val="center"/>
              <w:rPr>
                <w:color w:val="auto"/>
                <w:kern w:val="0"/>
                <w:sz w:val="18"/>
                <w:szCs w:val="18"/>
              </w:rPr>
            </w:pPr>
            <w:r>
              <w:rPr>
                <w:rFonts w:hint="eastAsia"/>
                <w:color w:val="auto"/>
                <w:kern w:val="0"/>
                <w:sz w:val="18"/>
                <w:szCs w:val="18"/>
              </w:rPr>
              <w:t>核算</w:t>
            </w:r>
          </w:p>
          <w:p w14:paraId="297BFEA0">
            <w:pPr>
              <w:widowControl/>
              <w:jc w:val="center"/>
              <w:rPr>
                <w:color w:val="auto"/>
                <w:kern w:val="0"/>
                <w:sz w:val="18"/>
                <w:szCs w:val="18"/>
              </w:rPr>
            </w:pPr>
            <w:r>
              <w:rPr>
                <w:rFonts w:hint="eastAsia"/>
                <w:color w:val="auto"/>
                <w:kern w:val="0"/>
                <w:sz w:val="18"/>
                <w:szCs w:val="18"/>
              </w:rPr>
              <w:t>方法</w:t>
            </w:r>
          </w:p>
        </w:tc>
        <w:tc>
          <w:tcPr>
            <w:tcW w:w="315" w:type="pct"/>
            <w:vAlign w:val="center"/>
          </w:tcPr>
          <w:p w14:paraId="14E3FB06">
            <w:pPr>
              <w:widowControl/>
              <w:jc w:val="center"/>
              <w:rPr>
                <w:color w:val="auto"/>
                <w:kern w:val="0"/>
                <w:sz w:val="18"/>
                <w:szCs w:val="18"/>
              </w:rPr>
            </w:pPr>
            <w:r>
              <w:rPr>
                <w:rFonts w:hint="eastAsia"/>
                <w:color w:val="auto"/>
                <w:kern w:val="0"/>
                <w:sz w:val="18"/>
                <w:szCs w:val="18"/>
              </w:rPr>
              <w:t>废气量</w:t>
            </w:r>
          </w:p>
        </w:tc>
        <w:tc>
          <w:tcPr>
            <w:tcW w:w="264" w:type="pct"/>
            <w:vAlign w:val="center"/>
          </w:tcPr>
          <w:p w14:paraId="0921CB52">
            <w:pPr>
              <w:widowControl/>
              <w:jc w:val="center"/>
              <w:rPr>
                <w:color w:val="auto"/>
                <w:kern w:val="0"/>
                <w:sz w:val="18"/>
                <w:szCs w:val="18"/>
              </w:rPr>
            </w:pPr>
            <w:r>
              <w:rPr>
                <w:rFonts w:hint="eastAsia"/>
                <w:color w:val="auto"/>
                <w:kern w:val="0"/>
                <w:sz w:val="18"/>
                <w:szCs w:val="18"/>
              </w:rPr>
              <w:t>产生</w:t>
            </w:r>
          </w:p>
          <w:p w14:paraId="7081B21C">
            <w:pPr>
              <w:widowControl/>
              <w:jc w:val="center"/>
              <w:rPr>
                <w:color w:val="auto"/>
                <w:kern w:val="0"/>
                <w:sz w:val="18"/>
                <w:szCs w:val="18"/>
              </w:rPr>
            </w:pPr>
            <w:r>
              <w:rPr>
                <w:rFonts w:hint="eastAsia"/>
                <w:color w:val="auto"/>
                <w:kern w:val="0"/>
                <w:sz w:val="18"/>
                <w:szCs w:val="18"/>
              </w:rPr>
              <w:t>速率</w:t>
            </w:r>
          </w:p>
        </w:tc>
        <w:tc>
          <w:tcPr>
            <w:tcW w:w="339" w:type="pct"/>
            <w:vAlign w:val="center"/>
          </w:tcPr>
          <w:p w14:paraId="3A9ACFE6">
            <w:pPr>
              <w:widowControl/>
              <w:jc w:val="center"/>
              <w:rPr>
                <w:color w:val="auto"/>
                <w:kern w:val="0"/>
                <w:sz w:val="18"/>
                <w:szCs w:val="18"/>
              </w:rPr>
            </w:pPr>
            <w:r>
              <w:rPr>
                <w:rFonts w:hint="eastAsia"/>
                <w:color w:val="auto"/>
                <w:kern w:val="0"/>
                <w:sz w:val="18"/>
                <w:szCs w:val="18"/>
              </w:rPr>
              <w:t>产生</w:t>
            </w:r>
          </w:p>
          <w:p w14:paraId="60268631">
            <w:pPr>
              <w:widowControl/>
              <w:jc w:val="center"/>
              <w:rPr>
                <w:color w:val="auto"/>
                <w:kern w:val="0"/>
                <w:sz w:val="18"/>
                <w:szCs w:val="18"/>
              </w:rPr>
            </w:pPr>
            <w:r>
              <w:rPr>
                <w:rFonts w:hint="eastAsia"/>
                <w:color w:val="auto"/>
                <w:kern w:val="0"/>
                <w:sz w:val="18"/>
                <w:szCs w:val="18"/>
              </w:rPr>
              <w:t>浓度</w:t>
            </w:r>
          </w:p>
        </w:tc>
        <w:tc>
          <w:tcPr>
            <w:tcW w:w="302" w:type="pct"/>
            <w:vAlign w:val="center"/>
          </w:tcPr>
          <w:p w14:paraId="40F6E542">
            <w:pPr>
              <w:widowControl/>
              <w:jc w:val="center"/>
              <w:rPr>
                <w:color w:val="auto"/>
                <w:kern w:val="0"/>
                <w:sz w:val="18"/>
                <w:szCs w:val="18"/>
              </w:rPr>
            </w:pPr>
            <w:r>
              <w:rPr>
                <w:rFonts w:hint="eastAsia"/>
                <w:color w:val="auto"/>
                <w:kern w:val="0"/>
                <w:sz w:val="18"/>
                <w:szCs w:val="18"/>
              </w:rPr>
              <w:t>产生量</w:t>
            </w:r>
          </w:p>
        </w:tc>
        <w:tc>
          <w:tcPr>
            <w:tcW w:w="273" w:type="pct"/>
            <w:vMerge w:val="restart"/>
            <w:vAlign w:val="center"/>
          </w:tcPr>
          <w:p w14:paraId="5AC5FE8D">
            <w:pPr>
              <w:widowControl/>
              <w:jc w:val="center"/>
              <w:rPr>
                <w:color w:val="auto"/>
                <w:kern w:val="0"/>
                <w:sz w:val="18"/>
                <w:szCs w:val="18"/>
              </w:rPr>
            </w:pPr>
            <w:r>
              <w:rPr>
                <w:rFonts w:hint="eastAsia"/>
                <w:color w:val="auto"/>
                <w:kern w:val="0"/>
                <w:sz w:val="18"/>
                <w:szCs w:val="18"/>
              </w:rPr>
              <w:t>工艺</w:t>
            </w:r>
          </w:p>
        </w:tc>
        <w:tc>
          <w:tcPr>
            <w:tcW w:w="252" w:type="pct"/>
            <w:vMerge w:val="restart"/>
            <w:vAlign w:val="center"/>
          </w:tcPr>
          <w:p w14:paraId="78C33E70">
            <w:pPr>
              <w:widowControl/>
              <w:jc w:val="center"/>
              <w:rPr>
                <w:color w:val="auto"/>
                <w:kern w:val="0"/>
                <w:sz w:val="18"/>
                <w:szCs w:val="18"/>
              </w:rPr>
            </w:pPr>
            <w:r>
              <w:rPr>
                <w:rFonts w:hint="eastAsia"/>
                <w:color w:val="auto"/>
                <w:kern w:val="0"/>
                <w:sz w:val="18"/>
                <w:szCs w:val="18"/>
              </w:rPr>
              <w:t>效率</w:t>
            </w:r>
          </w:p>
        </w:tc>
        <w:tc>
          <w:tcPr>
            <w:tcW w:w="330" w:type="pct"/>
            <w:vMerge w:val="restart"/>
            <w:vAlign w:val="center"/>
          </w:tcPr>
          <w:p w14:paraId="753F3902">
            <w:pPr>
              <w:widowControl/>
              <w:jc w:val="center"/>
              <w:rPr>
                <w:color w:val="auto"/>
                <w:kern w:val="0"/>
                <w:sz w:val="18"/>
                <w:szCs w:val="18"/>
              </w:rPr>
            </w:pPr>
            <w:r>
              <w:rPr>
                <w:rFonts w:hint="eastAsia"/>
                <w:color w:val="auto"/>
                <w:kern w:val="0"/>
                <w:sz w:val="18"/>
                <w:szCs w:val="18"/>
              </w:rPr>
              <w:t>核算</w:t>
            </w:r>
          </w:p>
          <w:p w14:paraId="157AF857">
            <w:pPr>
              <w:widowControl/>
              <w:jc w:val="center"/>
              <w:rPr>
                <w:color w:val="auto"/>
                <w:kern w:val="0"/>
                <w:sz w:val="18"/>
                <w:szCs w:val="18"/>
              </w:rPr>
            </w:pPr>
            <w:r>
              <w:rPr>
                <w:rFonts w:hint="eastAsia"/>
                <w:color w:val="auto"/>
                <w:kern w:val="0"/>
                <w:sz w:val="18"/>
                <w:szCs w:val="18"/>
              </w:rPr>
              <w:t>方法</w:t>
            </w:r>
          </w:p>
        </w:tc>
        <w:tc>
          <w:tcPr>
            <w:tcW w:w="248" w:type="pct"/>
            <w:vAlign w:val="center"/>
          </w:tcPr>
          <w:p w14:paraId="2995E9C3">
            <w:pPr>
              <w:widowControl/>
              <w:jc w:val="center"/>
              <w:rPr>
                <w:color w:val="auto"/>
                <w:kern w:val="0"/>
                <w:sz w:val="18"/>
                <w:szCs w:val="18"/>
              </w:rPr>
            </w:pPr>
            <w:r>
              <w:rPr>
                <w:rFonts w:hint="eastAsia"/>
                <w:color w:val="auto"/>
                <w:kern w:val="0"/>
                <w:sz w:val="18"/>
                <w:szCs w:val="18"/>
              </w:rPr>
              <w:t>废气</w:t>
            </w:r>
          </w:p>
          <w:p w14:paraId="7735B49B">
            <w:pPr>
              <w:widowControl/>
              <w:jc w:val="center"/>
              <w:rPr>
                <w:color w:val="auto"/>
                <w:kern w:val="0"/>
                <w:sz w:val="18"/>
                <w:szCs w:val="18"/>
              </w:rPr>
            </w:pPr>
            <w:r>
              <w:rPr>
                <w:rFonts w:hint="eastAsia"/>
                <w:color w:val="auto"/>
                <w:kern w:val="0"/>
                <w:sz w:val="18"/>
                <w:szCs w:val="18"/>
              </w:rPr>
              <w:t>量</w:t>
            </w:r>
          </w:p>
        </w:tc>
        <w:tc>
          <w:tcPr>
            <w:tcW w:w="239" w:type="pct"/>
            <w:vAlign w:val="center"/>
          </w:tcPr>
          <w:p w14:paraId="625E852F">
            <w:pPr>
              <w:widowControl/>
              <w:jc w:val="center"/>
              <w:rPr>
                <w:color w:val="auto"/>
                <w:kern w:val="0"/>
                <w:sz w:val="18"/>
                <w:szCs w:val="18"/>
              </w:rPr>
            </w:pPr>
            <w:r>
              <w:rPr>
                <w:rFonts w:hint="eastAsia"/>
                <w:color w:val="auto"/>
                <w:kern w:val="0"/>
                <w:sz w:val="18"/>
                <w:szCs w:val="18"/>
              </w:rPr>
              <w:t>排放</w:t>
            </w:r>
          </w:p>
          <w:p w14:paraId="5F28450C">
            <w:pPr>
              <w:widowControl/>
              <w:jc w:val="center"/>
              <w:rPr>
                <w:color w:val="auto"/>
                <w:kern w:val="0"/>
                <w:sz w:val="18"/>
                <w:szCs w:val="18"/>
              </w:rPr>
            </w:pPr>
            <w:r>
              <w:rPr>
                <w:rFonts w:hint="eastAsia"/>
                <w:color w:val="auto"/>
                <w:kern w:val="0"/>
                <w:sz w:val="18"/>
                <w:szCs w:val="18"/>
              </w:rPr>
              <w:t>速率</w:t>
            </w:r>
          </w:p>
        </w:tc>
        <w:tc>
          <w:tcPr>
            <w:tcW w:w="281" w:type="pct"/>
            <w:vAlign w:val="center"/>
          </w:tcPr>
          <w:p w14:paraId="26EDC98F">
            <w:pPr>
              <w:widowControl/>
              <w:jc w:val="center"/>
              <w:rPr>
                <w:color w:val="auto"/>
                <w:kern w:val="0"/>
                <w:sz w:val="18"/>
                <w:szCs w:val="18"/>
              </w:rPr>
            </w:pPr>
            <w:r>
              <w:rPr>
                <w:rFonts w:hint="eastAsia"/>
                <w:color w:val="auto"/>
                <w:kern w:val="0"/>
                <w:sz w:val="18"/>
                <w:szCs w:val="18"/>
              </w:rPr>
              <w:t>排放</w:t>
            </w:r>
          </w:p>
          <w:p w14:paraId="0B5A3185">
            <w:pPr>
              <w:widowControl/>
              <w:jc w:val="center"/>
              <w:rPr>
                <w:color w:val="auto"/>
                <w:kern w:val="0"/>
                <w:sz w:val="18"/>
                <w:szCs w:val="18"/>
              </w:rPr>
            </w:pPr>
            <w:r>
              <w:rPr>
                <w:rFonts w:hint="eastAsia"/>
                <w:color w:val="auto"/>
                <w:kern w:val="0"/>
                <w:sz w:val="18"/>
                <w:szCs w:val="18"/>
              </w:rPr>
              <w:t>浓度</w:t>
            </w:r>
          </w:p>
        </w:tc>
        <w:tc>
          <w:tcPr>
            <w:tcW w:w="296" w:type="pct"/>
            <w:vAlign w:val="center"/>
          </w:tcPr>
          <w:p w14:paraId="1E2A6222">
            <w:pPr>
              <w:widowControl/>
              <w:jc w:val="center"/>
              <w:rPr>
                <w:color w:val="auto"/>
                <w:kern w:val="0"/>
                <w:sz w:val="18"/>
                <w:szCs w:val="18"/>
              </w:rPr>
            </w:pPr>
            <w:r>
              <w:rPr>
                <w:rFonts w:hint="eastAsia"/>
                <w:color w:val="auto"/>
                <w:kern w:val="0"/>
                <w:sz w:val="18"/>
                <w:szCs w:val="18"/>
              </w:rPr>
              <w:t>排放量</w:t>
            </w:r>
          </w:p>
        </w:tc>
        <w:tc>
          <w:tcPr>
            <w:tcW w:w="209" w:type="pct"/>
            <w:vMerge w:val="continue"/>
            <w:vAlign w:val="center"/>
          </w:tcPr>
          <w:p w14:paraId="5B036946">
            <w:pPr>
              <w:widowControl/>
              <w:jc w:val="center"/>
              <w:rPr>
                <w:color w:val="auto"/>
                <w:kern w:val="0"/>
                <w:sz w:val="18"/>
                <w:szCs w:val="18"/>
              </w:rPr>
            </w:pPr>
          </w:p>
        </w:tc>
      </w:tr>
      <w:tr w14:paraId="50221B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2" w:type="pct"/>
            <w:vMerge w:val="continue"/>
            <w:vAlign w:val="center"/>
          </w:tcPr>
          <w:p w14:paraId="3B800B4C">
            <w:pPr>
              <w:widowControl/>
              <w:jc w:val="center"/>
              <w:rPr>
                <w:color w:val="auto"/>
                <w:kern w:val="0"/>
                <w:sz w:val="18"/>
                <w:szCs w:val="18"/>
              </w:rPr>
            </w:pPr>
          </w:p>
        </w:tc>
        <w:tc>
          <w:tcPr>
            <w:tcW w:w="328" w:type="pct"/>
            <w:vMerge w:val="continue"/>
            <w:vAlign w:val="center"/>
          </w:tcPr>
          <w:p w14:paraId="3A3E4212">
            <w:pPr>
              <w:widowControl/>
              <w:jc w:val="center"/>
              <w:rPr>
                <w:color w:val="auto"/>
                <w:kern w:val="0"/>
                <w:sz w:val="18"/>
                <w:szCs w:val="18"/>
              </w:rPr>
            </w:pPr>
          </w:p>
        </w:tc>
        <w:tc>
          <w:tcPr>
            <w:tcW w:w="332" w:type="pct"/>
            <w:vMerge w:val="continue"/>
            <w:vAlign w:val="center"/>
          </w:tcPr>
          <w:p w14:paraId="01796FC1">
            <w:pPr>
              <w:widowControl/>
              <w:jc w:val="center"/>
              <w:rPr>
                <w:color w:val="auto"/>
                <w:kern w:val="0"/>
                <w:sz w:val="18"/>
                <w:szCs w:val="18"/>
              </w:rPr>
            </w:pPr>
          </w:p>
        </w:tc>
        <w:tc>
          <w:tcPr>
            <w:tcW w:w="332" w:type="pct"/>
            <w:vMerge w:val="continue"/>
            <w:vAlign w:val="center"/>
          </w:tcPr>
          <w:p w14:paraId="2AC0EFF8">
            <w:pPr>
              <w:widowControl/>
              <w:jc w:val="center"/>
              <w:rPr>
                <w:color w:val="auto"/>
                <w:kern w:val="0"/>
                <w:sz w:val="18"/>
                <w:szCs w:val="18"/>
              </w:rPr>
            </w:pPr>
          </w:p>
        </w:tc>
        <w:tc>
          <w:tcPr>
            <w:tcW w:w="332" w:type="pct"/>
            <w:vMerge w:val="continue"/>
            <w:vAlign w:val="center"/>
          </w:tcPr>
          <w:p w14:paraId="46C2C10E">
            <w:pPr>
              <w:widowControl/>
              <w:jc w:val="center"/>
              <w:rPr>
                <w:color w:val="auto"/>
                <w:kern w:val="0"/>
                <w:sz w:val="18"/>
                <w:szCs w:val="18"/>
              </w:rPr>
            </w:pPr>
          </w:p>
        </w:tc>
        <w:tc>
          <w:tcPr>
            <w:tcW w:w="315" w:type="pct"/>
            <w:vAlign w:val="center"/>
          </w:tcPr>
          <w:p w14:paraId="387511C3">
            <w:pPr>
              <w:widowControl/>
              <w:jc w:val="center"/>
              <w:rPr>
                <w:color w:val="auto"/>
                <w:kern w:val="0"/>
                <w:sz w:val="18"/>
                <w:szCs w:val="18"/>
              </w:rPr>
            </w:pPr>
            <w:r>
              <w:rPr>
                <w:rFonts w:hint="eastAsia"/>
                <w:color w:val="auto"/>
                <w:kern w:val="0"/>
                <w:sz w:val="18"/>
                <w:szCs w:val="18"/>
              </w:rPr>
              <w:t>m</w:t>
            </w:r>
            <w:r>
              <w:rPr>
                <w:rFonts w:hint="eastAsia"/>
                <w:color w:val="auto"/>
                <w:kern w:val="0"/>
                <w:sz w:val="18"/>
                <w:szCs w:val="18"/>
                <w:vertAlign w:val="superscript"/>
              </w:rPr>
              <w:t>3</w:t>
            </w:r>
            <w:r>
              <w:rPr>
                <w:rFonts w:hint="eastAsia"/>
                <w:color w:val="auto"/>
                <w:kern w:val="0"/>
                <w:sz w:val="18"/>
                <w:szCs w:val="18"/>
              </w:rPr>
              <w:t>/h</w:t>
            </w:r>
          </w:p>
        </w:tc>
        <w:tc>
          <w:tcPr>
            <w:tcW w:w="264" w:type="pct"/>
            <w:vAlign w:val="center"/>
          </w:tcPr>
          <w:p w14:paraId="7E37358F">
            <w:pPr>
              <w:widowControl/>
              <w:jc w:val="center"/>
              <w:rPr>
                <w:color w:val="auto"/>
                <w:kern w:val="0"/>
                <w:sz w:val="18"/>
                <w:szCs w:val="18"/>
              </w:rPr>
            </w:pPr>
            <w:r>
              <w:rPr>
                <w:rFonts w:hint="eastAsia"/>
                <w:color w:val="auto"/>
                <w:kern w:val="0"/>
                <w:sz w:val="18"/>
                <w:szCs w:val="18"/>
              </w:rPr>
              <w:t>kg/h</w:t>
            </w:r>
          </w:p>
        </w:tc>
        <w:tc>
          <w:tcPr>
            <w:tcW w:w="339" w:type="pct"/>
            <w:vAlign w:val="center"/>
          </w:tcPr>
          <w:p w14:paraId="270EB958">
            <w:pPr>
              <w:widowControl/>
              <w:jc w:val="center"/>
              <w:rPr>
                <w:color w:val="auto"/>
                <w:kern w:val="0"/>
                <w:sz w:val="18"/>
                <w:szCs w:val="18"/>
              </w:rPr>
            </w:pPr>
            <w:r>
              <w:rPr>
                <w:rFonts w:hint="eastAsia"/>
                <w:color w:val="auto"/>
                <w:kern w:val="0"/>
                <w:sz w:val="18"/>
                <w:szCs w:val="18"/>
              </w:rPr>
              <w:t>mg/m</w:t>
            </w:r>
            <w:r>
              <w:rPr>
                <w:rFonts w:hint="eastAsia"/>
                <w:color w:val="auto"/>
                <w:kern w:val="0"/>
                <w:sz w:val="18"/>
                <w:szCs w:val="18"/>
                <w:vertAlign w:val="superscript"/>
              </w:rPr>
              <w:t>3</w:t>
            </w:r>
          </w:p>
        </w:tc>
        <w:tc>
          <w:tcPr>
            <w:tcW w:w="302" w:type="pct"/>
            <w:vAlign w:val="center"/>
          </w:tcPr>
          <w:p w14:paraId="7AE92B53">
            <w:pPr>
              <w:widowControl/>
              <w:jc w:val="center"/>
              <w:rPr>
                <w:color w:val="auto"/>
                <w:kern w:val="0"/>
                <w:sz w:val="18"/>
                <w:szCs w:val="18"/>
              </w:rPr>
            </w:pPr>
            <w:r>
              <w:rPr>
                <w:rFonts w:hint="eastAsia"/>
                <w:color w:val="auto"/>
                <w:kern w:val="0"/>
                <w:sz w:val="18"/>
                <w:szCs w:val="18"/>
              </w:rPr>
              <w:t>t/a</w:t>
            </w:r>
          </w:p>
        </w:tc>
        <w:tc>
          <w:tcPr>
            <w:tcW w:w="273" w:type="pct"/>
            <w:vMerge w:val="continue"/>
            <w:vAlign w:val="center"/>
          </w:tcPr>
          <w:p w14:paraId="5E2FFE7F">
            <w:pPr>
              <w:widowControl/>
              <w:jc w:val="center"/>
              <w:rPr>
                <w:color w:val="auto"/>
                <w:kern w:val="0"/>
                <w:sz w:val="18"/>
                <w:szCs w:val="18"/>
              </w:rPr>
            </w:pPr>
          </w:p>
        </w:tc>
        <w:tc>
          <w:tcPr>
            <w:tcW w:w="252" w:type="pct"/>
            <w:vMerge w:val="continue"/>
            <w:vAlign w:val="center"/>
          </w:tcPr>
          <w:p w14:paraId="724324FA">
            <w:pPr>
              <w:widowControl/>
              <w:jc w:val="center"/>
              <w:rPr>
                <w:color w:val="auto"/>
                <w:kern w:val="0"/>
                <w:sz w:val="18"/>
                <w:szCs w:val="18"/>
              </w:rPr>
            </w:pPr>
          </w:p>
        </w:tc>
        <w:tc>
          <w:tcPr>
            <w:tcW w:w="330" w:type="pct"/>
            <w:vMerge w:val="continue"/>
            <w:vAlign w:val="center"/>
          </w:tcPr>
          <w:p w14:paraId="14EE78AB">
            <w:pPr>
              <w:widowControl/>
              <w:jc w:val="center"/>
              <w:rPr>
                <w:color w:val="auto"/>
                <w:kern w:val="0"/>
                <w:sz w:val="18"/>
                <w:szCs w:val="18"/>
              </w:rPr>
            </w:pPr>
          </w:p>
        </w:tc>
        <w:tc>
          <w:tcPr>
            <w:tcW w:w="248" w:type="pct"/>
            <w:vAlign w:val="center"/>
          </w:tcPr>
          <w:p w14:paraId="1B97F6B0">
            <w:pPr>
              <w:widowControl/>
              <w:jc w:val="center"/>
              <w:rPr>
                <w:color w:val="auto"/>
                <w:kern w:val="0"/>
                <w:sz w:val="18"/>
                <w:szCs w:val="18"/>
              </w:rPr>
            </w:pPr>
            <w:r>
              <w:rPr>
                <w:rFonts w:hint="eastAsia"/>
                <w:color w:val="auto"/>
                <w:kern w:val="0"/>
                <w:sz w:val="18"/>
                <w:szCs w:val="18"/>
              </w:rPr>
              <w:t>m</w:t>
            </w:r>
            <w:r>
              <w:rPr>
                <w:rFonts w:hint="eastAsia"/>
                <w:color w:val="auto"/>
                <w:kern w:val="0"/>
                <w:sz w:val="18"/>
                <w:szCs w:val="18"/>
                <w:vertAlign w:val="superscript"/>
              </w:rPr>
              <w:t>3</w:t>
            </w:r>
            <w:r>
              <w:rPr>
                <w:rFonts w:hint="eastAsia"/>
                <w:color w:val="auto"/>
                <w:kern w:val="0"/>
                <w:sz w:val="18"/>
                <w:szCs w:val="18"/>
              </w:rPr>
              <w:t>/h</w:t>
            </w:r>
          </w:p>
        </w:tc>
        <w:tc>
          <w:tcPr>
            <w:tcW w:w="239" w:type="pct"/>
            <w:vAlign w:val="center"/>
          </w:tcPr>
          <w:p w14:paraId="2FDF8B1D">
            <w:pPr>
              <w:widowControl/>
              <w:jc w:val="center"/>
              <w:rPr>
                <w:color w:val="auto"/>
                <w:kern w:val="0"/>
                <w:sz w:val="18"/>
                <w:szCs w:val="18"/>
              </w:rPr>
            </w:pPr>
            <w:r>
              <w:rPr>
                <w:rFonts w:hint="eastAsia"/>
                <w:color w:val="auto"/>
                <w:kern w:val="0"/>
                <w:sz w:val="18"/>
                <w:szCs w:val="18"/>
              </w:rPr>
              <w:t>kg/h</w:t>
            </w:r>
          </w:p>
        </w:tc>
        <w:tc>
          <w:tcPr>
            <w:tcW w:w="281" w:type="pct"/>
            <w:vAlign w:val="center"/>
          </w:tcPr>
          <w:p w14:paraId="2DE8B4D3">
            <w:pPr>
              <w:widowControl/>
              <w:jc w:val="center"/>
              <w:rPr>
                <w:color w:val="auto"/>
                <w:kern w:val="0"/>
                <w:sz w:val="18"/>
                <w:szCs w:val="18"/>
              </w:rPr>
            </w:pPr>
            <w:r>
              <w:rPr>
                <w:rFonts w:hint="eastAsia"/>
                <w:color w:val="auto"/>
                <w:kern w:val="0"/>
                <w:sz w:val="18"/>
                <w:szCs w:val="18"/>
              </w:rPr>
              <w:t>mg/m</w:t>
            </w:r>
            <w:r>
              <w:rPr>
                <w:rFonts w:hint="eastAsia"/>
                <w:color w:val="auto"/>
                <w:kern w:val="0"/>
                <w:sz w:val="18"/>
                <w:szCs w:val="18"/>
                <w:vertAlign w:val="superscript"/>
              </w:rPr>
              <w:t>3</w:t>
            </w:r>
          </w:p>
        </w:tc>
        <w:tc>
          <w:tcPr>
            <w:tcW w:w="296" w:type="pct"/>
            <w:vAlign w:val="center"/>
          </w:tcPr>
          <w:p w14:paraId="536DBB99">
            <w:pPr>
              <w:widowControl/>
              <w:jc w:val="center"/>
              <w:rPr>
                <w:color w:val="auto"/>
                <w:kern w:val="0"/>
                <w:sz w:val="18"/>
                <w:szCs w:val="18"/>
              </w:rPr>
            </w:pPr>
            <w:r>
              <w:rPr>
                <w:rFonts w:hint="eastAsia"/>
                <w:color w:val="auto"/>
                <w:kern w:val="0"/>
                <w:sz w:val="18"/>
                <w:szCs w:val="18"/>
              </w:rPr>
              <w:t>t/a</w:t>
            </w:r>
          </w:p>
        </w:tc>
        <w:tc>
          <w:tcPr>
            <w:tcW w:w="209" w:type="pct"/>
            <w:vAlign w:val="center"/>
          </w:tcPr>
          <w:p w14:paraId="33C2B838">
            <w:pPr>
              <w:widowControl/>
              <w:jc w:val="center"/>
              <w:rPr>
                <w:color w:val="auto"/>
                <w:kern w:val="0"/>
                <w:sz w:val="18"/>
                <w:szCs w:val="18"/>
              </w:rPr>
            </w:pPr>
            <w:r>
              <w:rPr>
                <w:rFonts w:hint="eastAsia"/>
                <w:color w:val="auto"/>
                <w:kern w:val="0"/>
                <w:sz w:val="18"/>
                <w:szCs w:val="18"/>
              </w:rPr>
              <w:t>h</w:t>
            </w:r>
          </w:p>
        </w:tc>
      </w:tr>
      <w:tr w14:paraId="0A3B9E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restart"/>
            <w:vAlign w:val="center"/>
          </w:tcPr>
          <w:p w14:paraId="4791710C">
            <w:pPr>
              <w:widowControl/>
              <w:jc w:val="center"/>
              <w:rPr>
                <w:color w:val="auto"/>
                <w:kern w:val="0"/>
                <w:sz w:val="18"/>
                <w:szCs w:val="18"/>
              </w:rPr>
            </w:pPr>
            <w:r>
              <w:rPr>
                <w:rFonts w:hint="eastAsia"/>
                <w:color w:val="auto"/>
                <w:kern w:val="0"/>
                <w:sz w:val="18"/>
                <w:szCs w:val="18"/>
                <w:lang w:val="en-US" w:eastAsia="zh-CN"/>
              </w:rPr>
              <w:t>喷涂</w:t>
            </w:r>
            <w:r>
              <w:rPr>
                <w:rFonts w:hint="eastAsia"/>
                <w:color w:val="auto"/>
                <w:kern w:val="0"/>
                <w:sz w:val="18"/>
                <w:szCs w:val="18"/>
              </w:rPr>
              <w:t>废气</w:t>
            </w:r>
          </w:p>
        </w:tc>
        <w:tc>
          <w:tcPr>
            <w:tcW w:w="328" w:type="pct"/>
            <w:vMerge w:val="restart"/>
            <w:vAlign w:val="center"/>
          </w:tcPr>
          <w:p w14:paraId="31AAB094">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一体化喷涂设备</w:t>
            </w:r>
          </w:p>
        </w:tc>
        <w:tc>
          <w:tcPr>
            <w:tcW w:w="332" w:type="pct"/>
            <w:vMerge w:val="restart"/>
            <w:vAlign w:val="center"/>
          </w:tcPr>
          <w:p w14:paraId="7C44E1B9">
            <w:pPr>
              <w:widowControl/>
              <w:jc w:val="center"/>
              <w:rPr>
                <w:color w:val="auto"/>
                <w:kern w:val="0"/>
                <w:sz w:val="18"/>
                <w:szCs w:val="18"/>
              </w:rPr>
            </w:pPr>
            <w:r>
              <w:rPr>
                <w:rFonts w:hint="eastAsia"/>
                <w:color w:val="auto"/>
                <w:kern w:val="0"/>
                <w:sz w:val="18"/>
                <w:szCs w:val="18"/>
              </w:rPr>
              <w:t>DA001</w:t>
            </w:r>
          </w:p>
        </w:tc>
        <w:tc>
          <w:tcPr>
            <w:tcW w:w="332" w:type="pct"/>
            <w:vAlign w:val="center"/>
          </w:tcPr>
          <w:p w14:paraId="79946CBE">
            <w:pPr>
              <w:widowControl/>
              <w:jc w:val="center"/>
              <w:rPr>
                <w:color w:val="auto"/>
                <w:kern w:val="0"/>
                <w:sz w:val="18"/>
                <w:szCs w:val="18"/>
              </w:rPr>
            </w:pPr>
            <w:r>
              <w:rPr>
                <w:rFonts w:hint="eastAsia"/>
                <w:color w:val="auto"/>
                <w:kern w:val="0"/>
                <w:sz w:val="18"/>
                <w:szCs w:val="18"/>
              </w:rPr>
              <w:t>TVOC</w:t>
            </w:r>
          </w:p>
        </w:tc>
        <w:tc>
          <w:tcPr>
            <w:tcW w:w="332" w:type="pct"/>
            <w:vAlign w:val="center"/>
          </w:tcPr>
          <w:p w14:paraId="4E1C9CA6">
            <w:pPr>
              <w:widowControl/>
              <w:jc w:val="center"/>
              <w:rPr>
                <w:color w:val="auto"/>
                <w:kern w:val="0"/>
                <w:sz w:val="18"/>
                <w:szCs w:val="18"/>
              </w:rPr>
            </w:pPr>
            <w:r>
              <w:rPr>
                <w:rFonts w:hint="eastAsia"/>
                <w:color w:val="auto"/>
                <w:kern w:val="0"/>
                <w:sz w:val="18"/>
                <w:szCs w:val="18"/>
              </w:rPr>
              <w:t>物料衡算法</w:t>
            </w:r>
          </w:p>
        </w:tc>
        <w:tc>
          <w:tcPr>
            <w:tcW w:w="315" w:type="pct"/>
            <w:vMerge w:val="restart"/>
            <w:vAlign w:val="center"/>
          </w:tcPr>
          <w:p w14:paraId="3AB26E3D">
            <w:pPr>
              <w:widowControl/>
              <w:jc w:val="center"/>
              <w:rPr>
                <w:color w:val="auto"/>
                <w:kern w:val="0"/>
                <w:sz w:val="18"/>
                <w:szCs w:val="18"/>
              </w:rPr>
            </w:pPr>
            <w:r>
              <w:rPr>
                <w:rFonts w:hint="eastAsia"/>
                <w:color w:val="auto"/>
                <w:kern w:val="0"/>
                <w:sz w:val="18"/>
                <w:szCs w:val="18"/>
              </w:rPr>
              <w:t>5000</w:t>
            </w:r>
          </w:p>
        </w:tc>
        <w:tc>
          <w:tcPr>
            <w:tcW w:w="264" w:type="pct"/>
            <w:vAlign w:val="center"/>
          </w:tcPr>
          <w:p w14:paraId="6A3BDD25">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0.154</w:t>
            </w:r>
          </w:p>
        </w:tc>
        <w:tc>
          <w:tcPr>
            <w:tcW w:w="339" w:type="pct"/>
            <w:vAlign w:val="center"/>
          </w:tcPr>
          <w:p w14:paraId="159FBD1F">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30.8</w:t>
            </w:r>
          </w:p>
        </w:tc>
        <w:tc>
          <w:tcPr>
            <w:tcW w:w="302" w:type="pct"/>
            <w:vAlign w:val="center"/>
          </w:tcPr>
          <w:p w14:paraId="2C26F839">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0.185</w:t>
            </w:r>
          </w:p>
        </w:tc>
        <w:tc>
          <w:tcPr>
            <w:tcW w:w="273" w:type="pct"/>
            <w:vMerge w:val="restart"/>
            <w:vAlign w:val="center"/>
          </w:tcPr>
          <w:p w14:paraId="6E0D71C1">
            <w:pPr>
              <w:widowControl/>
              <w:jc w:val="center"/>
              <w:rPr>
                <w:color w:val="auto"/>
                <w:kern w:val="0"/>
                <w:sz w:val="18"/>
                <w:szCs w:val="18"/>
              </w:rPr>
            </w:pPr>
            <w:r>
              <w:rPr>
                <w:rFonts w:hint="eastAsia"/>
                <w:color w:val="auto"/>
                <w:kern w:val="0"/>
                <w:sz w:val="18"/>
                <w:szCs w:val="18"/>
              </w:rPr>
              <w:t>活性炭吸附+脱附催化燃烧</w:t>
            </w:r>
          </w:p>
        </w:tc>
        <w:tc>
          <w:tcPr>
            <w:tcW w:w="252" w:type="pct"/>
            <w:vMerge w:val="restart"/>
            <w:vAlign w:val="center"/>
          </w:tcPr>
          <w:p w14:paraId="14D1EB28">
            <w:pPr>
              <w:widowControl/>
              <w:jc w:val="center"/>
              <w:rPr>
                <w:color w:val="auto"/>
                <w:kern w:val="0"/>
                <w:sz w:val="18"/>
                <w:szCs w:val="18"/>
              </w:rPr>
            </w:pPr>
            <w:r>
              <w:rPr>
                <w:rFonts w:hint="eastAsia"/>
                <w:color w:val="auto"/>
                <w:kern w:val="0"/>
                <w:sz w:val="18"/>
                <w:szCs w:val="18"/>
              </w:rPr>
              <w:t>8</w:t>
            </w:r>
            <w:r>
              <w:rPr>
                <w:rFonts w:hint="eastAsia"/>
                <w:color w:val="auto"/>
                <w:kern w:val="0"/>
                <w:sz w:val="18"/>
                <w:szCs w:val="18"/>
                <w:lang w:val="en-US" w:eastAsia="zh-CN"/>
              </w:rPr>
              <w:t>0</w:t>
            </w:r>
            <w:r>
              <w:rPr>
                <w:rFonts w:hint="eastAsia"/>
                <w:color w:val="auto"/>
                <w:kern w:val="0"/>
                <w:sz w:val="18"/>
                <w:szCs w:val="18"/>
              </w:rPr>
              <w:t>%</w:t>
            </w:r>
          </w:p>
        </w:tc>
        <w:tc>
          <w:tcPr>
            <w:tcW w:w="330" w:type="pct"/>
            <w:vAlign w:val="center"/>
          </w:tcPr>
          <w:p w14:paraId="543722B0">
            <w:pPr>
              <w:widowControl/>
              <w:jc w:val="center"/>
              <w:rPr>
                <w:color w:val="auto"/>
                <w:kern w:val="0"/>
                <w:sz w:val="18"/>
                <w:szCs w:val="18"/>
              </w:rPr>
            </w:pPr>
            <w:r>
              <w:rPr>
                <w:rFonts w:hint="eastAsia"/>
                <w:color w:val="auto"/>
                <w:kern w:val="0"/>
                <w:sz w:val="18"/>
                <w:szCs w:val="18"/>
              </w:rPr>
              <w:t>物料衡算法</w:t>
            </w:r>
          </w:p>
        </w:tc>
        <w:tc>
          <w:tcPr>
            <w:tcW w:w="248" w:type="pct"/>
            <w:vMerge w:val="restart"/>
            <w:vAlign w:val="center"/>
          </w:tcPr>
          <w:p w14:paraId="623AACE0">
            <w:pPr>
              <w:widowControl/>
              <w:jc w:val="center"/>
              <w:rPr>
                <w:color w:val="auto"/>
                <w:kern w:val="0"/>
                <w:sz w:val="18"/>
                <w:szCs w:val="18"/>
              </w:rPr>
            </w:pPr>
            <w:r>
              <w:rPr>
                <w:rFonts w:hint="eastAsia"/>
                <w:color w:val="auto"/>
                <w:kern w:val="0"/>
                <w:sz w:val="18"/>
                <w:szCs w:val="18"/>
              </w:rPr>
              <w:t>15000</w:t>
            </w:r>
          </w:p>
        </w:tc>
        <w:tc>
          <w:tcPr>
            <w:tcW w:w="239" w:type="pct"/>
            <w:vAlign w:val="center"/>
          </w:tcPr>
          <w:p w14:paraId="0006FFA5">
            <w:pPr>
              <w:widowControl/>
              <w:jc w:val="center"/>
              <w:rPr>
                <w:rFonts w:hint="default" w:eastAsia="宋体"/>
                <w:color w:val="auto"/>
                <w:kern w:val="0"/>
                <w:sz w:val="18"/>
                <w:szCs w:val="18"/>
                <w:lang w:val="en-US" w:eastAsia="zh-CN"/>
              </w:rPr>
            </w:pPr>
            <w:r>
              <w:rPr>
                <w:rFonts w:hint="eastAsia"/>
                <w:color w:val="auto"/>
                <w:kern w:val="0"/>
                <w:sz w:val="18"/>
                <w:szCs w:val="18"/>
              </w:rPr>
              <w:t>0.</w:t>
            </w:r>
            <w:r>
              <w:rPr>
                <w:rFonts w:hint="eastAsia"/>
                <w:color w:val="auto"/>
                <w:kern w:val="0"/>
                <w:sz w:val="18"/>
                <w:szCs w:val="18"/>
                <w:lang w:val="en-US" w:eastAsia="zh-CN"/>
              </w:rPr>
              <w:t>031</w:t>
            </w:r>
          </w:p>
        </w:tc>
        <w:tc>
          <w:tcPr>
            <w:tcW w:w="281" w:type="pct"/>
            <w:vAlign w:val="center"/>
          </w:tcPr>
          <w:p w14:paraId="278A107E">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6.2</w:t>
            </w:r>
          </w:p>
        </w:tc>
        <w:tc>
          <w:tcPr>
            <w:tcW w:w="296" w:type="pct"/>
            <w:shd w:val="clear" w:color="auto" w:fill="auto"/>
            <w:vAlign w:val="center"/>
          </w:tcPr>
          <w:p w14:paraId="76A78A69">
            <w:pPr>
              <w:adjustRightInd w:val="0"/>
              <w:snapToGrid w:val="0"/>
              <w:jc w:val="center"/>
              <w:rPr>
                <w:rFonts w:hint="default" w:eastAsia="宋体"/>
                <w:color w:val="auto"/>
                <w:kern w:val="0"/>
                <w:sz w:val="18"/>
                <w:szCs w:val="18"/>
                <w:lang w:val="en-US" w:eastAsia="zh-CN"/>
              </w:rPr>
            </w:pPr>
            <w:r>
              <w:rPr>
                <w:rFonts w:hint="eastAsia"/>
                <w:color w:val="auto"/>
                <w:sz w:val="18"/>
                <w:szCs w:val="18"/>
                <w:lang w:val="en-US" w:eastAsia="zh-CN"/>
              </w:rPr>
              <w:t>0.037</w:t>
            </w:r>
          </w:p>
        </w:tc>
        <w:tc>
          <w:tcPr>
            <w:tcW w:w="209" w:type="pct"/>
            <w:vAlign w:val="center"/>
          </w:tcPr>
          <w:p w14:paraId="1475E76B">
            <w:pPr>
              <w:widowControl/>
              <w:jc w:val="center"/>
              <w:rPr>
                <w:color w:val="auto"/>
                <w:kern w:val="0"/>
                <w:sz w:val="18"/>
                <w:szCs w:val="18"/>
              </w:rPr>
            </w:pPr>
            <w:bookmarkStart w:id="35" w:name="OLE_LINK13"/>
            <w:r>
              <w:rPr>
                <w:rFonts w:hint="eastAsia"/>
                <w:color w:val="auto"/>
                <w:kern w:val="0"/>
                <w:sz w:val="18"/>
                <w:szCs w:val="18"/>
              </w:rPr>
              <w:t>1200</w:t>
            </w:r>
            <w:bookmarkEnd w:id="35"/>
          </w:p>
        </w:tc>
      </w:tr>
      <w:tr w14:paraId="7D7480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6491034D">
            <w:pPr>
              <w:widowControl/>
              <w:jc w:val="center"/>
              <w:rPr>
                <w:rFonts w:hint="eastAsia"/>
                <w:color w:val="auto"/>
                <w:kern w:val="0"/>
                <w:sz w:val="18"/>
                <w:szCs w:val="18"/>
              </w:rPr>
            </w:pPr>
          </w:p>
        </w:tc>
        <w:tc>
          <w:tcPr>
            <w:tcW w:w="328" w:type="pct"/>
            <w:vMerge w:val="continue"/>
            <w:vAlign w:val="center"/>
          </w:tcPr>
          <w:p w14:paraId="7E231EA0">
            <w:pPr>
              <w:widowControl/>
              <w:jc w:val="center"/>
              <w:rPr>
                <w:rFonts w:hint="eastAsia"/>
                <w:color w:val="auto"/>
                <w:kern w:val="0"/>
                <w:sz w:val="18"/>
                <w:szCs w:val="18"/>
              </w:rPr>
            </w:pPr>
          </w:p>
        </w:tc>
        <w:tc>
          <w:tcPr>
            <w:tcW w:w="332" w:type="pct"/>
            <w:vMerge w:val="continue"/>
            <w:vAlign w:val="center"/>
          </w:tcPr>
          <w:p w14:paraId="3F3D8BBE">
            <w:pPr>
              <w:widowControl/>
              <w:jc w:val="center"/>
              <w:rPr>
                <w:rFonts w:hint="eastAsia"/>
                <w:color w:val="auto"/>
                <w:kern w:val="0"/>
                <w:sz w:val="18"/>
                <w:szCs w:val="18"/>
              </w:rPr>
            </w:pPr>
          </w:p>
        </w:tc>
        <w:tc>
          <w:tcPr>
            <w:tcW w:w="332" w:type="pct"/>
            <w:vAlign w:val="center"/>
          </w:tcPr>
          <w:p w14:paraId="34976850">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臭气浓度</w:t>
            </w:r>
          </w:p>
        </w:tc>
        <w:tc>
          <w:tcPr>
            <w:tcW w:w="332" w:type="pct"/>
            <w:vAlign w:val="center"/>
          </w:tcPr>
          <w:p w14:paraId="2628B5C5">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定性分析</w:t>
            </w:r>
          </w:p>
        </w:tc>
        <w:tc>
          <w:tcPr>
            <w:tcW w:w="315" w:type="pct"/>
            <w:vMerge w:val="continue"/>
            <w:vAlign w:val="center"/>
          </w:tcPr>
          <w:p w14:paraId="3932A40A">
            <w:pPr>
              <w:widowControl/>
              <w:jc w:val="center"/>
              <w:rPr>
                <w:rFonts w:hint="default" w:eastAsia="宋体"/>
                <w:color w:val="auto"/>
                <w:kern w:val="0"/>
                <w:sz w:val="18"/>
                <w:szCs w:val="18"/>
                <w:lang w:val="en-US" w:eastAsia="zh-CN"/>
              </w:rPr>
            </w:pPr>
          </w:p>
        </w:tc>
        <w:tc>
          <w:tcPr>
            <w:tcW w:w="264" w:type="pct"/>
            <w:vAlign w:val="center"/>
          </w:tcPr>
          <w:p w14:paraId="6DFF91F2">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39" w:type="pct"/>
            <w:vAlign w:val="center"/>
          </w:tcPr>
          <w:p w14:paraId="1188597B">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02" w:type="pct"/>
            <w:vAlign w:val="center"/>
          </w:tcPr>
          <w:p w14:paraId="6B9D1224">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73" w:type="pct"/>
            <w:vMerge w:val="continue"/>
            <w:vAlign w:val="center"/>
          </w:tcPr>
          <w:p w14:paraId="03E4CF1D">
            <w:pPr>
              <w:widowControl/>
              <w:jc w:val="center"/>
              <w:rPr>
                <w:rFonts w:hint="eastAsia"/>
                <w:color w:val="auto"/>
                <w:kern w:val="0"/>
                <w:sz w:val="18"/>
                <w:szCs w:val="18"/>
              </w:rPr>
            </w:pPr>
          </w:p>
        </w:tc>
        <w:tc>
          <w:tcPr>
            <w:tcW w:w="252" w:type="pct"/>
            <w:vMerge w:val="continue"/>
            <w:vAlign w:val="center"/>
          </w:tcPr>
          <w:p w14:paraId="2B39C0D0">
            <w:pPr>
              <w:widowControl/>
              <w:jc w:val="center"/>
              <w:rPr>
                <w:rFonts w:hint="eastAsia"/>
                <w:color w:val="auto"/>
                <w:kern w:val="0"/>
                <w:sz w:val="18"/>
                <w:szCs w:val="18"/>
              </w:rPr>
            </w:pPr>
          </w:p>
        </w:tc>
        <w:tc>
          <w:tcPr>
            <w:tcW w:w="330" w:type="pct"/>
            <w:vAlign w:val="center"/>
          </w:tcPr>
          <w:p w14:paraId="45D4FFE8">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定性分析</w:t>
            </w:r>
          </w:p>
        </w:tc>
        <w:tc>
          <w:tcPr>
            <w:tcW w:w="248" w:type="pct"/>
            <w:vMerge w:val="continue"/>
            <w:vAlign w:val="center"/>
          </w:tcPr>
          <w:p w14:paraId="502C892A">
            <w:pPr>
              <w:widowControl/>
              <w:jc w:val="center"/>
              <w:rPr>
                <w:rFonts w:hint="eastAsia"/>
                <w:color w:val="auto"/>
                <w:kern w:val="0"/>
                <w:sz w:val="18"/>
                <w:szCs w:val="18"/>
              </w:rPr>
            </w:pPr>
          </w:p>
        </w:tc>
        <w:tc>
          <w:tcPr>
            <w:tcW w:w="239" w:type="pct"/>
            <w:vAlign w:val="center"/>
          </w:tcPr>
          <w:p w14:paraId="481B170E">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81" w:type="pct"/>
            <w:vAlign w:val="center"/>
          </w:tcPr>
          <w:p w14:paraId="6A700B19">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96" w:type="pct"/>
            <w:shd w:val="clear" w:color="auto" w:fill="auto"/>
            <w:vAlign w:val="center"/>
          </w:tcPr>
          <w:p w14:paraId="35EE6897">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209" w:type="pct"/>
            <w:vAlign w:val="center"/>
          </w:tcPr>
          <w:p w14:paraId="384651BC">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1200</w:t>
            </w:r>
          </w:p>
        </w:tc>
      </w:tr>
      <w:tr w14:paraId="121326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589C0D26">
            <w:pPr>
              <w:widowControl/>
              <w:jc w:val="center"/>
              <w:rPr>
                <w:color w:val="auto"/>
                <w:kern w:val="0"/>
                <w:sz w:val="18"/>
                <w:szCs w:val="18"/>
              </w:rPr>
            </w:pPr>
          </w:p>
        </w:tc>
        <w:tc>
          <w:tcPr>
            <w:tcW w:w="328" w:type="pct"/>
            <w:vMerge w:val="continue"/>
            <w:vAlign w:val="center"/>
          </w:tcPr>
          <w:p w14:paraId="509D03DF">
            <w:pPr>
              <w:widowControl/>
              <w:jc w:val="center"/>
              <w:rPr>
                <w:color w:val="auto"/>
                <w:kern w:val="0"/>
                <w:sz w:val="18"/>
                <w:szCs w:val="18"/>
              </w:rPr>
            </w:pPr>
          </w:p>
        </w:tc>
        <w:tc>
          <w:tcPr>
            <w:tcW w:w="332" w:type="pct"/>
            <w:vMerge w:val="restart"/>
            <w:vAlign w:val="center"/>
          </w:tcPr>
          <w:p w14:paraId="32AA7002">
            <w:pPr>
              <w:widowControl/>
              <w:jc w:val="center"/>
              <w:rPr>
                <w:color w:val="auto"/>
                <w:kern w:val="0"/>
                <w:sz w:val="18"/>
                <w:szCs w:val="18"/>
              </w:rPr>
            </w:pPr>
            <w:r>
              <w:rPr>
                <w:rFonts w:hint="eastAsia"/>
                <w:color w:val="auto"/>
                <w:kern w:val="0"/>
                <w:sz w:val="18"/>
                <w:szCs w:val="18"/>
              </w:rPr>
              <w:t>无组织</w:t>
            </w:r>
          </w:p>
        </w:tc>
        <w:tc>
          <w:tcPr>
            <w:tcW w:w="332" w:type="pct"/>
            <w:vAlign w:val="center"/>
          </w:tcPr>
          <w:p w14:paraId="4F97C914">
            <w:pPr>
              <w:widowControl/>
              <w:jc w:val="center"/>
              <w:rPr>
                <w:color w:val="auto"/>
                <w:kern w:val="0"/>
                <w:sz w:val="18"/>
                <w:szCs w:val="18"/>
              </w:rPr>
            </w:pPr>
            <w:r>
              <w:rPr>
                <w:rFonts w:hint="eastAsia"/>
                <w:color w:val="auto"/>
                <w:kern w:val="0"/>
                <w:sz w:val="18"/>
                <w:szCs w:val="18"/>
              </w:rPr>
              <w:t>NMHC</w:t>
            </w:r>
          </w:p>
        </w:tc>
        <w:tc>
          <w:tcPr>
            <w:tcW w:w="332" w:type="pct"/>
            <w:vAlign w:val="center"/>
          </w:tcPr>
          <w:p w14:paraId="0D09E1A1">
            <w:pPr>
              <w:widowControl/>
              <w:jc w:val="center"/>
              <w:rPr>
                <w:color w:val="auto"/>
                <w:kern w:val="0"/>
                <w:sz w:val="18"/>
                <w:szCs w:val="18"/>
              </w:rPr>
            </w:pPr>
            <w:r>
              <w:rPr>
                <w:rFonts w:hint="eastAsia"/>
                <w:color w:val="auto"/>
                <w:kern w:val="0"/>
                <w:sz w:val="18"/>
                <w:szCs w:val="18"/>
              </w:rPr>
              <w:t>物料衡算法</w:t>
            </w:r>
          </w:p>
        </w:tc>
        <w:tc>
          <w:tcPr>
            <w:tcW w:w="315" w:type="pct"/>
            <w:vAlign w:val="center"/>
          </w:tcPr>
          <w:p w14:paraId="4F219D67">
            <w:pPr>
              <w:widowControl/>
              <w:jc w:val="center"/>
              <w:rPr>
                <w:color w:val="auto"/>
                <w:kern w:val="0"/>
                <w:sz w:val="18"/>
                <w:szCs w:val="18"/>
              </w:rPr>
            </w:pPr>
            <w:r>
              <w:rPr>
                <w:rFonts w:hint="eastAsia"/>
                <w:color w:val="auto"/>
                <w:kern w:val="0"/>
                <w:sz w:val="18"/>
                <w:szCs w:val="18"/>
              </w:rPr>
              <w:t>/</w:t>
            </w:r>
          </w:p>
        </w:tc>
        <w:tc>
          <w:tcPr>
            <w:tcW w:w="264" w:type="pct"/>
            <w:vAlign w:val="center"/>
          </w:tcPr>
          <w:p w14:paraId="57A04FEF">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0.008</w:t>
            </w:r>
          </w:p>
        </w:tc>
        <w:tc>
          <w:tcPr>
            <w:tcW w:w="339" w:type="pct"/>
            <w:vAlign w:val="center"/>
          </w:tcPr>
          <w:p w14:paraId="3C2763A8">
            <w:pPr>
              <w:widowControl/>
              <w:jc w:val="center"/>
              <w:rPr>
                <w:color w:val="auto"/>
                <w:kern w:val="0"/>
                <w:sz w:val="18"/>
                <w:szCs w:val="18"/>
              </w:rPr>
            </w:pPr>
            <w:r>
              <w:rPr>
                <w:rFonts w:hint="eastAsia"/>
                <w:color w:val="auto"/>
                <w:kern w:val="0"/>
                <w:sz w:val="18"/>
                <w:szCs w:val="18"/>
              </w:rPr>
              <w:t>/</w:t>
            </w:r>
          </w:p>
        </w:tc>
        <w:tc>
          <w:tcPr>
            <w:tcW w:w="302" w:type="pct"/>
            <w:vAlign w:val="center"/>
          </w:tcPr>
          <w:p w14:paraId="4E270A15">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0.01</w:t>
            </w:r>
          </w:p>
        </w:tc>
        <w:tc>
          <w:tcPr>
            <w:tcW w:w="273" w:type="pct"/>
            <w:vAlign w:val="center"/>
          </w:tcPr>
          <w:p w14:paraId="4ABAB09A">
            <w:pPr>
              <w:widowControl/>
              <w:jc w:val="center"/>
              <w:rPr>
                <w:color w:val="auto"/>
                <w:kern w:val="0"/>
                <w:sz w:val="18"/>
                <w:szCs w:val="18"/>
              </w:rPr>
            </w:pPr>
            <w:r>
              <w:rPr>
                <w:rFonts w:hint="eastAsia"/>
                <w:color w:val="auto"/>
                <w:kern w:val="0"/>
                <w:sz w:val="18"/>
                <w:szCs w:val="18"/>
              </w:rPr>
              <w:t>/</w:t>
            </w:r>
          </w:p>
        </w:tc>
        <w:tc>
          <w:tcPr>
            <w:tcW w:w="252" w:type="pct"/>
            <w:vAlign w:val="center"/>
          </w:tcPr>
          <w:p w14:paraId="7715F024">
            <w:pPr>
              <w:widowControl/>
              <w:jc w:val="center"/>
              <w:rPr>
                <w:color w:val="auto"/>
                <w:kern w:val="0"/>
                <w:sz w:val="18"/>
                <w:szCs w:val="18"/>
              </w:rPr>
            </w:pPr>
            <w:r>
              <w:rPr>
                <w:rFonts w:hint="eastAsia"/>
                <w:color w:val="auto"/>
                <w:kern w:val="0"/>
                <w:sz w:val="18"/>
                <w:szCs w:val="18"/>
              </w:rPr>
              <w:t>/</w:t>
            </w:r>
          </w:p>
        </w:tc>
        <w:tc>
          <w:tcPr>
            <w:tcW w:w="330" w:type="pct"/>
            <w:vAlign w:val="center"/>
          </w:tcPr>
          <w:p w14:paraId="1FAA7A02">
            <w:pPr>
              <w:widowControl/>
              <w:jc w:val="center"/>
              <w:rPr>
                <w:color w:val="auto"/>
                <w:kern w:val="0"/>
                <w:sz w:val="18"/>
                <w:szCs w:val="18"/>
              </w:rPr>
            </w:pPr>
            <w:r>
              <w:rPr>
                <w:rFonts w:hint="eastAsia"/>
                <w:color w:val="auto"/>
                <w:kern w:val="0"/>
                <w:sz w:val="18"/>
                <w:szCs w:val="18"/>
              </w:rPr>
              <w:t>物料衡算法</w:t>
            </w:r>
          </w:p>
        </w:tc>
        <w:tc>
          <w:tcPr>
            <w:tcW w:w="248" w:type="pct"/>
            <w:vAlign w:val="center"/>
          </w:tcPr>
          <w:p w14:paraId="6A176BFA">
            <w:pPr>
              <w:widowControl/>
              <w:jc w:val="center"/>
              <w:rPr>
                <w:color w:val="auto"/>
                <w:kern w:val="0"/>
                <w:sz w:val="18"/>
                <w:szCs w:val="18"/>
              </w:rPr>
            </w:pPr>
            <w:r>
              <w:rPr>
                <w:rFonts w:hint="eastAsia"/>
                <w:color w:val="auto"/>
                <w:kern w:val="0"/>
                <w:sz w:val="18"/>
                <w:szCs w:val="18"/>
              </w:rPr>
              <w:t>/</w:t>
            </w:r>
          </w:p>
        </w:tc>
        <w:tc>
          <w:tcPr>
            <w:tcW w:w="239" w:type="pct"/>
            <w:vAlign w:val="center"/>
          </w:tcPr>
          <w:p w14:paraId="1F963A14">
            <w:pPr>
              <w:widowControl/>
              <w:jc w:val="center"/>
              <w:rPr>
                <w:color w:val="auto"/>
                <w:kern w:val="0"/>
                <w:sz w:val="18"/>
                <w:szCs w:val="18"/>
              </w:rPr>
            </w:pPr>
            <w:r>
              <w:rPr>
                <w:rFonts w:hint="eastAsia"/>
                <w:color w:val="auto"/>
                <w:kern w:val="0"/>
                <w:sz w:val="18"/>
                <w:szCs w:val="18"/>
                <w:lang w:val="en-US" w:eastAsia="zh-CN"/>
              </w:rPr>
              <w:t>0.008</w:t>
            </w:r>
          </w:p>
        </w:tc>
        <w:tc>
          <w:tcPr>
            <w:tcW w:w="281" w:type="pct"/>
            <w:vAlign w:val="center"/>
          </w:tcPr>
          <w:p w14:paraId="613EC617">
            <w:pPr>
              <w:widowControl/>
              <w:jc w:val="center"/>
              <w:rPr>
                <w:color w:val="auto"/>
                <w:kern w:val="0"/>
                <w:sz w:val="18"/>
                <w:szCs w:val="18"/>
              </w:rPr>
            </w:pPr>
            <w:r>
              <w:rPr>
                <w:rFonts w:hint="eastAsia"/>
                <w:color w:val="auto"/>
                <w:kern w:val="0"/>
                <w:sz w:val="18"/>
                <w:szCs w:val="18"/>
              </w:rPr>
              <w:t>/</w:t>
            </w:r>
          </w:p>
        </w:tc>
        <w:tc>
          <w:tcPr>
            <w:tcW w:w="296" w:type="pct"/>
            <w:shd w:val="clear" w:color="auto" w:fill="auto"/>
            <w:vAlign w:val="center"/>
          </w:tcPr>
          <w:p w14:paraId="40423C5E">
            <w:pPr>
              <w:widowControl/>
              <w:jc w:val="center"/>
              <w:rPr>
                <w:color w:val="auto"/>
                <w:kern w:val="0"/>
                <w:sz w:val="18"/>
                <w:szCs w:val="18"/>
              </w:rPr>
            </w:pPr>
            <w:r>
              <w:rPr>
                <w:rFonts w:hint="eastAsia"/>
                <w:color w:val="auto"/>
                <w:kern w:val="0"/>
                <w:sz w:val="18"/>
                <w:szCs w:val="18"/>
                <w:lang w:val="en-US" w:eastAsia="zh-CN"/>
              </w:rPr>
              <w:t>0.01</w:t>
            </w:r>
          </w:p>
        </w:tc>
        <w:tc>
          <w:tcPr>
            <w:tcW w:w="209" w:type="pct"/>
            <w:vAlign w:val="center"/>
          </w:tcPr>
          <w:p w14:paraId="4812BE16">
            <w:pPr>
              <w:widowControl/>
              <w:jc w:val="center"/>
              <w:rPr>
                <w:color w:val="auto"/>
                <w:kern w:val="0"/>
                <w:sz w:val="18"/>
                <w:szCs w:val="18"/>
              </w:rPr>
            </w:pPr>
            <w:r>
              <w:rPr>
                <w:rFonts w:hint="eastAsia"/>
                <w:color w:val="auto"/>
                <w:kern w:val="0"/>
                <w:sz w:val="18"/>
                <w:szCs w:val="18"/>
              </w:rPr>
              <w:t>1200</w:t>
            </w:r>
          </w:p>
        </w:tc>
      </w:tr>
      <w:tr w14:paraId="4FAFE9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6A0E5A89">
            <w:pPr>
              <w:widowControl/>
              <w:jc w:val="center"/>
              <w:rPr>
                <w:color w:val="auto"/>
                <w:kern w:val="0"/>
                <w:sz w:val="18"/>
                <w:szCs w:val="18"/>
              </w:rPr>
            </w:pPr>
          </w:p>
        </w:tc>
        <w:tc>
          <w:tcPr>
            <w:tcW w:w="328" w:type="pct"/>
            <w:vMerge w:val="continue"/>
            <w:vAlign w:val="center"/>
          </w:tcPr>
          <w:p w14:paraId="116EB86B">
            <w:pPr>
              <w:widowControl/>
              <w:jc w:val="center"/>
              <w:rPr>
                <w:color w:val="auto"/>
                <w:kern w:val="0"/>
                <w:sz w:val="18"/>
                <w:szCs w:val="18"/>
              </w:rPr>
            </w:pPr>
          </w:p>
        </w:tc>
        <w:tc>
          <w:tcPr>
            <w:tcW w:w="332" w:type="pct"/>
            <w:vMerge w:val="continue"/>
            <w:vAlign w:val="center"/>
          </w:tcPr>
          <w:p w14:paraId="4E30EE21">
            <w:pPr>
              <w:widowControl/>
              <w:jc w:val="center"/>
              <w:rPr>
                <w:rFonts w:hint="eastAsia"/>
                <w:color w:val="auto"/>
                <w:kern w:val="0"/>
                <w:sz w:val="18"/>
                <w:szCs w:val="18"/>
              </w:rPr>
            </w:pPr>
          </w:p>
        </w:tc>
        <w:tc>
          <w:tcPr>
            <w:tcW w:w="332" w:type="pct"/>
            <w:vAlign w:val="center"/>
          </w:tcPr>
          <w:p w14:paraId="331BB016">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臭气浓度</w:t>
            </w:r>
          </w:p>
        </w:tc>
        <w:tc>
          <w:tcPr>
            <w:tcW w:w="332" w:type="pct"/>
            <w:vAlign w:val="center"/>
          </w:tcPr>
          <w:p w14:paraId="36CC82DB">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定性分析</w:t>
            </w:r>
          </w:p>
        </w:tc>
        <w:tc>
          <w:tcPr>
            <w:tcW w:w="315" w:type="pct"/>
            <w:vAlign w:val="center"/>
          </w:tcPr>
          <w:p w14:paraId="7557596E">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64" w:type="pct"/>
            <w:vAlign w:val="center"/>
          </w:tcPr>
          <w:p w14:paraId="16216AAB">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39" w:type="pct"/>
            <w:vAlign w:val="center"/>
          </w:tcPr>
          <w:p w14:paraId="2C76573E">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02" w:type="pct"/>
            <w:vAlign w:val="center"/>
          </w:tcPr>
          <w:p w14:paraId="4DFE0A8D">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73" w:type="pct"/>
            <w:vAlign w:val="center"/>
          </w:tcPr>
          <w:p w14:paraId="3E4D076E">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52" w:type="pct"/>
            <w:vAlign w:val="center"/>
          </w:tcPr>
          <w:p w14:paraId="57723848">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30" w:type="pct"/>
            <w:vAlign w:val="center"/>
          </w:tcPr>
          <w:p w14:paraId="71768921">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48" w:type="pct"/>
            <w:vAlign w:val="center"/>
          </w:tcPr>
          <w:p w14:paraId="6BDC241F">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39" w:type="pct"/>
            <w:vAlign w:val="center"/>
          </w:tcPr>
          <w:p w14:paraId="5AD4D61B">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81" w:type="pct"/>
            <w:vAlign w:val="center"/>
          </w:tcPr>
          <w:p w14:paraId="4AE7721F">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96" w:type="pct"/>
            <w:shd w:val="clear" w:color="auto" w:fill="auto"/>
            <w:vAlign w:val="center"/>
          </w:tcPr>
          <w:p w14:paraId="3E66A56A">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w:t>
            </w:r>
          </w:p>
        </w:tc>
        <w:tc>
          <w:tcPr>
            <w:tcW w:w="209" w:type="pct"/>
            <w:vAlign w:val="center"/>
          </w:tcPr>
          <w:p w14:paraId="69B76A94">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1200</w:t>
            </w:r>
          </w:p>
        </w:tc>
      </w:tr>
      <w:tr w14:paraId="73BB2F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Align w:val="center"/>
          </w:tcPr>
          <w:p w14:paraId="03CA8476">
            <w:pPr>
              <w:widowControl/>
              <w:jc w:val="center"/>
              <w:rPr>
                <w:rFonts w:hint="eastAsia" w:eastAsia="宋体"/>
                <w:color w:val="auto"/>
                <w:kern w:val="0"/>
                <w:sz w:val="18"/>
                <w:szCs w:val="18"/>
                <w:lang w:eastAsia="zh-CN"/>
              </w:rPr>
            </w:pPr>
            <w:r>
              <w:rPr>
                <w:rFonts w:hint="eastAsia"/>
                <w:color w:val="auto"/>
                <w:kern w:val="0"/>
                <w:sz w:val="18"/>
                <w:szCs w:val="18"/>
                <w:lang w:val="en-US" w:eastAsia="zh-CN"/>
              </w:rPr>
              <w:t>焊接烟气</w:t>
            </w:r>
          </w:p>
        </w:tc>
        <w:tc>
          <w:tcPr>
            <w:tcW w:w="328" w:type="pct"/>
            <w:vAlign w:val="center"/>
          </w:tcPr>
          <w:p w14:paraId="0B485539">
            <w:pPr>
              <w:widowControl/>
              <w:jc w:val="center"/>
              <w:rPr>
                <w:color w:val="auto"/>
                <w:kern w:val="0"/>
                <w:sz w:val="18"/>
                <w:szCs w:val="18"/>
              </w:rPr>
            </w:pPr>
            <w:r>
              <w:rPr>
                <w:rFonts w:hint="eastAsia"/>
                <w:color w:val="auto"/>
                <w:kern w:val="0"/>
                <w:sz w:val="18"/>
                <w:szCs w:val="18"/>
              </w:rPr>
              <w:t>/</w:t>
            </w:r>
          </w:p>
        </w:tc>
        <w:tc>
          <w:tcPr>
            <w:tcW w:w="332" w:type="pct"/>
            <w:vAlign w:val="center"/>
          </w:tcPr>
          <w:p w14:paraId="70FA2194">
            <w:pPr>
              <w:widowControl/>
              <w:jc w:val="center"/>
              <w:rPr>
                <w:color w:val="auto"/>
                <w:kern w:val="0"/>
                <w:sz w:val="18"/>
                <w:szCs w:val="18"/>
              </w:rPr>
            </w:pPr>
            <w:r>
              <w:rPr>
                <w:rFonts w:hint="eastAsia"/>
                <w:color w:val="auto"/>
                <w:kern w:val="0"/>
                <w:sz w:val="18"/>
                <w:szCs w:val="18"/>
              </w:rPr>
              <w:t>无组织</w:t>
            </w:r>
          </w:p>
        </w:tc>
        <w:tc>
          <w:tcPr>
            <w:tcW w:w="332" w:type="pct"/>
            <w:vAlign w:val="center"/>
          </w:tcPr>
          <w:p w14:paraId="46E71B9C">
            <w:pPr>
              <w:widowControl/>
              <w:jc w:val="center"/>
              <w:rPr>
                <w:rFonts w:hint="eastAsia" w:eastAsia="宋体"/>
                <w:color w:val="auto"/>
                <w:kern w:val="0"/>
                <w:sz w:val="18"/>
                <w:szCs w:val="18"/>
                <w:lang w:eastAsia="zh-CN"/>
              </w:rPr>
            </w:pPr>
            <w:r>
              <w:rPr>
                <w:rFonts w:hint="eastAsia"/>
                <w:color w:val="auto"/>
                <w:kern w:val="0"/>
                <w:sz w:val="18"/>
                <w:szCs w:val="18"/>
                <w:lang w:val="en-US" w:eastAsia="zh-CN"/>
              </w:rPr>
              <w:t>颗粒物</w:t>
            </w:r>
          </w:p>
        </w:tc>
        <w:tc>
          <w:tcPr>
            <w:tcW w:w="332" w:type="pct"/>
            <w:vAlign w:val="center"/>
          </w:tcPr>
          <w:p w14:paraId="2B1AF86E">
            <w:pPr>
              <w:widowControl/>
              <w:jc w:val="center"/>
              <w:rPr>
                <w:color w:val="auto"/>
                <w:kern w:val="0"/>
                <w:sz w:val="18"/>
                <w:szCs w:val="18"/>
              </w:rPr>
            </w:pPr>
            <w:r>
              <w:rPr>
                <w:rFonts w:hint="eastAsia"/>
                <w:color w:val="auto"/>
                <w:kern w:val="0"/>
                <w:sz w:val="18"/>
                <w:szCs w:val="18"/>
              </w:rPr>
              <w:t>物料衡算法</w:t>
            </w:r>
          </w:p>
        </w:tc>
        <w:tc>
          <w:tcPr>
            <w:tcW w:w="315" w:type="pct"/>
            <w:vAlign w:val="center"/>
          </w:tcPr>
          <w:p w14:paraId="44B955BF">
            <w:pPr>
              <w:widowControl/>
              <w:jc w:val="center"/>
              <w:rPr>
                <w:color w:val="auto"/>
                <w:kern w:val="0"/>
                <w:sz w:val="18"/>
                <w:szCs w:val="18"/>
              </w:rPr>
            </w:pPr>
            <w:r>
              <w:rPr>
                <w:rFonts w:hint="eastAsia"/>
                <w:color w:val="auto"/>
                <w:kern w:val="0"/>
                <w:sz w:val="18"/>
                <w:szCs w:val="18"/>
              </w:rPr>
              <w:t>/</w:t>
            </w:r>
          </w:p>
        </w:tc>
        <w:tc>
          <w:tcPr>
            <w:tcW w:w="264" w:type="pct"/>
            <w:vAlign w:val="center"/>
          </w:tcPr>
          <w:p w14:paraId="151B6CA9">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0.0008</w:t>
            </w:r>
          </w:p>
        </w:tc>
        <w:tc>
          <w:tcPr>
            <w:tcW w:w="339" w:type="pct"/>
            <w:vAlign w:val="center"/>
          </w:tcPr>
          <w:p w14:paraId="582454ED">
            <w:pPr>
              <w:widowControl/>
              <w:jc w:val="center"/>
              <w:rPr>
                <w:color w:val="auto"/>
                <w:kern w:val="0"/>
                <w:sz w:val="18"/>
                <w:szCs w:val="18"/>
              </w:rPr>
            </w:pPr>
            <w:r>
              <w:rPr>
                <w:rFonts w:hint="eastAsia"/>
                <w:color w:val="auto"/>
                <w:kern w:val="0"/>
                <w:sz w:val="18"/>
                <w:szCs w:val="18"/>
              </w:rPr>
              <w:t>/</w:t>
            </w:r>
          </w:p>
        </w:tc>
        <w:tc>
          <w:tcPr>
            <w:tcW w:w="302" w:type="pct"/>
            <w:vAlign w:val="center"/>
          </w:tcPr>
          <w:p w14:paraId="04DAF785">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0.002</w:t>
            </w:r>
          </w:p>
        </w:tc>
        <w:tc>
          <w:tcPr>
            <w:tcW w:w="273" w:type="pct"/>
            <w:vAlign w:val="center"/>
          </w:tcPr>
          <w:p w14:paraId="5F56609D">
            <w:pPr>
              <w:widowControl/>
              <w:jc w:val="center"/>
              <w:rPr>
                <w:rFonts w:hint="eastAsia" w:eastAsia="宋体"/>
                <w:color w:val="auto"/>
                <w:kern w:val="0"/>
                <w:sz w:val="18"/>
                <w:szCs w:val="18"/>
                <w:lang w:eastAsia="zh-CN"/>
              </w:rPr>
            </w:pPr>
            <w:r>
              <w:rPr>
                <w:rFonts w:hint="eastAsia" w:eastAsia="宋体"/>
                <w:color w:val="auto"/>
                <w:kern w:val="0"/>
                <w:sz w:val="18"/>
                <w:szCs w:val="18"/>
                <w:lang w:eastAsia="zh-CN"/>
              </w:rPr>
              <w:t>移动式焊接烟尘净化装置</w:t>
            </w:r>
          </w:p>
        </w:tc>
        <w:tc>
          <w:tcPr>
            <w:tcW w:w="252" w:type="pct"/>
            <w:vAlign w:val="center"/>
          </w:tcPr>
          <w:p w14:paraId="0FC542D3">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50%</w:t>
            </w:r>
          </w:p>
        </w:tc>
        <w:tc>
          <w:tcPr>
            <w:tcW w:w="330" w:type="pct"/>
            <w:vAlign w:val="center"/>
          </w:tcPr>
          <w:p w14:paraId="1DA15FB0">
            <w:pPr>
              <w:widowControl/>
              <w:jc w:val="center"/>
              <w:rPr>
                <w:color w:val="auto"/>
                <w:kern w:val="0"/>
                <w:sz w:val="18"/>
                <w:szCs w:val="18"/>
              </w:rPr>
            </w:pPr>
            <w:r>
              <w:rPr>
                <w:rFonts w:hint="eastAsia"/>
                <w:color w:val="auto"/>
                <w:kern w:val="0"/>
                <w:sz w:val="18"/>
                <w:szCs w:val="18"/>
              </w:rPr>
              <w:t>物料衡算法</w:t>
            </w:r>
          </w:p>
        </w:tc>
        <w:tc>
          <w:tcPr>
            <w:tcW w:w="248" w:type="pct"/>
            <w:vAlign w:val="center"/>
          </w:tcPr>
          <w:p w14:paraId="52E09DE8">
            <w:pPr>
              <w:widowControl/>
              <w:jc w:val="center"/>
              <w:rPr>
                <w:color w:val="auto"/>
                <w:kern w:val="0"/>
                <w:sz w:val="18"/>
                <w:szCs w:val="18"/>
              </w:rPr>
            </w:pPr>
            <w:r>
              <w:rPr>
                <w:rFonts w:hint="eastAsia"/>
                <w:color w:val="auto"/>
                <w:kern w:val="0"/>
                <w:sz w:val="18"/>
                <w:szCs w:val="18"/>
              </w:rPr>
              <w:t>/</w:t>
            </w:r>
          </w:p>
        </w:tc>
        <w:tc>
          <w:tcPr>
            <w:tcW w:w="239" w:type="pct"/>
            <w:shd w:val="clear" w:color="auto" w:fill="auto"/>
            <w:vAlign w:val="center"/>
          </w:tcPr>
          <w:p w14:paraId="0E16A540">
            <w:pPr>
              <w:widowControl/>
              <w:jc w:val="center"/>
              <w:rPr>
                <w:color w:val="auto"/>
                <w:kern w:val="0"/>
                <w:sz w:val="18"/>
                <w:szCs w:val="18"/>
              </w:rPr>
            </w:pPr>
            <w:r>
              <w:rPr>
                <w:rFonts w:hint="eastAsia"/>
                <w:color w:val="auto"/>
                <w:kern w:val="0"/>
                <w:sz w:val="18"/>
                <w:szCs w:val="18"/>
                <w:lang w:val="en-US" w:eastAsia="zh-CN"/>
              </w:rPr>
              <w:t>0.0004</w:t>
            </w:r>
          </w:p>
        </w:tc>
        <w:tc>
          <w:tcPr>
            <w:tcW w:w="281" w:type="pct"/>
            <w:shd w:val="clear" w:color="auto" w:fill="auto"/>
            <w:vAlign w:val="center"/>
          </w:tcPr>
          <w:p w14:paraId="15CE452B">
            <w:pPr>
              <w:widowControl/>
              <w:jc w:val="center"/>
              <w:rPr>
                <w:color w:val="auto"/>
                <w:kern w:val="0"/>
                <w:sz w:val="18"/>
                <w:szCs w:val="18"/>
              </w:rPr>
            </w:pPr>
            <w:r>
              <w:rPr>
                <w:rFonts w:hint="eastAsia"/>
                <w:color w:val="auto"/>
                <w:kern w:val="0"/>
                <w:sz w:val="18"/>
                <w:szCs w:val="18"/>
              </w:rPr>
              <w:t>/</w:t>
            </w:r>
          </w:p>
        </w:tc>
        <w:tc>
          <w:tcPr>
            <w:tcW w:w="296" w:type="pct"/>
            <w:vAlign w:val="center"/>
          </w:tcPr>
          <w:p w14:paraId="25404FF3">
            <w:pPr>
              <w:widowControl/>
              <w:jc w:val="center"/>
              <w:rPr>
                <w:color w:val="auto"/>
                <w:kern w:val="0"/>
                <w:sz w:val="18"/>
                <w:szCs w:val="18"/>
              </w:rPr>
            </w:pPr>
            <w:r>
              <w:rPr>
                <w:rFonts w:hint="eastAsia"/>
                <w:color w:val="auto"/>
                <w:kern w:val="0"/>
                <w:sz w:val="18"/>
                <w:szCs w:val="18"/>
                <w:lang w:val="en-US" w:eastAsia="zh-CN"/>
              </w:rPr>
              <w:t>0.001</w:t>
            </w:r>
          </w:p>
        </w:tc>
        <w:tc>
          <w:tcPr>
            <w:tcW w:w="209" w:type="pct"/>
            <w:vAlign w:val="center"/>
          </w:tcPr>
          <w:p w14:paraId="2F47E223">
            <w:pPr>
              <w:widowControl/>
              <w:jc w:val="center"/>
              <w:rPr>
                <w:color w:val="auto"/>
                <w:kern w:val="0"/>
                <w:sz w:val="18"/>
                <w:szCs w:val="18"/>
              </w:rPr>
            </w:pPr>
            <w:r>
              <w:rPr>
                <w:rFonts w:hint="eastAsia"/>
                <w:color w:val="auto"/>
                <w:kern w:val="0"/>
                <w:sz w:val="18"/>
                <w:szCs w:val="18"/>
              </w:rPr>
              <w:t>2400</w:t>
            </w:r>
          </w:p>
        </w:tc>
      </w:tr>
      <w:tr w14:paraId="61A1F1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Align w:val="center"/>
          </w:tcPr>
          <w:p w14:paraId="70372B8B">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金属粉尘切割粉尘</w:t>
            </w:r>
          </w:p>
        </w:tc>
        <w:tc>
          <w:tcPr>
            <w:tcW w:w="328" w:type="pct"/>
            <w:vAlign w:val="center"/>
          </w:tcPr>
          <w:p w14:paraId="588D55F8">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32" w:type="pct"/>
            <w:vAlign w:val="center"/>
          </w:tcPr>
          <w:p w14:paraId="47FA3423">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无组织</w:t>
            </w:r>
          </w:p>
        </w:tc>
        <w:tc>
          <w:tcPr>
            <w:tcW w:w="332" w:type="pct"/>
            <w:vAlign w:val="center"/>
          </w:tcPr>
          <w:p w14:paraId="7F0710A9">
            <w:pPr>
              <w:widowControl/>
              <w:jc w:val="center"/>
              <w:rPr>
                <w:rFonts w:hint="default"/>
                <w:color w:val="auto"/>
                <w:kern w:val="0"/>
                <w:sz w:val="18"/>
                <w:szCs w:val="18"/>
                <w:lang w:val="en-US" w:eastAsia="zh-CN"/>
              </w:rPr>
            </w:pPr>
            <w:r>
              <w:rPr>
                <w:rFonts w:hint="eastAsia"/>
                <w:color w:val="auto"/>
                <w:kern w:val="0"/>
                <w:sz w:val="18"/>
                <w:szCs w:val="18"/>
                <w:lang w:val="en-US" w:eastAsia="zh-CN"/>
              </w:rPr>
              <w:t>颗粒物</w:t>
            </w:r>
          </w:p>
        </w:tc>
        <w:tc>
          <w:tcPr>
            <w:tcW w:w="332" w:type="pct"/>
            <w:vAlign w:val="center"/>
          </w:tcPr>
          <w:p w14:paraId="120AD041">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定性分析</w:t>
            </w:r>
          </w:p>
        </w:tc>
        <w:tc>
          <w:tcPr>
            <w:tcW w:w="315" w:type="pct"/>
            <w:vAlign w:val="center"/>
          </w:tcPr>
          <w:p w14:paraId="50A2DACE">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64" w:type="pct"/>
            <w:vAlign w:val="center"/>
          </w:tcPr>
          <w:p w14:paraId="75C1F4F5">
            <w:pPr>
              <w:widowControl/>
              <w:jc w:val="center"/>
              <w:rPr>
                <w:rFonts w:hint="default"/>
                <w:color w:val="auto"/>
                <w:kern w:val="0"/>
                <w:sz w:val="18"/>
                <w:szCs w:val="18"/>
                <w:lang w:val="en-US" w:eastAsia="zh-CN"/>
              </w:rPr>
            </w:pPr>
            <w:r>
              <w:rPr>
                <w:rFonts w:hint="eastAsia"/>
                <w:color w:val="auto"/>
                <w:kern w:val="0"/>
                <w:sz w:val="18"/>
                <w:szCs w:val="18"/>
                <w:lang w:val="en-US" w:eastAsia="zh-CN"/>
              </w:rPr>
              <w:t>/</w:t>
            </w:r>
          </w:p>
        </w:tc>
        <w:tc>
          <w:tcPr>
            <w:tcW w:w="339" w:type="pct"/>
            <w:vAlign w:val="center"/>
          </w:tcPr>
          <w:p w14:paraId="415A509B">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02" w:type="pct"/>
            <w:vAlign w:val="center"/>
          </w:tcPr>
          <w:p w14:paraId="4F30F0A5">
            <w:pPr>
              <w:widowControl/>
              <w:jc w:val="center"/>
              <w:rPr>
                <w:rFonts w:hint="default"/>
                <w:color w:val="auto"/>
                <w:kern w:val="0"/>
                <w:sz w:val="18"/>
                <w:szCs w:val="18"/>
                <w:lang w:val="en-US" w:eastAsia="zh-CN"/>
              </w:rPr>
            </w:pPr>
            <w:r>
              <w:rPr>
                <w:rFonts w:hint="eastAsia"/>
                <w:color w:val="auto"/>
                <w:kern w:val="0"/>
                <w:sz w:val="18"/>
                <w:szCs w:val="18"/>
                <w:lang w:val="en-US" w:eastAsia="zh-CN"/>
              </w:rPr>
              <w:t>/</w:t>
            </w:r>
          </w:p>
        </w:tc>
        <w:tc>
          <w:tcPr>
            <w:tcW w:w="273" w:type="pct"/>
            <w:vAlign w:val="center"/>
          </w:tcPr>
          <w:p w14:paraId="597A3B9C">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252" w:type="pct"/>
            <w:vAlign w:val="center"/>
          </w:tcPr>
          <w:p w14:paraId="5FC2C30A">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30" w:type="pct"/>
            <w:shd w:val="clear" w:color="auto" w:fill="auto"/>
            <w:vAlign w:val="center"/>
          </w:tcPr>
          <w:p w14:paraId="5360E081">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定性分析</w:t>
            </w:r>
          </w:p>
        </w:tc>
        <w:tc>
          <w:tcPr>
            <w:tcW w:w="248" w:type="pct"/>
            <w:shd w:val="clear" w:color="auto" w:fill="auto"/>
            <w:vAlign w:val="center"/>
          </w:tcPr>
          <w:p w14:paraId="7E9D4B01">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w:t>
            </w:r>
          </w:p>
        </w:tc>
        <w:tc>
          <w:tcPr>
            <w:tcW w:w="239" w:type="pct"/>
            <w:shd w:val="clear" w:color="auto" w:fill="auto"/>
            <w:vAlign w:val="center"/>
          </w:tcPr>
          <w:p w14:paraId="2C508D25">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w:t>
            </w:r>
          </w:p>
        </w:tc>
        <w:tc>
          <w:tcPr>
            <w:tcW w:w="281" w:type="pct"/>
            <w:shd w:val="clear" w:color="auto" w:fill="auto"/>
            <w:vAlign w:val="center"/>
          </w:tcPr>
          <w:p w14:paraId="3EC12673">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w:t>
            </w:r>
          </w:p>
        </w:tc>
        <w:tc>
          <w:tcPr>
            <w:tcW w:w="296" w:type="pct"/>
            <w:shd w:val="clear" w:color="auto" w:fill="auto"/>
            <w:vAlign w:val="center"/>
          </w:tcPr>
          <w:p w14:paraId="17CBFBDF">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w:t>
            </w:r>
          </w:p>
        </w:tc>
        <w:tc>
          <w:tcPr>
            <w:tcW w:w="209" w:type="pct"/>
            <w:vAlign w:val="center"/>
          </w:tcPr>
          <w:p w14:paraId="0863395C">
            <w:pPr>
              <w:widowControl/>
              <w:jc w:val="center"/>
              <w:rPr>
                <w:rFonts w:hint="eastAsia"/>
                <w:color w:val="auto"/>
                <w:kern w:val="0"/>
                <w:sz w:val="18"/>
                <w:szCs w:val="18"/>
              </w:rPr>
            </w:pPr>
            <w:r>
              <w:rPr>
                <w:rFonts w:hint="eastAsia"/>
                <w:color w:val="auto"/>
                <w:kern w:val="0"/>
                <w:sz w:val="18"/>
                <w:szCs w:val="18"/>
              </w:rPr>
              <w:t>2400</w:t>
            </w:r>
          </w:p>
        </w:tc>
      </w:tr>
      <w:tr w14:paraId="498EBD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restart"/>
            <w:vAlign w:val="center"/>
          </w:tcPr>
          <w:p w14:paraId="2310FFBB">
            <w:pPr>
              <w:widowControl/>
              <w:jc w:val="center"/>
              <w:rPr>
                <w:color w:val="auto"/>
                <w:kern w:val="0"/>
                <w:sz w:val="18"/>
                <w:szCs w:val="18"/>
              </w:rPr>
            </w:pPr>
            <w:r>
              <w:rPr>
                <w:rFonts w:hint="eastAsia"/>
                <w:color w:val="auto"/>
                <w:kern w:val="0"/>
                <w:sz w:val="18"/>
                <w:szCs w:val="18"/>
              </w:rPr>
              <w:t>合计</w:t>
            </w:r>
          </w:p>
        </w:tc>
        <w:tc>
          <w:tcPr>
            <w:tcW w:w="328" w:type="pct"/>
            <w:vAlign w:val="center"/>
          </w:tcPr>
          <w:p w14:paraId="5E2F7283">
            <w:pPr>
              <w:widowControl/>
              <w:jc w:val="center"/>
              <w:rPr>
                <w:color w:val="auto"/>
                <w:kern w:val="0"/>
                <w:sz w:val="18"/>
                <w:szCs w:val="18"/>
              </w:rPr>
            </w:pPr>
            <w:r>
              <w:rPr>
                <w:rFonts w:hint="eastAsia"/>
                <w:color w:val="auto"/>
                <w:kern w:val="0"/>
                <w:sz w:val="18"/>
                <w:szCs w:val="18"/>
              </w:rPr>
              <w:t>/</w:t>
            </w:r>
          </w:p>
        </w:tc>
        <w:tc>
          <w:tcPr>
            <w:tcW w:w="332" w:type="pct"/>
            <w:vAlign w:val="center"/>
          </w:tcPr>
          <w:p w14:paraId="5D48F3AA">
            <w:pPr>
              <w:widowControl/>
              <w:jc w:val="center"/>
              <w:rPr>
                <w:color w:val="auto"/>
                <w:kern w:val="0"/>
                <w:sz w:val="18"/>
                <w:szCs w:val="18"/>
              </w:rPr>
            </w:pPr>
            <w:r>
              <w:rPr>
                <w:rFonts w:hint="eastAsia"/>
                <w:color w:val="auto"/>
                <w:kern w:val="0"/>
                <w:sz w:val="18"/>
                <w:szCs w:val="18"/>
              </w:rPr>
              <w:t>/</w:t>
            </w:r>
          </w:p>
        </w:tc>
        <w:tc>
          <w:tcPr>
            <w:tcW w:w="332" w:type="pct"/>
            <w:vAlign w:val="center"/>
          </w:tcPr>
          <w:p w14:paraId="52B8A60F">
            <w:pPr>
              <w:widowControl/>
              <w:jc w:val="center"/>
              <w:rPr>
                <w:color w:val="auto"/>
                <w:kern w:val="0"/>
                <w:sz w:val="18"/>
                <w:szCs w:val="18"/>
              </w:rPr>
            </w:pPr>
            <w:r>
              <w:rPr>
                <w:rFonts w:hint="eastAsia"/>
                <w:color w:val="auto"/>
                <w:kern w:val="0"/>
                <w:sz w:val="18"/>
                <w:szCs w:val="18"/>
              </w:rPr>
              <w:t>VOCs</w:t>
            </w:r>
          </w:p>
        </w:tc>
        <w:tc>
          <w:tcPr>
            <w:tcW w:w="332" w:type="pct"/>
            <w:vAlign w:val="center"/>
          </w:tcPr>
          <w:p w14:paraId="10C77D78">
            <w:pPr>
              <w:widowControl/>
              <w:jc w:val="center"/>
              <w:rPr>
                <w:color w:val="auto"/>
                <w:kern w:val="0"/>
                <w:sz w:val="18"/>
                <w:szCs w:val="18"/>
              </w:rPr>
            </w:pPr>
            <w:r>
              <w:rPr>
                <w:rFonts w:hint="eastAsia"/>
                <w:color w:val="auto"/>
                <w:kern w:val="0"/>
                <w:sz w:val="18"/>
                <w:szCs w:val="18"/>
              </w:rPr>
              <w:t>/</w:t>
            </w:r>
          </w:p>
        </w:tc>
        <w:tc>
          <w:tcPr>
            <w:tcW w:w="315" w:type="pct"/>
            <w:shd w:val="clear" w:color="auto" w:fill="auto"/>
            <w:vAlign w:val="center"/>
          </w:tcPr>
          <w:p w14:paraId="50252D46">
            <w:pPr>
              <w:widowControl/>
              <w:jc w:val="center"/>
              <w:rPr>
                <w:color w:val="auto"/>
                <w:kern w:val="0"/>
                <w:sz w:val="18"/>
                <w:szCs w:val="18"/>
              </w:rPr>
            </w:pPr>
            <w:r>
              <w:rPr>
                <w:rFonts w:hint="eastAsia"/>
                <w:color w:val="auto"/>
                <w:kern w:val="0"/>
                <w:sz w:val="18"/>
                <w:szCs w:val="18"/>
              </w:rPr>
              <w:t>/</w:t>
            </w:r>
          </w:p>
        </w:tc>
        <w:tc>
          <w:tcPr>
            <w:tcW w:w="264" w:type="pct"/>
            <w:shd w:val="clear" w:color="auto" w:fill="auto"/>
            <w:vAlign w:val="center"/>
          </w:tcPr>
          <w:p w14:paraId="3D46B79D">
            <w:pPr>
              <w:widowControl/>
              <w:jc w:val="center"/>
              <w:rPr>
                <w:color w:val="auto"/>
                <w:kern w:val="0"/>
                <w:sz w:val="18"/>
                <w:szCs w:val="18"/>
              </w:rPr>
            </w:pPr>
            <w:r>
              <w:rPr>
                <w:rFonts w:hint="eastAsia"/>
                <w:color w:val="auto"/>
                <w:kern w:val="0"/>
                <w:sz w:val="18"/>
                <w:szCs w:val="18"/>
              </w:rPr>
              <w:t>/</w:t>
            </w:r>
          </w:p>
        </w:tc>
        <w:tc>
          <w:tcPr>
            <w:tcW w:w="339" w:type="pct"/>
            <w:shd w:val="clear" w:color="auto" w:fill="auto"/>
            <w:vAlign w:val="center"/>
          </w:tcPr>
          <w:p w14:paraId="5CFECC10">
            <w:pPr>
              <w:widowControl/>
              <w:jc w:val="center"/>
              <w:rPr>
                <w:color w:val="auto"/>
                <w:kern w:val="0"/>
                <w:sz w:val="18"/>
                <w:szCs w:val="18"/>
              </w:rPr>
            </w:pPr>
            <w:r>
              <w:rPr>
                <w:rFonts w:hint="eastAsia"/>
                <w:color w:val="auto"/>
                <w:kern w:val="0"/>
                <w:sz w:val="18"/>
                <w:szCs w:val="18"/>
              </w:rPr>
              <w:t>/</w:t>
            </w:r>
          </w:p>
        </w:tc>
        <w:tc>
          <w:tcPr>
            <w:tcW w:w="302" w:type="pct"/>
            <w:shd w:val="clear" w:color="auto" w:fill="auto"/>
            <w:vAlign w:val="center"/>
          </w:tcPr>
          <w:p w14:paraId="35E76D56">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0.195</w:t>
            </w:r>
          </w:p>
        </w:tc>
        <w:tc>
          <w:tcPr>
            <w:tcW w:w="273" w:type="pct"/>
            <w:shd w:val="clear" w:color="auto" w:fill="auto"/>
            <w:vAlign w:val="center"/>
          </w:tcPr>
          <w:p w14:paraId="0A5A48D3">
            <w:pPr>
              <w:widowControl/>
              <w:jc w:val="center"/>
              <w:rPr>
                <w:color w:val="auto"/>
                <w:kern w:val="0"/>
                <w:sz w:val="18"/>
                <w:szCs w:val="18"/>
              </w:rPr>
            </w:pPr>
            <w:r>
              <w:rPr>
                <w:rFonts w:hint="eastAsia"/>
                <w:color w:val="auto"/>
                <w:kern w:val="0"/>
                <w:sz w:val="18"/>
                <w:szCs w:val="18"/>
              </w:rPr>
              <w:t>/</w:t>
            </w:r>
          </w:p>
        </w:tc>
        <w:tc>
          <w:tcPr>
            <w:tcW w:w="252" w:type="pct"/>
            <w:shd w:val="clear" w:color="auto" w:fill="auto"/>
            <w:vAlign w:val="center"/>
          </w:tcPr>
          <w:p w14:paraId="44A86C31">
            <w:pPr>
              <w:widowControl/>
              <w:jc w:val="center"/>
              <w:rPr>
                <w:color w:val="auto"/>
                <w:kern w:val="0"/>
                <w:sz w:val="18"/>
                <w:szCs w:val="18"/>
              </w:rPr>
            </w:pPr>
            <w:r>
              <w:rPr>
                <w:rFonts w:hint="eastAsia"/>
                <w:color w:val="auto"/>
                <w:kern w:val="0"/>
                <w:sz w:val="18"/>
                <w:szCs w:val="18"/>
              </w:rPr>
              <w:t>/</w:t>
            </w:r>
          </w:p>
        </w:tc>
        <w:tc>
          <w:tcPr>
            <w:tcW w:w="330" w:type="pct"/>
            <w:vAlign w:val="center"/>
          </w:tcPr>
          <w:p w14:paraId="0C4B6DB8">
            <w:pPr>
              <w:widowControl/>
              <w:jc w:val="center"/>
              <w:rPr>
                <w:color w:val="auto"/>
                <w:kern w:val="0"/>
                <w:sz w:val="18"/>
                <w:szCs w:val="18"/>
              </w:rPr>
            </w:pPr>
            <w:r>
              <w:rPr>
                <w:rFonts w:hint="eastAsia"/>
                <w:color w:val="auto"/>
                <w:kern w:val="0"/>
                <w:sz w:val="18"/>
                <w:szCs w:val="18"/>
              </w:rPr>
              <w:t>/</w:t>
            </w:r>
          </w:p>
        </w:tc>
        <w:tc>
          <w:tcPr>
            <w:tcW w:w="248" w:type="pct"/>
            <w:vAlign w:val="center"/>
          </w:tcPr>
          <w:p w14:paraId="44BCDE1F">
            <w:pPr>
              <w:widowControl/>
              <w:jc w:val="center"/>
              <w:rPr>
                <w:color w:val="auto"/>
                <w:kern w:val="0"/>
                <w:sz w:val="18"/>
                <w:szCs w:val="18"/>
              </w:rPr>
            </w:pPr>
            <w:r>
              <w:rPr>
                <w:rFonts w:hint="eastAsia"/>
                <w:color w:val="auto"/>
                <w:kern w:val="0"/>
                <w:sz w:val="18"/>
                <w:szCs w:val="18"/>
              </w:rPr>
              <w:t>/</w:t>
            </w:r>
          </w:p>
        </w:tc>
        <w:tc>
          <w:tcPr>
            <w:tcW w:w="239" w:type="pct"/>
            <w:shd w:val="clear" w:color="auto" w:fill="auto"/>
            <w:vAlign w:val="center"/>
          </w:tcPr>
          <w:p w14:paraId="1CA22088">
            <w:pPr>
              <w:widowControl/>
              <w:jc w:val="center"/>
              <w:rPr>
                <w:color w:val="auto"/>
                <w:kern w:val="0"/>
                <w:sz w:val="18"/>
                <w:szCs w:val="18"/>
              </w:rPr>
            </w:pPr>
            <w:r>
              <w:rPr>
                <w:rFonts w:hint="eastAsia"/>
                <w:color w:val="auto"/>
                <w:kern w:val="0"/>
                <w:sz w:val="18"/>
                <w:szCs w:val="18"/>
              </w:rPr>
              <w:t>/</w:t>
            </w:r>
          </w:p>
        </w:tc>
        <w:tc>
          <w:tcPr>
            <w:tcW w:w="281" w:type="pct"/>
            <w:shd w:val="clear" w:color="auto" w:fill="auto"/>
            <w:vAlign w:val="center"/>
          </w:tcPr>
          <w:p w14:paraId="12C6D002">
            <w:pPr>
              <w:widowControl/>
              <w:jc w:val="center"/>
              <w:rPr>
                <w:color w:val="auto"/>
                <w:kern w:val="0"/>
                <w:sz w:val="18"/>
                <w:szCs w:val="18"/>
              </w:rPr>
            </w:pPr>
            <w:r>
              <w:rPr>
                <w:rFonts w:hint="eastAsia"/>
                <w:color w:val="auto"/>
                <w:kern w:val="0"/>
                <w:sz w:val="18"/>
                <w:szCs w:val="18"/>
              </w:rPr>
              <w:t>/</w:t>
            </w:r>
          </w:p>
        </w:tc>
        <w:tc>
          <w:tcPr>
            <w:tcW w:w="296" w:type="pct"/>
            <w:shd w:val="clear" w:color="auto" w:fill="auto"/>
            <w:vAlign w:val="center"/>
          </w:tcPr>
          <w:p w14:paraId="7026A4F4">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0.047</w:t>
            </w:r>
          </w:p>
        </w:tc>
        <w:tc>
          <w:tcPr>
            <w:tcW w:w="209" w:type="pct"/>
            <w:vAlign w:val="center"/>
          </w:tcPr>
          <w:p w14:paraId="159328BE">
            <w:pPr>
              <w:widowControl/>
              <w:jc w:val="center"/>
              <w:rPr>
                <w:color w:val="auto"/>
                <w:kern w:val="0"/>
                <w:sz w:val="18"/>
                <w:szCs w:val="18"/>
              </w:rPr>
            </w:pPr>
            <w:r>
              <w:rPr>
                <w:rFonts w:hint="eastAsia"/>
                <w:color w:val="auto"/>
                <w:kern w:val="0"/>
                <w:sz w:val="18"/>
                <w:szCs w:val="18"/>
              </w:rPr>
              <w:t>2400</w:t>
            </w:r>
          </w:p>
        </w:tc>
      </w:tr>
      <w:tr w14:paraId="49E88F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040854A8">
            <w:pPr>
              <w:widowControl/>
              <w:jc w:val="center"/>
              <w:rPr>
                <w:color w:val="auto"/>
                <w:kern w:val="0"/>
                <w:sz w:val="18"/>
                <w:szCs w:val="18"/>
              </w:rPr>
            </w:pPr>
          </w:p>
        </w:tc>
        <w:tc>
          <w:tcPr>
            <w:tcW w:w="328" w:type="pct"/>
            <w:vAlign w:val="center"/>
          </w:tcPr>
          <w:p w14:paraId="4EA46841">
            <w:pPr>
              <w:widowControl/>
              <w:jc w:val="center"/>
              <w:rPr>
                <w:color w:val="auto"/>
                <w:kern w:val="0"/>
                <w:sz w:val="18"/>
                <w:szCs w:val="18"/>
              </w:rPr>
            </w:pPr>
            <w:r>
              <w:rPr>
                <w:rFonts w:hint="eastAsia"/>
                <w:color w:val="auto"/>
                <w:kern w:val="0"/>
                <w:sz w:val="18"/>
                <w:szCs w:val="18"/>
              </w:rPr>
              <w:t>/</w:t>
            </w:r>
          </w:p>
        </w:tc>
        <w:tc>
          <w:tcPr>
            <w:tcW w:w="332" w:type="pct"/>
            <w:vAlign w:val="center"/>
          </w:tcPr>
          <w:p w14:paraId="14405A6F">
            <w:pPr>
              <w:widowControl/>
              <w:jc w:val="center"/>
              <w:rPr>
                <w:color w:val="auto"/>
                <w:kern w:val="0"/>
                <w:sz w:val="18"/>
                <w:szCs w:val="18"/>
              </w:rPr>
            </w:pPr>
            <w:r>
              <w:rPr>
                <w:rFonts w:hint="eastAsia"/>
                <w:color w:val="auto"/>
                <w:kern w:val="0"/>
                <w:sz w:val="18"/>
                <w:szCs w:val="18"/>
              </w:rPr>
              <w:t>/</w:t>
            </w:r>
          </w:p>
        </w:tc>
        <w:tc>
          <w:tcPr>
            <w:tcW w:w="332" w:type="pct"/>
            <w:vAlign w:val="center"/>
          </w:tcPr>
          <w:p w14:paraId="03DA1F7B">
            <w:pPr>
              <w:widowControl/>
              <w:jc w:val="center"/>
              <w:rPr>
                <w:color w:val="auto"/>
                <w:kern w:val="0"/>
                <w:sz w:val="18"/>
                <w:szCs w:val="18"/>
              </w:rPr>
            </w:pPr>
            <w:r>
              <w:rPr>
                <w:rFonts w:hint="eastAsia"/>
                <w:color w:val="auto"/>
                <w:kern w:val="0"/>
                <w:sz w:val="18"/>
                <w:szCs w:val="18"/>
              </w:rPr>
              <w:t>颗粒物</w:t>
            </w:r>
          </w:p>
        </w:tc>
        <w:tc>
          <w:tcPr>
            <w:tcW w:w="332" w:type="pct"/>
            <w:vAlign w:val="center"/>
          </w:tcPr>
          <w:p w14:paraId="61F66C47">
            <w:pPr>
              <w:widowControl/>
              <w:jc w:val="center"/>
              <w:rPr>
                <w:color w:val="auto"/>
                <w:kern w:val="0"/>
                <w:sz w:val="18"/>
                <w:szCs w:val="18"/>
              </w:rPr>
            </w:pPr>
            <w:r>
              <w:rPr>
                <w:rFonts w:hint="eastAsia"/>
                <w:color w:val="auto"/>
                <w:kern w:val="0"/>
                <w:sz w:val="18"/>
                <w:szCs w:val="18"/>
              </w:rPr>
              <w:t>/</w:t>
            </w:r>
          </w:p>
        </w:tc>
        <w:tc>
          <w:tcPr>
            <w:tcW w:w="315" w:type="pct"/>
            <w:shd w:val="clear" w:color="auto" w:fill="auto"/>
            <w:vAlign w:val="center"/>
          </w:tcPr>
          <w:p w14:paraId="45A4BB48">
            <w:pPr>
              <w:widowControl/>
              <w:jc w:val="center"/>
              <w:rPr>
                <w:color w:val="auto"/>
                <w:kern w:val="0"/>
                <w:sz w:val="18"/>
                <w:szCs w:val="18"/>
              </w:rPr>
            </w:pPr>
            <w:r>
              <w:rPr>
                <w:rFonts w:hint="eastAsia"/>
                <w:color w:val="auto"/>
                <w:kern w:val="0"/>
                <w:sz w:val="18"/>
                <w:szCs w:val="18"/>
              </w:rPr>
              <w:t>/</w:t>
            </w:r>
          </w:p>
        </w:tc>
        <w:tc>
          <w:tcPr>
            <w:tcW w:w="264" w:type="pct"/>
            <w:shd w:val="clear" w:color="auto" w:fill="auto"/>
            <w:vAlign w:val="center"/>
          </w:tcPr>
          <w:p w14:paraId="5BB18AAD">
            <w:pPr>
              <w:widowControl/>
              <w:jc w:val="center"/>
              <w:rPr>
                <w:color w:val="auto"/>
                <w:kern w:val="0"/>
                <w:sz w:val="18"/>
                <w:szCs w:val="18"/>
              </w:rPr>
            </w:pPr>
            <w:r>
              <w:rPr>
                <w:rFonts w:hint="eastAsia"/>
                <w:color w:val="auto"/>
                <w:kern w:val="0"/>
                <w:sz w:val="18"/>
                <w:szCs w:val="18"/>
              </w:rPr>
              <w:t>/</w:t>
            </w:r>
          </w:p>
        </w:tc>
        <w:tc>
          <w:tcPr>
            <w:tcW w:w="339" w:type="pct"/>
            <w:shd w:val="clear" w:color="auto" w:fill="auto"/>
            <w:vAlign w:val="center"/>
          </w:tcPr>
          <w:p w14:paraId="452200AA">
            <w:pPr>
              <w:widowControl/>
              <w:jc w:val="center"/>
              <w:rPr>
                <w:color w:val="auto"/>
                <w:kern w:val="0"/>
                <w:sz w:val="18"/>
                <w:szCs w:val="18"/>
              </w:rPr>
            </w:pPr>
            <w:r>
              <w:rPr>
                <w:rFonts w:hint="eastAsia"/>
                <w:color w:val="auto"/>
                <w:kern w:val="0"/>
                <w:sz w:val="18"/>
                <w:szCs w:val="18"/>
              </w:rPr>
              <w:t>/</w:t>
            </w:r>
          </w:p>
        </w:tc>
        <w:tc>
          <w:tcPr>
            <w:tcW w:w="302" w:type="pct"/>
            <w:shd w:val="clear" w:color="auto" w:fill="auto"/>
            <w:vAlign w:val="center"/>
          </w:tcPr>
          <w:p w14:paraId="4480503A">
            <w:pPr>
              <w:widowControl/>
              <w:jc w:val="center"/>
              <w:rPr>
                <w:rFonts w:hint="default" w:eastAsia="宋体"/>
                <w:color w:val="auto"/>
                <w:kern w:val="0"/>
                <w:sz w:val="18"/>
                <w:szCs w:val="18"/>
                <w:lang w:val="en-US" w:eastAsia="zh-CN"/>
              </w:rPr>
            </w:pPr>
            <w:r>
              <w:rPr>
                <w:rFonts w:hint="eastAsia"/>
                <w:color w:val="auto"/>
                <w:kern w:val="0"/>
                <w:sz w:val="18"/>
                <w:szCs w:val="18"/>
              </w:rPr>
              <w:t>0.</w:t>
            </w:r>
            <w:r>
              <w:rPr>
                <w:rFonts w:hint="eastAsia"/>
                <w:color w:val="auto"/>
                <w:kern w:val="0"/>
                <w:sz w:val="18"/>
                <w:szCs w:val="18"/>
                <w:lang w:val="en-US" w:eastAsia="zh-CN"/>
              </w:rPr>
              <w:t>002</w:t>
            </w:r>
          </w:p>
        </w:tc>
        <w:tc>
          <w:tcPr>
            <w:tcW w:w="273" w:type="pct"/>
            <w:shd w:val="clear" w:color="auto" w:fill="auto"/>
            <w:vAlign w:val="center"/>
          </w:tcPr>
          <w:p w14:paraId="09928C14">
            <w:pPr>
              <w:widowControl/>
              <w:jc w:val="center"/>
              <w:rPr>
                <w:color w:val="auto"/>
                <w:kern w:val="0"/>
                <w:sz w:val="18"/>
                <w:szCs w:val="18"/>
              </w:rPr>
            </w:pPr>
            <w:r>
              <w:rPr>
                <w:rFonts w:hint="eastAsia"/>
                <w:color w:val="auto"/>
                <w:kern w:val="0"/>
                <w:sz w:val="18"/>
                <w:szCs w:val="18"/>
              </w:rPr>
              <w:t>/</w:t>
            </w:r>
          </w:p>
        </w:tc>
        <w:tc>
          <w:tcPr>
            <w:tcW w:w="252" w:type="pct"/>
            <w:shd w:val="clear" w:color="auto" w:fill="auto"/>
            <w:vAlign w:val="center"/>
          </w:tcPr>
          <w:p w14:paraId="561487EC">
            <w:pPr>
              <w:widowControl/>
              <w:jc w:val="center"/>
              <w:rPr>
                <w:color w:val="auto"/>
                <w:kern w:val="0"/>
                <w:sz w:val="18"/>
                <w:szCs w:val="18"/>
              </w:rPr>
            </w:pPr>
            <w:r>
              <w:rPr>
                <w:rFonts w:hint="eastAsia"/>
                <w:color w:val="auto"/>
                <w:kern w:val="0"/>
                <w:sz w:val="18"/>
                <w:szCs w:val="18"/>
              </w:rPr>
              <w:t>/</w:t>
            </w:r>
          </w:p>
        </w:tc>
        <w:tc>
          <w:tcPr>
            <w:tcW w:w="330" w:type="pct"/>
            <w:vAlign w:val="center"/>
          </w:tcPr>
          <w:p w14:paraId="6CAF4C76">
            <w:pPr>
              <w:widowControl/>
              <w:jc w:val="center"/>
              <w:rPr>
                <w:color w:val="auto"/>
                <w:kern w:val="0"/>
                <w:sz w:val="18"/>
                <w:szCs w:val="18"/>
              </w:rPr>
            </w:pPr>
            <w:r>
              <w:rPr>
                <w:rFonts w:hint="eastAsia"/>
                <w:color w:val="auto"/>
                <w:kern w:val="0"/>
                <w:sz w:val="18"/>
                <w:szCs w:val="18"/>
              </w:rPr>
              <w:t>/</w:t>
            </w:r>
          </w:p>
        </w:tc>
        <w:tc>
          <w:tcPr>
            <w:tcW w:w="248" w:type="pct"/>
            <w:vAlign w:val="center"/>
          </w:tcPr>
          <w:p w14:paraId="1C154201">
            <w:pPr>
              <w:widowControl/>
              <w:jc w:val="center"/>
              <w:rPr>
                <w:color w:val="auto"/>
                <w:kern w:val="0"/>
                <w:sz w:val="18"/>
                <w:szCs w:val="18"/>
              </w:rPr>
            </w:pPr>
            <w:r>
              <w:rPr>
                <w:rFonts w:hint="eastAsia"/>
                <w:color w:val="auto"/>
                <w:kern w:val="0"/>
                <w:sz w:val="18"/>
                <w:szCs w:val="18"/>
              </w:rPr>
              <w:t>/</w:t>
            </w:r>
          </w:p>
        </w:tc>
        <w:tc>
          <w:tcPr>
            <w:tcW w:w="239" w:type="pct"/>
            <w:shd w:val="clear" w:color="auto" w:fill="auto"/>
            <w:vAlign w:val="center"/>
          </w:tcPr>
          <w:p w14:paraId="7691F302">
            <w:pPr>
              <w:widowControl/>
              <w:jc w:val="center"/>
              <w:rPr>
                <w:color w:val="auto"/>
                <w:kern w:val="0"/>
                <w:sz w:val="18"/>
                <w:szCs w:val="18"/>
              </w:rPr>
            </w:pPr>
            <w:r>
              <w:rPr>
                <w:rFonts w:hint="eastAsia"/>
                <w:color w:val="auto"/>
                <w:kern w:val="0"/>
                <w:sz w:val="18"/>
                <w:szCs w:val="18"/>
              </w:rPr>
              <w:t>/</w:t>
            </w:r>
          </w:p>
        </w:tc>
        <w:tc>
          <w:tcPr>
            <w:tcW w:w="281" w:type="pct"/>
            <w:shd w:val="clear" w:color="auto" w:fill="auto"/>
            <w:vAlign w:val="center"/>
          </w:tcPr>
          <w:p w14:paraId="58247AFA">
            <w:pPr>
              <w:widowControl/>
              <w:jc w:val="center"/>
              <w:rPr>
                <w:color w:val="auto"/>
                <w:kern w:val="0"/>
                <w:sz w:val="18"/>
                <w:szCs w:val="18"/>
              </w:rPr>
            </w:pPr>
            <w:r>
              <w:rPr>
                <w:rFonts w:hint="eastAsia"/>
                <w:color w:val="auto"/>
                <w:kern w:val="0"/>
                <w:sz w:val="18"/>
                <w:szCs w:val="18"/>
              </w:rPr>
              <w:t>/</w:t>
            </w:r>
          </w:p>
        </w:tc>
        <w:tc>
          <w:tcPr>
            <w:tcW w:w="296" w:type="pct"/>
            <w:shd w:val="clear" w:color="auto" w:fill="auto"/>
            <w:vAlign w:val="center"/>
          </w:tcPr>
          <w:p w14:paraId="0A8EAE5A">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0.001</w:t>
            </w:r>
          </w:p>
        </w:tc>
        <w:tc>
          <w:tcPr>
            <w:tcW w:w="209" w:type="pct"/>
            <w:vAlign w:val="center"/>
          </w:tcPr>
          <w:p w14:paraId="1EC36AE5">
            <w:pPr>
              <w:widowControl/>
              <w:jc w:val="center"/>
              <w:rPr>
                <w:color w:val="auto"/>
                <w:kern w:val="0"/>
                <w:sz w:val="18"/>
                <w:szCs w:val="18"/>
              </w:rPr>
            </w:pPr>
            <w:r>
              <w:rPr>
                <w:rFonts w:hint="eastAsia"/>
                <w:color w:val="auto"/>
                <w:kern w:val="0"/>
                <w:sz w:val="18"/>
                <w:szCs w:val="18"/>
              </w:rPr>
              <w:t>2400</w:t>
            </w:r>
          </w:p>
        </w:tc>
      </w:tr>
    </w:tbl>
    <w:p w14:paraId="79D65087">
      <w:pPr>
        <w:pStyle w:val="116"/>
        <w:numPr>
          <w:ilvl w:val="0"/>
          <w:numId w:val="0"/>
        </w:numPr>
        <w:spacing w:before="0" w:beforeLines="0"/>
        <w:jc w:val="both"/>
        <w:rPr>
          <w:color w:val="auto"/>
          <w:sz w:val="24"/>
          <w:szCs w:val="24"/>
        </w:rPr>
        <w:sectPr>
          <w:pgSz w:w="16838" w:h="11906" w:orient="landscape"/>
          <w:pgMar w:top="1134" w:right="1418" w:bottom="1230" w:left="1418" w:header="851" w:footer="992" w:gutter="0"/>
          <w:pgNumType w:fmt="decimal"/>
          <w:cols w:space="425" w:num="1"/>
          <w:docGrid w:type="linesAndChars" w:linePitch="312" w:charSpace="0"/>
        </w:sectPr>
      </w:pPr>
      <w:r>
        <w:rPr>
          <w:rFonts w:hint="eastAsia"/>
          <w:b w:val="0"/>
          <w:color w:val="auto"/>
        </w:rPr>
        <w:t>注：</w:t>
      </w:r>
      <w:r>
        <w:rPr>
          <w:rFonts w:hint="eastAsia"/>
          <w:b w:val="0"/>
          <w:color w:val="auto"/>
          <w:lang w:val="en-US"/>
        </w:rPr>
        <w:t>VOCs为全厂挥发性有机物之和</w:t>
      </w:r>
      <w:r>
        <w:rPr>
          <w:rFonts w:hint="eastAsia"/>
          <w:b w:val="0"/>
          <w:color w:val="auto"/>
        </w:rPr>
        <w:t>。</w:t>
      </w:r>
    </w:p>
    <w:p w14:paraId="2DDC573C">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表12</w:t>
      </w:r>
      <w:r>
        <w:rPr>
          <w:rFonts w:hint="eastAsia"/>
          <w:color w:val="auto"/>
        </w:rPr>
        <w:t>项目废气达标排放情况表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1538"/>
        <w:gridCol w:w="1296"/>
        <w:gridCol w:w="1314"/>
        <w:gridCol w:w="1004"/>
        <w:gridCol w:w="855"/>
        <w:gridCol w:w="1059"/>
      </w:tblGrid>
      <w:tr w14:paraId="2B2B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379" w:type="pct"/>
            <w:vMerge w:val="restart"/>
            <w:vAlign w:val="center"/>
          </w:tcPr>
          <w:p w14:paraId="790B6CF0">
            <w:pPr>
              <w:adjustRightInd w:val="0"/>
              <w:snapToGrid w:val="0"/>
              <w:jc w:val="center"/>
              <w:rPr>
                <w:bCs/>
                <w:color w:val="auto"/>
              </w:rPr>
            </w:pPr>
            <w:r>
              <w:rPr>
                <w:rFonts w:hint="eastAsia"/>
                <w:bCs/>
                <w:color w:val="auto"/>
              </w:rPr>
              <w:t>排放口编号</w:t>
            </w:r>
          </w:p>
        </w:tc>
        <w:tc>
          <w:tcPr>
            <w:tcW w:w="788" w:type="pct"/>
            <w:vMerge w:val="restart"/>
            <w:vAlign w:val="center"/>
          </w:tcPr>
          <w:p w14:paraId="465F32B7">
            <w:pPr>
              <w:adjustRightInd w:val="0"/>
              <w:snapToGrid w:val="0"/>
              <w:jc w:val="center"/>
              <w:rPr>
                <w:bCs/>
                <w:color w:val="auto"/>
              </w:rPr>
            </w:pPr>
            <w:r>
              <w:rPr>
                <w:bCs/>
                <w:color w:val="auto"/>
              </w:rPr>
              <w:t>污染物种类</w:t>
            </w:r>
          </w:p>
        </w:tc>
        <w:tc>
          <w:tcPr>
            <w:tcW w:w="1337" w:type="pct"/>
            <w:gridSpan w:val="2"/>
            <w:vAlign w:val="center"/>
          </w:tcPr>
          <w:p w14:paraId="4D297650">
            <w:pPr>
              <w:adjustRightInd w:val="0"/>
              <w:snapToGrid w:val="0"/>
              <w:jc w:val="center"/>
              <w:rPr>
                <w:bCs/>
                <w:color w:val="auto"/>
              </w:rPr>
            </w:pPr>
            <w:r>
              <w:rPr>
                <w:bCs/>
                <w:color w:val="auto"/>
              </w:rPr>
              <w:t>排放值</w:t>
            </w:r>
          </w:p>
        </w:tc>
        <w:tc>
          <w:tcPr>
            <w:tcW w:w="952" w:type="pct"/>
            <w:gridSpan w:val="2"/>
            <w:vAlign w:val="center"/>
          </w:tcPr>
          <w:p w14:paraId="4AACC11D">
            <w:pPr>
              <w:adjustRightInd w:val="0"/>
              <w:snapToGrid w:val="0"/>
              <w:jc w:val="center"/>
              <w:rPr>
                <w:bCs/>
                <w:color w:val="auto"/>
              </w:rPr>
            </w:pPr>
            <w:r>
              <w:rPr>
                <w:rFonts w:hint="eastAsia"/>
                <w:bCs/>
                <w:color w:val="auto"/>
              </w:rPr>
              <w:t>排放标准</w:t>
            </w:r>
          </w:p>
        </w:tc>
        <w:tc>
          <w:tcPr>
            <w:tcW w:w="542" w:type="pct"/>
            <w:vMerge w:val="restart"/>
            <w:vAlign w:val="center"/>
          </w:tcPr>
          <w:p w14:paraId="60795E82">
            <w:pPr>
              <w:adjustRightInd w:val="0"/>
              <w:snapToGrid w:val="0"/>
              <w:jc w:val="center"/>
              <w:rPr>
                <w:color w:val="auto"/>
              </w:rPr>
            </w:pPr>
            <w:r>
              <w:rPr>
                <w:bCs/>
                <w:color w:val="auto"/>
              </w:rPr>
              <w:t>是否达标</w:t>
            </w:r>
          </w:p>
        </w:tc>
      </w:tr>
      <w:tr w14:paraId="6D0A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379" w:type="pct"/>
            <w:vMerge w:val="continue"/>
            <w:vAlign w:val="center"/>
          </w:tcPr>
          <w:p w14:paraId="40DD4D2A">
            <w:pPr>
              <w:adjustRightInd w:val="0"/>
              <w:snapToGrid w:val="0"/>
              <w:jc w:val="center"/>
              <w:rPr>
                <w:bCs/>
                <w:color w:val="auto"/>
              </w:rPr>
            </w:pPr>
          </w:p>
        </w:tc>
        <w:tc>
          <w:tcPr>
            <w:tcW w:w="788" w:type="pct"/>
            <w:vMerge w:val="continue"/>
            <w:vAlign w:val="center"/>
          </w:tcPr>
          <w:p w14:paraId="04E61170">
            <w:pPr>
              <w:adjustRightInd w:val="0"/>
              <w:snapToGrid w:val="0"/>
              <w:jc w:val="center"/>
              <w:rPr>
                <w:bCs/>
                <w:color w:val="auto"/>
              </w:rPr>
            </w:pPr>
          </w:p>
        </w:tc>
        <w:tc>
          <w:tcPr>
            <w:tcW w:w="664" w:type="pct"/>
            <w:vAlign w:val="center"/>
          </w:tcPr>
          <w:p w14:paraId="0937AC9D">
            <w:pPr>
              <w:adjustRightInd w:val="0"/>
              <w:snapToGrid w:val="0"/>
              <w:jc w:val="center"/>
              <w:rPr>
                <w:bCs/>
                <w:color w:val="auto"/>
              </w:rPr>
            </w:pPr>
            <w:r>
              <w:rPr>
                <w:bCs/>
                <w:color w:val="auto"/>
              </w:rPr>
              <w:t>kg/h</w:t>
            </w:r>
          </w:p>
        </w:tc>
        <w:tc>
          <w:tcPr>
            <w:tcW w:w="673" w:type="pct"/>
            <w:vAlign w:val="center"/>
          </w:tcPr>
          <w:p w14:paraId="37E5BBFB">
            <w:pPr>
              <w:adjustRightInd w:val="0"/>
              <w:snapToGrid w:val="0"/>
              <w:jc w:val="center"/>
              <w:rPr>
                <w:bCs/>
                <w:color w:val="auto"/>
              </w:rPr>
            </w:pPr>
            <w:r>
              <w:rPr>
                <w:bCs/>
                <w:color w:val="auto"/>
              </w:rPr>
              <w:t>mg/m³</w:t>
            </w:r>
          </w:p>
        </w:tc>
        <w:tc>
          <w:tcPr>
            <w:tcW w:w="514" w:type="pct"/>
            <w:vAlign w:val="center"/>
          </w:tcPr>
          <w:p w14:paraId="036967D3">
            <w:pPr>
              <w:adjustRightInd w:val="0"/>
              <w:snapToGrid w:val="0"/>
              <w:jc w:val="center"/>
              <w:rPr>
                <w:bCs/>
                <w:color w:val="auto"/>
              </w:rPr>
            </w:pPr>
            <w:r>
              <w:rPr>
                <w:bCs/>
                <w:color w:val="auto"/>
              </w:rPr>
              <w:t>kg/h</w:t>
            </w:r>
          </w:p>
        </w:tc>
        <w:tc>
          <w:tcPr>
            <w:tcW w:w="438" w:type="pct"/>
            <w:vAlign w:val="center"/>
          </w:tcPr>
          <w:p w14:paraId="7DC0C2BF">
            <w:pPr>
              <w:adjustRightInd w:val="0"/>
              <w:snapToGrid w:val="0"/>
              <w:jc w:val="center"/>
              <w:rPr>
                <w:bCs/>
                <w:color w:val="auto"/>
              </w:rPr>
            </w:pPr>
            <w:r>
              <w:rPr>
                <w:bCs/>
                <w:color w:val="auto"/>
              </w:rPr>
              <w:t>mg/m³</w:t>
            </w:r>
          </w:p>
        </w:tc>
        <w:tc>
          <w:tcPr>
            <w:tcW w:w="542" w:type="pct"/>
            <w:vMerge w:val="continue"/>
            <w:vAlign w:val="center"/>
          </w:tcPr>
          <w:p w14:paraId="66FC02F5">
            <w:pPr>
              <w:adjustRightInd w:val="0"/>
              <w:snapToGrid w:val="0"/>
              <w:jc w:val="center"/>
              <w:rPr>
                <w:color w:val="auto"/>
              </w:rPr>
            </w:pPr>
          </w:p>
        </w:tc>
      </w:tr>
      <w:tr w14:paraId="4FBB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Merge w:val="restart"/>
            <w:vAlign w:val="center"/>
          </w:tcPr>
          <w:p w14:paraId="44441453">
            <w:pPr>
              <w:adjustRightInd w:val="0"/>
              <w:snapToGrid w:val="0"/>
              <w:jc w:val="center"/>
              <w:rPr>
                <w:bCs/>
                <w:color w:val="auto"/>
              </w:rPr>
            </w:pPr>
            <w:r>
              <w:rPr>
                <w:rFonts w:hint="eastAsia"/>
                <w:bCs/>
                <w:color w:val="auto"/>
              </w:rPr>
              <w:t>D</w:t>
            </w:r>
            <w:r>
              <w:rPr>
                <w:bCs/>
                <w:color w:val="auto"/>
              </w:rPr>
              <w:t>A0</w:t>
            </w:r>
            <w:r>
              <w:rPr>
                <w:rFonts w:hint="eastAsia"/>
                <w:bCs/>
                <w:color w:val="auto"/>
              </w:rPr>
              <w:t>01</w:t>
            </w:r>
          </w:p>
        </w:tc>
        <w:tc>
          <w:tcPr>
            <w:tcW w:w="788" w:type="pct"/>
            <w:vAlign w:val="center"/>
          </w:tcPr>
          <w:p w14:paraId="02CC8035">
            <w:pPr>
              <w:adjustRightInd w:val="0"/>
              <w:snapToGrid w:val="0"/>
              <w:jc w:val="center"/>
              <w:rPr>
                <w:bCs/>
                <w:color w:val="auto"/>
              </w:rPr>
            </w:pPr>
            <w:r>
              <w:rPr>
                <w:rFonts w:hint="eastAsia"/>
                <w:bCs/>
                <w:color w:val="auto"/>
              </w:rPr>
              <w:t>TVOC</w:t>
            </w:r>
          </w:p>
        </w:tc>
        <w:tc>
          <w:tcPr>
            <w:tcW w:w="664" w:type="pct"/>
            <w:vAlign w:val="center"/>
          </w:tcPr>
          <w:p w14:paraId="7A5F32BD">
            <w:pPr>
              <w:jc w:val="center"/>
              <w:rPr>
                <w:rFonts w:hint="default" w:eastAsia="宋体"/>
                <w:bCs/>
                <w:color w:val="auto"/>
                <w:lang w:val="en-US" w:eastAsia="zh-CN"/>
              </w:rPr>
            </w:pPr>
            <w:r>
              <w:rPr>
                <w:rFonts w:hint="eastAsia"/>
                <w:bCs/>
                <w:color w:val="auto"/>
                <w:lang w:val="en-US" w:eastAsia="zh-CN"/>
              </w:rPr>
              <w:t>0.031</w:t>
            </w:r>
          </w:p>
        </w:tc>
        <w:tc>
          <w:tcPr>
            <w:tcW w:w="673" w:type="pct"/>
            <w:vAlign w:val="center"/>
          </w:tcPr>
          <w:p w14:paraId="312A736D">
            <w:pPr>
              <w:jc w:val="center"/>
              <w:rPr>
                <w:rFonts w:hint="default" w:eastAsia="宋体"/>
                <w:bCs/>
                <w:color w:val="auto"/>
                <w:lang w:val="en-US" w:eastAsia="zh-CN"/>
              </w:rPr>
            </w:pPr>
            <w:r>
              <w:rPr>
                <w:rFonts w:hint="eastAsia"/>
                <w:bCs/>
                <w:color w:val="auto"/>
                <w:lang w:val="en-US" w:eastAsia="zh-CN"/>
              </w:rPr>
              <w:t>6.2</w:t>
            </w:r>
          </w:p>
        </w:tc>
        <w:tc>
          <w:tcPr>
            <w:tcW w:w="514" w:type="pct"/>
            <w:vAlign w:val="center"/>
          </w:tcPr>
          <w:p w14:paraId="449AE341">
            <w:pPr>
              <w:jc w:val="center"/>
              <w:rPr>
                <w:bCs/>
                <w:color w:val="auto"/>
              </w:rPr>
            </w:pPr>
            <w:r>
              <w:rPr>
                <w:rFonts w:hint="eastAsia"/>
                <w:bCs/>
                <w:color w:val="auto"/>
              </w:rPr>
              <w:t>/</w:t>
            </w:r>
          </w:p>
        </w:tc>
        <w:tc>
          <w:tcPr>
            <w:tcW w:w="438" w:type="pct"/>
            <w:vAlign w:val="center"/>
          </w:tcPr>
          <w:p w14:paraId="050D1978">
            <w:pPr>
              <w:adjustRightInd w:val="0"/>
              <w:snapToGrid w:val="0"/>
              <w:jc w:val="center"/>
              <w:rPr>
                <w:rFonts w:hint="default" w:eastAsia="宋体"/>
                <w:bCs/>
                <w:color w:val="auto"/>
                <w:lang w:val="en-US" w:eastAsia="zh-CN"/>
              </w:rPr>
            </w:pPr>
            <w:r>
              <w:rPr>
                <w:rFonts w:hint="eastAsia"/>
                <w:bCs/>
                <w:color w:val="auto"/>
                <w:lang w:val="en-US" w:eastAsia="zh-CN"/>
              </w:rPr>
              <w:t>150</w:t>
            </w:r>
          </w:p>
        </w:tc>
        <w:tc>
          <w:tcPr>
            <w:tcW w:w="542" w:type="pct"/>
            <w:vAlign w:val="center"/>
          </w:tcPr>
          <w:p w14:paraId="6296D6CD">
            <w:pPr>
              <w:jc w:val="center"/>
              <w:rPr>
                <w:color w:val="auto"/>
              </w:rPr>
            </w:pPr>
            <w:r>
              <w:rPr>
                <w:rFonts w:hint="eastAsia"/>
                <w:color w:val="auto"/>
              </w:rPr>
              <w:t>达标</w:t>
            </w:r>
          </w:p>
        </w:tc>
      </w:tr>
      <w:tr w14:paraId="7760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Merge w:val="continue"/>
            <w:vAlign w:val="center"/>
          </w:tcPr>
          <w:p w14:paraId="3A3BFDF1">
            <w:pPr>
              <w:adjustRightInd w:val="0"/>
              <w:snapToGrid w:val="0"/>
              <w:jc w:val="center"/>
              <w:rPr>
                <w:rFonts w:hint="eastAsia"/>
                <w:bCs/>
                <w:color w:val="auto"/>
              </w:rPr>
            </w:pPr>
          </w:p>
        </w:tc>
        <w:tc>
          <w:tcPr>
            <w:tcW w:w="788" w:type="pct"/>
            <w:vAlign w:val="center"/>
          </w:tcPr>
          <w:p w14:paraId="119C7555">
            <w:pPr>
              <w:adjustRightInd w:val="0"/>
              <w:snapToGrid w:val="0"/>
              <w:jc w:val="center"/>
              <w:rPr>
                <w:rFonts w:hint="eastAsia" w:eastAsia="宋体"/>
                <w:bCs/>
                <w:color w:val="auto"/>
                <w:lang w:val="en-US" w:eastAsia="zh-CN"/>
              </w:rPr>
            </w:pPr>
            <w:r>
              <w:rPr>
                <w:rFonts w:hint="eastAsia"/>
                <w:bCs/>
                <w:color w:val="auto"/>
                <w:lang w:val="en-US" w:eastAsia="zh-CN"/>
              </w:rPr>
              <w:t>臭气浓度</w:t>
            </w:r>
          </w:p>
        </w:tc>
        <w:tc>
          <w:tcPr>
            <w:tcW w:w="664" w:type="pct"/>
            <w:vAlign w:val="center"/>
          </w:tcPr>
          <w:p w14:paraId="6088D58C">
            <w:pPr>
              <w:jc w:val="center"/>
              <w:rPr>
                <w:rFonts w:hint="eastAsia" w:eastAsia="宋体"/>
                <w:bCs/>
                <w:color w:val="auto"/>
                <w:lang w:val="en-US" w:eastAsia="zh-CN"/>
              </w:rPr>
            </w:pPr>
            <w:r>
              <w:rPr>
                <w:rFonts w:hint="eastAsia"/>
                <w:bCs/>
                <w:color w:val="auto"/>
                <w:lang w:val="en-US" w:eastAsia="zh-CN"/>
              </w:rPr>
              <w:t>/</w:t>
            </w:r>
          </w:p>
        </w:tc>
        <w:tc>
          <w:tcPr>
            <w:tcW w:w="673" w:type="pct"/>
            <w:vAlign w:val="center"/>
          </w:tcPr>
          <w:p w14:paraId="6ED8FA54">
            <w:pPr>
              <w:jc w:val="center"/>
              <w:rPr>
                <w:rFonts w:hint="eastAsia" w:eastAsia="宋体"/>
                <w:bCs/>
                <w:color w:val="auto"/>
                <w:lang w:val="en-US" w:eastAsia="zh-CN"/>
              </w:rPr>
            </w:pPr>
            <w:r>
              <w:rPr>
                <w:rFonts w:hint="eastAsia"/>
                <w:bCs/>
                <w:color w:val="auto"/>
                <w:lang w:val="en-US" w:eastAsia="zh-CN"/>
              </w:rPr>
              <w:t>/</w:t>
            </w:r>
          </w:p>
        </w:tc>
        <w:tc>
          <w:tcPr>
            <w:tcW w:w="514" w:type="pct"/>
            <w:vAlign w:val="center"/>
          </w:tcPr>
          <w:p w14:paraId="1D84A124">
            <w:pPr>
              <w:jc w:val="center"/>
              <w:rPr>
                <w:rFonts w:hint="eastAsia" w:eastAsia="宋体"/>
                <w:bCs/>
                <w:color w:val="auto"/>
                <w:lang w:val="en-US" w:eastAsia="zh-CN"/>
              </w:rPr>
            </w:pPr>
            <w:r>
              <w:rPr>
                <w:rFonts w:hint="eastAsia"/>
                <w:bCs/>
                <w:color w:val="auto"/>
                <w:lang w:val="en-US" w:eastAsia="zh-CN"/>
              </w:rPr>
              <w:t>/</w:t>
            </w:r>
          </w:p>
        </w:tc>
        <w:tc>
          <w:tcPr>
            <w:tcW w:w="438" w:type="pct"/>
            <w:vAlign w:val="center"/>
          </w:tcPr>
          <w:p w14:paraId="04EBD51B">
            <w:pPr>
              <w:adjustRightInd w:val="0"/>
              <w:snapToGrid w:val="0"/>
              <w:jc w:val="center"/>
              <w:rPr>
                <w:rFonts w:hint="default" w:eastAsia="宋体"/>
                <w:bCs/>
                <w:color w:val="auto"/>
                <w:lang w:val="en-US" w:eastAsia="zh-CN"/>
              </w:rPr>
            </w:pPr>
            <w:r>
              <w:rPr>
                <w:rFonts w:hint="eastAsia"/>
                <w:bCs/>
                <w:color w:val="auto"/>
                <w:lang w:val="en-US" w:eastAsia="zh-CN"/>
              </w:rPr>
              <w:t>1000（无量纲）</w:t>
            </w:r>
          </w:p>
        </w:tc>
        <w:tc>
          <w:tcPr>
            <w:tcW w:w="542" w:type="pct"/>
            <w:vAlign w:val="center"/>
          </w:tcPr>
          <w:p w14:paraId="358324E2">
            <w:pPr>
              <w:jc w:val="center"/>
              <w:rPr>
                <w:rFonts w:hint="eastAsia" w:eastAsia="宋体"/>
                <w:color w:val="auto"/>
                <w:lang w:val="en-US" w:eastAsia="zh-CN"/>
              </w:rPr>
            </w:pPr>
            <w:r>
              <w:rPr>
                <w:rFonts w:hint="eastAsia"/>
                <w:color w:val="auto"/>
                <w:lang w:val="en-US" w:eastAsia="zh-CN"/>
              </w:rPr>
              <w:t>达标</w:t>
            </w:r>
          </w:p>
        </w:tc>
      </w:tr>
    </w:tbl>
    <w:p w14:paraId="612731AC">
      <w:pPr>
        <w:adjustRightInd w:val="0"/>
        <w:snapToGrid w:val="0"/>
        <w:spacing w:line="360" w:lineRule="auto"/>
        <w:ind w:firstLine="480" w:firstLineChars="200"/>
        <w:rPr>
          <w:bCs/>
          <w:color w:val="auto"/>
          <w:sz w:val="24"/>
          <w:szCs w:val="24"/>
        </w:rPr>
      </w:pPr>
      <w:r>
        <w:rPr>
          <w:rFonts w:hint="eastAsia"/>
          <w:bCs/>
          <w:color w:val="auto"/>
          <w:sz w:val="24"/>
          <w:szCs w:val="24"/>
        </w:rPr>
        <w:t>根据《杭州余杭经济技术开发区总体规划修编（2020-2035年）环境影响报告书》</w:t>
      </w:r>
      <w:r>
        <w:rPr>
          <w:rFonts w:hint="eastAsia"/>
          <w:bCs/>
          <w:color w:val="auto"/>
          <w:sz w:val="24"/>
          <w:szCs w:val="24"/>
          <w:lang w:val="en-US" w:eastAsia="zh-CN"/>
        </w:rPr>
        <w:t>1.5.3评价标准中2、污染物排放标准要求：</w:t>
      </w:r>
      <w:r>
        <w:rPr>
          <w:rFonts w:hint="eastAsia"/>
          <w:bCs/>
          <w:color w:val="auto"/>
          <w:sz w:val="24"/>
          <w:szCs w:val="24"/>
        </w:rPr>
        <w:t>涉涂装工序企业废气污染物排放执行《工业涂装工序大气污染物排放标准》(DB33/2146-2018)中表 1 规定的大气污染物排放限值</w:t>
      </w:r>
      <w:r>
        <w:rPr>
          <w:rFonts w:hint="eastAsia"/>
          <w:bCs/>
          <w:color w:val="auto"/>
          <w:sz w:val="24"/>
          <w:szCs w:val="24"/>
          <w:lang w:eastAsia="zh-CN"/>
        </w:rPr>
        <w:t>，</w:t>
      </w:r>
      <w:r>
        <w:rPr>
          <w:rFonts w:hint="eastAsia"/>
          <w:bCs/>
          <w:color w:val="auto"/>
          <w:sz w:val="24"/>
          <w:szCs w:val="24"/>
          <w:lang w:val="en-US" w:eastAsia="zh-CN"/>
        </w:rPr>
        <w:t>且省级环境保护主管部门或设区市人民政府未规定本项目所在区域需要执行大气污染物特别排放限值</w:t>
      </w:r>
      <w:r>
        <w:rPr>
          <w:rFonts w:hint="eastAsia"/>
          <w:bCs/>
          <w:color w:val="auto"/>
          <w:sz w:val="24"/>
          <w:szCs w:val="24"/>
          <w:lang w:eastAsia="zh-CN"/>
        </w:rPr>
        <w:t>，</w:t>
      </w:r>
      <w:r>
        <w:rPr>
          <w:rFonts w:hint="eastAsia"/>
          <w:bCs/>
          <w:color w:val="auto"/>
          <w:sz w:val="24"/>
          <w:szCs w:val="24"/>
          <w:lang w:val="en-US" w:eastAsia="zh-CN"/>
        </w:rPr>
        <w:t>因此TVOC</w:t>
      </w:r>
      <w:r>
        <w:rPr>
          <w:rFonts w:hint="eastAsia"/>
          <w:bCs/>
          <w:color w:val="auto"/>
          <w:sz w:val="24"/>
          <w:szCs w:val="24"/>
        </w:rPr>
        <w:t>排放标准为排放浓度为</w:t>
      </w:r>
      <w:r>
        <w:rPr>
          <w:rFonts w:hint="eastAsia"/>
          <w:bCs/>
          <w:color w:val="auto"/>
          <w:sz w:val="24"/>
          <w:szCs w:val="24"/>
          <w:lang w:val="en-US" w:eastAsia="zh-CN"/>
        </w:rPr>
        <w:t>150</w:t>
      </w:r>
      <w:r>
        <w:rPr>
          <w:rFonts w:hint="eastAsia"/>
          <w:bCs/>
          <w:color w:val="auto"/>
          <w:sz w:val="24"/>
          <w:szCs w:val="24"/>
        </w:rPr>
        <w:t>mg/m</w:t>
      </w:r>
      <w:r>
        <w:rPr>
          <w:rFonts w:hint="eastAsia"/>
          <w:bCs/>
          <w:color w:val="auto"/>
          <w:sz w:val="24"/>
          <w:szCs w:val="24"/>
          <w:vertAlign w:val="superscript"/>
        </w:rPr>
        <w:t>3</w:t>
      </w:r>
      <w:r>
        <w:rPr>
          <w:rFonts w:hint="eastAsia"/>
          <w:bCs/>
          <w:color w:val="auto"/>
          <w:sz w:val="24"/>
          <w:szCs w:val="24"/>
        </w:rPr>
        <w:t>。</w:t>
      </w:r>
      <w:r>
        <w:rPr>
          <w:bCs/>
          <w:color w:val="auto"/>
          <w:sz w:val="24"/>
          <w:szCs w:val="24"/>
        </w:rPr>
        <w:t>从上表可知，项目</w:t>
      </w:r>
      <w:r>
        <w:rPr>
          <w:rFonts w:hint="eastAsia"/>
          <w:bCs/>
          <w:color w:val="auto"/>
          <w:sz w:val="24"/>
          <w:szCs w:val="24"/>
        </w:rPr>
        <w:t>D</w:t>
      </w:r>
      <w:r>
        <w:rPr>
          <w:bCs/>
          <w:color w:val="auto"/>
          <w:sz w:val="24"/>
          <w:szCs w:val="24"/>
        </w:rPr>
        <w:t>A</w:t>
      </w:r>
      <w:r>
        <w:rPr>
          <w:rFonts w:hint="eastAsia"/>
          <w:bCs/>
          <w:color w:val="auto"/>
          <w:sz w:val="24"/>
          <w:szCs w:val="24"/>
        </w:rPr>
        <w:t>001中</w:t>
      </w:r>
      <w:r>
        <w:rPr>
          <w:rFonts w:hint="eastAsia"/>
          <w:bCs/>
          <w:color w:val="auto"/>
          <w:sz w:val="24"/>
          <w:szCs w:val="24"/>
          <w:lang w:val="en-US" w:eastAsia="zh-CN"/>
        </w:rPr>
        <w:t>TVOC</w:t>
      </w:r>
      <w:r>
        <w:rPr>
          <w:rFonts w:hint="eastAsia"/>
          <w:bCs/>
          <w:color w:val="auto"/>
          <w:sz w:val="24"/>
          <w:szCs w:val="24"/>
        </w:rPr>
        <w:t>废气污染物满足标准限值要求。</w:t>
      </w:r>
    </w:p>
    <w:p w14:paraId="37A972A5">
      <w:pPr>
        <w:spacing w:line="360" w:lineRule="auto"/>
        <w:ind w:firstLine="480" w:firstLineChars="200"/>
        <w:rPr>
          <w:color w:val="auto"/>
          <w:sz w:val="24"/>
          <w:szCs w:val="24"/>
        </w:rPr>
      </w:pPr>
      <w:bookmarkStart w:id="36" w:name="_Toc2457"/>
      <w:r>
        <w:rPr>
          <w:rFonts w:hint="eastAsia"/>
          <w:color w:val="auto"/>
          <w:sz w:val="24"/>
          <w:szCs w:val="24"/>
        </w:rPr>
        <w:t>（4）可行性技术分析</w:t>
      </w:r>
      <w:bookmarkEnd w:id="36"/>
    </w:p>
    <w:p w14:paraId="7A9FF1A4">
      <w:pPr>
        <w:adjustRightInd w:val="0"/>
        <w:snapToGrid w:val="0"/>
        <w:spacing w:line="360" w:lineRule="auto"/>
        <w:ind w:firstLine="480" w:firstLineChars="200"/>
        <w:rPr>
          <w:bCs/>
          <w:color w:val="auto"/>
          <w:sz w:val="24"/>
          <w:szCs w:val="24"/>
        </w:rPr>
      </w:pPr>
      <w:r>
        <w:rPr>
          <w:bCs/>
          <w:color w:val="auto"/>
          <w:sz w:val="24"/>
          <w:szCs w:val="24"/>
        </w:rPr>
        <w:t>本项目DA0</w:t>
      </w:r>
      <w:r>
        <w:rPr>
          <w:rFonts w:hint="eastAsia"/>
          <w:bCs/>
          <w:color w:val="auto"/>
          <w:sz w:val="24"/>
          <w:szCs w:val="24"/>
        </w:rPr>
        <w:t>01</w:t>
      </w:r>
      <w:r>
        <w:rPr>
          <w:bCs/>
          <w:color w:val="auto"/>
          <w:sz w:val="24"/>
          <w:szCs w:val="24"/>
        </w:rPr>
        <w:t>排气筒排放废气</w:t>
      </w:r>
      <w:r>
        <w:rPr>
          <w:rFonts w:hint="eastAsia"/>
          <w:bCs/>
          <w:color w:val="auto"/>
          <w:sz w:val="24"/>
          <w:szCs w:val="24"/>
        </w:rPr>
        <w:t>污染物</w:t>
      </w:r>
      <w:r>
        <w:rPr>
          <w:rFonts w:hint="eastAsia"/>
          <w:bCs/>
          <w:color w:val="auto"/>
          <w:sz w:val="24"/>
          <w:szCs w:val="24"/>
          <w:lang w:val="en-US" w:eastAsia="zh-CN"/>
        </w:rPr>
        <w:t>TVOC</w:t>
      </w:r>
      <w:r>
        <w:rPr>
          <w:bCs/>
          <w:color w:val="auto"/>
          <w:sz w:val="24"/>
          <w:szCs w:val="24"/>
        </w:rPr>
        <w:t>，通过</w:t>
      </w:r>
      <w:bookmarkStart w:id="37" w:name="_Hlk161921622"/>
      <w:r>
        <w:rPr>
          <w:rFonts w:hint="eastAsia"/>
          <w:bCs/>
          <w:color w:val="auto"/>
          <w:sz w:val="24"/>
          <w:szCs w:val="24"/>
        </w:rPr>
        <w:t>“</w:t>
      </w:r>
      <w:bookmarkEnd w:id="37"/>
      <w:r>
        <w:rPr>
          <w:rFonts w:hint="eastAsia"/>
          <w:bCs/>
          <w:color w:val="auto"/>
          <w:sz w:val="24"/>
          <w:szCs w:val="24"/>
        </w:rPr>
        <w:t>活性炭吸附+脱附催化燃烧”装置</w:t>
      </w:r>
      <w:r>
        <w:rPr>
          <w:bCs/>
          <w:color w:val="auto"/>
          <w:sz w:val="24"/>
          <w:szCs w:val="24"/>
        </w:rPr>
        <w:t>处理</w:t>
      </w:r>
      <w:r>
        <w:rPr>
          <w:rFonts w:hint="eastAsia"/>
          <w:bCs/>
          <w:color w:val="auto"/>
          <w:sz w:val="24"/>
          <w:szCs w:val="24"/>
        </w:rPr>
        <w:t>。</w:t>
      </w:r>
      <w:r>
        <w:rPr>
          <w:rFonts w:hint="eastAsia"/>
          <w:bCs/>
          <w:color w:val="auto"/>
          <w:sz w:val="24"/>
          <w:szCs w:val="24"/>
          <w:lang w:val="en-US" w:eastAsia="zh-CN"/>
        </w:rPr>
        <w:t>焊接工段</w:t>
      </w:r>
      <w:r>
        <w:rPr>
          <w:rFonts w:hint="eastAsia"/>
          <w:bCs/>
          <w:color w:val="auto"/>
          <w:sz w:val="24"/>
          <w:szCs w:val="24"/>
        </w:rPr>
        <w:t>产生的</w:t>
      </w:r>
      <w:r>
        <w:rPr>
          <w:rFonts w:hint="eastAsia"/>
          <w:bCs/>
          <w:color w:val="auto"/>
          <w:sz w:val="24"/>
          <w:szCs w:val="24"/>
          <w:lang w:val="en-US" w:eastAsia="zh-CN"/>
        </w:rPr>
        <w:t>焊接烟尘</w:t>
      </w:r>
      <w:r>
        <w:rPr>
          <w:rFonts w:hint="eastAsia"/>
          <w:bCs/>
          <w:color w:val="auto"/>
          <w:sz w:val="24"/>
          <w:szCs w:val="24"/>
        </w:rPr>
        <w:t>经收</w:t>
      </w:r>
      <w:r>
        <w:rPr>
          <w:rFonts w:hint="eastAsia"/>
          <w:bCs/>
          <w:color w:val="auto"/>
          <w:sz w:val="24"/>
          <w:szCs w:val="24"/>
          <w:lang w:val="en-US" w:eastAsia="zh-CN"/>
        </w:rPr>
        <w:t>移动式焊接烟尘净化装置</w:t>
      </w:r>
      <w:r>
        <w:rPr>
          <w:rFonts w:hint="eastAsia"/>
          <w:bCs/>
          <w:color w:val="auto"/>
          <w:sz w:val="24"/>
          <w:szCs w:val="24"/>
        </w:rPr>
        <w:t>处理后车间内无组织排放。</w:t>
      </w:r>
    </w:p>
    <w:p w14:paraId="65060847">
      <w:pPr>
        <w:adjustRightInd w:val="0"/>
        <w:snapToGrid w:val="0"/>
        <w:spacing w:line="360" w:lineRule="auto"/>
        <w:ind w:firstLine="480" w:firstLineChars="200"/>
        <w:rPr>
          <w:bCs/>
          <w:color w:val="auto"/>
          <w:sz w:val="24"/>
          <w:szCs w:val="24"/>
        </w:rPr>
      </w:pPr>
      <w:r>
        <w:rPr>
          <w:rFonts w:hint="eastAsia" w:ascii="宋体" w:hAnsi="宋体"/>
          <w:bCs/>
          <w:color w:val="auto"/>
          <w:sz w:val="24"/>
          <w:szCs w:val="24"/>
        </w:rPr>
        <w:t>本项目</w:t>
      </w:r>
      <w:r>
        <w:rPr>
          <w:rFonts w:ascii="宋体" w:hAnsi="宋体"/>
          <w:bCs/>
          <w:color w:val="auto"/>
          <w:sz w:val="24"/>
          <w:szCs w:val="24"/>
        </w:rPr>
        <w:t>属于</w:t>
      </w:r>
      <w:r>
        <w:rPr>
          <w:rFonts w:hint="eastAsia" w:ascii="宋体" w:hAnsi="宋体"/>
          <w:bCs/>
          <w:color w:val="auto"/>
          <w:sz w:val="24"/>
          <w:szCs w:val="24"/>
        </w:rPr>
        <w:t>通用设备制造业，根据</w:t>
      </w:r>
      <w:r>
        <w:rPr>
          <w:bCs/>
          <w:color w:val="auto"/>
          <w:sz w:val="24"/>
          <w:szCs w:val="24"/>
        </w:rPr>
        <w:t>《</w:t>
      </w:r>
      <w:r>
        <w:rPr>
          <w:rFonts w:hint="eastAsia"/>
          <w:bCs/>
          <w:color w:val="auto"/>
          <w:sz w:val="24"/>
          <w:szCs w:val="24"/>
        </w:rPr>
        <w:t>排污许可证申请与核发技术规范 铁路、船舶、航空航天和其他运输设备制造业（HJ1124-2020）</w:t>
      </w:r>
      <w:r>
        <w:rPr>
          <w:bCs/>
          <w:color w:val="auto"/>
          <w:sz w:val="24"/>
          <w:szCs w:val="24"/>
        </w:rPr>
        <w:t>》</w:t>
      </w:r>
      <w:r>
        <w:rPr>
          <w:rFonts w:hint="eastAsia"/>
          <w:bCs/>
          <w:color w:val="auto"/>
          <w:sz w:val="24"/>
          <w:szCs w:val="24"/>
        </w:rPr>
        <w:t>中表</w:t>
      </w:r>
      <w:r>
        <w:rPr>
          <w:rFonts w:hint="eastAsia"/>
          <w:bCs/>
          <w:color w:val="auto"/>
          <w:sz w:val="24"/>
          <w:szCs w:val="24"/>
          <w:lang w:val="en-US" w:eastAsia="zh-CN"/>
        </w:rPr>
        <w:t>A.4表面处理（涂装）排污单位废气产污环节、污染物项目、排放形式、污染防治措施及对应排放口类型一览表</w:t>
      </w:r>
      <w:r>
        <w:rPr>
          <w:rFonts w:hint="eastAsia"/>
          <w:bCs/>
          <w:color w:val="auto"/>
          <w:sz w:val="24"/>
          <w:szCs w:val="24"/>
        </w:rPr>
        <w:t>，</w:t>
      </w:r>
      <w:r>
        <w:rPr>
          <w:rFonts w:hint="eastAsia" w:ascii="宋体" w:hAnsi="宋体"/>
          <w:bCs/>
          <w:color w:val="auto"/>
          <w:sz w:val="24"/>
          <w:szCs w:val="24"/>
        </w:rPr>
        <w:t>本项目</w:t>
      </w:r>
      <w:r>
        <w:rPr>
          <w:rFonts w:hint="eastAsia" w:ascii="宋体" w:hAnsi="宋体"/>
          <w:bCs/>
          <w:color w:val="auto"/>
          <w:sz w:val="24"/>
          <w:szCs w:val="24"/>
          <w:lang w:val="en-US" w:eastAsia="zh-CN"/>
        </w:rPr>
        <w:t>喷涂产生的有机废气</w:t>
      </w:r>
      <w:r>
        <w:rPr>
          <w:bCs/>
          <w:color w:val="auto"/>
          <w:sz w:val="24"/>
          <w:szCs w:val="24"/>
        </w:rPr>
        <w:t>通过</w:t>
      </w:r>
      <w:r>
        <w:rPr>
          <w:rFonts w:hint="eastAsia"/>
          <w:bCs/>
          <w:color w:val="auto"/>
          <w:sz w:val="24"/>
          <w:szCs w:val="24"/>
        </w:rPr>
        <w:t>“活性炭吸附+脱附催化燃烧”装置</w:t>
      </w:r>
      <w:r>
        <w:rPr>
          <w:bCs/>
          <w:color w:val="auto"/>
          <w:sz w:val="24"/>
          <w:szCs w:val="24"/>
        </w:rPr>
        <w:t>处理</w:t>
      </w:r>
      <w:r>
        <w:rPr>
          <w:rFonts w:hint="eastAsia"/>
          <w:bCs/>
          <w:color w:val="auto"/>
          <w:sz w:val="24"/>
          <w:szCs w:val="24"/>
        </w:rPr>
        <w:t>。</w:t>
      </w:r>
      <w:r>
        <w:rPr>
          <w:rFonts w:hint="eastAsia"/>
          <w:bCs/>
          <w:color w:val="auto"/>
          <w:sz w:val="24"/>
          <w:szCs w:val="24"/>
          <w:lang w:val="en-US" w:eastAsia="zh-CN"/>
        </w:rPr>
        <w:t>焊接工段</w:t>
      </w:r>
      <w:r>
        <w:rPr>
          <w:rFonts w:hint="eastAsia"/>
          <w:bCs/>
          <w:color w:val="auto"/>
          <w:sz w:val="24"/>
          <w:szCs w:val="24"/>
        </w:rPr>
        <w:t>产生的</w:t>
      </w:r>
      <w:r>
        <w:rPr>
          <w:rFonts w:hint="eastAsia"/>
          <w:bCs/>
          <w:color w:val="auto"/>
          <w:sz w:val="24"/>
          <w:szCs w:val="24"/>
          <w:lang w:val="en-US" w:eastAsia="zh-CN"/>
        </w:rPr>
        <w:t>焊接烟尘</w:t>
      </w:r>
      <w:r>
        <w:rPr>
          <w:rFonts w:hint="eastAsia"/>
          <w:bCs/>
          <w:color w:val="auto"/>
          <w:sz w:val="24"/>
          <w:szCs w:val="24"/>
        </w:rPr>
        <w:t>经收</w:t>
      </w:r>
      <w:r>
        <w:rPr>
          <w:rFonts w:hint="eastAsia"/>
          <w:bCs/>
          <w:color w:val="auto"/>
          <w:sz w:val="24"/>
          <w:szCs w:val="24"/>
          <w:lang w:val="en-US" w:eastAsia="zh-CN"/>
        </w:rPr>
        <w:t>移动式焊接烟尘净化装置</w:t>
      </w:r>
      <w:r>
        <w:rPr>
          <w:rFonts w:hint="eastAsia"/>
          <w:bCs/>
          <w:color w:val="auto"/>
          <w:sz w:val="24"/>
          <w:szCs w:val="24"/>
        </w:rPr>
        <w:t>处理</w:t>
      </w:r>
      <w:r>
        <w:rPr>
          <w:rFonts w:hint="eastAsia"/>
          <w:bCs/>
          <w:color w:val="auto"/>
          <w:sz w:val="24"/>
          <w:szCs w:val="24"/>
          <w:lang w:eastAsia="zh-CN"/>
        </w:rPr>
        <w:t>，</w:t>
      </w:r>
      <w:r>
        <w:rPr>
          <w:rFonts w:hint="eastAsia" w:ascii="宋体" w:hAnsi="宋体"/>
          <w:bCs/>
          <w:color w:val="auto"/>
          <w:sz w:val="24"/>
          <w:szCs w:val="24"/>
        </w:rPr>
        <w:t>各类</w:t>
      </w:r>
      <w:r>
        <w:rPr>
          <w:rFonts w:ascii="宋体" w:hAnsi="宋体"/>
          <w:bCs/>
          <w:color w:val="auto"/>
          <w:sz w:val="24"/>
          <w:szCs w:val="24"/>
        </w:rPr>
        <w:t>废气</w:t>
      </w:r>
      <w:r>
        <w:rPr>
          <w:rFonts w:hint="eastAsia" w:ascii="宋体" w:hAnsi="宋体"/>
          <w:bCs/>
          <w:color w:val="auto"/>
          <w:sz w:val="24"/>
          <w:szCs w:val="24"/>
        </w:rPr>
        <w:t>治理技术均属于规范中明确的可行技术。</w:t>
      </w:r>
    </w:p>
    <w:p w14:paraId="337BC106">
      <w:pPr>
        <w:spacing w:line="360" w:lineRule="auto"/>
        <w:ind w:firstLine="480" w:firstLineChars="200"/>
        <w:rPr>
          <w:rFonts w:hint="eastAsia"/>
          <w:color w:val="auto"/>
          <w:sz w:val="24"/>
          <w:szCs w:val="24"/>
          <w:lang w:val="en-US" w:eastAsia="zh-CN"/>
        </w:rPr>
      </w:pPr>
      <w:bookmarkStart w:id="38" w:name="_Toc28433"/>
      <w:r>
        <w:rPr>
          <w:rFonts w:hint="eastAsia"/>
          <w:color w:val="auto"/>
          <w:sz w:val="24"/>
          <w:szCs w:val="24"/>
          <w:lang w:eastAsia="zh-CN"/>
        </w:rPr>
        <w:t>（</w:t>
      </w:r>
      <w:r>
        <w:rPr>
          <w:rFonts w:hint="eastAsia"/>
          <w:color w:val="auto"/>
          <w:sz w:val="24"/>
          <w:szCs w:val="24"/>
          <w:lang w:val="en-US" w:eastAsia="zh-CN"/>
        </w:rPr>
        <w:t>5</w:t>
      </w:r>
      <w:r>
        <w:rPr>
          <w:rFonts w:hint="eastAsia"/>
          <w:color w:val="auto"/>
          <w:sz w:val="24"/>
          <w:szCs w:val="24"/>
          <w:lang w:eastAsia="zh-CN"/>
        </w:rPr>
        <w:t>）</w:t>
      </w:r>
      <w:r>
        <w:rPr>
          <w:rFonts w:hint="eastAsia"/>
          <w:color w:val="auto"/>
          <w:sz w:val="24"/>
          <w:szCs w:val="24"/>
          <w:lang w:val="en-US" w:eastAsia="zh-CN"/>
        </w:rPr>
        <w:t>废气治理设施安全性分析</w:t>
      </w:r>
    </w:p>
    <w:p w14:paraId="6CDF0C49">
      <w:pPr>
        <w:spacing w:line="360" w:lineRule="auto"/>
        <w:ind w:firstLine="480" w:firstLineChars="200"/>
        <w:rPr>
          <w:rFonts w:hint="default"/>
          <w:color w:val="auto"/>
          <w:sz w:val="24"/>
          <w:szCs w:val="24"/>
          <w:lang w:val="en-US" w:eastAsia="zh-CN"/>
        </w:rPr>
      </w:pPr>
      <w:r>
        <w:rPr>
          <w:rFonts w:hint="default"/>
          <w:color w:val="auto"/>
          <w:sz w:val="24"/>
          <w:szCs w:val="24"/>
          <w:lang w:val="en-US" w:eastAsia="zh-CN"/>
        </w:rPr>
        <w:t>根据《关于加强工业企业环保设施安全生产工作的指导意见》(浙应急基础</w:t>
      </w:r>
      <w:r>
        <w:rPr>
          <w:rFonts w:hint="eastAsia"/>
          <w:color w:val="auto"/>
          <w:sz w:val="24"/>
          <w:szCs w:val="24"/>
          <w:lang w:val="en-US" w:eastAsia="zh-CN"/>
        </w:rPr>
        <w:t>【</w:t>
      </w:r>
      <w:r>
        <w:rPr>
          <w:rFonts w:hint="default"/>
          <w:color w:val="auto"/>
          <w:sz w:val="24"/>
          <w:szCs w:val="24"/>
          <w:lang w:val="en-US" w:eastAsia="zh-CN"/>
        </w:rPr>
        <w:t>2022</w:t>
      </w:r>
      <w:r>
        <w:rPr>
          <w:rFonts w:hint="eastAsia"/>
          <w:color w:val="auto"/>
          <w:sz w:val="24"/>
          <w:szCs w:val="24"/>
          <w:lang w:val="en-US" w:eastAsia="zh-CN"/>
        </w:rPr>
        <w:t>】</w:t>
      </w:r>
      <w:r>
        <w:rPr>
          <w:rFonts w:hint="default"/>
          <w:color w:val="auto"/>
          <w:sz w:val="24"/>
          <w:szCs w:val="24"/>
          <w:lang w:val="en-US" w:eastAsia="zh-CN"/>
        </w:rPr>
        <w:t>143号)，明确源头治理的具体要求。将新、改、扩建环保设施纳入建设项目管理，在环境保护“三同时”阶段落实有关安全要求</w:t>
      </w:r>
      <w:r>
        <w:rPr>
          <w:rFonts w:hint="eastAsia"/>
          <w:color w:val="auto"/>
          <w:sz w:val="24"/>
          <w:szCs w:val="24"/>
          <w:lang w:val="en-US" w:eastAsia="zh-CN"/>
        </w:rPr>
        <w:t>：一是</w:t>
      </w:r>
      <w:r>
        <w:rPr>
          <w:rFonts w:hint="default"/>
          <w:color w:val="auto"/>
          <w:sz w:val="24"/>
          <w:szCs w:val="24"/>
          <w:lang w:val="en-US" w:eastAsia="zh-CN"/>
        </w:rPr>
        <w:t>立项阶段，在企业环境影响评价时，不得采用淘汰的设备和工艺；在环评技术审查等环节，明确可邀请应急管理部门和安全专家参与论证。二是设计阶段，企业应委托有相应资质设计单位对环保设施进行设计，自行开展或组织环保、安全生产有关专家参与设计审查。三是建设和验收阶段，严格按照设计方案和施工技术标准施工，组织环保设施竣工验收，形成书面报告。已建成的重点环保设施且未进行正规设计的，要委托第三方单位开展设计诊断，落实整改措施，实行销号闭环管理。</w:t>
      </w:r>
    </w:p>
    <w:p w14:paraId="78DEE529">
      <w:pPr>
        <w:spacing w:line="360" w:lineRule="auto"/>
        <w:ind w:firstLine="480" w:firstLineChars="200"/>
        <w:rPr>
          <w:rFonts w:hint="default"/>
          <w:color w:val="auto"/>
          <w:sz w:val="24"/>
          <w:szCs w:val="24"/>
          <w:lang w:val="en-US" w:eastAsia="zh-CN"/>
        </w:rPr>
      </w:pPr>
      <w:r>
        <w:rPr>
          <w:rFonts w:hint="eastAsia"/>
          <w:color w:val="auto"/>
          <w:sz w:val="24"/>
          <w:szCs w:val="24"/>
          <w:lang w:val="en-US" w:eastAsia="zh-CN"/>
        </w:rPr>
        <w:t>符合性分析：1、</w:t>
      </w:r>
      <w:r>
        <w:rPr>
          <w:rFonts w:hint="default"/>
          <w:color w:val="auto"/>
          <w:sz w:val="24"/>
          <w:szCs w:val="24"/>
          <w:lang w:val="en-US" w:eastAsia="zh-CN"/>
        </w:rPr>
        <w:t>本项目</w:t>
      </w:r>
      <w:r>
        <w:rPr>
          <w:rFonts w:hint="eastAsia"/>
          <w:color w:val="auto"/>
          <w:sz w:val="24"/>
          <w:szCs w:val="24"/>
          <w:lang w:val="en-US" w:eastAsia="zh-CN"/>
        </w:rPr>
        <w:t>在环境影响评价时不采用</w:t>
      </w:r>
      <w:r>
        <w:rPr>
          <w:rFonts w:hint="default"/>
          <w:color w:val="auto"/>
          <w:sz w:val="24"/>
          <w:szCs w:val="24"/>
          <w:lang w:val="en-US" w:eastAsia="zh-CN"/>
        </w:rPr>
        <w:t>淘汰的设备和工艺</w:t>
      </w:r>
      <w:r>
        <w:rPr>
          <w:rFonts w:hint="eastAsia"/>
          <w:color w:val="auto"/>
          <w:sz w:val="24"/>
          <w:szCs w:val="24"/>
          <w:lang w:val="en-US" w:eastAsia="zh-CN"/>
        </w:rPr>
        <w:t>；2、同时根据省安委会印发的《浙江省安全生产委员会成员单位安全生产工作任务分工》(浙安委【2024】20号)，要求企业委托有相应资质的设计单位对建设项目重点环保设施进行设计、自行(或委托)开展安全风险评估。本次项目</w:t>
      </w:r>
      <w:r>
        <w:rPr>
          <w:rFonts w:hint="default"/>
          <w:color w:val="auto"/>
          <w:sz w:val="24"/>
          <w:szCs w:val="24"/>
          <w:lang w:val="en-US" w:eastAsia="zh-CN"/>
        </w:rPr>
        <w:t>委托浙江友坤机械设备有限公司对环保设施进行设计</w:t>
      </w:r>
      <w:r>
        <w:rPr>
          <w:rFonts w:hint="eastAsia"/>
          <w:color w:val="auto"/>
          <w:sz w:val="24"/>
          <w:szCs w:val="24"/>
          <w:lang w:val="en-US" w:eastAsia="zh-CN"/>
        </w:rPr>
        <w:t>并施工，后续将</w:t>
      </w:r>
      <w:r>
        <w:rPr>
          <w:rFonts w:hint="default"/>
          <w:color w:val="auto"/>
          <w:sz w:val="24"/>
          <w:szCs w:val="24"/>
          <w:lang w:val="en-US" w:eastAsia="zh-CN"/>
        </w:rPr>
        <w:t>自行开展或组织环保、安全生产有关专家参与设计审查</w:t>
      </w:r>
      <w:r>
        <w:rPr>
          <w:rFonts w:hint="eastAsia"/>
          <w:color w:val="auto"/>
          <w:sz w:val="24"/>
          <w:szCs w:val="24"/>
          <w:lang w:val="en-US" w:eastAsia="zh-CN"/>
        </w:rPr>
        <w:t>并进行安全风险评估；3、项目</w:t>
      </w:r>
      <w:r>
        <w:rPr>
          <w:rFonts w:hint="default"/>
          <w:color w:val="auto"/>
          <w:sz w:val="24"/>
          <w:szCs w:val="24"/>
          <w:lang w:val="en-US" w:eastAsia="zh-CN"/>
        </w:rPr>
        <w:t>建设和验收阶段，</w:t>
      </w:r>
      <w:r>
        <w:rPr>
          <w:rFonts w:hint="eastAsia"/>
          <w:color w:val="auto"/>
          <w:sz w:val="24"/>
          <w:szCs w:val="24"/>
          <w:lang w:val="en-US" w:eastAsia="zh-CN"/>
        </w:rPr>
        <w:t>将</w:t>
      </w:r>
      <w:r>
        <w:rPr>
          <w:rFonts w:hint="default"/>
          <w:color w:val="auto"/>
          <w:sz w:val="24"/>
          <w:szCs w:val="24"/>
          <w:lang w:val="en-US" w:eastAsia="zh-CN"/>
        </w:rPr>
        <w:t>严格按照设计方案和施工技术标准施工，组织环保设施竣工验收，形成书面报告。</w:t>
      </w:r>
    </w:p>
    <w:p w14:paraId="5EA3CE58">
      <w:pPr>
        <w:spacing w:line="360" w:lineRule="auto"/>
        <w:ind w:firstLine="480" w:firstLineChars="200"/>
        <w:rPr>
          <w:rFonts w:hint="default"/>
          <w:color w:val="auto"/>
          <w:sz w:val="24"/>
          <w:szCs w:val="24"/>
          <w:lang w:val="en-US" w:eastAsia="zh-CN"/>
        </w:rPr>
      </w:pPr>
      <w:r>
        <w:rPr>
          <w:rFonts w:hint="eastAsia"/>
          <w:color w:val="auto"/>
          <w:sz w:val="24"/>
          <w:szCs w:val="24"/>
          <w:lang w:val="en-US" w:eastAsia="zh-CN"/>
        </w:rPr>
        <w:t>综上，</w:t>
      </w:r>
      <w:r>
        <w:rPr>
          <w:rFonts w:hint="default"/>
          <w:color w:val="auto"/>
          <w:sz w:val="24"/>
          <w:szCs w:val="24"/>
          <w:lang w:val="en-US" w:eastAsia="zh-CN"/>
        </w:rPr>
        <w:t>废气治理设施安全性总体可控。“活性炭吸附+脱附催化燃烧” 装置处理 TVOC 废气时，通过控制进气浓度低于爆炸下限25%、设置温度监测与降温系统、设备接地及配备惰性气体灭火装置，防范火灾爆炸风险；通过加强密封、配备个人防护装备和设置有毒气体报警仪，降低中毒风险；并通过完善设备维护制度保障运行安全。“袋式除尘系统” 处理木工车间粉尘时，采用控制粉尘浓度、设备防静电、设置防爆泄压装置等措施预防粉尘爆炸，通过定期清理积尘、维护电气设备降低火灾风险，同时通过控制粉尘湿度、定期清洗滤袋防止设备堵塞。</w:t>
      </w:r>
      <w:r>
        <w:rPr>
          <w:rFonts w:hint="eastAsia"/>
          <w:color w:val="auto"/>
          <w:sz w:val="24"/>
          <w:szCs w:val="24"/>
          <w:lang w:val="en-US" w:eastAsia="zh-CN"/>
        </w:rPr>
        <w:t>能够满足</w:t>
      </w:r>
      <w:r>
        <w:rPr>
          <w:rFonts w:hint="default"/>
          <w:color w:val="auto"/>
          <w:sz w:val="24"/>
          <w:szCs w:val="24"/>
          <w:lang w:val="en-US" w:eastAsia="zh-CN"/>
        </w:rPr>
        <w:t>《浙江省安全生产条例》</w:t>
      </w:r>
      <w:r>
        <w:rPr>
          <w:rFonts w:hint="eastAsia"/>
          <w:color w:val="auto"/>
          <w:sz w:val="24"/>
          <w:szCs w:val="24"/>
          <w:lang w:val="en-US" w:eastAsia="zh-CN"/>
        </w:rPr>
        <w:t>（</w:t>
      </w:r>
      <w:r>
        <w:rPr>
          <w:rFonts w:hint="default"/>
          <w:color w:val="auto"/>
          <w:sz w:val="24"/>
          <w:szCs w:val="24"/>
          <w:lang w:val="en-US" w:eastAsia="zh-CN"/>
        </w:rPr>
        <w:t>浙江省第十三届人民代表大会常务委员会公告第86号，2023.03.01实施</w:t>
      </w:r>
      <w:r>
        <w:rPr>
          <w:rFonts w:hint="eastAsia"/>
          <w:color w:val="auto"/>
          <w:sz w:val="24"/>
          <w:szCs w:val="24"/>
          <w:lang w:val="en-US" w:eastAsia="zh-CN"/>
        </w:rPr>
        <w:t>）第十九条：生产经营单位在生产经营过程中使用或者产生可燃爆的粉尘、气体、液体等爆炸性危险物质的，应当保证作业场所的建筑物、构筑物、电气设备以及通风除尘、防静电、防爆等安全设施，符合国家相关防燃爆标准要求相关要求。</w:t>
      </w:r>
      <w:r>
        <w:rPr>
          <w:rFonts w:hint="default"/>
          <w:color w:val="auto"/>
          <w:sz w:val="24"/>
          <w:szCs w:val="24"/>
          <w:lang w:val="en-US" w:eastAsia="zh-CN"/>
        </w:rPr>
        <w:t>此外，项目将通过人员培训、应急预案制定与演练、定期安全检查及健全管理制度，进一步强化安全管理，确保废气治理设施安全稳定运行，降低环境风险。</w:t>
      </w:r>
    </w:p>
    <w:p w14:paraId="3378749E">
      <w:pPr>
        <w:spacing w:line="360" w:lineRule="auto"/>
        <w:ind w:firstLine="480" w:firstLineChars="200"/>
        <w:rPr>
          <w:color w:val="auto"/>
          <w:sz w:val="24"/>
          <w:szCs w:val="24"/>
        </w:rPr>
      </w:pPr>
      <w:r>
        <w:rPr>
          <w:rFonts w:hint="eastAsia"/>
          <w:color w:val="auto"/>
          <w:sz w:val="24"/>
          <w:szCs w:val="24"/>
        </w:rPr>
        <w:t>（</w:t>
      </w:r>
      <w:r>
        <w:rPr>
          <w:rFonts w:hint="eastAsia"/>
          <w:color w:val="auto"/>
          <w:sz w:val="24"/>
          <w:szCs w:val="24"/>
          <w:lang w:val="en-US" w:eastAsia="zh-CN"/>
        </w:rPr>
        <w:t>6</w:t>
      </w:r>
      <w:r>
        <w:rPr>
          <w:rFonts w:hint="eastAsia"/>
          <w:color w:val="auto"/>
          <w:sz w:val="24"/>
          <w:szCs w:val="24"/>
        </w:rPr>
        <w:t>）</w:t>
      </w:r>
      <w:r>
        <w:rPr>
          <w:color w:val="auto"/>
          <w:sz w:val="24"/>
          <w:szCs w:val="24"/>
        </w:rPr>
        <w:t>环境影响分析</w:t>
      </w:r>
      <w:bookmarkEnd w:id="38"/>
    </w:p>
    <w:p w14:paraId="2F1EAFA9">
      <w:pPr>
        <w:spacing w:line="360" w:lineRule="auto"/>
        <w:ind w:firstLine="480" w:firstLineChars="200"/>
        <w:rPr>
          <w:color w:val="auto"/>
          <w:sz w:val="24"/>
          <w:szCs w:val="24"/>
        </w:rPr>
      </w:pPr>
      <w:r>
        <w:rPr>
          <w:rFonts w:hint="eastAsia"/>
          <w:color w:val="auto"/>
          <w:sz w:val="24"/>
          <w:szCs w:val="24"/>
        </w:rPr>
        <w:t>本项目采取的废气污染治理设施均为可行技术，污染物排放量不大且均可达标排放，预计项目废气正常排放对周边居民影响可接受。</w:t>
      </w:r>
    </w:p>
    <w:p w14:paraId="4745AD34">
      <w:pPr>
        <w:pStyle w:val="122"/>
        <w:ind w:firstLine="482"/>
        <w:rPr>
          <w:b/>
          <w:bCs/>
          <w:color w:val="auto"/>
        </w:rPr>
      </w:pPr>
      <w:r>
        <w:rPr>
          <w:rFonts w:hint="eastAsia"/>
          <w:b/>
          <w:bCs/>
          <w:color w:val="auto"/>
        </w:rPr>
        <w:t>1</w:t>
      </w:r>
      <w:r>
        <w:rPr>
          <w:b/>
          <w:bCs/>
          <w:color w:val="auto"/>
        </w:rPr>
        <w:t>.6.2</w:t>
      </w:r>
      <w:r>
        <w:rPr>
          <w:rFonts w:hint="eastAsia"/>
          <w:b/>
          <w:bCs/>
          <w:color w:val="auto"/>
        </w:rPr>
        <w:t>废水</w:t>
      </w:r>
    </w:p>
    <w:p w14:paraId="57127051">
      <w:pPr>
        <w:numPr>
          <w:ilvl w:val="0"/>
          <w:numId w:val="0"/>
        </w:numPr>
        <w:adjustRightInd w:val="0"/>
        <w:snapToGrid w:val="0"/>
        <w:spacing w:line="360" w:lineRule="auto"/>
        <w:ind w:firstLine="480" w:firstLineChars="200"/>
        <w:rPr>
          <w:color w:val="auto"/>
          <w:sz w:val="24"/>
          <w:szCs w:val="24"/>
        </w:rPr>
      </w:pPr>
      <w:r>
        <w:rPr>
          <w:rFonts w:ascii="Times New Roman" w:hAnsi="Times New Roman" w:eastAsia="宋体" w:cs="Times New Roman"/>
          <w:color w:val="auto"/>
          <w:kern w:val="2"/>
          <w:sz w:val="24"/>
          <w:szCs w:val="24"/>
          <w:lang w:val="en-US" w:eastAsia="zh-CN" w:bidi="ar-SA"/>
        </w:rPr>
        <w:t>（1）</w:t>
      </w:r>
      <w:r>
        <w:rPr>
          <w:rFonts w:hint="eastAsia"/>
          <w:color w:val="auto"/>
          <w:sz w:val="24"/>
          <w:szCs w:val="24"/>
          <w:lang w:val="en-US" w:eastAsia="zh-CN"/>
        </w:rPr>
        <w:t>生产废水</w:t>
      </w:r>
      <w:r>
        <w:rPr>
          <w:rFonts w:hint="eastAsia"/>
          <w:color w:val="auto"/>
          <w:sz w:val="24"/>
          <w:szCs w:val="24"/>
          <w:lang w:eastAsia="zh-CN"/>
        </w:rPr>
        <w:t>（</w:t>
      </w:r>
      <w:r>
        <w:rPr>
          <w:rFonts w:hint="eastAsia"/>
          <w:color w:val="auto"/>
          <w:sz w:val="24"/>
          <w:szCs w:val="24"/>
          <w:lang w:val="en-US" w:eastAsia="zh-CN"/>
        </w:rPr>
        <w:t>W2-1、W2-2、W2-3、W2-4</w:t>
      </w:r>
      <w:r>
        <w:rPr>
          <w:rFonts w:hint="eastAsia"/>
          <w:color w:val="auto"/>
          <w:sz w:val="24"/>
          <w:szCs w:val="24"/>
          <w:lang w:eastAsia="zh-CN"/>
        </w:rPr>
        <w:t>）</w:t>
      </w:r>
    </w:p>
    <w:p w14:paraId="33425C1C">
      <w:pPr>
        <w:numPr>
          <w:ilvl w:val="255"/>
          <w:numId w:val="0"/>
        </w:numPr>
        <w:adjustRightInd w:val="0"/>
        <w:snapToGrid w:val="0"/>
        <w:spacing w:line="360" w:lineRule="auto"/>
        <w:ind w:firstLine="480" w:firstLineChars="200"/>
        <w:rPr>
          <w:rFonts w:hint="eastAsia"/>
          <w:color w:val="auto"/>
          <w:sz w:val="24"/>
          <w:szCs w:val="24"/>
        </w:rPr>
      </w:pPr>
      <w:r>
        <w:rPr>
          <w:rFonts w:hint="eastAsia"/>
          <w:color w:val="auto"/>
          <w:sz w:val="24"/>
          <w:szCs w:val="24"/>
          <w:lang w:val="en-US" w:eastAsia="zh-CN"/>
        </w:rPr>
        <w:t>根据企业工艺设计方案，</w:t>
      </w:r>
      <w:r>
        <w:rPr>
          <w:rFonts w:hint="eastAsia"/>
          <w:color w:val="auto"/>
          <w:sz w:val="24"/>
          <w:szCs w:val="24"/>
        </w:rPr>
        <w:t>每日工件清洗水用量为3t，排水量为2.7t/d则年排水量为810t/a，水帘水在水帘柜中循环使用定期排放，月排水量0.5t，则年排水量为6t/a，清洗废水和水帘废水均进入废水预处理设施中进行预处理</w:t>
      </w:r>
      <w:r>
        <w:rPr>
          <w:rFonts w:hint="eastAsia"/>
          <w:color w:val="auto"/>
          <w:sz w:val="24"/>
          <w:szCs w:val="24"/>
          <w:lang w:eastAsia="zh-CN"/>
        </w:rPr>
        <w:t>，</w:t>
      </w:r>
      <w:r>
        <w:rPr>
          <w:rFonts w:hint="eastAsia"/>
          <w:color w:val="auto"/>
          <w:sz w:val="24"/>
          <w:szCs w:val="24"/>
          <w:lang w:val="en-US" w:eastAsia="zh-CN"/>
        </w:rPr>
        <w:t>污水处理工艺为“絮凝沉淀+中和+A/O”</w:t>
      </w:r>
      <w:r>
        <w:rPr>
          <w:rFonts w:hint="eastAsia"/>
          <w:color w:val="auto"/>
          <w:sz w:val="24"/>
          <w:szCs w:val="24"/>
        </w:rPr>
        <w:t>。</w:t>
      </w:r>
    </w:p>
    <w:p w14:paraId="796BB7C0">
      <w:pPr>
        <w:numPr>
          <w:ilvl w:val="255"/>
          <w:numId w:val="0"/>
        </w:numPr>
        <w:adjustRightInd w:val="0"/>
        <w:snapToGrid w:val="0"/>
        <w:spacing w:line="360" w:lineRule="auto"/>
        <w:ind w:firstLine="480" w:firstLineChars="200"/>
        <w:rPr>
          <w:rFonts w:hint="eastAsia"/>
          <w:color w:val="auto"/>
          <w:sz w:val="24"/>
          <w:szCs w:val="24"/>
        </w:rPr>
      </w:pPr>
      <w:r>
        <w:rPr>
          <w:rFonts w:hint="eastAsia"/>
          <w:color w:val="auto"/>
          <w:sz w:val="24"/>
          <w:szCs w:val="24"/>
        </w:rPr>
        <w:t>本次类比与本次生产工艺基本一致的同类企业浙江金三原精密机械有限公司的现状监测数据，经预处理后该股废水的水质情况见下表。</w:t>
      </w:r>
    </w:p>
    <w:p w14:paraId="6BFE6FC5">
      <w:pPr>
        <w:pStyle w:val="116"/>
        <w:numPr>
          <w:ilvl w:val="0"/>
          <w:numId w:val="0"/>
        </w:numPr>
        <w:spacing w:before="0" w:beforeLines="0"/>
        <w:ind w:left="0" w:leftChars="0" w:hanging="420" w:firstLineChars="0"/>
        <w:rPr>
          <w:rFonts w:hint="eastAsia"/>
          <w:color w:val="auto"/>
          <w:sz w:val="24"/>
          <w:szCs w:val="24"/>
        </w:rPr>
      </w:pPr>
      <w:r>
        <w:rPr>
          <w:rFonts w:hint="eastAsia" w:ascii="Times New Roman" w:hAnsi="Times New Roman" w:eastAsia="宋体" w:cs="Times New Roman"/>
          <w:b/>
          <w:color w:val="auto"/>
          <w:kern w:val="2"/>
          <w:sz w:val="21"/>
          <w:szCs w:val="21"/>
          <w:lang w:val="zh-CN" w:eastAsia="zh-CN" w:bidi="ar-SA"/>
        </w:rPr>
        <w:t>表1</w:t>
      </w:r>
      <w:r>
        <w:rPr>
          <w:rFonts w:hint="eastAsia" w:ascii="Times New Roman" w:hAnsi="Times New Roman" w:eastAsia="宋体" w:cs="Times New Roman"/>
          <w:b/>
          <w:color w:val="auto"/>
          <w:kern w:val="2"/>
          <w:sz w:val="21"/>
          <w:szCs w:val="21"/>
          <w:lang w:val="en-US" w:eastAsia="zh-CN" w:bidi="ar-SA"/>
        </w:rPr>
        <w:t xml:space="preserve">3 本项目生产废水（清洗废水、水帘废水）水质  </w:t>
      </w:r>
      <w:r>
        <w:rPr>
          <w:rFonts w:hint="default" w:ascii="Times New Roman" w:hAnsi="Times New Roman" w:eastAsia="宋体" w:cs="Times New Roman"/>
          <w:b/>
          <w:bCs/>
          <w:color w:val="auto"/>
        </w:rPr>
        <w:t>单位：mg/L，除pH</w:t>
      </w:r>
    </w:p>
    <w:tbl>
      <w:tblPr>
        <w:tblStyle w:val="8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940"/>
        <w:gridCol w:w="1942"/>
        <w:gridCol w:w="1942"/>
        <w:gridCol w:w="1942"/>
        <w:gridCol w:w="1942"/>
      </w:tblGrid>
      <w:tr w14:paraId="326C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999" w:type="pct"/>
            <w:tcBorders>
              <w:bottom w:val="single" w:color="auto" w:sz="4" w:space="0"/>
            </w:tcBorders>
            <w:noWrap w:val="0"/>
            <w:tcMar>
              <w:top w:w="57" w:type="dxa"/>
              <w:left w:w="85" w:type="dxa"/>
              <w:bottom w:w="57" w:type="dxa"/>
              <w:right w:w="85" w:type="dxa"/>
            </w:tcMar>
            <w:vAlign w:val="center"/>
          </w:tcPr>
          <w:p w14:paraId="6BA59CA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废水名称</w:t>
            </w:r>
          </w:p>
        </w:tc>
        <w:tc>
          <w:tcPr>
            <w:tcW w:w="1000" w:type="pct"/>
            <w:tcBorders>
              <w:bottom w:val="single" w:color="auto" w:sz="4" w:space="0"/>
            </w:tcBorders>
            <w:noWrap w:val="0"/>
            <w:tcMar>
              <w:top w:w="57" w:type="dxa"/>
              <w:left w:w="85" w:type="dxa"/>
              <w:bottom w:w="57" w:type="dxa"/>
              <w:right w:w="85" w:type="dxa"/>
            </w:tcMar>
            <w:vAlign w:val="center"/>
          </w:tcPr>
          <w:p w14:paraId="4F4CD0E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pH</w:t>
            </w:r>
          </w:p>
        </w:tc>
        <w:tc>
          <w:tcPr>
            <w:tcW w:w="1000" w:type="pct"/>
            <w:tcBorders>
              <w:bottom w:val="single" w:color="auto" w:sz="4" w:space="0"/>
            </w:tcBorders>
            <w:noWrap w:val="0"/>
            <w:tcMar>
              <w:top w:w="57" w:type="dxa"/>
              <w:left w:w="85" w:type="dxa"/>
              <w:bottom w:w="57" w:type="dxa"/>
              <w:right w:w="85" w:type="dxa"/>
            </w:tcMar>
            <w:vAlign w:val="center"/>
          </w:tcPr>
          <w:p w14:paraId="2FF49764">
            <w:pPr>
              <w:jc w:val="center"/>
              <w:rPr>
                <w:rFonts w:hint="default" w:ascii="Times New Roman" w:hAnsi="Times New Roman" w:eastAsia="宋体" w:cs="Times New Roman"/>
                <w:color w:val="auto"/>
                <w:sz w:val="21"/>
                <w:szCs w:val="21"/>
                <w:vertAlign w:val="subscript"/>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vertAlign w:val="subscript"/>
              </w:rPr>
              <w:t>Cr</w:t>
            </w:r>
          </w:p>
        </w:tc>
        <w:tc>
          <w:tcPr>
            <w:tcW w:w="1000" w:type="pct"/>
            <w:tcBorders>
              <w:bottom w:val="single" w:color="auto" w:sz="4" w:space="0"/>
            </w:tcBorders>
            <w:noWrap w:val="0"/>
            <w:tcMar>
              <w:top w:w="57" w:type="dxa"/>
              <w:left w:w="85" w:type="dxa"/>
              <w:bottom w:w="57" w:type="dxa"/>
              <w:right w:w="85" w:type="dxa"/>
            </w:tcMar>
            <w:vAlign w:val="center"/>
          </w:tcPr>
          <w:p w14:paraId="7E7A4F0A">
            <w:pPr>
              <w:jc w:val="center"/>
              <w:rPr>
                <w:rFonts w:hint="default" w:ascii="Times New Roman" w:hAnsi="Times New Roman" w:eastAsia="宋体" w:cs="Times New Roman"/>
                <w:color w:val="auto"/>
                <w:sz w:val="21"/>
                <w:szCs w:val="21"/>
                <w:vertAlign w:val="subscript"/>
                <w:lang w:val="en-US" w:eastAsia="zh-CN"/>
              </w:rPr>
            </w:pPr>
            <w:r>
              <w:rPr>
                <w:rFonts w:hint="default" w:ascii="Times New Roman" w:hAnsi="Times New Roman" w:eastAsia="宋体" w:cs="Times New Roman"/>
                <w:color w:val="auto"/>
                <w:sz w:val="21"/>
                <w:szCs w:val="21"/>
                <w:vertAlign w:val="baseline"/>
                <w:lang w:val="en-US" w:eastAsia="zh-CN"/>
              </w:rPr>
              <w:t>氨氮</w:t>
            </w:r>
          </w:p>
        </w:tc>
        <w:tc>
          <w:tcPr>
            <w:tcW w:w="1000" w:type="pct"/>
            <w:tcBorders>
              <w:bottom w:val="single" w:color="auto" w:sz="4" w:space="0"/>
            </w:tcBorders>
            <w:noWrap w:val="0"/>
            <w:tcMar>
              <w:top w:w="57" w:type="dxa"/>
              <w:left w:w="85" w:type="dxa"/>
              <w:bottom w:w="57" w:type="dxa"/>
              <w:right w:w="85" w:type="dxa"/>
            </w:tcMar>
            <w:vAlign w:val="center"/>
          </w:tcPr>
          <w:p w14:paraId="4FA78C2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r>
      <w:tr w14:paraId="61B2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999" w:type="pct"/>
            <w:noWrap w:val="0"/>
            <w:tcMar>
              <w:top w:w="57" w:type="dxa"/>
              <w:left w:w="85" w:type="dxa"/>
              <w:bottom w:w="57" w:type="dxa"/>
              <w:right w:w="85" w:type="dxa"/>
            </w:tcMar>
            <w:vAlign w:val="center"/>
          </w:tcPr>
          <w:p w14:paraId="30084573">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生产废水</w:t>
            </w:r>
          </w:p>
        </w:tc>
        <w:tc>
          <w:tcPr>
            <w:tcW w:w="1000" w:type="pct"/>
            <w:noWrap w:val="0"/>
            <w:tcMar>
              <w:top w:w="57" w:type="dxa"/>
              <w:left w:w="85" w:type="dxa"/>
              <w:bottom w:w="57" w:type="dxa"/>
              <w:right w:w="85" w:type="dxa"/>
            </w:tcMar>
            <w:vAlign w:val="center"/>
          </w:tcPr>
          <w:p w14:paraId="2B6B098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6~9</w:t>
            </w:r>
          </w:p>
        </w:tc>
        <w:tc>
          <w:tcPr>
            <w:tcW w:w="1000" w:type="pct"/>
            <w:noWrap w:val="0"/>
            <w:tcMar>
              <w:top w:w="57" w:type="dxa"/>
              <w:left w:w="85" w:type="dxa"/>
              <w:bottom w:w="57" w:type="dxa"/>
              <w:right w:w="85" w:type="dxa"/>
            </w:tcMar>
            <w:vAlign w:val="center"/>
          </w:tcPr>
          <w:p w14:paraId="1177E74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274（本次评价取300）</w:t>
            </w:r>
          </w:p>
        </w:tc>
        <w:tc>
          <w:tcPr>
            <w:tcW w:w="1000" w:type="pct"/>
            <w:noWrap w:val="0"/>
            <w:tcMar>
              <w:top w:w="57" w:type="dxa"/>
              <w:left w:w="85" w:type="dxa"/>
              <w:bottom w:w="57" w:type="dxa"/>
              <w:right w:w="85" w:type="dxa"/>
            </w:tcMar>
            <w:vAlign w:val="center"/>
          </w:tcPr>
          <w:p w14:paraId="222AD70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32.43（本次评价取35）</w:t>
            </w:r>
          </w:p>
        </w:tc>
        <w:tc>
          <w:tcPr>
            <w:tcW w:w="1000" w:type="pct"/>
            <w:noWrap w:val="0"/>
            <w:tcMar>
              <w:top w:w="57" w:type="dxa"/>
              <w:left w:w="85" w:type="dxa"/>
              <w:bottom w:w="57" w:type="dxa"/>
              <w:right w:w="85" w:type="dxa"/>
            </w:tcMar>
            <w:vAlign w:val="center"/>
          </w:tcPr>
          <w:p w14:paraId="711C1B7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172（本次评价取200）</w:t>
            </w:r>
          </w:p>
        </w:tc>
      </w:tr>
    </w:tbl>
    <w:p w14:paraId="297F6C54">
      <w:pPr>
        <w:numPr>
          <w:ilvl w:val="255"/>
          <w:numId w:val="0"/>
        </w:numPr>
        <w:adjustRightInd w:val="0"/>
        <w:snapToGrid w:val="0"/>
        <w:spacing w:line="360" w:lineRule="auto"/>
        <w:ind w:firstLine="480" w:firstLineChars="200"/>
        <w:rPr>
          <w:rFonts w:hint="eastAsia"/>
          <w:color w:val="auto"/>
          <w:sz w:val="24"/>
          <w:szCs w:val="24"/>
        </w:rPr>
      </w:pPr>
    </w:p>
    <w:p w14:paraId="34754945">
      <w:pPr>
        <w:numPr>
          <w:ilvl w:val="255"/>
          <w:numId w:val="0"/>
        </w:numPr>
        <w:adjustRightInd w:val="0"/>
        <w:snapToGrid w:val="0"/>
        <w:spacing w:line="360" w:lineRule="auto"/>
        <w:ind w:firstLine="480" w:firstLineChars="200"/>
        <w:rPr>
          <w:color w:val="auto"/>
          <w:sz w:val="24"/>
          <w:szCs w:val="24"/>
        </w:rPr>
      </w:pPr>
      <w:bookmarkStart w:id="39" w:name="_Toc25935"/>
      <w:r>
        <w:rPr>
          <w:rFonts w:hint="eastAsia"/>
          <w:color w:val="auto"/>
          <w:sz w:val="24"/>
          <w:szCs w:val="24"/>
        </w:rPr>
        <w:t>（2）生活污水</w:t>
      </w:r>
    </w:p>
    <w:p w14:paraId="1288B41C">
      <w:pPr>
        <w:numPr>
          <w:ilvl w:val="255"/>
          <w:numId w:val="0"/>
        </w:numPr>
        <w:adjustRightInd w:val="0"/>
        <w:snapToGrid w:val="0"/>
        <w:spacing w:line="360" w:lineRule="auto"/>
        <w:ind w:firstLine="480" w:firstLineChars="200"/>
        <w:rPr>
          <w:color w:val="auto"/>
          <w:sz w:val="24"/>
          <w:szCs w:val="24"/>
        </w:rPr>
      </w:pPr>
      <w:r>
        <w:rPr>
          <w:rFonts w:hint="eastAsia"/>
          <w:color w:val="auto"/>
          <w:sz w:val="24"/>
          <w:szCs w:val="24"/>
        </w:rPr>
        <w:t>本项目劳动定员</w:t>
      </w:r>
      <w:r>
        <w:rPr>
          <w:rFonts w:hint="eastAsia"/>
          <w:color w:val="auto"/>
          <w:sz w:val="24"/>
          <w:szCs w:val="24"/>
          <w:lang w:val="en-US" w:eastAsia="zh-CN"/>
        </w:rPr>
        <w:t>100</w:t>
      </w:r>
      <w:r>
        <w:rPr>
          <w:rFonts w:hint="eastAsia"/>
          <w:color w:val="auto"/>
          <w:sz w:val="24"/>
          <w:szCs w:val="24"/>
        </w:rPr>
        <w:t>人，员工生活用水量以80L/p·d计，年工作天数为300天，生活用水量为2400t/a。生活污水排放量以用水量的85%计，预计生活污水产生量2040t/a。生活污水水质参照城市生活污水水质，主要污染物及其含量一般约为CODcr：350mg/L、SS：200mg/L、NH</w:t>
      </w:r>
      <w:r>
        <w:rPr>
          <w:rFonts w:hint="eastAsia"/>
          <w:color w:val="auto"/>
          <w:sz w:val="24"/>
          <w:szCs w:val="24"/>
          <w:vertAlign w:val="subscript"/>
        </w:rPr>
        <w:t>3</w:t>
      </w:r>
      <w:r>
        <w:rPr>
          <w:rFonts w:hint="eastAsia"/>
          <w:color w:val="auto"/>
          <w:sz w:val="24"/>
          <w:szCs w:val="24"/>
        </w:rPr>
        <w:t>-N：35mg/L，则产生量分别为 CODcr：0.</w:t>
      </w:r>
      <w:r>
        <w:rPr>
          <w:rFonts w:hint="eastAsia"/>
          <w:color w:val="auto"/>
          <w:sz w:val="24"/>
          <w:szCs w:val="24"/>
          <w:lang w:val="en-US" w:eastAsia="zh-CN"/>
        </w:rPr>
        <w:t>714</w:t>
      </w:r>
      <w:r>
        <w:rPr>
          <w:rFonts w:hint="eastAsia"/>
          <w:color w:val="auto"/>
          <w:sz w:val="24"/>
          <w:szCs w:val="24"/>
        </w:rPr>
        <w:t>t/a、SS：0.</w:t>
      </w:r>
      <w:r>
        <w:rPr>
          <w:rFonts w:hint="eastAsia"/>
          <w:color w:val="auto"/>
          <w:sz w:val="24"/>
          <w:szCs w:val="24"/>
          <w:lang w:val="en-US" w:eastAsia="zh-CN"/>
        </w:rPr>
        <w:t>408</w:t>
      </w:r>
      <w:r>
        <w:rPr>
          <w:rFonts w:hint="eastAsia"/>
          <w:color w:val="auto"/>
          <w:sz w:val="24"/>
          <w:szCs w:val="24"/>
        </w:rPr>
        <w:t>t/a、NH</w:t>
      </w:r>
      <w:r>
        <w:rPr>
          <w:rFonts w:hint="eastAsia"/>
          <w:color w:val="auto"/>
          <w:sz w:val="24"/>
          <w:szCs w:val="24"/>
          <w:vertAlign w:val="subscript"/>
        </w:rPr>
        <w:t>3</w:t>
      </w:r>
      <w:r>
        <w:rPr>
          <w:rFonts w:hint="eastAsia"/>
          <w:color w:val="auto"/>
          <w:sz w:val="24"/>
          <w:szCs w:val="24"/>
        </w:rPr>
        <w:t>-N：0.0</w:t>
      </w:r>
      <w:r>
        <w:rPr>
          <w:rFonts w:hint="eastAsia"/>
          <w:color w:val="auto"/>
          <w:sz w:val="24"/>
          <w:szCs w:val="24"/>
          <w:lang w:val="en-US" w:eastAsia="zh-CN"/>
        </w:rPr>
        <w:t>71</w:t>
      </w:r>
      <w:r>
        <w:rPr>
          <w:rFonts w:hint="eastAsia"/>
          <w:color w:val="auto"/>
          <w:sz w:val="24"/>
          <w:szCs w:val="24"/>
        </w:rPr>
        <w:t>t/a。生活污水中冲厕废水经化粪池预处理达到《污水综合排放标准》（GB8978-1996）中的三级标准后排入污水管网。</w:t>
      </w:r>
    </w:p>
    <w:bookmarkEnd w:id="39"/>
    <w:p w14:paraId="21725A0F">
      <w:pPr>
        <w:adjustRightInd w:val="0"/>
        <w:snapToGrid w:val="0"/>
        <w:spacing w:line="360" w:lineRule="auto"/>
        <w:ind w:firstLine="480" w:firstLineChars="200"/>
        <w:rPr>
          <w:color w:val="auto"/>
          <w:sz w:val="24"/>
          <w:szCs w:val="24"/>
        </w:rPr>
      </w:pPr>
      <w:r>
        <w:rPr>
          <w:rFonts w:hint="eastAsia"/>
          <w:color w:val="auto"/>
          <w:sz w:val="24"/>
          <w:szCs w:val="24"/>
        </w:rPr>
        <w:t>（3）废水产生量汇总</w:t>
      </w:r>
    </w:p>
    <w:p w14:paraId="3AF5BAA8">
      <w:pPr>
        <w:adjustRightInd w:val="0"/>
        <w:snapToGrid w:val="0"/>
        <w:spacing w:line="360" w:lineRule="auto"/>
        <w:ind w:firstLine="480" w:firstLineChars="200"/>
        <w:rPr>
          <w:color w:val="auto"/>
          <w:sz w:val="24"/>
          <w:szCs w:val="24"/>
        </w:rPr>
      </w:pPr>
      <w:r>
        <w:rPr>
          <w:rFonts w:hint="eastAsia"/>
          <w:color w:val="auto"/>
          <w:sz w:val="24"/>
          <w:szCs w:val="24"/>
        </w:rPr>
        <w:t>根据前述分析结果核算，项目各类废水及其污染物实际产排情况见下表。</w:t>
      </w:r>
    </w:p>
    <w:p w14:paraId="00068445">
      <w:pPr>
        <w:adjustRightInd w:val="0"/>
        <w:snapToGrid w:val="0"/>
        <w:spacing w:line="360" w:lineRule="auto"/>
        <w:jc w:val="center"/>
        <w:rPr>
          <w:b/>
          <w:bCs/>
          <w:color w:val="auto"/>
          <w:spacing w:val="-10"/>
        </w:rPr>
      </w:pPr>
      <w:r>
        <w:rPr>
          <w:rFonts w:hint="eastAsia"/>
          <w:b/>
          <w:bCs/>
          <w:color w:val="auto"/>
          <w:spacing w:val="-10"/>
        </w:rPr>
        <w:t xml:space="preserve">表13       </w:t>
      </w:r>
      <w:r>
        <w:rPr>
          <w:b/>
          <w:bCs/>
          <w:color w:val="auto"/>
          <w:spacing w:val="-10"/>
        </w:rPr>
        <w:t>项目废水</w:t>
      </w:r>
      <w:r>
        <w:rPr>
          <w:rFonts w:hint="eastAsia"/>
          <w:b/>
          <w:bCs/>
          <w:color w:val="auto"/>
          <w:spacing w:val="-10"/>
          <w:lang w:val="en-US" w:eastAsia="zh-CN"/>
        </w:rPr>
        <w:t>排放</w:t>
      </w:r>
      <w:r>
        <w:rPr>
          <w:b/>
          <w:bCs/>
          <w:color w:val="auto"/>
          <w:spacing w:val="-10"/>
        </w:rPr>
        <w:t>源强</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07"/>
        <w:gridCol w:w="2011"/>
        <w:gridCol w:w="1889"/>
        <w:gridCol w:w="1766"/>
        <w:gridCol w:w="1758"/>
        <w:gridCol w:w="1492"/>
      </w:tblGrid>
      <w:tr w14:paraId="0711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restart"/>
            <w:noWrap/>
            <w:tcMar>
              <w:top w:w="0" w:type="dxa"/>
              <w:left w:w="57" w:type="dxa"/>
              <w:bottom w:w="0" w:type="dxa"/>
              <w:right w:w="57" w:type="dxa"/>
            </w:tcMar>
            <w:vAlign w:val="center"/>
          </w:tcPr>
          <w:p w14:paraId="150CF840">
            <w:pPr>
              <w:widowControl/>
              <w:jc w:val="center"/>
              <w:rPr>
                <w:bCs/>
                <w:color w:val="auto"/>
                <w:kern w:val="0"/>
              </w:rPr>
            </w:pPr>
            <w:r>
              <w:rPr>
                <w:rFonts w:hint="eastAsia"/>
                <w:bCs/>
                <w:color w:val="auto"/>
                <w:kern w:val="0"/>
              </w:rPr>
              <w:t>序号</w:t>
            </w:r>
          </w:p>
        </w:tc>
        <w:tc>
          <w:tcPr>
            <w:tcW w:w="1044" w:type="pct"/>
            <w:vMerge w:val="restart"/>
            <w:noWrap/>
            <w:tcMar>
              <w:top w:w="0" w:type="dxa"/>
              <w:left w:w="57" w:type="dxa"/>
              <w:bottom w:w="0" w:type="dxa"/>
              <w:right w:w="57" w:type="dxa"/>
            </w:tcMar>
            <w:vAlign w:val="center"/>
          </w:tcPr>
          <w:p w14:paraId="2D9C7709">
            <w:pPr>
              <w:widowControl/>
              <w:jc w:val="center"/>
              <w:rPr>
                <w:bCs/>
                <w:color w:val="auto"/>
                <w:kern w:val="0"/>
              </w:rPr>
            </w:pPr>
            <w:r>
              <w:rPr>
                <w:rFonts w:hint="eastAsia"/>
                <w:bCs/>
                <w:color w:val="auto"/>
                <w:kern w:val="0"/>
              </w:rPr>
              <w:t>废水种类</w:t>
            </w:r>
          </w:p>
        </w:tc>
        <w:tc>
          <w:tcPr>
            <w:tcW w:w="981" w:type="pct"/>
            <w:noWrap/>
            <w:tcMar>
              <w:top w:w="0" w:type="dxa"/>
              <w:left w:w="57" w:type="dxa"/>
              <w:bottom w:w="0" w:type="dxa"/>
              <w:right w:w="57" w:type="dxa"/>
            </w:tcMar>
            <w:vAlign w:val="center"/>
          </w:tcPr>
          <w:p w14:paraId="668F55D9">
            <w:pPr>
              <w:widowControl/>
              <w:jc w:val="center"/>
              <w:rPr>
                <w:bCs/>
                <w:color w:val="auto"/>
                <w:kern w:val="0"/>
              </w:rPr>
            </w:pPr>
            <w:r>
              <w:rPr>
                <w:rFonts w:hint="eastAsia"/>
                <w:bCs/>
                <w:color w:val="auto"/>
                <w:kern w:val="0"/>
              </w:rPr>
              <w:t>水量</w:t>
            </w:r>
          </w:p>
        </w:tc>
        <w:tc>
          <w:tcPr>
            <w:tcW w:w="917" w:type="pct"/>
            <w:noWrap/>
            <w:tcMar>
              <w:top w:w="0" w:type="dxa"/>
              <w:left w:w="57" w:type="dxa"/>
              <w:bottom w:w="0" w:type="dxa"/>
              <w:right w:w="57" w:type="dxa"/>
            </w:tcMar>
            <w:vAlign w:val="center"/>
          </w:tcPr>
          <w:p w14:paraId="23DD5BB2">
            <w:pPr>
              <w:widowControl/>
              <w:jc w:val="center"/>
              <w:rPr>
                <w:bCs/>
                <w:color w:val="auto"/>
                <w:kern w:val="0"/>
              </w:rPr>
            </w:pPr>
            <w:r>
              <w:rPr>
                <w:rFonts w:hint="eastAsia"/>
                <w:bCs/>
                <w:color w:val="auto"/>
                <w:kern w:val="0"/>
              </w:rPr>
              <w:t>CODcr</w:t>
            </w:r>
          </w:p>
        </w:tc>
        <w:tc>
          <w:tcPr>
            <w:tcW w:w="913" w:type="pct"/>
            <w:noWrap/>
            <w:tcMar>
              <w:top w:w="0" w:type="dxa"/>
              <w:left w:w="57" w:type="dxa"/>
              <w:bottom w:w="0" w:type="dxa"/>
              <w:right w:w="57" w:type="dxa"/>
            </w:tcMar>
            <w:vAlign w:val="center"/>
          </w:tcPr>
          <w:p w14:paraId="7E138AC9">
            <w:pPr>
              <w:widowControl/>
              <w:jc w:val="center"/>
              <w:rPr>
                <w:bCs/>
                <w:color w:val="auto"/>
                <w:kern w:val="0"/>
              </w:rPr>
            </w:pPr>
            <w:r>
              <w:rPr>
                <w:rFonts w:hint="eastAsia"/>
                <w:bCs/>
                <w:color w:val="auto"/>
                <w:kern w:val="0"/>
              </w:rPr>
              <w:t>氨氮</w:t>
            </w:r>
          </w:p>
        </w:tc>
        <w:tc>
          <w:tcPr>
            <w:tcW w:w="775" w:type="pct"/>
            <w:vAlign w:val="center"/>
          </w:tcPr>
          <w:p w14:paraId="3F7F05DF">
            <w:pPr>
              <w:widowControl/>
              <w:jc w:val="center"/>
              <w:rPr>
                <w:bCs/>
                <w:color w:val="auto"/>
                <w:kern w:val="0"/>
              </w:rPr>
            </w:pPr>
            <w:r>
              <w:rPr>
                <w:rFonts w:hint="eastAsia"/>
                <w:bCs/>
                <w:color w:val="auto"/>
                <w:kern w:val="0"/>
              </w:rPr>
              <w:t>SS</w:t>
            </w:r>
          </w:p>
        </w:tc>
      </w:tr>
      <w:tr w14:paraId="1291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continue"/>
            <w:vAlign w:val="center"/>
          </w:tcPr>
          <w:p w14:paraId="32866024">
            <w:pPr>
              <w:widowControl/>
              <w:jc w:val="center"/>
              <w:rPr>
                <w:bCs/>
                <w:color w:val="auto"/>
                <w:kern w:val="0"/>
              </w:rPr>
            </w:pPr>
          </w:p>
        </w:tc>
        <w:tc>
          <w:tcPr>
            <w:tcW w:w="1044" w:type="pct"/>
            <w:vMerge w:val="continue"/>
            <w:vAlign w:val="center"/>
          </w:tcPr>
          <w:p w14:paraId="68230A03">
            <w:pPr>
              <w:widowControl/>
              <w:jc w:val="center"/>
              <w:rPr>
                <w:bCs/>
                <w:color w:val="auto"/>
                <w:kern w:val="0"/>
              </w:rPr>
            </w:pPr>
          </w:p>
        </w:tc>
        <w:tc>
          <w:tcPr>
            <w:tcW w:w="981" w:type="pct"/>
            <w:noWrap/>
            <w:tcMar>
              <w:top w:w="0" w:type="dxa"/>
              <w:left w:w="57" w:type="dxa"/>
              <w:bottom w:w="0" w:type="dxa"/>
              <w:right w:w="57" w:type="dxa"/>
            </w:tcMar>
            <w:vAlign w:val="center"/>
          </w:tcPr>
          <w:p w14:paraId="2343F320">
            <w:pPr>
              <w:widowControl/>
              <w:jc w:val="center"/>
              <w:rPr>
                <w:bCs/>
                <w:color w:val="auto"/>
                <w:kern w:val="0"/>
              </w:rPr>
            </w:pPr>
            <w:r>
              <w:rPr>
                <w:rFonts w:hint="eastAsia"/>
                <w:bCs/>
                <w:color w:val="auto"/>
                <w:kern w:val="0"/>
              </w:rPr>
              <w:t>t/a</w:t>
            </w:r>
          </w:p>
        </w:tc>
        <w:tc>
          <w:tcPr>
            <w:tcW w:w="917" w:type="pct"/>
            <w:noWrap/>
            <w:tcMar>
              <w:top w:w="0" w:type="dxa"/>
              <w:left w:w="57" w:type="dxa"/>
              <w:bottom w:w="0" w:type="dxa"/>
              <w:right w:w="57" w:type="dxa"/>
            </w:tcMar>
            <w:vAlign w:val="center"/>
          </w:tcPr>
          <w:p w14:paraId="00D2EAE5">
            <w:pPr>
              <w:widowControl/>
              <w:jc w:val="center"/>
              <w:rPr>
                <w:bCs/>
                <w:color w:val="auto"/>
                <w:kern w:val="0"/>
              </w:rPr>
            </w:pPr>
            <w:r>
              <w:rPr>
                <w:rFonts w:hint="eastAsia"/>
                <w:bCs/>
                <w:color w:val="auto"/>
                <w:kern w:val="0"/>
              </w:rPr>
              <w:t>t/a</w:t>
            </w:r>
          </w:p>
        </w:tc>
        <w:tc>
          <w:tcPr>
            <w:tcW w:w="913" w:type="pct"/>
            <w:noWrap/>
            <w:tcMar>
              <w:top w:w="0" w:type="dxa"/>
              <w:left w:w="57" w:type="dxa"/>
              <w:bottom w:w="0" w:type="dxa"/>
              <w:right w:w="57" w:type="dxa"/>
            </w:tcMar>
            <w:vAlign w:val="center"/>
          </w:tcPr>
          <w:p w14:paraId="368A059E">
            <w:pPr>
              <w:widowControl/>
              <w:jc w:val="center"/>
              <w:rPr>
                <w:bCs/>
                <w:color w:val="auto"/>
                <w:kern w:val="0"/>
              </w:rPr>
            </w:pPr>
            <w:r>
              <w:rPr>
                <w:rFonts w:hint="eastAsia"/>
                <w:bCs/>
                <w:color w:val="auto"/>
                <w:kern w:val="0"/>
              </w:rPr>
              <w:t>t/a</w:t>
            </w:r>
          </w:p>
        </w:tc>
        <w:tc>
          <w:tcPr>
            <w:tcW w:w="775" w:type="pct"/>
            <w:vAlign w:val="center"/>
          </w:tcPr>
          <w:p w14:paraId="57DB4921">
            <w:pPr>
              <w:widowControl/>
              <w:jc w:val="center"/>
              <w:rPr>
                <w:bCs/>
                <w:color w:val="auto"/>
                <w:kern w:val="0"/>
              </w:rPr>
            </w:pPr>
            <w:r>
              <w:rPr>
                <w:rFonts w:hint="eastAsia"/>
                <w:bCs/>
                <w:color w:val="auto"/>
                <w:kern w:val="0"/>
              </w:rPr>
              <w:t>t/a</w:t>
            </w:r>
          </w:p>
        </w:tc>
      </w:tr>
      <w:tr w14:paraId="670D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6DDC0F68">
            <w:pPr>
              <w:widowControl/>
              <w:jc w:val="center"/>
              <w:rPr>
                <w:bCs/>
                <w:color w:val="auto"/>
                <w:kern w:val="0"/>
              </w:rPr>
            </w:pPr>
            <w:r>
              <w:rPr>
                <w:rFonts w:hint="eastAsia"/>
                <w:bCs/>
                <w:color w:val="auto"/>
                <w:kern w:val="0"/>
              </w:rPr>
              <w:t>1</w:t>
            </w:r>
          </w:p>
        </w:tc>
        <w:tc>
          <w:tcPr>
            <w:tcW w:w="1044" w:type="pct"/>
            <w:shd w:val="clear" w:color="auto" w:fill="auto"/>
            <w:vAlign w:val="center"/>
          </w:tcPr>
          <w:p w14:paraId="2E47FBA6">
            <w:pPr>
              <w:widowControl/>
              <w:jc w:val="center"/>
              <w:rPr>
                <w:rFonts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bidi="ar-SA"/>
              </w:rPr>
              <w:t>生产废水</w:t>
            </w:r>
          </w:p>
        </w:tc>
        <w:tc>
          <w:tcPr>
            <w:tcW w:w="981" w:type="pct"/>
            <w:shd w:val="clear" w:color="auto" w:fill="auto"/>
            <w:noWrap/>
            <w:tcMar>
              <w:top w:w="0" w:type="dxa"/>
              <w:left w:w="57" w:type="dxa"/>
              <w:bottom w:w="0" w:type="dxa"/>
              <w:right w:w="57" w:type="dxa"/>
            </w:tcMar>
            <w:vAlign w:val="center"/>
          </w:tcPr>
          <w:p w14:paraId="1A8DD451">
            <w:pPr>
              <w:widowControl/>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816</w:t>
            </w:r>
          </w:p>
        </w:tc>
        <w:tc>
          <w:tcPr>
            <w:tcW w:w="917" w:type="pct"/>
            <w:shd w:val="clear" w:color="auto" w:fill="auto"/>
            <w:noWrap/>
            <w:tcMar>
              <w:top w:w="0" w:type="dxa"/>
              <w:left w:w="57" w:type="dxa"/>
              <w:bottom w:w="0" w:type="dxa"/>
              <w:right w:w="57" w:type="dxa"/>
            </w:tcMar>
            <w:vAlign w:val="center"/>
          </w:tcPr>
          <w:p w14:paraId="4E16E611">
            <w:pPr>
              <w:widowControl/>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0.245</w:t>
            </w:r>
          </w:p>
        </w:tc>
        <w:tc>
          <w:tcPr>
            <w:tcW w:w="913" w:type="pct"/>
            <w:shd w:val="clear" w:color="auto" w:fill="auto"/>
            <w:noWrap/>
            <w:tcMar>
              <w:top w:w="0" w:type="dxa"/>
              <w:left w:w="57" w:type="dxa"/>
              <w:bottom w:w="0" w:type="dxa"/>
              <w:right w:w="57" w:type="dxa"/>
            </w:tcMar>
            <w:vAlign w:val="center"/>
          </w:tcPr>
          <w:p w14:paraId="5F84EE52">
            <w:pPr>
              <w:widowControl/>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0.029</w:t>
            </w:r>
          </w:p>
        </w:tc>
        <w:tc>
          <w:tcPr>
            <w:tcW w:w="775" w:type="pct"/>
            <w:shd w:val="clear" w:color="auto" w:fill="auto"/>
            <w:vAlign w:val="center"/>
          </w:tcPr>
          <w:p w14:paraId="6373A852">
            <w:pPr>
              <w:widowControl/>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0.163</w:t>
            </w:r>
          </w:p>
        </w:tc>
      </w:tr>
      <w:tr w14:paraId="7664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5C08AFB9">
            <w:pPr>
              <w:widowControl/>
              <w:jc w:val="center"/>
              <w:rPr>
                <w:rFonts w:hint="eastAsia" w:eastAsia="宋体"/>
                <w:bCs/>
                <w:color w:val="auto"/>
                <w:kern w:val="0"/>
                <w:lang w:val="en-US" w:eastAsia="zh-CN"/>
              </w:rPr>
            </w:pPr>
            <w:r>
              <w:rPr>
                <w:rFonts w:hint="eastAsia"/>
                <w:bCs/>
                <w:color w:val="auto"/>
                <w:kern w:val="0"/>
                <w:lang w:val="en-US" w:eastAsia="zh-CN"/>
              </w:rPr>
              <w:t>2</w:t>
            </w:r>
          </w:p>
        </w:tc>
        <w:tc>
          <w:tcPr>
            <w:tcW w:w="1044" w:type="pct"/>
            <w:shd w:val="clear" w:color="auto" w:fill="auto"/>
            <w:vAlign w:val="center"/>
          </w:tcPr>
          <w:p w14:paraId="4634E8C1">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生活污水</w:t>
            </w:r>
          </w:p>
        </w:tc>
        <w:tc>
          <w:tcPr>
            <w:tcW w:w="981" w:type="pct"/>
            <w:shd w:val="clear" w:color="auto" w:fill="auto"/>
            <w:noWrap/>
            <w:tcMar>
              <w:top w:w="0" w:type="dxa"/>
              <w:left w:w="57" w:type="dxa"/>
              <w:bottom w:w="0" w:type="dxa"/>
              <w:right w:w="57" w:type="dxa"/>
            </w:tcMar>
            <w:vAlign w:val="center"/>
          </w:tcPr>
          <w:p w14:paraId="130B1B24">
            <w:pPr>
              <w:widowControl/>
              <w:jc w:val="center"/>
              <w:rPr>
                <w:rFonts w:hint="default" w:ascii="Times New Roman" w:hAnsi="Times New Roman" w:eastAsia="宋体" w:cs="Times New Roman"/>
                <w:bCs/>
                <w:color w:val="auto"/>
                <w:kern w:val="0"/>
                <w:sz w:val="21"/>
                <w:szCs w:val="21"/>
                <w:lang w:val="en-US" w:eastAsia="zh-CN" w:bidi="ar-SA"/>
              </w:rPr>
            </w:pPr>
            <w:r>
              <w:rPr>
                <w:rFonts w:hint="eastAsia" w:eastAsia="宋体"/>
                <w:bCs/>
                <w:color w:val="auto"/>
                <w:kern w:val="0"/>
                <w:lang w:val="en-US" w:eastAsia="zh-CN"/>
              </w:rPr>
              <w:t>2040</w:t>
            </w:r>
          </w:p>
        </w:tc>
        <w:tc>
          <w:tcPr>
            <w:tcW w:w="917" w:type="pct"/>
            <w:shd w:val="clear" w:color="auto" w:fill="auto"/>
            <w:noWrap/>
            <w:tcMar>
              <w:top w:w="0" w:type="dxa"/>
              <w:left w:w="57" w:type="dxa"/>
              <w:bottom w:w="0" w:type="dxa"/>
              <w:right w:w="57" w:type="dxa"/>
            </w:tcMar>
            <w:vAlign w:val="center"/>
          </w:tcPr>
          <w:p w14:paraId="65C8A815">
            <w:pPr>
              <w:widowControl/>
              <w:jc w:val="center"/>
              <w:rPr>
                <w:rFonts w:hint="default" w:ascii="Times New Roman" w:hAnsi="Times New Roman" w:eastAsia="宋体" w:cs="Times New Roman"/>
                <w:bCs/>
                <w:color w:val="auto"/>
                <w:kern w:val="0"/>
                <w:sz w:val="21"/>
                <w:szCs w:val="21"/>
                <w:lang w:val="en-US" w:eastAsia="zh-CN" w:bidi="ar-SA"/>
              </w:rPr>
            </w:pPr>
            <w:r>
              <w:rPr>
                <w:rFonts w:hint="eastAsia"/>
                <w:bCs/>
                <w:color w:val="auto"/>
                <w:kern w:val="0"/>
              </w:rPr>
              <w:t>0.</w:t>
            </w:r>
            <w:r>
              <w:rPr>
                <w:rFonts w:hint="eastAsia"/>
                <w:bCs/>
                <w:color w:val="auto"/>
                <w:kern w:val="0"/>
                <w:lang w:val="en-US" w:eastAsia="zh-CN"/>
              </w:rPr>
              <w:t>714</w:t>
            </w:r>
          </w:p>
        </w:tc>
        <w:tc>
          <w:tcPr>
            <w:tcW w:w="913" w:type="pct"/>
            <w:shd w:val="clear" w:color="auto" w:fill="auto"/>
            <w:noWrap/>
            <w:tcMar>
              <w:top w:w="0" w:type="dxa"/>
              <w:left w:w="57" w:type="dxa"/>
              <w:bottom w:w="0" w:type="dxa"/>
              <w:right w:w="57" w:type="dxa"/>
            </w:tcMar>
            <w:vAlign w:val="center"/>
          </w:tcPr>
          <w:p w14:paraId="23650ED7">
            <w:pPr>
              <w:widowControl/>
              <w:jc w:val="center"/>
              <w:rPr>
                <w:rFonts w:hint="default" w:ascii="Times New Roman" w:hAnsi="Times New Roman" w:eastAsia="宋体" w:cs="Times New Roman"/>
                <w:bCs/>
                <w:color w:val="auto"/>
                <w:kern w:val="0"/>
                <w:sz w:val="21"/>
                <w:szCs w:val="21"/>
                <w:lang w:val="en-US" w:eastAsia="zh-CN" w:bidi="ar-SA"/>
              </w:rPr>
            </w:pPr>
            <w:r>
              <w:rPr>
                <w:rFonts w:hint="eastAsia" w:eastAsia="宋体"/>
                <w:bCs/>
                <w:color w:val="auto"/>
                <w:kern w:val="0"/>
                <w:lang w:val="en-US" w:eastAsia="zh-CN"/>
              </w:rPr>
              <w:t>0.071</w:t>
            </w:r>
          </w:p>
        </w:tc>
        <w:tc>
          <w:tcPr>
            <w:tcW w:w="775" w:type="pct"/>
            <w:shd w:val="clear" w:color="auto" w:fill="auto"/>
            <w:vAlign w:val="center"/>
          </w:tcPr>
          <w:p w14:paraId="57976784">
            <w:pPr>
              <w:widowControl/>
              <w:jc w:val="center"/>
              <w:rPr>
                <w:rFonts w:hint="default" w:ascii="Times New Roman" w:hAnsi="Times New Roman" w:eastAsia="宋体" w:cs="Times New Roman"/>
                <w:bCs/>
                <w:color w:val="auto"/>
                <w:kern w:val="0"/>
                <w:sz w:val="21"/>
                <w:szCs w:val="21"/>
                <w:lang w:val="en-US" w:eastAsia="zh-CN" w:bidi="ar-SA"/>
              </w:rPr>
            </w:pPr>
            <w:r>
              <w:rPr>
                <w:rFonts w:hint="eastAsia" w:eastAsia="宋体"/>
                <w:bCs/>
                <w:color w:val="auto"/>
                <w:kern w:val="0"/>
                <w:lang w:val="en-US" w:eastAsia="zh-CN"/>
              </w:rPr>
              <w:t>0.408</w:t>
            </w:r>
          </w:p>
        </w:tc>
      </w:tr>
    </w:tbl>
    <w:p w14:paraId="7A85CB09">
      <w:pPr>
        <w:adjustRightInd w:val="0"/>
        <w:snapToGrid w:val="0"/>
        <w:spacing w:line="360" w:lineRule="auto"/>
        <w:ind w:firstLine="480" w:firstLineChars="200"/>
        <w:rPr>
          <w:b/>
          <w:bCs/>
          <w:color w:val="auto"/>
          <w:spacing w:val="-10"/>
        </w:rPr>
      </w:pPr>
      <w:r>
        <w:rPr>
          <w:rFonts w:hint="eastAsia"/>
          <w:color w:val="auto"/>
          <w:sz w:val="24"/>
          <w:szCs w:val="24"/>
          <w:lang w:val="en-US" w:eastAsia="zh-CN"/>
        </w:rPr>
        <w:t>本项目外排废水为生产废水和生活污水</w:t>
      </w:r>
      <w:r>
        <w:rPr>
          <w:color w:val="auto"/>
          <w:sz w:val="24"/>
          <w:szCs w:val="24"/>
        </w:rPr>
        <w:t>，</w:t>
      </w:r>
      <w:r>
        <w:rPr>
          <w:rFonts w:hint="eastAsia"/>
          <w:color w:val="auto"/>
          <w:sz w:val="24"/>
          <w:szCs w:val="24"/>
          <w:lang w:val="en-US" w:eastAsia="zh-CN"/>
        </w:rPr>
        <w:t>生产废水经自建污水处理设施预处理后纳管排放</w:t>
      </w:r>
      <w:r>
        <w:rPr>
          <w:rFonts w:hint="eastAsia"/>
          <w:color w:val="auto"/>
          <w:sz w:val="24"/>
          <w:szCs w:val="24"/>
        </w:rPr>
        <w:t>，</w:t>
      </w:r>
      <w:r>
        <w:rPr>
          <w:rFonts w:hint="eastAsia"/>
          <w:color w:val="auto"/>
          <w:sz w:val="24"/>
          <w:szCs w:val="24"/>
          <w:lang w:val="en-US" w:eastAsia="zh-CN"/>
        </w:rPr>
        <w:t>生活污水经化粪池预处理后纳管排放，经预处理后废水排放能够满足</w:t>
      </w:r>
      <w:r>
        <w:rPr>
          <w:color w:val="auto"/>
          <w:sz w:val="24"/>
          <w:szCs w:val="24"/>
        </w:rPr>
        <w:t xml:space="preserve"> GB8978-1996《污水综合排放标准》三级标准</w:t>
      </w:r>
      <w:r>
        <w:rPr>
          <w:rFonts w:hint="eastAsia"/>
          <w:color w:val="auto"/>
          <w:sz w:val="24"/>
          <w:szCs w:val="24"/>
          <w:lang w:eastAsia="zh-CN"/>
        </w:rPr>
        <w:t>，</w:t>
      </w:r>
      <w:r>
        <w:rPr>
          <w:color w:val="auto"/>
          <w:sz w:val="24"/>
          <w:szCs w:val="24"/>
        </w:rPr>
        <w:t>其中氨氮、总磷排放</w:t>
      </w:r>
      <w:r>
        <w:rPr>
          <w:rFonts w:hint="eastAsia"/>
          <w:color w:val="auto"/>
          <w:sz w:val="24"/>
          <w:szCs w:val="24"/>
        </w:rPr>
        <w:t>满足</w:t>
      </w:r>
      <w:r>
        <w:rPr>
          <w:color w:val="auto"/>
          <w:sz w:val="24"/>
          <w:szCs w:val="24"/>
        </w:rPr>
        <w:t>《工业企业废水氮、磷污染物间接排放限值》(DB33/887-2013)相关标准限值后纳入市政污水管网，集中送至临平净水厂进行处理外排。</w:t>
      </w:r>
    </w:p>
    <w:p w14:paraId="79CB1B64">
      <w:pPr>
        <w:adjustRightInd w:val="0"/>
        <w:snapToGrid w:val="0"/>
        <w:spacing w:line="360" w:lineRule="auto"/>
        <w:jc w:val="center"/>
        <w:rPr>
          <w:b/>
          <w:bCs/>
          <w:color w:val="auto"/>
          <w:spacing w:val="-10"/>
        </w:rPr>
      </w:pPr>
      <w:r>
        <w:rPr>
          <w:rFonts w:hint="eastAsia"/>
          <w:b/>
          <w:bCs/>
          <w:color w:val="auto"/>
          <w:spacing w:val="-10"/>
        </w:rPr>
        <w:t xml:space="preserve">表14      </w:t>
      </w:r>
      <w:r>
        <w:rPr>
          <w:b/>
          <w:bCs/>
          <w:color w:val="auto"/>
          <w:spacing w:val="-10"/>
        </w:rPr>
        <w:t>废水污染源源强核算结果及相关参数一览表</w:t>
      </w:r>
    </w:p>
    <w:tbl>
      <w:tblPr>
        <w:tblStyle w:val="88"/>
        <w:tblW w:w="52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77"/>
        <w:gridCol w:w="430"/>
        <w:gridCol w:w="330"/>
        <w:gridCol w:w="748"/>
        <w:gridCol w:w="392"/>
        <w:gridCol w:w="738"/>
        <w:gridCol w:w="1001"/>
        <w:gridCol w:w="874"/>
        <w:gridCol w:w="492"/>
        <w:gridCol w:w="434"/>
        <w:gridCol w:w="400"/>
        <w:gridCol w:w="738"/>
        <w:gridCol w:w="1001"/>
        <w:gridCol w:w="1202"/>
        <w:gridCol w:w="887"/>
      </w:tblGrid>
      <w:tr w14:paraId="43F9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restart"/>
            <w:vAlign w:val="center"/>
          </w:tcPr>
          <w:p w14:paraId="7FE6C6BB">
            <w:pPr>
              <w:widowControl/>
              <w:jc w:val="center"/>
              <w:rPr>
                <w:bCs/>
                <w:color w:val="auto"/>
                <w:kern w:val="0"/>
              </w:rPr>
            </w:pPr>
            <w:r>
              <w:rPr>
                <w:rFonts w:hint="eastAsia"/>
                <w:bCs/>
                <w:color w:val="auto"/>
                <w:kern w:val="0"/>
              </w:rPr>
              <w:t>工序/生产线</w:t>
            </w:r>
          </w:p>
        </w:tc>
        <w:tc>
          <w:tcPr>
            <w:tcW w:w="216" w:type="pct"/>
            <w:vMerge w:val="restart"/>
            <w:vAlign w:val="center"/>
          </w:tcPr>
          <w:p w14:paraId="5362FA6E">
            <w:pPr>
              <w:widowControl/>
              <w:jc w:val="center"/>
              <w:rPr>
                <w:bCs/>
                <w:color w:val="auto"/>
                <w:kern w:val="0"/>
              </w:rPr>
            </w:pPr>
            <w:r>
              <w:rPr>
                <w:rFonts w:hint="eastAsia"/>
                <w:bCs/>
                <w:color w:val="auto"/>
                <w:kern w:val="0"/>
              </w:rPr>
              <w:t>装置</w:t>
            </w:r>
          </w:p>
        </w:tc>
        <w:tc>
          <w:tcPr>
            <w:tcW w:w="166" w:type="pct"/>
            <w:vMerge w:val="restart"/>
            <w:vAlign w:val="center"/>
          </w:tcPr>
          <w:p w14:paraId="172E299A">
            <w:pPr>
              <w:widowControl/>
              <w:jc w:val="center"/>
              <w:rPr>
                <w:bCs/>
                <w:color w:val="auto"/>
                <w:kern w:val="0"/>
              </w:rPr>
            </w:pPr>
            <w:r>
              <w:rPr>
                <w:rFonts w:hint="eastAsia"/>
                <w:bCs/>
                <w:color w:val="auto"/>
                <w:kern w:val="0"/>
              </w:rPr>
              <w:t>污染源</w:t>
            </w:r>
          </w:p>
        </w:tc>
        <w:tc>
          <w:tcPr>
            <w:tcW w:w="376" w:type="pct"/>
            <w:vMerge w:val="restart"/>
            <w:vAlign w:val="center"/>
          </w:tcPr>
          <w:p w14:paraId="60FEB20A">
            <w:pPr>
              <w:widowControl/>
              <w:jc w:val="center"/>
              <w:rPr>
                <w:bCs/>
                <w:color w:val="auto"/>
                <w:kern w:val="0"/>
              </w:rPr>
            </w:pPr>
            <w:r>
              <w:rPr>
                <w:rFonts w:hint="eastAsia"/>
                <w:bCs/>
                <w:color w:val="auto"/>
                <w:kern w:val="0"/>
              </w:rPr>
              <w:t>污染物</w:t>
            </w:r>
          </w:p>
        </w:tc>
        <w:tc>
          <w:tcPr>
            <w:tcW w:w="1510" w:type="pct"/>
            <w:gridSpan w:val="4"/>
            <w:vAlign w:val="center"/>
          </w:tcPr>
          <w:p w14:paraId="26011335">
            <w:pPr>
              <w:widowControl/>
              <w:jc w:val="center"/>
              <w:rPr>
                <w:bCs/>
                <w:color w:val="auto"/>
                <w:kern w:val="0"/>
              </w:rPr>
            </w:pPr>
            <w:r>
              <w:rPr>
                <w:rFonts w:hint="eastAsia"/>
                <w:bCs/>
                <w:color w:val="auto"/>
                <w:kern w:val="0"/>
              </w:rPr>
              <w:t>污染物产生</w:t>
            </w:r>
          </w:p>
        </w:tc>
        <w:tc>
          <w:tcPr>
            <w:tcW w:w="465" w:type="pct"/>
            <w:gridSpan w:val="2"/>
            <w:vAlign w:val="center"/>
          </w:tcPr>
          <w:p w14:paraId="124AAF79">
            <w:pPr>
              <w:widowControl/>
              <w:jc w:val="center"/>
              <w:rPr>
                <w:bCs/>
                <w:color w:val="auto"/>
                <w:kern w:val="0"/>
              </w:rPr>
            </w:pPr>
            <w:r>
              <w:rPr>
                <w:rFonts w:hint="eastAsia"/>
                <w:bCs/>
                <w:color w:val="auto"/>
                <w:kern w:val="0"/>
              </w:rPr>
              <w:t>治理措施</w:t>
            </w:r>
          </w:p>
        </w:tc>
        <w:tc>
          <w:tcPr>
            <w:tcW w:w="1679" w:type="pct"/>
            <w:gridSpan w:val="4"/>
            <w:vAlign w:val="center"/>
          </w:tcPr>
          <w:p w14:paraId="563A78EA">
            <w:pPr>
              <w:widowControl/>
              <w:jc w:val="center"/>
              <w:rPr>
                <w:bCs/>
                <w:color w:val="auto"/>
                <w:kern w:val="0"/>
              </w:rPr>
            </w:pPr>
            <w:r>
              <w:rPr>
                <w:rFonts w:hint="eastAsia"/>
                <w:bCs/>
                <w:color w:val="auto"/>
                <w:kern w:val="0"/>
              </w:rPr>
              <w:t>污染物排放</w:t>
            </w:r>
          </w:p>
        </w:tc>
        <w:tc>
          <w:tcPr>
            <w:tcW w:w="445" w:type="pct"/>
            <w:vMerge w:val="restart"/>
            <w:vAlign w:val="center"/>
          </w:tcPr>
          <w:p w14:paraId="1C3D9F8C">
            <w:pPr>
              <w:widowControl/>
              <w:jc w:val="center"/>
              <w:rPr>
                <w:bCs/>
                <w:color w:val="auto"/>
                <w:kern w:val="0"/>
              </w:rPr>
            </w:pPr>
            <w:r>
              <w:rPr>
                <w:rFonts w:hint="eastAsia"/>
                <w:bCs/>
                <w:color w:val="auto"/>
                <w:kern w:val="0"/>
              </w:rPr>
              <w:t>排放</w:t>
            </w:r>
          </w:p>
          <w:p w14:paraId="031E7EFA">
            <w:pPr>
              <w:widowControl/>
              <w:jc w:val="center"/>
              <w:rPr>
                <w:bCs/>
                <w:color w:val="auto"/>
                <w:kern w:val="0"/>
              </w:rPr>
            </w:pPr>
            <w:r>
              <w:rPr>
                <w:rFonts w:hint="eastAsia"/>
                <w:bCs/>
                <w:color w:val="auto"/>
                <w:kern w:val="0"/>
              </w:rPr>
              <w:t>时间(天)</w:t>
            </w:r>
          </w:p>
        </w:tc>
      </w:tr>
      <w:tr w14:paraId="383F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continue"/>
            <w:vAlign w:val="center"/>
          </w:tcPr>
          <w:p w14:paraId="65A14F80">
            <w:pPr>
              <w:widowControl/>
              <w:jc w:val="center"/>
              <w:rPr>
                <w:bCs/>
                <w:color w:val="auto"/>
                <w:kern w:val="0"/>
              </w:rPr>
            </w:pPr>
          </w:p>
        </w:tc>
        <w:tc>
          <w:tcPr>
            <w:tcW w:w="216" w:type="pct"/>
            <w:vMerge w:val="continue"/>
            <w:vAlign w:val="center"/>
          </w:tcPr>
          <w:p w14:paraId="7873BE2F">
            <w:pPr>
              <w:widowControl/>
              <w:jc w:val="center"/>
              <w:rPr>
                <w:bCs/>
                <w:color w:val="auto"/>
                <w:kern w:val="0"/>
              </w:rPr>
            </w:pPr>
          </w:p>
        </w:tc>
        <w:tc>
          <w:tcPr>
            <w:tcW w:w="166" w:type="pct"/>
            <w:vMerge w:val="continue"/>
            <w:vAlign w:val="center"/>
          </w:tcPr>
          <w:p w14:paraId="0B54055E">
            <w:pPr>
              <w:widowControl/>
              <w:jc w:val="center"/>
              <w:rPr>
                <w:bCs/>
                <w:color w:val="auto"/>
                <w:kern w:val="0"/>
              </w:rPr>
            </w:pPr>
          </w:p>
        </w:tc>
        <w:tc>
          <w:tcPr>
            <w:tcW w:w="376" w:type="pct"/>
            <w:vMerge w:val="continue"/>
            <w:vAlign w:val="center"/>
          </w:tcPr>
          <w:p w14:paraId="315E9707">
            <w:pPr>
              <w:widowControl/>
              <w:jc w:val="center"/>
              <w:rPr>
                <w:bCs/>
                <w:color w:val="auto"/>
                <w:kern w:val="0"/>
              </w:rPr>
            </w:pPr>
          </w:p>
        </w:tc>
        <w:tc>
          <w:tcPr>
            <w:tcW w:w="197" w:type="pct"/>
            <w:vAlign w:val="center"/>
          </w:tcPr>
          <w:p w14:paraId="14D4C402">
            <w:pPr>
              <w:widowControl/>
              <w:jc w:val="center"/>
              <w:rPr>
                <w:bCs/>
                <w:color w:val="auto"/>
                <w:kern w:val="0"/>
              </w:rPr>
            </w:pPr>
            <w:r>
              <w:rPr>
                <w:rFonts w:hint="eastAsia"/>
                <w:bCs/>
                <w:color w:val="auto"/>
                <w:kern w:val="0"/>
              </w:rPr>
              <w:t>核算方法</w:t>
            </w:r>
          </w:p>
        </w:tc>
        <w:tc>
          <w:tcPr>
            <w:tcW w:w="371" w:type="pct"/>
            <w:vAlign w:val="center"/>
          </w:tcPr>
          <w:p w14:paraId="417039BF">
            <w:pPr>
              <w:widowControl/>
              <w:jc w:val="center"/>
              <w:rPr>
                <w:bCs/>
                <w:color w:val="auto"/>
                <w:kern w:val="0"/>
              </w:rPr>
            </w:pPr>
            <w:r>
              <w:rPr>
                <w:rFonts w:hint="eastAsia"/>
                <w:bCs/>
                <w:color w:val="auto"/>
                <w:kern w:val="0"/>
              </w:rPr>
              <w:t>产生废水量/(m</w:t>
            </w:r>
            <w:r>
              <w:rPr>
                <w:rFonts w:hint="eastAsia"/>
                <w:bCs/>
                <w:color w:val="auto"/>
                <w:kern w:val="0"/>
                <w:vertAlign w:val="superscript"/>
              </w:rPr>
              <w:t>3</w:t>
            </w:r>
            <w:r>
              <w:rPr>
                <w:rFonts w:hint="eastAsia"/>
                <w:bCs/>
                <w:color w:val="auto"/>
                <w:kern w:val="0"/>
              </w:rPr>
              <w:t>/a)</w:t>
            </w:r>
          </w:p>
        </w:tc>
        <w:tc>
          <w:tcPr>
            <w:tcW w:w="503" w:type="pct"/>
            <w:vAlign w:val="center"/>
          </w:tcPr>
          <w:p w14:paraId="096436FF">
            <w:pPr>
              <w:widowControl/>
              <w:jc w:val="center"/>
              <w:rPr>
                <w:bCs/>
                <w:color w:val="auto"/>
                <w:kern w:val="0"/>
              </w:rPr>
            </w:pPr>
            <w:r>
              <w:rPr>
                <w:rFonts w:hint="eastAsia"/>
                <w:bCs/>
                <w:color w:val="auto"/>
                <w:kern w:val="0"/>
              </w:rPr>
              <w:t>产生浓度/(mg/L)</w:t>
            </w:r>
          </w:p>
        </w:tc>
        <w:tc>
          <w:tcPr>
            <w:tcW w:w="438" w:type="pct"/>
            <w:vAlign w:val="center"/>
          </w:tcPr>
          <w:p w14:paraId="649E899C">
            <w:pPr>
              <w:widowControl/>
              <w:jc w:val="center"/>
              <w:rPr>
                <w:bCs/>
                <w:color w:val="auto"/>
                <w:kern w:val="0"/>
              </w:rPr>
            </w:pPr>
            <w:r>
              <w:rPr>
                <w:rFonts w:hint="eastAsia"/>
                <w:bCs/>
                <w:color w:val="auto"/>
                <w:kern w:val="0"/>
              </w:rPr>
              <w:t>产生量/(t/a)</w:t>
            </w:r>
          </w:p>
        </w:tc>
        <w:tc>
          <w:tcPr>
            <w:tcW w:w="247" w:type="pct"/>
            <w:vAlign w:val="center"/>
          </w:tcPr>
          <w:p w14:paraId="31120F9F">
            <w:pPr>
              <w:widowControl/>
              <w:jc w:val="center"/>
              <w:rPr>
                <w:bCs/>
                <w:color w:val="auto"/>
                <w:kern w:val="0"/>
              </w:rPr>
            </w:pPr>
            <w:r>
              <w:rPr>
                <w:rFonts w:hint="eastAsia"/>
                <w:bCs/>
                <w:color w:val="auto"/>
                <w:kern w:val="0"/>
              </w:rPr>
              <w:t>工艺</w:t>
            </w:r>
          </w:p>
        </w:tc>
        <w:tc>
          <w:tcPr>
            <w:tcW w:w="218" w:type="pct"/>
            <w:vAlign w:val="center"/>
          </w:tcPr>
          <w:p w14:paraId="1CEE1A76">
            <w:pPr>
              <w:widowControl/>
              <w:jc w:val="center"/>
              <w:rPr>
                <w:bCs/>
                <w:color w:val="auto"/>
                <w:kern w:val="0"/>
              </w:rPr>
            </w:pPr>
            <w:r>
              <w:rPr>
                <w:rFonts w:hint="eastAsia"/>
                <w:bCs/>
                <w:color w:val="auto"/>
                <w:kern w:val="0"/>
              </w:rPr>
              <w:t>效率/%</w:t>
            </w:r>
          </w:p>
        </w:tc>
        <w:tc>
          <w:tcPr>
            <w:tcW w:w="201" w:type="pct"/>
            <w:vAlign w:val="center"/>
          </w:tcPr>
          <w:p w14:paraId="7579D038">
            <w:pPr>
              <w:widowControl/>
              <w:jc w:val="center"/>
              <w:rPr>
                <w:bCs/>
                <w:color w:val="auto"/>
                <w:kern w:val="0"/>
              </w:rPr>
            </w:pPr>
            <w:r>
              <w:rPr>
                <w:rFonts w:hint="eastAsia"/>
                <w:bCs/>
                <w:color w:val="auto"/>
                <w:kern w:val="0"/>
              </w:rPr>
              <w:t>核算方法</w:t>
            </w:r>
          </w:p>
        </w:tc>
        <w:tc>
          <w:tcPr>
            <w:tcW w:w="371" w:type="pct"/>
            <w:vAlign w:val="center"/>
          </w:tcPr>
          <w:p w14:paraId="5D35ECC1">
            <w:pPr>
              <w:widowControl/>
              <w:jc w:val="center"/>
              <w:rPr>
                <w:bCs/>
                <w:color w:val="auto"/>
                <w:kern w:val="0"/>
              </w:rPr>
            </w:pPr>
            <w:r>
              <w:rPr>
                <w:rFonts w:hint="eastAsia"/>
                <w:bCs/>
                <w:color w:val="auto"/>
                <w:kern w:val="0"/>
              </w:rPr>
              <w:t>排放废水量/(m</w:t>
            </w:r>
            <w:r>
              <w:rPr>
                <w:rFonts w:hint="eastAsia"/>
                <w:bCs/>
                <w:color w:val="auto"/>
                <w:kern w:val="0"/>
                <w:vertAlign w:val="superscript"/>
              </w:rPr>
              <w:t>3</w:t>
            </w:r>
            <w:r>
              <w:rPr>
                <w:rFonts w:hint="eastAsia"/>
                <w:bCs/>
                <w:color w:val="auto"/>
                <w:kern w:val="0"/>
              </w:rPr>
              <w:t>/a)</w:t>
            </w:r>
          </w:p>
        </w:tc>
        <w:tc>
          <w:tcPr>
            <w:tcW w:w="503" w:type="pct"/>
            <w:vAlign w:val="center"/>
          </w:tcPr>
          <w:p w14:paraId="78C87E0E">
            <w:pPr>
              <w:widowControl/>
              <w:jc w:val="center"/>
              <w:rPr>
                <w:bCs/>
                <w:color w:val="auto"/>
                <w:kern w:val="0"/>
              </w:rPr>
            </w:pPr>
            <w:r>
              <w:rPr>
                <w:rFonts w:hint="eastAsia"/>
                <w:bCs/>
                <w:color w:val="auto"/>
                <w:kern w:val="0"/>
              </w:rPr>
              <w:t>排放浓度/(mg/L)</w:t>
            </w:r>
          </w:p>
        </w:tc>
        <w:tc>
          <w:tcPr>
            <w:tcW w:w="603" w:type="pct"/>
            <w:vAlign w:val="center"/>
          </w:tcPr>
          <w:p w14:paraId="3E98C60A">
            <w:pPr>
              <w:widowControl/>
              <w:jc w:val="center"/>
              <w:rPr>
                <w:bCs/>
                <w:color w:val="auto"/>
                <w:kern w:val="0"/>
              </w:rPr>
            </w:pPr>
            <w:r>
              <w:rPr>
                <w:rFonts w:hint="eastAsia"/>
                <w:bCs/>
                <w:color w:val="auto"/>
                <w:kern w:val="0"/>
              </w:rPr>
              <w:t>排放量/(t/a)</w:t>
            </w:r>
          </w:p>
        </w:tc>
        <w:tc>
          <w:tcPr>
            <w:tcW w:w="445" w:type="pct"/>
            <w:vMerge w:val="continue"/>
            <w:vAlign w:val="center"/>
          </w:tcPr>
          <w:p w14:paraId="05F2374B">
            <w:pPr>
              <w:widowControl/>
              <w:jc w:val="center"/>
              <w:rPr>
                <w:bCs/>
                <w:color w:val="auto"/>
                <w:kern w:val="0"/>
              </w:rPr>
            </w:pPr>
          </w:p>
        </w:tc>
      </w:tr>
      <w:tr w14:paraId="5BE0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39" w:type="pct"/>
            <w:vMerge w:val="restart"/>
            <w:vAlign w:val="center"/>
          </w:tcPr>
          <w:p w14:paraId="04B0A780">
            <w:pPr>
              <w:widowControl/>
              <w:jc w:val="center"/>
              <w:rPr>
                <w:rFonts w:hint="default" w:eastAsia="宋体"/>
                <w:bCs/>
                <w:color w:val="auto"/>
                <w:kern w:val="0"/>
                <w:lang w:val="en-US" w:eastAsia="zh-CN"/>
              </w:rPr>
            </w:pPr>
            <w:r>
              <w:rPr>
                <w:rFonts w:hint="eastAsia"/>
                <w:bCs/>
                <w:color w:val="auto"/>
                <w:kern w:val="0"/>
                <w:lang w:val="en-US" w:eastAsia="zh-CN"/>
              </w:rPr>
              <w:t>锯片生产</w:t>
            </w:r>
          </w:p>
        </w:tc>
        <w:tc>
          <w:tcPr>
            <w:tcW w:w="216" w:type="pct"/>
            <w:vMerge w:val="restart"/>
            <w:vAlign w:val="center"/>
          </w:tcPr>
          <w:p w14:paraId="08167D2B">
            <w:pPr>
              <w:widowControl/>
              <w:jc w:val="center"/>
              <w:rPr>
                <w:rFonts w:hint="default" w:eastAsia="宋体"/>
                <w:bCs/>
                <w:color w:val="auto"/>
                <w:kern w:val="0"/>
                <w:lang w:val="en-US" w:eastAsia="zh-CN"/>
              </w:rPr>
            </w:pPr>
            <w:r>
              <w:rPr>
                <w:rFonts w:hint="eastAsia"/>
                <w:bCs/>
                <w:color w:val="auto"/>
                <w:kern w:val="0"/>
                <w:lang w:val="en-US" w:eastAsia="zh-CN"/>
              </w:rPr>
              <w:t>清洗槽、水帘</w:t>
            </w:r>
          </w:p>
        </w:tc>
        <w:tc>
          <w:tcPr>
            <w:tcW w:w="166" w:type="pct"/>
            <w:vMerge w:val="restart"/>
            <w:vAlign w:val="center"/>
          </w:tcPr>
          <w:p w14:paraId="61CC9FC7">
            <w:pPr>
              <w:widowControl/>
              <w:jc w:val="center"/>
              <w:rPr>
                <w:rFonts w:hint="eastAsia" w:eastAsia="宋体"/>
                <w:bCs/>
                <w:color w:val="auto"/>
                <w:kern w:val="0"/>
                <w:lang w:val="en-US" w:eastAsia="zh-CN"/>
              </w:rPr>
            </w:pPr>
            <w:r>
              <w:rPr>
                <w:rFonts w:hint="eastAsia"/>
                <w:bCs/>
                <w:color w:val="auto"/>
                <w:kern w:val="0"/>
                <w:lang w:val="en-US" w:eastAsia="zh-CN"/>
              </w:rPr>
              <w:t>生产废水</w:t>
            </w:r>
          </w:p>
        </w:tc>
        <w:tc>
          <w:tcPr>
            <w:tcW w:w="376" w:type="pct"/>
            <w:shd w:val="clear" w:color="auto" w:fill="auto"/>
            <w:vAlign w:val="center"/>
          </w:tcPr>
          <w:p w14:paraId="021A883D">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COD</w:t>
            </w:r>
            <w:r>
              <w:rPr>
                <w:rFonts w:hint="eastAsia"/>
                <w:bCs/>
                <w:color w:val="auto"/>
                <w:kern w:val="0"/>
                <w:vertAlign w:val="subscript"/>
              </w:rPr>
              <w:t>Cr</w:t>
            </w:r>
          </w:p>
        </w:tc>
        <w:tc>
          <w:tcPr>
            <w:tcW w:w="197" w:type="pct"/>
            <w:vMerge w:val="restart"/>
            <w:vAlign w:val="center"/>
          </w:tcPr>
          <w:p w14:paraId="4EE931B3">
            <w:pPr>
              <w:widowControl/>
              <w:jc w:val="center"/>
              <w:rPr>
                <w:bCs/>
                <w:color w:val="auto"/>
                <w:kern w:val="0"/>
              </w:rPr>
            </w:pPr>
            <w:r>
              <w:rPr>
                <w:rFonts w:hint="eastAsia"/>
                <w:bCs/>
                <w:color w:val="auto"/>
                <w:kern w:val="0"/>
              </w:rPr>
              <w:t>类比法</w:t>
            </w:r>
          </w:p>
        </w:tc>
        <w:tc>
          <w:tcPr>
            <w:tcW w:w="371" w:type="pct"/>
            <w:vMerge w:val="restart"/>
            <w:vAlign w:val="center"/>
          </w:tcPr>
          <w:p w14:paraId="632479F1">
            <w:pPr>
              <w:widowControl/>
              <w:jc w:val="center"/>
              <w:rPr>
                <w:bCs/>
                <w:color w:val="auto"/>
                <w:kern w:val="0"/>
              </w:rPr>
            </w:pPr>
            <w:r>
              <w:rPr>
                <w:rFonts w:hint="eastAsia" w:cs="Times New Roman"/>
                <w:bCs/>
                <w:color w:val="auto"/>
                <w:kern w:val="0"/>
                <w:sz w:val="21"/>
                <w:szCs w:val="21"/>
                <w:lang w:val="en-US" w:eastAsia="zh-CN" w:bidi="ar-SA"/>
              </w:rPr>
              <w:t>816</w:t>
            </w:r>
          </w:p>
        </w:tc>
        <w:tc>
          <w:tcPr>
            <w:tcW w:w="503" w:type="pct"/>
            <w:vAlign w:val="center"/>
          </w:tcPr>
          <w:p w14:paraId="09670233">
            <w:pPr>
              <w:widowControl/>
              <w:jc w:val="center"/>
              <w:rPr>
                <w:rFonts w:hint="default" w:eastAsia="宋体"/>
                <w:bCs/>
                <w:color w:val="auto"/>
                <w:kern w:val="0"/>
                <w:lang w:val="en-US" w:eastAsia="zh-CN"/>
              </w:rPr>
            </w:pPr>
            <w:r>
              <w:rPr>
                <w:rFonts w:hint="eastAsia"/>
                <w:bCs/>
                <w:color w:val="auto"/>
                <w:kern w:val="0"/>
                <w:lang w:val="en-US" w:eastAsia="zh-CN"/>
              </w:rPr>
              <w:t>300</w:t>
            </w:r>
          </w:p>
        </w:tc>
        <w:tc>
          <w:tcPr>
            <w:tcW w:w="438" w:type="pct"/>
            <w:vAlign w:val="center"/>
          </w:tcPr>
          <w:p w14:paraId="4FCC045E">
            <w:pPr>
              <w:widowControl/>
              <w:jc w:val="center"/>
              <w:rPr>
                <w:rFonts w:hint="default" w:eastAsia="宋体"/>
                <w:bCs/>
                <w:color w:val="auto"/>
                <w:kern w:val="0"/>
                <w:lang w:val="en-US" w:eastAsia="zh-CN"/>
              </w:rPr>
            </w:pPr>
            <w:r>
              <w:rPr>
                <w:rFonts w:hint="eastAsia"/>
                <w:bCs/>
                <w:color w:val="auto"/>
                <w:kern w:val="0"/>
                <w:lang w:val="en-US" w:eastAsia="zh-CN"/>
              </w:rPr>
              <w:t>0.245</w:t>
            </w:r>
          </w:p>
        </w:tc>
        <w:tc>
          <w:tcPr>
            <w:tcW w:w="247" w:type="pct"/>
            <w:vMerge w:val="restart"/>
            <w:vAlign w:val="center"/>
          </w:tcPr>
          <w:p w14:paraId="60D05992">
            <w:pPr>
              <w:widowControl/>
              <w:jc w:val="center"/>
              <w:rPr>
                <w:bCs/>
                <w:color w:val="auto"/>
                <w:kern w:val="0"/>
              </w:rPr>
            </w:pPr>
            <w:r>
              <w:rPr>
                <w:rFonts w:hint="eastAsia"/>
                <w:bCs/>
                <w:color w:val="auto"/>
                <w:kern w:val="0"/>
              </w:rPr>
              <w:t>絮凝沉淀+中和+A/O</w:t>
            </w:r>
          </w:p>
        </w:tc>
        <w:tc>
          <w:tcPr>
            <w:tcW w:w="218" w:type="pct"/>
            <w:vMerge w:val="restart"/>
            <w:vAlign w:val="center"/>
          </w:tcPr>
          <w:p w14:paraId="3409248F">
            <w:pPr>
              <w:widowControl/>
              <w:jc w:val="center"/>
              <w:rPr>
                <w:bCs/>
                <w:color w:val="auto"/>
                <w:kern w:val="0"/>
              </w:rPr>
            </w:pPr>
            <w:r>
              <w:rPr>
                <w:rFonts w:hint="eastAsia"/>
                <w:bCs/>
                <w:color w:val="auto"/>
                <w:kern w:val="0"/>
              </w:rPr>
              <w:t>--</w:t>
            </w:r>
          </w:p>
        </w:tc>
        <w:tc>
          <w:tcPr>
            <w:tcW w:w="201" w:type="pct"/>
            <w:vMerge w:val="restart"/>
            <w:vAlign w:val="center"/>
          </w:tcPr>
          <w:p w14:paraId="5DCC58B7">
            <w:pPr>
              <w:widowControl/>
              <w:jc w:val="center"/>
              <w:rPr>
                <w:bCs/>
                <w:color w:val="auto"/>
                <w:kern w:val="0"/>
              </w:rPr>
            </w:pPr>
            <w:r>
              <w:rPr>
                <w:rFonts w:hint="eastAsia"/>
                <w:bCs/>
                <w:color w:val="auto"/>
                <w:kern w:val="0"/>
              </w:rPr>
              <w:t>达标排放</w:t>
            </w:r>
          </w:p>
        </w:tc>
        <w:tc>
          <w:tcPr>
            <w:tcW w:w="371" w:type="pct"/>
            <w:vMerge w:val="restart"/>
            <w:vAlign w:val="center"/>
          </w:tcPr>
          <w:p w14:paraId="03744B5C">
            <w:pPr>
              <w:widowControl/>
              <w:jc w:val="center"/>
              <w:rPr>
                <w:bCs/>
                <w:color w:val="auto"/>
                <w:kern w:val="0"/>
              </w:rPr>
            </w:pPr>
            <w:r>
              <w:rPr>
                <w:rFonts w:hint="eastAsia" w:cs="Times New Roman"/>
                <w:bCs/>
                <w:color w:val="auto"/>
                <w:kern w:val="0"/>
                <w:sz w:val="21"/>
                <w:szCs w:val="21"/>
                <w:lang w:val="en-US" w:eastAsia="zh-CN" w:bidi="ar-SA"/>
              </w:rPr>
              <w:t>816</w:t>
            </w:r>
          </w:p>
        </w:tc>
        <w:tc>
          <w:tcPr>
            <w:tcW w:w="503" w:type="pct"/>
            <w:shd w:val="clear" w:color="auto" w:fill="auto"/>
            <w:vAlign w:val="center"/>
          </w:tcPr>
          <w:p w14:paraId="1F7BCAF6">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40</w:t>
            </w:r>
          </w:p>
        </w:tc>
        <w:tc>
          <w:tcPr>
            <w:tcW w:w="603" w:type="pct"/>
            <w:vAlign w:val="center"/>
          </w:tcPr>
          <w:p w14:paraId="6B25FE3B">
            <w:pPr>
              <w:widowControl/>
              <w:jc w:val="center"/>
              <w:rPr>
                <w:rFonts w:hint="default" w:eastAsia="宋体"/>
                <w:bCs/>
                <w:color w:val="auto"/>
                <w:kern w:val="0"/>
                <w:lang w:val="en-US" w:eastAsia="zh-CN"/>
              </w:rPr>
            </w:pPr>
            <w:r>
              <w:rPr>
                <w:rFonts w:hint="eastAsia"/>
                <w:bCs/>
                <w:color w:val="auto"/>
                <w:kern w:val="0"/>
                <w:lang w:val="en-US" w:eastAsia="zh-CN"/>
              </w:rPr>
              <w:t>0.033</w:t>
            </w:r>
          </w:p>
        </w:tc>
        <w:tc>
          <w:tcPr>
            <w:tcW w:w="445" w:type="pct"/>
            <w:vAlign w:val="center"/>
          </w:tcPr>
          <w:p w14:paraId="2B97067C">
            <w:pPr>
              <w:widowControl/>
              <w:jc w:val="center"/>
              <w:rPr>
                <w:bCs/>
                <w:color w:val="auto"/>
                <w:kern w:val="0"/>
              </w:rPr>
            </w:pPr>
            <w:r>
              <w:rPr>
                <w:rFonts w:hint="eastAsia"/>
                <w:bCs/>
                <w:color w:val="auto"/>
                <w:kern w:val="0"/>
              </w:rPr>
              <w:t>300</w:t>
            </w:r>
          </w:p>
        </w:tc>
      </w:tr>
      <w:tr w14:paraId="1B47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continue"/>
            <w:vAlign w:val="center"/>
          </w:tcPr>
          <w:p w14:paraId="51011861">
            <w:pPr>
              <w:widowControl/>
              <w:jc w:val="center"/>
              <w:rPr>
                <w:bCs/>
                <w:color w:val="auto"/>
                <w:kern w:val="0"/>
              </w:rPr>
            </w:pPr>
          </w:p>
        </w:tc>
        <w:tc>
          <w:tcPr>
            <w:tcW w:w="216" w:type="pct"/>
            <w:vMerge w:val="continue"/>
            <w:vAlign w:val="center"/>
          </w:tcPr>
          <w:p w14:paraId="32112CE9">
            <w:pPr>
              <w:widowControl/>
              <w:jc w:val="center"/>
              <w:rPr>
                <w:bCs/>
                <w:color w:val="auto"/>
                <w:kern w:val="0"/>
              </w:rPr>
            </w:pPr>
          </w:p>
        </w:tc>
        <w:tc>
          <w:tcPr>
            <w:tcW w:w="166" w:type="pct"/>
            <w:vMerge w:val="continue"/>
            <w:vAlign w:val="center"/>
          </w:tcPr>
          <w:p w14:paraId="57F4C128">
            <w:pPr>
              <w:widowControl/>
              <w:jc w:val="center"/>
              <w:rPr>
                <w:bCs/>
                <w:color w:val="auto"/>
                <w:kern w:val="0"/>
              </w:rPr>
            </w:pPr>
          </w:p>
        </w:tc>
        <w:tc>
          <w:tcPr>
            <w:tcW w:w="376" w:type="pct"/>
            <w:shd w:val="clear" w:color="auto" w:fill="auto"/>
            <w:vAlign w:val="center"/>
          </w:tcPr>
          <w:p w14:paraId="63A3058E">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NH</w:t>
            </w:r>
            <w:r>
              <w:rPr>
                <w:rFonts w:hint="eastAsia"/>
                <w:bCs/>
                <w:color w:val="auto"/>
                <w:kern w:val="0"/>
                <w:vertAlign w:val="subscript"/>
              </w:rPr>
              <w:t>3</w:t>
            </w:r>
            <w:r>
              <w:rPr>
                <w:rFonts w:hint="eastAsia"/>
                <w:bCs/>
                <w:color w:val="auto"/>
                <w:kern w:val="0"/>
              </w:rPr>
              <w:t>-N</w:t>
            </w:r>
          </w:p>
        </w:tc>
        <w:tc>
          <w:tcPr>
            <w:tcW w:w="197" w:type="pct"/>
            <w:vMerge w:val="continue"/>
            <w:vAlign w:val="center"/>
          </w:tcPr>
          <w:p w14:paraId="0018F341">
            <w:pPr>
              <w:widowControl/>
              <w:jc w:val="center"/>
              <w:rPr>
                <w:bCs/>
                <w:color w:val="auto"/>
                <w:kern w:val="0"/>
              </w:rPr>
            </w:pPr>
          </w:p>
        </w:tc>
        <w:tc>
          <w:tcPr>
            <w:tcW w:w="371" w:type="pct"/>
            <w:vMerge w:val="continue"/>
            <w:vAlign w:val="center"/>
          </w:tcPr>
          <w:p w14:paraId="5838AFD9">
            <w:pPr>
              <w:widowControl/>
              <w:jc w:val="center"/>
              <w:rPr>
                <w:bCs/>
                <w:color w:val="auto"/>
                <w:kern w:val="0"/>
              </w:rPr>
            </w:pPr>
          </w:p>
        </w:tc>
        <w:tc>
          <w:tcPr>
            <w:tcW w:w="503" w:type="pct"/>
            <w:vAlign w:val="center"/>
          </w:tcPr>
          <w:p w14:paraId="11BEEA42">
            <w:pPr>
              <w:widowControl/>
              <w:jc w:val="center"/>
              <w:rPr>
                <w:rFonts w:hint="default" w:eastAsia="宋体"/>
                <w:bCs/>
                <w:color w:val="auto"/>
                <w:kern w:val="0"/>
                <w:lang w:val="en-US" w:eastAsia="zh-CN"/>
              </w:rPr>
            </w:pPr>
            <w:r>
              <w:rPr>
                <w:rFonts w:hint="eastAsia"/>
                <w:bCs/>
                <w:color w:val="auto"/>
                <w:kern w:val="0"/>
                <w:lang w:val="en-US" w:eastAsia="zh-CN"/>
              </w:rPr>
              <w:t>35</w:t>
            </w:r>
          </w:p>
        </w:tc>
        <w:tc>
          <w:tcPr>
            <w:tcW w:w="438" w:type="pct"/>
            <w:vAlign w:val="center"/>
          </w:tcPr>
          <w:p w14:paraId="642D9F98">
            <w:pPr>
              <w:widowControl/>
              <w:jc w:val="center"/>
              <w:rPr>
                <w:rFonts w:hint="default" w:eastAsia="宋体"/>
                <w:bCs/>
                <w:color w:val="auto"/>
                <w:kern w:val="0"/>
                <w:lang w:val="en-US" w:eastAsia="zh-CN"/>
              </w:rPr>
            </w:pPr>
            <w:r>
              <w:rPr>
                <w:rFonts w:hint="eastAsia"/>
                <w:bCs/>
                <w:color w:val="auto"/>
                <w:kern w:val="0"/>
                <w:lang w:val="en-US" w:eastAsia="zh-CN"/>
              </w:rPr>
              <w:t>0.029</w:t>
            </w:r>
          </w:p>
        </w:tc>
        <w:tc>
          <w:tcPr>
            <w:tcW w:w="247" w:type="pct"/>
            <w:vMerge w:val="continue"/>
            <w:vAlign w:val="center"/>
          </w:tcPr>
          <w:p w14:paraId="45507E35">
            <w:pPr>
              <w:widowControl/>
              <w:jc w:val="center"/>
              <w:rPr>
                <w:bCs/>
                <w:color w:val="auto"/>
                <w:kern w:val="0"/>
              </w:rPr>
            </w:pPr>
          </w:p>
        </w:tc>
        <w:tc>
          <w:tcPr>
            <w:tcW w:w="218" w:type="pct"/>
            <w:vMerge w:val="continue"/>
            <w:vAlign w:val="center"/>
          </w:tcPr>
          <w:p w14:paraId="3C0697FD">
            <w:pPr>
              <w:widowControl/>
              <w:jc w:val="center"/>
              <w:rPr>
                <w:bCs/>
                <w:color w:val="auto"/>
                <w:kern w:val="0"/>
              </w:rPr>
            </w:pPr>
          </w:p>
        </w:tc>
        <w:tc>
          <w:tcPr>
            <w:tcW w:w="201" w:type="pct"/>
            <w:vMerge w:val="continue"/>
            <w:vAlign w:val="center"/>
          </w:tcPr>
          <w:p w14:paraId="64018B7E">
            <w:pPr>
              <w:widowControl/>
              <w:jc w:val="center"/>
              <w:rPr>
                <w:bCs/>
                <w:color w:val="auto"/>
                <w:kern w:val="0"/>
              </w:rPr>
            </w:pPr>
          </w:p>
        </w:tc>
        <w:tc>
          <w:tcPr>
            <w:tcW w:w="371" w:type="pct"/>
            <w:vMerge w:val="continue"/>
            <w:vAlign w:val="center"/>
          </w:tcPr>
          <w:p w14:paraId="2A513EA9">
            <w:pPr>
              <w:widowControl/>
              <w:jc w:val="center"/>
              <w:rPr>
                <w:bCs/>
                <w:color w:val="auto"/>
                <w:kern w:val="0"/>
              </w:rPr>
            </w:pPr>
          </w:p>
        </w:tc>
        <w:tc>
          <w:tcPr>
            <w:tcW w:w="503" w:type="pct"/>
            <w:shd w:val="clear" w:color="auto" w:fill="auto"/>
            <w:vAlign w:val="center"/>
          </w:tcPr>
          <w:p w14:paraId="09DDA3BA">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2</w:t>
            </w:r>
          </w:p>
        </w:tc>
        <w:tc>
          <w:tcPr>
            <w:tcW w:w="603" w:type="pct"/>
            <w:vAlign w:val="center"/>
          </w:tcPr>
          <w:p w14:paraId="16DED13E">
            <w:pPr>
              <w:widowControl/>
              <w:jc w:val="center"/>
              <w:rPr>
                <w:rFonts w:hint="default" w:eastAsia="宋体"/>
                <w:bCs/>
                <w:color w:val="auto"/>
                <w:kern w:val="0"/>
                <w:lang w:val="en-US" w:eastAsia="zh-CN"/>
              </w:rPr>
            </w:pPr>
            <w:r>
              <w:rPr>
                <w:rFonts w:hint="eastAsia"/>
                <w:bCs/>
                <w:color w:val="auto"/>
                <w:kern w:val="0"/>
                <w:lang w:val="en-US" w:eastAsia="zh-CN"/>
              </w:rPr>
              <w:t>0.002</w:t>
            </w:r>
          </w:p>
        </w:tc>
        <w:tc>
          <w:tcPr>
            <w:tcW w:w="445" w:type="pct"/>
            <w:vAlign w:val="center"/>
          </w:tcPr>
          <w:p w14:paraId="7D0DF39D">
            <w:pPr>
              <w:widowControl/>
              <w:jc w:val="center"/>
              <w:rPr>
                <w:bCs/>
                <w:color w:val="auto"/>
                <w:kern w:val="0"/>
              </w:rPr>
            </w:pPr>
            <w:r>
              <w:rPr>
                <w:rFonts w:hint="eastAsia"/>
                <w:bCs/>
                <w:color w:val="auto"/>
                <w:kern w:val="0"/>
              </w:rPr>
              <w:t>300</w:t>
            </w:r>
          </w:p>
        </w:tc>
      </w:tr>
      <w:tr w14:paraId="1873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continue"/>
            <w:vAlign w:val="center"/>
          </w:tcPr>
          <w:p w14:paraId="2AE2A160">
            <w:pPr>
              <w:widowControl/>
              <w:jc w:val="center"/>
              <w:rPr>
                <w:bCs/>
                <w:color w:val="auto"/>
                <w:kern w:val="0"/>
              </w:rPr>
            </w:pPr>
          </w:p>
        </w:tc>
        <w:tc>
          <w:tcPr>
            <w:tcW w:w="216" w:type="pct"/>
            <w:vMerge w:val="continue"/>
            <w:vAlign w:val="center"/>
          </w:tcPr>
          <w:p w14:paraId="5355B9CA">
            <w:pPr>
              <w:widowControl/>
              <w:jc w:val="center"/>
              <w:rPr>
                <w:bCs/>
                <w:color w:val="auto"/>
                <w:kern w:val="0"/>
              </w:rPr>
            </w:pPr>
          </w:p>
        </w:tc>
        <w:tc>
          <w:tcPr>
            <w:tcW w:w="166" w:type="pct"/>
            <w:vMerge w:val="continue"/>
            <w:vAlign w:val="center"/>
          </w:tcPr>
          <w:p w14:paraId="1AC55307">
            <w:pPr>
              <w:widowControl/>
              <w:jc w:val="center"/>
              <w:rPr>
                <w:bCs/>
                <w:color w:val="auto"/>
                <w:kern w:val="0"/>
              </w:rPr>
            </w:pPr>
          </w:p>
        </w:tc>
        <w:tc>
          <w:tcPr>
            <w:tcW w:w="376" w:type="pct"/>
            <w:shd w:val="clear" w:color="auto" w:fill="auto"/>
            <w:vAlign w:val="center"/>
          </w:tcPr>
          <w:p w14:paraId="1F0EE273">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SS</w:t>
            </w:r>
          </w:p>
        </w:tc>
        <w:tc>
          <w:tcPr>
            <w:tcW w:w="197" w:type="pct"/>
            <w:vMerge w:val="continue"/>
            <w:vAlign w:val="center"/>
          </w:tcPr>
          <w:p w14:paraId="19122461">
            <w:pPr>
              <w:widowControl/>
              <w:jc w:val="center"/>
              <w:rPr>
                <w:bCs/>
                <w:color w:val="auto"/>
                <w:kern w:val="0"/>
              </w:rPr>
            </w:pPr>
          </w:p>
        </w:tc>
        <w:tc>
          <w:tcPr>
            <w:tcW w:w="371" w:type="pct"/>
            <w:vMerge w:val="continue"/>
            <w:vAlign w:val="center"/>
          </w:tcPr>
          <w:p w14:paraId="680A6578">
            <w:pPr>
              <w:widowControl/>
              <w:jc w:val="center"/>
              <w:rPr>
                <w:bCs/>
                <w:color w:val="auto"/>
                <w:kern w:val="0"/>
              </w:rPr>
            </w:pPr>
          </w:p>
        </w:tc>
        <w:tc>
          <w:tcPr>
            <w:tcW w:w="503" w:type="pct"/>
            <w:vAlign w:val="center"/>
          </w:tcPr>
          <w:p w14:paraId="71E38A54">
            <w:pPr>
              <w:widowControl/>
              <w:jc w:val="center"/>
              <w:rPr>
                <w:rFonts w:hint="default" w:eastAsia="宋体"/>
                <w:bCs/>
                <w:color w:val="auto"/>
                <w:kern w:val="0"/>
                <w:lang w:val="en-US" w:eastAsia="zh-CN"/>
              </w:rPr>
            </w:pPr>
            <w:r>
              <w:rPr>
                <w:rFonts w:hint="eastAsia"/>
                <w:bCs/>
                <w:color w:val="auto"/>
                <w:kern w:val="0"/>
                <w:lang w:val="en-US" w:eastAsia="zh-CN"/>
              </w:rPr>
              <w:t>200</w:t>
            </w:r>
          </w:p>
        </w:tc>
        <w:tc>
          <w:tcPr>
            <w:tcW w:w="438" w:type="pct"/>
            <w:vAlign w:val="center"/>
          </w:tcPr>
          <w:p w14:paraId="413E9B45">
            <w:pPr>
              <w:widowControl/>
              <w:jc w:val="center"/>
              <w:rPr>
                <w:rFonts w:hint="default" w:eastAsia="宋体"/>
                <w:bCs/>
                <w:color w:val="auto"/>
                <w:kern w:val="0"/>
                <w:lang w:val="en-US" w:eastAsia="zh-CN"/>
              </w:rPr>
            </w:pPr>
            <w:r>
              <w:rPr>
                <w:rFonts w:hint="eastAsia"/>
                <w:bCs/>
                <w:color w:val="auto"/>
                <w:kern w:val="0"/>
                <w:lang w:val="en-US" w:eastAsia="zh-CN"/>
              </w:rPr>
              <w:t>0.163</w:t>
            </w:r>
          </w:p>
        </w:tc>
        <w:tc>
          <w:tcPr>
            <w:tcW w:w="247" w:type="pct"/>
            <w:vMerge w:val="continue"/>
            <w:vAlign w:val="center"/>
          </w:tcPr>
          <w:p w14:paraId="19D78F7E">
            <w:pPr>
              <w:widowControl/>
              <w:jc w:val="center"/>
              <w:rPr>
                <w:bCs/>
                <w:color w:val="auto"/>
                <w:kern w:val="0"/>
              </w:rPr>
            </w:pPr>
          </w:p>
        </w:tc>
        <w:tc>
          <w:tcPr>
            <w:tcW w:w="218" w:type="pct"/>
            <w:vMerge w:val="continue"/>
            <w:vAlign w:val="center"/>
          </w:tcPr>
          <w:p w14:paraId="7DA89E0D">
            <w:pPr>
              <w:widowControl/>
              <w:jc w:val="center"/>
              <w:rPr>
                <w:bCs/>
                <w:color w:val="auto"/>
                <w:kern w:val="0"/>
              </w:rPr>
            </w:pPr>
          </w:p>
        </w:tc>
        <w:tc>
          <w:tcPr>
            <w:tcW w:w="201" w:type="pct"/>
            <w:vMerge w:val="continue"/>
            <w:vAlign w:val="center"/>
          </w:tcPr>
          <w:p w14:paraId="48C44B4A">
            <w:pPr>
              <w:widowControl/>
              <w:jc w:val="center"/>
              <w:rPr>
                <w:bCs/>
                <w:color w:val="auto"/>
                <w:kern w:val="0"/>
              </w:rPr>
            </w:pPr>
          </w:p>
        </w:tc>
        <w:tc>
          <w:tcPr>
            <w:tcW w:w="371" w:type="pct"/>
            <w:vMerge w:val="continue"/>
            <w:vAlign w:val="center"/>
          </w:tcPr>
          <w:p w14:paraId="2D892562">
            <w:pPr>
              <w:widowControl/>
              <w:jc w:val="center"/>
              <w:rPr>
                <w:bCs/>
                <w:color w:val="auto"/>
                <w:kern w:val="0"/>
              </w:rPr>
            </w:pPr>
          </w:p>
        </w:tc>
        <w:tc>
          <w:tcPr>
            <w:tcW w:w="503" w:type="pct"/>
            <w:shd w:val="clear" w:color="auto" w:fill="auto"/>
            <w:vAlign w:val="center"/>
          </w:tcPr>
          <w:p w14:paraId="016BEFBB">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10</w:t>
            </w:r>
          </w:p>
        </w:tc>
        <w:tc>
          <w:tcPr>
            <w:tcW w:w="603" w:type="pct"/>
            <w:vAlign w:val="center"/>
          </w:tcPr>
          <w:p w14:paraId="24D88538">
            <w:pPr>
              <w:widowControl/>
              <w:jc w:val="center"/>
              <w:rPr>
                <w:rFonts w:hint="default" w:eastAsia="宋体"/>
                <w:bCs/>
                <w:color w:val="auto"/>
                <w:kern w:val="0"/>
                <w:lang w:val="en-US" w:eastAsia="zh-CN"/>
              </w:rPr>
            </w:pPr>
            <w:r>
              <w:rPr>
                <w:rFonts w:hint="eastAsia"/>
                <w:bCs/>
                <w:color w:val="auto"/>
                <w:kern w:val="0"/>
                <w:lang w:val="en-US" w:eastAsia="zh-CN"/>
              </w:rPr>
              <w:t>0.008</w:t>
            </w:r>
          </w:p>
        </w:tc>
        <w:tc>
          <w:tcPr>
            <w:tcW w:w="445" w:type="pct"/>
            <w:vAlign w:val="center"/>
          </w:tcPr>
          <w:p w14:paraId="217B763C">
            <w:pPr>
              <w:widowControl/>
              <w:jc w:val="center"/>
              <w:rPr>
                <w:bCs/>
                <w:color w:val="auto"/>
                <w:kern w:val="0"/>
              </w:rPr>
            </w:pPr>
            <w:r>
              <w:rPr>
                <w:rFonts w:hint="eastAsia"/>
                <w:bCs/>
                <w:color w:val="auto"/>
                <w:kern w:val="0"/>
              </w:rPr>
              <w:t>300</w:t>
            </w:r>
          </w:p>
        </w:tc>
      </w:tr>
      <w:tr w14:paraId="7E15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restart"/>
            <w:vAlign w:val="center"/>
          </w:tcPr>
          <w:p w14:paraId="587AA0AA">
            <w:pPr>
              <w:widowControl/>
              <w:jc w:val="center"/>
              <w:rPr>
                <w:bCs/>
                <w:color w:val="auto"/>
                <w:kern w:val="0"/>
              </w:rPr>
            </w:pPr>
            <w:r>
              <w:rPr>
                <w:rFonts w:hint="eastAsia"/>
                <w:bCs/>
                <w:color w:val="auto"/>
                <w:kern w:val="0"/>
              </w:rPr>
              <w:t>员工生活</w:t>
            </w:r>
          </w:p>
        </w:tc>
        <w:tc>
          <w:tcPr>
            <w:tcW w:w="216" w:type="pct"/>
            <w:vMerge w:val="restart"/>
            <w:vAlign w:val="center"/>
          </w:tcPr>
          <w:p w14:paraId="1FC9A257">
            <w:pPr>
              <w:widowControl/>
              <w:jc w:val="center"/>
              <w:rPr>
                <w:bCs/>
                <w:color w:val="auto"/>
                <w:kern w:val="0"/>
              </w:rPr>
            </w:pPr>
            <w:r>
              <w:rPr>
                <w:rFonts w:hint="eastAsia"/>
                <w:bCs/>
                <w:color w:val="auto"/>
                <w:kern w:val="0"/>
              </w:rPr>
              <w:t>--</w:t>
            </w:r>
          </w:p>
        </w:tc>
        <w:tc>
          <w:tcPr>
            <w:tcW w:w="166" w:type="pct"/>
            <w:vMerge w:val="restart"/>
            <w:vAlign w:val="center"/>
          </w:tcPr>
          <w:p w14:paraId="59A442DA">
            <w:pPr>
              <w:widowControl/>
              <w:jc w:val="center"/>
              <w:rPr>
                <w:bCs/>
                <w:color w:val="auto"/>
                <w:kern w:val="0"/>
              </w:rPr>
            </w:pPr>
            <w:r>
              <w:rPr>
                <w:rFonts w:hint="eastAsia"/>
                <w:bCs/>
                <w:color w:val="auto"/>
                <w:kern w:val="0"/>
              </w:rPr>
              <w:t>生活污水</w:t>
            </w:r>
          </w:p>
        </w:tc>
        <w:tc>
          <w:tcPr>
            <w:tcW w:w="376" w:type="pct"/>
            <w:vAlign w:val="center"/>
          </w:tcPr>
          <w:p w14:paraId="7EE6E901">
            <w:pPr>
              <w:widowControl/>
              <w:jc w:val="center"/>
              <w:rPr>
                <w:rFonts w:hint="eastAsia"/>
                <w:bCs/>
                <w:color w:val="auto"/>
                <w:kern w:val="0"/>
              </w:rPr>
            </w:pPr>
            <w:r>
              <w:rPr>
                <w:rFonts w:hint="eastAsia"/>
                <w:bCs/>
                <w:color w:val="auto"/>
                <w:kern w:val="0"/>
              </w:rPr>
              <w:t>COD</w:t>
            </w:r>
            <w:r>
              <w:rPr>
                <w:rFonts w:hint="eastAsia"/>
                <w:bCs/>
                <w:color w:val="auto"/>
                <w:kern w:val="0"/>
                <w:vertAlign w:val="subscript"/>
              </w:rPr>
              <w:t>Cr</w:t>
            </w:r>
          </w:p>
        </w:tc>
        <w:tc>
          <w:tcPr>
            <w:tcW w:w="197" w:type="pct"/>
            <w:vMerge w:val="restart"/>
            <w:vAlign w:val="center"/>
          </w:tcPr>
          <w:p w14:paraId="7D275C2F">
            <w:pPr>
              <w:widowControl/>
              <w:jc w:val="center"/>
              <w:rPr>
                <w:bCs/>
                <w:color w:val="auto"/>
                <w:kern w:val="0"/>
              </w:rPr>
            </w:pPr>
            <w:r>
              <w:rPr>
                <w:rFonts w:hint="eastAsia"/>
                <w:bCs/>
                <w:color w:val="auto"/>
                <w:kern w:val="0"/>
              </w:rPr>
              <w:t>类比法</w:t>
            </w:r>
          </w:p>
        </w:tc>
        <w:tc>
          <w:tcPr>
            <w:tcW w:w="371" w:type="pct"/>
            <w:vMerge w:val="restart"/>
            <w:vAlign w:val="center"/>
          </w:tcPr>
          <w:p w14:paraId="4EE2394C">
            <w:pPr>
              <w:widowControl/>
              <w:jc w:val="center"/>
              <w:rPr>
                <w:rFonts w:hint="default" w:eastAsia="宋体"/>
                <w:bCs/>
                <w:color w:val="auto"/>
                <w:kern w:val="0"/>
                <w:lang w:val="en-US" w:eastAsia="zh-CN"/>
              </w:rPr>
            </w:pPr>
            <w:r>
              <w:rPr>
                <w:rFonts w:hint="eastAsia"/>
                <w:bCs/>
                <w:color w:val="auto"/>
                <w:kern w:val="0"/>
                <w:lang w:val="en-US" w:eastAsia="zh-CN"/>
              </w:rPr>
              <w:t>2040</w:t>
            </w:r>
          </w:p>
        </w:tc>
        <w:tc>
          <w:tcPr>
            <w:tcW w:w="503" w:type="pct"/>
            <w:vAlign w:val="center"/>
          </w:tcPr>
          <w:p w14:paraId="01F7B856">
            <w:pPr>
              <w:widowControl/>
              <w:jc w:val="center"/>
              <w:rPr>
                <w:rFonts w:hint="eastAsia"/>
                <w:bCs/>
                <w:color w:val="auto"/>
                <w:kern w:val="0"/>
              </w:rPr>
            </w:pPr>
            <w:r>
              <w:rPr>
                <w:rFonts w:hint="eastAsia"/>
                <w:bCs/>
                <w:color w:val="auto"/>
                <w:kern w:val="0"/>
                <w:lang w:val="zh-CN"/>
              </w:rPr>
              <w:t>350</w:t>
            </w:r>
          </w:p>
        </w:tc>
        <w:tc>
          <w:tcPr>
            <w:tcW w:w="438" w:type="pct"/>
            <w:vAlign w:val="center"/>
          </w:tcPr>
          <w:p w14:paraId="446CCB0F">
            <w:pPr>
              <w:widowControl/>
              <w:jc w:val="center"/>
              <w:rPr>
                <w:rFonts w:hint="default" w:eastAsia="宋体"/>
                <w:bCs/>
                <w:color w:val="auto"/>
                <w:kern w:val="0"/>
                <w:lang w:val="en-US" w:eastAsia="zh-CN"/>
              </w:rPr>
            </w:pPr>
            <w:r>
              <w:rPr>
                <w:rFonts w:hint="eastAsia"/>
                <w:bCs/>
                <w:color w:val="auto"/>
                <w:kern w:val="0"/>
              </w:rPr>
              <w:t>0.</w:t>
            </w:r>
            <w:r>
              <w:rPr>
                <w:rFonts w:hint="eastAsia"/>
                <w:bCs/>
                <w:color w:val="auto"/>
                <w:kern w:val="0"/>
                <w:lang w:val="en-US" w:eastAsia="zh-CN"/>
              </w:rPr>
              <w:t>714</w:t>
            </w:r>
          </w:p>
        </w:tc>
        <w:tc>
          <w:tcPr>
            <w:tcW w:w="247" w:type="pct"/>
            <w:vMerge w:val="restart"/>
            <w:vAlign w:val="center"/>
          </w:tcPr>
          <w:p w14:paraId="0D9D6D1C">
            <w:pPr>
              <w:widowControl/>
              <w:jc w:val="center"/>
              <w:rPr>
                <w:bCs/>
                <w:color w:val="auto"/>
                <w:kern w:val="0"/>
              </w:rPr>
            </w:pPr>
            <w:r>
              <w:rPr>
                <w:rFonts w:hint="eastAsia"/>
                <w:bCs/>
                <w:color w:val="auto"/>
                <w:kern w:val="0"/>
              </w:rPr>
              <w:t>化粪池</w:t>
            </w:r>
          </w:p>
        </w:tc>
        <w:tc>
          <w:tcPr>
            <w:tcW w:w="218" w:type="pct"/>
            <w:vMerge w:val="restart"/>
            <w:vAlign w:val="center"/>
          </w:tcPr>
          <w:p w14:paraId="5D07C7DF">
            <w:pPr>
              <w:widowControl/>
              <w:jc w:val="center"/>
              <w:rPr>
                <w:bCs/>
                <w:color w:val="auto"/>
                <w:kern w:val="0"/>
              </w:rPr>
            </w:pPr>
            <w:r>
              <w:rPr>
                <w:rFonts w:hint="eastAsia"/>
                <w:bCs/>
                <w:color w:val="auto"/>
                <w:kern w:val="0"/>
              </w:rPr>
              <w:t>--</w:t>
            </w:r>
          </w:p>
        </w:tc>
        <w:tc>
          <w:tcPr>
            <w:tcW w:w="201" w:type="pct"/>
            <w:vMerge w:val="restart"/>
            <w:vAlign w:val="center"/>
          </w:tcPr>
          <w:p w14:paraId="06CC6953">
            <w:pPr>
              <w:widowControl/>
              <w:jc w:val="center"/>
              <w:rPr>
                <w:bCs/>
                <w:color w:val="auto"/>
                <w:kern w:val="0"/>
              </w:rPr>
            </w:pPr>
            <w:r>
              <w:rPr>
                <w:rFonts w:hint="eastAsia"/>
                <w:bCs/>
                <w:color w:val="auto"/>
                <w:kern w:val="0"/>
              </w:rPr>
              <w:t>达标排放</w:t>
            </w:r>
          </w:p>
        </w:tc>
        <w:tc>
          <w:tcPr>
            <w:tcW w:w="371" w:type="pct"/>
            <w:vMerge w:val="restart"/>
            <w:vAlign w:val="center"/>
          </w:tcPr>
          <w:p w14:paraId="36777389">
            <w:pPr>
              <w:widowControl/>
              <w:jc w:val="center"/>
              <w:rPr>
                <w:bCs/>
                <w:color w:val="auto"/>
                <w:kern w:val="0"/>
              </w:rPr>
            </w:pPr>
            <w:r>
              <w:rPr>
                <w:rFonts w:hint="eastAsia"/>
                <w:bCs/>
                <w:color w:val="auto"/>
                <w:kern w:val="0"/>
                <w:lang w:val="en-US" w:eastAsia="zh-CN"/>
              </w:rPr>
              <w:t>2040</w:t>
            </w:r>
          </w:p>
        </w:tc>
        <w:tc>
          <w:tcPr>
            <w:tcW w:w="503" w:type="pct"/>
            <w:vAlign w:val="center"/>
          </w:tcPr>
          <w:p w14:paraId="0B4B3347">
            <w:pPr>
              <w:widowControl/>
              <w:jc w:val="center"/>
              <w:rPr>
                <w:rFonts w:hint="eastAsia"/>
                <w:bCs/>
                <w:color w:val="auto"/>
                <w:kern w:val="0"/>
              </w:rPr>
            </w:pPr>
            <w:r>
              <w:rPr>
                <w:rFonts w:hint="eastAsia"/>
                <w:bCs/>
                <w:color w:val="auto"/>
                <w:kern w:val="0"/>
              </w:rPr>
              <w:t>40</w:t>
            </w:r>
          </w:p>
        </w:tc>
        <w:tc>
          <w:tcPr>
            <w:tcW w:w="603" w:type="pct"/>
            <w:vAlign w:val="center"/>
          </w:tcPr>
          <w:p w14:paraId="0791E655">
            <w:pPr>
              <w:widowControl/>
              <w:jc w:val="center"/>
              <w:rPr>
                <w:rFonts w:hint="default" w:eastAsia="宋体"/>
                <w:bCs/>
                <w:color w:val="auto"/>
                <w:kern w:val="0"/>
                <w:lang w:val="en-US" w:eastAsia="zh-CN"/>
              </w:rPr>
            </w:pPr>
            <w:r>
              <w:rPr>
                <w:rFonts w:hint="eastAsia"/>
                <w:bCs/>
                <w:color w:val="auto"/>
                <w:kern w:val="0"/>
                <w:lang w:val="en-US" w:eastAsia="zh-CN"/>
              </w:rPr>
              <w:t>0.082</w:t>
            </w:r>
          </w:p>
        </w:tc>
        <w:tc>
          <w:tcPr>
            <w:tcW w:w="445" w:type="pct"/>
            <w:vAlign w:val="center"/>
          </w:tcPr>
          <w:p w14:paraId="477E36F1">
            <w:pPr>
              <w:widowControl/>
              <w:jc w:val="center"/>
              <w:rPr>
                <w:rFonts w:hint="eastAsia"/>
                <w:bCs/>
                <w:color w:val="auto"/>
                <w:kern w:val="0"/>
              </w:rPr>
            </w:pPr>
            <w:r>
              <w:rPr>
                <w:rFonts w:hint="eastAsia"/>
                <w:bCs/>
                <w:color w:val="auto"/>
                <w:kern w:val="0"/>
              </w:rPr>
              <w:t>300</w:t>
            </w:r>
          </w:p>
        </w:tc>
      </w:tr>
      <w:tr w14:paraId="359A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continue"/>
            <w:vAlign w:val="center"/>
          </w:tcPr>
          <w:p w14:paraId="2885A84A">
            <w:pPr>
              <w:widowControl/>
              <w:jc w:val="center"/>
              <w:rPr>
                <w:bCs/>
                <w:color w:val="auto"/>
                <w:kern w:val="0"/>
              </w:rPr>
            </w:pPr>
          </w:p>
        </w:tc>
        <w:tc>
          <w:tcPr>
            <w:tcW w:w="216" w:type="pct"/>
            <w:vMerge w:val="continue"/>
            <w:vAlign w:val="center"/>
          </w:tcPr>
          <w:p w14:paraId="374C14CA">
            <w:pPr>
              <w:widowControl/>
              <w:jc w:val="center"/>
              <w:rPr>
                <w:bCs/>
                <w:color w:val="auto"/>
                <w:kern w:val="0"/>
              </w:rPr>
            </w:pPr>
          </w:p>
        </w:tc>
        <w:tc>
          <w:tcPr>
            <w:tcW w:w="166" w:type="pct"/>
            <w:vMerge w:val="continue"/>
            <w:vAlign w:val="center"/>
          </w:tcPr>
          <w:p w14:paraId="114EA405">
            <w:pPr>
              <w:widowControl/>
              <w:jc w:val="center"/>
              <w:rPr>
                <w:bCs/>
                <w:color w:val="auto"/>
                <w:kern w:val="0"/>
              </w:rPr>
            </w:pPr>
          </w:p>
        </w:tc>
        <w:tc>
          <w:tcPr>
            <w:tcW w:w="376" w:type="pct"/>
            <w:vAlign w:val="center"/>
          </w:tcPr>
          <w:p w14:paraId="6D39C2B6">
            <w:pPr>
              <w:widowControl/>
              <w:jc w:val="center"/>
              <w:rPr>
                <w:rFonts w:hint="eastAsia"/>
                <w:bCs/>
                <w:color w:val="auto"/>
                <w:kern w:val="0"/>
              </w:rPr>
            </w:pPr>
            <w:r>
              <w:rPr>
                <w:rFonts w:hint="eastAsia"/>
                <w:bCs/>
                <w:color w:val="auto"/>
                <w:kern w:val="0"/>
              </w:rPr>
              <w:t>NH</w:t>
            </w:r>
            <w:r>
              <w:rPr>
                <w:rFonts w:hint="eastAsia"/>
                <w:bCs/>
                <w:color w:val="auto"/>
                <w:kern w:val="0"/>
                <w:vertAlign w:val="subscript"/>
              </w:rPr>
              <w:t>3</w:t>
            </w:r>
            <w:r>
              <w:rPr>
                <w:rFonts w:hint="eastAsia"/>
                <w:bCs/>
                <w:color w:val="auto"/>
                <w:kern w:val="0"/>
              </w:rPr>
              <w:t>-N</w:t>
            </w:r>
          </w:p>
        </w:tc>
        <w:tc>
          <w:tcPr>
            <w:tcW w:w="197" w:type="pct"/>
            <w:vMerge w:val="continue"/>
            <w:vAlign w:val="center"/>
          </w:tcPr>
          <w:p w14:paraId="47CBE309">
            <w:pPr>
              <w:widowControl/>
              <w:jc w:val="center"/>
              <w:rPr>
                <w:bCs/>
                <w:color w:val="auto"/>
                <w:kern w:val="0"/>
              </w:rPr>
            </w:pPr>
          </w:p>
        </w:tc>
        <w:tc>
          <w:tcPr>
            <w:tcW w:w="371" w:type="pct"/>
            <w:vMerge w:val="continue"/>
            <w:vAlign w:val="center"/>
          </w:tcPr>
          <w:p w14:paraId="3B774289">
            <w:pPr>
              <w:widowControl/>
              <w:jc w:val="center"/>
              <w:rPr>
                <w:bCs/>
                <w:color w:val="auto"/>
                <w:kern w:val="0"/>
              </w:rPr>
            </w:pPr>
          </w:p>
        </w:tc>
        <w:tc>
          <w:tcPr>
            <w:tcW w:w="503" w:type="pct"/>
            <w:vAlign w:val="center"/>
          </w:tcPr>
          <w:p w14:paraId="58F0D2FC">
            <w:pPr>
              <w:widowControl/>
              <w:jc w:val="center"/>
              <w:rPr>
                <w:rFonts w:hint="eastAsia"/>
                <w:bCs/>
                <w:color w:val="auto"/>
                <w:kern w:val="0"/>
              </w:rPr>
            </w:pPr>
            <w:r>
              <w:rPr>
                <w:rFonts w:hint="eastAsia"/>
                <w:bCs/>
                <w:color w:val="auto"/>
                <w:kern w:val="0"/>
                <w:lang w:val="zh-CN"/>
              </w:rPr>
              <w:t>35</w:t>
            </w:r>
          </w:p>
        </w:tc>
        <w:tc>
          <w:tcPr>
            <w:tcW w:w="438" w:type="pct"/>
            <w:vAlign w:val="center"/>
          </w:tcPr>
          <w:p w14:paraId="72C50064">
            <w:pPr>
              <w:widowControl/>
              <w:jc w:val="center"/>
              <w:rPr>
                <w:rFonts w:hint="default" w:eastAsia="宋体"/>
                <w:bCs/>
                <w:color w:val="auto"/>
                <w:kern w:val="0"/>
                <w:lang w:val="en-US" w:eastAsia="zh-CN"/>
              </w:rPr>
            </w:pPr>
            <w:r>
              <w:rPr>
                <w:rFonts w:hint="eastAsia"/>
                <w:bCs/>
                <w:color w:val="auto"/>
                <w:kern w:val="0"/>
                <w:lang w:val="zh-CN"/>
              </w:rPr>
              <w:t>0.</w:t>
            </w:r>
            <w:r>
              <w:rPr>
                <w:rFonts w:hint="eastAsia"/>
                <w:bCs/>
                <w:color w:val="auto"/>
                <w:kern w:val="0"/>
              </w:rPr>
              <w:t>0</w:t>
            </w:r>
            <w:r>
              <w:rPr>
                <w:rFonts w:hint="eastAsia"/>
                <w:bCs/>
                <w:color w:val="auto"/>
                <w:kern w:val="0"/>
                <w:lang w:val="en-US" w:eastAsia="zh-CN"/>
              </w:rPr>
              <w:t>71</w:t>
            </w:r>
          </w:p>
        </w:tc>
        <w:tc>
          <w:tcPr>
            <w:tcW w:w="247" w:type="pct"/>
            <w:vMerge w:val="continue"/>
            <w:vAlign w:val="center"/>
          </w:tcPr>
          <w:p w14:paraId="1FBCDFF0">
            <w:pPr>
              <w:widowControl/>
              <w:jc w:val="center"/>
              <w:rPr>
                <w:bCs/>
                <w:color w:val="auto"/>
                <w:kern w:val="0"/>
              </w:rPr>
            </w:pPr>
          </w:p>
        </w:tc>
        <w:tc>
          <w:tcPr>
            <w:tcW w:w="218" w:type="pct"/>
            <w:vMerge w:val="continue"/>
            <w:vAlign w:val="center"/>
          </w:tcPr>
          <w:p w14:paraId="5E41DCD1">
            <w:pPr>
              <w:widowControl/>
              <w:jc w:val="center"/>
              <w:rPr>
                <w:bCs/>
                <w:color w:val="auto"/>
                <w:kern w:val="0"/>
              </w:rPr>
            </w:pPr>
          </w:p>
        </w:tc>
        <w:tc>
          <w:tcPr>
            <w:tcW w:w="201" w:type="pct"/>
            <w:vMerge w:val="continue"/>
            <w:vAlign w:val="center"/>
          </w:tcPr>
          <w:p w14:paraId="653AAEC6">
            <w:pPr>
              <w:widowControl/>
              <w:jc w:val="center"/>
              <w:rPr>
                <w:bCs/>
                <w:color w:val="auto"/>
                <w:kern w:val="0"/>
              </w:rPr>
            </w:pPr>
          </w:p>
        </w:tc>
        <w:tc>
          <w:tcPr>
            <w:tcW w:w="371" w:type="pct"/>
            <w:vMerge w:val="continue"/>
            <w:vAlign w:val="center"/>
          </w:tcPr>
          <w:p w14:paraId="42B59FBD">
            <w:pPr>
              <w:widowControl/>
              <w:jc w:val="center"/>
              <w:rPr>
                <w:bCs/>
                <w:color w:val="auto"/>
                <w:kern w:val="0"/>
              </w:rPr>
            </w:pPr>
          </w:p>
        </w:tc>
        <w:tc>
          <w:tcPr>
            <w:tcW w:w="503" w:type="pct"/>
            <w:vAlign w:val="center"/>
          </w:tcPr>
          <w:p w14:paraId="3877AD81">
            <w:pPr>
              <w:widowControl/>
              <w:jc w:val="center"/>
              <w:rPr>
                <w:rFonts w:hint="eastAsia"/>
                <w:bCs/>
                <w:color w:val="auto"/>
                <w:kern w:val="0"/>
              </w:rPr>
            </w:pPr>
            <w:r>
              <w:rPr>
                <w:rFonts w:hint="eastAsia"/>
                <w:bCs/>
                <w:color w:val="auto"/>
                <w:kern w:val="0"/>
              </w:rPr>
              <w:t>2</w:t>
            </w:r>
          </w:p>
        </w:tc>
        <w:tc>
          <w:tcPr>
            <w:tcW w:w="603" w:type="pct"/>
            <w:vAlign w:val="center"/>
          </w:tcPr>
          <w:p w14:paraId="02E6CA28">
            <w:pPr>
              <w:widowControl/>
              <w:jc w:val="center"/>
              <w:rPr>
                <w:rFonts w:hint="eastAsia" w:eastAsia="宋体"/>
                <w:bCs/>
                <w:color w:val="auto"/>
                <w:kern w:val="0"/>
                <w:lang w:eastAsia="zh-CN"/>
              </w:rPr>
            </w:pPr>
            <w:r>
              <w:rPr>
                <w:rFonts w:hint="eastAsia"/>
                <w:bCs/>
                <w:color w:val="auto"/>
                <w:kern w:val="0"/>
              </w:rPr>
              <w:t>0.00</w:t>
            </w:r>
            <w:r>
              <w:rPr>
                <w:rFonts w:hint="eastAsia"/>
                <w:bCs/>
                <w:color w:val="auto"/>
                <w:kern w:val="0"/>
                <w:lang w:val="en-US" w:eastAsia="zh-CN"/>
              </w:rPr>
              <w:t>4</w:t>
            </w:r>
          </w:p>
        </w:tc>
        <w:tc>
          <w:tcPr>
            <w:tcW w:w="445" w:type="pct"/>
            <w:vAlign w:val="center"/>
          </w:tcPr>
          <w:p w14:paraId="46013896">
            <w:pPr>
              <w:widowControl/>
              <w:jc w:val="center"/>
              <w:rPr>
                <w:rFonts w:hint="eastAsia"/>
                <w:bCs/>
                <w:color w:val="auto"/>
                <w:kern w:val="0"/>
              </w:rPr>
            </w:pPr>
            <w:r>
              <w:rPr>
                <w:rFonts w:hint="eastAsia"/>
                <w:bCs/>
                <w:color w:val="auto"/>
                <w:kern w:val="0"/>
              </w:rPr>
              <w:t>300</w:t>
            </w:r>
          </w:p>
        </w:tc>
      </w:tr>
      <w:tr w14:paraId="3F78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39" w:type="pct"/>
            <w:vMerge w:val="continue"/>
            <w:vAlign w:val="center"/>
          </w:tcPr>
          <w:p w14:paraId="00916ADC">
            <w:pPr>
              <w:widowControl/>
              <w:jc w:val="center"/>
              <w:rPr>
                <w:bCs/>
                <w:color w:val="auto"/>
                <w:kern w:val="0"/>
              </w:rPr>
            </w:pPr>
          </w:p>
        </w:tc>
        <w:tc>
          <w:tcPr>
            <w:tcW w:w="216" w:type="pct"/>
            <w:vMerge w:val="continue"/>
            <w:vAlign w:val="center"/>
          </w:tcPr>
          <w:p w14:paraId="370E2F5A">
            <w:pPr>
              <w:widowControl/>
              <w:jc w:val="center"/>
              <w:rPr>
                <w:bCs/>
                <w:color w:val="auto"/>
                <w:kern w:val="0"/>
              </w:rPr>
            </w:pPr>
          </w:p>
        </w:tc>
        <w:tc>
          <w:tcPr>
            <w:tcW w:w="166" w:type="pct"/>
            <w:vMerge w:val="continue"/>
            <w:vAlign w:val="center"/>
          </w:tcPr>
          <w:p w14:paraId="37DD821D">
            <w:pPr>
              <w:widowControl/>
              <w:jc w:val="center"/>
              <w:rPr>
                <w:bCs/>
                <w:color w:val="auto"/>
                <w:kern w:val="0"/>
              </w:rPr>
            </w:pPr>
          </w:p>
        </w:tc>
        <w:tc>
          <w:tcPr>
            <w:tcW w:w="376" w:type="pct"/>
            <w:vAlign w:val="center"/>
          </w:tcPr>
          <w:p w14:paraId="3CC317FC">
            <w:pPr>
              <w:widowControl/>
              <w:jc w:val="center"/>
              <w:rPr>
                <w:rFonts w:hint="eastAsia"/>
                <w:bCs/>
                <w:color w:val="auto"/>
                <w:kern w:val="0"/>
              </w:rPr>
            </w:pPr>
            <w:r>
              <w:rPr>
                <w:rFonts w:hint="eastAsia"/>
                <w:bCs/>
                <w:color w:val="auto"/>
                <w:kern w:val="0"/>
              </w:rPr>
              <w:t>SS</w:t>
            </w:r>
          </w:p>
        </w:tc>
        <w:tc>
          <w:tcPr>
            <w:tcW w:w="197" w:type="pct"/>
            <w:vMerge w:val="continue"/>
            <w:vAlign w:val="center"/>
          </w:tcPr>
          <w:p w14:paraId="45E62B83">
            <w:pPr>
              <w:widowControl/>
              <w:jc w:val="center"/>
              <w:rPr>
                <w:bCs/>
                <w:color w:val="auto"/>
                <w:kern w:val="0"/>
              </w:rPr>
            </w:pPr>
          </w:p>
        </w:tc>
        <w:tc>
          <w:tcPr>
            <w:tcW w:w="371" w:type="pct"/>
            <w:vMerge w:val="continue"/>
            <w:vAlign w:val="center"/>
          </w:tcPr>
          <w:p w14:paraId="00CA2E04">
            <w:pPr>
              <w:widowControl/>
              <w:jc w:val="center"/>
              <w:rPr>
                <w:bCs/>
                <w:color w:val="auto"/>
                <w:kern w:val="0"/>
              </w:rPr>
            </w:pPr>
          </w:p>
        </w:tc>
        <w:tc>
          <w:tcPr>
            <w:tcW w:w="503" w:type="pct"/>
            <w:vAlign w:val="center"/>
          </w:tcPr>
          <w:p w14:paraId="6538A5EA">
            <w:pPr>
              <w:widowControl/>
              <w:jc w:val="center"/>
              <w:rPr>
                <w:rFonts w:hint="eastAsia"/>
                <w:bCs/>
                <w:color w:val="auto"/>
                <w:kern w:val="0"/>
              </w:rPr>
            </w:pPr>
            <w:r>
              <w:rPr>
                <w:rFonts w:hint="eastAsia"/>
                <w:bCs/>
                <w:color w:val="auto"/>
                <w:kern w:val="0"/>
              </w:rPr>
              <w:t>200</w:t>
            </w:r>
          </w:p>
        </w:tc>
        <w:tc>
          <w:tcPr>
            <w:tcW w:w="438" w:type="pct"/>
            <w:vAlign w:val="center"/>
          </w:tcPr>
          <w:p w14:paraId="2B97A884">
            <w:pPr>
              <w:widowControl/>
              <w:jc w:val="center"/>
              <w:rPr>
                <w:rFonts w:hint="default" w:eastAsia="宋体"/>
                <w:bCs/>
                <w:color w:val="auto"/>
                <w:kern w:val="0"/>
                <w:lang w:val="en-US" w:eastAsia="zh-CN"/>
              </w:rPr>
            </w:pPr>
            <w:r>
              <w:rPr>
                <w:rFonts w:hint="eastAsia"/>
                <w:bCs/>
                <w:color w:val="auto"/>
                <w:kern w:val="0"/>
              </w:rPr>
              <w:t>0.</w:t>
            </w:r>
            <w:r>
              <w:rPr>
                <w:rFonts w:hint="eastAsia"/>
                <w:bCs/>
                <w:color w:val="auto"/>
                <w:kern w:val="0"/>
                <w:lang w:val="en-US" w:eastAsia="zh-CN"/>
              </w:rPr>
              <w:t>408</w:t>
            </w:r>
          </w:p>
        </w:tc>
        <w:tc>
          <w:tcPr>
            <w:tcW w:w="247" w:type="pct"/>
            <w:vMerge w:val="continue"/>
            <w:vAlign w:val="center"/>
          </w:tcPr>
          <w:p w14:paraId="6E81D48D">
            <w:pPr>
              <w:widowControl/>
              <w:jc w:val="center"/>
              <w:rPr>
                <w:bCs/>
                <w:color w:val="auto"/>
                <w:kern w:val="0"/>
              </w:rPr>
            </w:pPr>
          </w:p>
        </w:tc>
        <w:tc>
          <w:tcPr>
            <w:tcW w:w="218" w:type="pct"/>
            <w:vMerge w:val="continue"/>
            <w:vAlign w:val="center"/>
          </w:tcPr>
          <w:p w14:paraId="4085E463">
            <w:pPr>
              <w:widowControl/>
              <w:jc w:val="center"/>
              <w:rPr>
                <w:bCs/>
                <w:color w:val="auto"/>
                <w:kern w:val="0"/>
              </w:rPr>
            </w:pPr>
          </w:p>
        </w:tc>
        <w:tc>
          <w:tcPr>
            <w:tcW w:w="201" w:type="pct"/>
            <w:vMerge w:val="continue"/>
            <w:vAlign w:val="center"/>
          </w:tcPr>
          <w:p w14:paraId="16E6D4FE">
            <w:pPr>
              <w:widowControl/>
              <w:jc w:val="center"/>
              <w:rPr>
                <w:bCs/>
                <w:color w:val="auto"/>
                <w:kern w:val="0"/>
              </w:rPr>
            </w:pPr>
          </w:p>
        </w:tc>
        <w:tc>
          <w:tcPr>
            <w:tcW w:w="371" w:type="pct"/>
            <w:vMerge w:val="continue"/>
            <w:vAlign w:val="center"/>
          </w:tcPr>
          <w:p w14:paraId="0AC38148">
            <w:pPr>
              <w:widowControl/>
              <w:jc w:val="center"/>
              <w:rPr>
                <w:bCs/>
                <w:color w:val="auto"/>
                <w:kern w:val="0"/>
              </w:rPr>
            </w:pPr>
          </w:p>
        </w:tc>
        <w:tc>
          <w:tcPr>
            <w:tcW w:w="503" w:type="pct"/>
            <w:vAlign w:val="center"/>
          </w:tcPr>
          <w:p w14:paraId="6B3A8231">
            <w:pPr>
              <w:widowControl/>
              <w:jc w:val="center"/>
              <w:rPr>
                <w:rFonts w:hint="eastAsia"/>
                <w:bCs/>
                <w:color w:val="auto"/>
                <w:kern w:val="0"/>
              </w:rPr>
            </w:pPr>
            <w:r>
              <w:rPr>
                <w:rFonts w:hint="eastAsia"/>
                <w:bCs/>
                <w:color w:val="auto"/>
                <w:kern w:val="0"/>
              </w:rPr>
              <w:t>10</w:t>
            </w:r>
          </w:p>
        </w:tc>
        <w:tc>
          <w:tcPr>
            <w:tcW w:w="603" w:type="pct"/>
            <w:vAlign w:val="center"/>
          </w:tcPr>
          <w:p w14:paraId="4EFAF30A">
            <w:pPr>
              <w:widowControl/>
              <w:jc w:val="center"/>
              <w:rPr>
                <w:rFonts w:hint="eastAsia" w:eastAsia="宋体"/>
                <w:bCs/>
                <w:color w:val="auto"/>
                <w:kern w:val="0"/>
                <w:lang w:eastAsia="zh-CN"/>
              </w:rPr>
            </w:pPr>
            <w:r>
              <w:rPr>
                <w:rFonts w:hint="eastAsia"/>
                <w:bCs/>
                <w:color w:val="auto"/>
                <w:kern w:val="0"/>
              </w:rPr>
              <w:t>0.0</w:t>
            </w:r>
            <w:r>
              <w:rPr>
                <w:rFonts w:hint="eastAsia"/>
                <w:bCs/>
                <w:color w:val="auto"/>
                <w:kern w:val="0"/>
                <w:lang w:val="en-US" w:eastAsia="zh-CN"/>
              </w:rPr>
              <w:t>2</w:t>
            </w:r>
          </w:p>
        </w:tc>
        <w:tc>
          <w:tcPr>
            <w:tcW w:w="445" w:type="pct"/>
            <w:vAlign w:val="center"/>
          </w:tcPr>
          <w:p w14:paraId="1A0A1E9E">
            <w:pPr>
              <w:widowControl/>
              <w:jc w:val="center"/>
              <w:rPr>
                <w:rFonts w:hint="eastAsia"/>
                <w:bCs/>
                <w:color w:val="auto"/>
                <w:kern w:val="0"/>
              </w:rPr>
            </w:pPr>
            <w:r>
              <w:rPr>
                <w:rFonts w:hint="eastAsia"/>
                <w:bCs/>
                <w:color w:val="auto"/>
                <w:kern w:val="0"/>
              </w:rPr>
              <w:t>300</w:t>
            </w:r>
          </w:p>
        </w:tc>
      </w:tr>
    </w:tbl>
    <w:p w14:paraId="6293A8DF">
      <w:pPr>
        <w:adjustRightInd w:val="0"/>
        <w:snapToGrid w:val="0"/>
        <w:spacing w:line="360" w:lineRule="auto"/>
        <w:jc w:val="center"/>
        <w:rPr>
          <w:b/>
          <w:bCs/>
          <w:color w:val="auto"/>
          <w:spacing w:val="-10"/>
        </w:rPr>
      </w:pPr>
      <w:r>
        <w:rPr>
          <w:rFonts w:hint="eastAsia"/>
          <w:b/>
          <w:bCs/>
          <w:color w:val="auto"/>
          <w:spacing w:val="-10"/>
        </w:rPr>
        <w:t xml:space="preserve">表15    </w:t>
      </w:r>
      <w:r>
        <w:rPr>
          <w:b/>
          <w:bCs/>
          <w:color w:val="auto"/>
          <w:spacing w:val="-10"/>
        </w:rPr>
        <w:t>废水类别、污染物及污染治理设施信息表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90"/>
        <w:gridCol w:w="966"/>
        <w:gridCol w:w="1276"/>
        <w:gridCol w:w="799"/>
        <w:gridCol w:w="636"/>
        <w:gridCol w:w="784"/>
        <w:gridCol w:w="964"/>
        <w:gridCol w:w="922"/>
        <w:gridCol w:w="830"/>
        <w:gridCol w:w="1182"/>
        <w:gridCol w:w="949"/>
      </w:tblGrid>
      <w:tr w14:paraId="1992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1" w:type="pct"/>
            <w:vMerge w:val="restart"/>
            <w:vAlign w:val="center"/>
          </w:tcPr>
          <w:p w14:paraId="55C2613B">
            <w:pPr>
              <w:widowControl/>
              <w:jc w:val="center"/>
              <w:rPr>
                <w:bCs/>
                <w:color w:val="auto"/>
                <w:kern w:val="0"/>
              </w:rPr>
            </w:pPr>
            <w:r>
              <w:rPr>
                <w:rFonts w:hint="eastAsia"/>
                <w:bCs/>
                <w:color w:val="auto"/>
                <w:kern w:val="0"/>
              </w:rPr>
              <w:t>序号</w:t>
            </w:r>
          </w:p>
        </w:tc>
        <w:tc>
          <w:tcPr>
            <w:tcW w:w="503" w:type="pct"/>
            <w:vMerge w:val="restart"/>
            <w:vAlign w:val="center"/>
          </w:tcPr>
          <w:p w14:paraId="1D18F5B1">
            <w:pPr>
              <w:widowControl/>
              <w:jc w:val="center"/>
              <w:rPr>
                <w:bCs/>
                <w:color w:val="auto"/>
                <w:kern w:val="0"/>
              </w:rPr>
            </w:pPr>
            <w:r>
              <w:rPr>
                <w:rFonts w:hint="eastAsia"/>
                <w:bCs/>
                <w:color w:val="auto"/>
                <w:kern w:val="0"/>
              </w:rPr>
              <w:t>废水类别</w:t>
            </w:r>
          </w:p>
        </w:tc>
        <w:tc>
          <w:tcPr>
            <w:tcW w:w="664" w:type="pct"/>
            <w:vMerge w:val="restart"/>
            <w:vAlign w:val="center"/>
          </w:tcPr>
          <w:p w14:paraId="6196584C">
            <w:pPr>
              <w:widowControl/>
              <w:jc w:val="center"/>
              <w:rPr>
                <w:bCs/>
                <w:color w:val="auto"/>
                <w:kern w:val="0"/>
              </w:rPr>
            </w:pPr>
            <w:r>
              <w:rPr>
                <w:rFonts w:hint="eastAsia"/>
                <w:bCs/>
                <w:color w:val="auto"/>
                <w:kern w:val="0"/>
              </w:rPr>
              <w:t>污染物种类</w:t>
            </w:r>
          </w:p>
        </w:tc>
        <w:tc>
          <w:tcPr>
            <w:tcW w:w="416" w:type="pct"/>
            <w:vMerge w:val="restart"/>
            <w:vAlign w:val="center"/>
          </w:tcPr>
          <w:p w14:paraId="5FC64302">
            <w:pPr>
              <w:widowControl/>
              <w:jc w:val="center"/>
              <w:rPr>
                <w:bCs/>
                <w:color w:val="auto"/>
                <w:kern w:val="0"/>
              </w:rPr>
            </w:pPr>
            <w:r>
              <w:rPr>
                <w:rFonts w:hint="eastAsia"/>
                <w:bCs/>
                <w:color w:val="auto"/>
                <w:kern w:val="0"/>
              </w:rPr>
              <w:t>排放</w:t>
            </w:r>
          </w:p>
          <w:p w14:paraId="5405970A">
            <w:pPr>
              <w:widowControl/>
              <w:jc w:val="center"/>
              <w:rPr>
                <w:bCs/>
                <w:color w:val="auto"/>
                <w:kern w:val="0"/>
              </w:rPr>
            </w:pPr>
            <w:r>
              <w:rPr>
                <w:rFonts w:hint="eastAsia"/>
                <w:bCs/>
                <w:color w:val="auto"/>
                <w:kern w:val="0"/>
              </w:rPr>
              <w:t>去向</w:t>
            </w:r>
          </w:p>
        </w:tc>
        <w:tc>
          <w:tcPr>
            <w:tcW w:w="331" w:type="pct"/>
            <w:vMerge w:val="restart"/>
            <w:vAlign w:val="center"/>
          </w:tcPr>
          <w:p w14:paraId="75804960">
            <w:pPr>
              <w:widowControl/>
              <w:jc w:val="center"/>
              <w:rPr>
                <w:bCs/>
                <w:color w:val="auto"/>
                <w:kern w:val="0"/>
              </w:rPr>
            </w:pPr>
            <w:r>
              <w:rPr>
                <w:rFonts w:hint="eastAsia"/>
                <w:bCs/>
                <w:color w:val="auto"/>
                <w:kern w:val="0"/>
              </w:rPr>
              <w:t>排放规律</w:t>
            </w:r>
          </w:p>
        </w:tc>
        <w:tc>
          <w:tcPr>
            <w:tcW w:w="1390" w:type="pct"/>
            <w:gridSpan w:val="3"/>
            <w:vAlign w:val="center"/>
          </w:tcPr>
          <w:p w14:paraId="558BD38C">
            <w:pPr>
              <w:widowControl/>
              <w:jc w:val="center"/>
              <w:rPr>
                <w:bCs/>
                <w:color w:val="auto"/>
                <w:kern w:val="0"/>
              </w:rPr>
            </w:pPr>
            <w:r>
              <w:rPr>
                <w:rFonts w:hint="eastAsia"/>
                <w:bCs/>
                <w:color w:val="auto"/>
                <w:kern w:val="0"/>
              </w:rPr>
              <w:t>污染治理设施</w:t>
            </w:r>
          </w:p>
        </w:tc>
        <w:tc>
          <w:tcPr>
            <w:tcW w:w="432" w:type="pct"/>
            <w:vMerge w:val="restart"/>
            <w:vAlign w:val="center"/>
          </w:tcPr>
          <w:p w14:paraId="703F7C72">
            <w:pPr>
              <w:widowControl/>
              <w:jc w:val="center"/>
              <w:rPr>
                <w:bCs/>
                <w:color w:val="auto"/>
                <w:kern w:val="0"/>
              </w:rPr>
            </w:pPr>
            <w:r>
              <w:rPr>
                <w:rFonts w:hint="eastAsia"/>
                <w:bCs/>
                <w:color w:val="auto"/>
                <w:kern w:val="0"/>
              </w:rPr>
              <w:t>排放口编号</w:t>
            </w:r>
          </w:p>
        </w:tc>
        <w:tc>
          <w:tcPr>
            <w:tcW w:w="615" w:type="pct"/>
            <w:vMerge w:val="restart"/>
            <w:vAlign w:val="center"/>
          </w:tcPr>
          <w:p w14:paraId="4E961268">
            <w:pPr>
              <w:widowControl/>
              <w:jc w:val="center"/>
              <w:rPr>
                <w:bCs/>
                <w:color w:val="auto"/>
                <w:kern w:val="0"/>
              </w:rPr>
            </w:pPr>
            <w:r>
              <w:rPr>
                <w:rFonts w:hint="eastAsia"/>
                <w:bCs/>
                <w:color w:val="auto"/>
                <w:kern w:val="0"/>
              </w:rPr>
              <w:t>排放口设置是否符合要求</w:t>
            </w:r>
          </w:p>
        </w:tc>
        <w:tc>
          <w:tcPr>
            <w:tcW w:w="494" w:type="pct"/>
            <w:vMerge w:val="restart"/>
            <w:vAlign w:val="center"/>
          </w:tcPr>
          <w:p w14:paraId="6E4CF652">
            <w:pPr>
              <w:widowControl/>
              <w:jc w:val="center"/>
              <w:rPr>
                <w:bCs/>
                <w:color w:val="auto"/>
                <w:kern w:val="0"/>
              </w:rPr>
            </w:pPr>
            <w:r>
              <w:rPr>
                <w:rFonts w:hint="eastAsia"/>
                <w:bCs/>
                <w:color w:val="auto"/>
                <w:kern w:val="0"/>
              </w:rPr>
              <w:t>排放口类型</w:t>
            </w:r>
          </w:p>
        </w:tc>
      </w:tr>
      <w:tr w14:paraId="2E82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1" w:type="pct"/>
            <w:vMerge w:val="continue"/>
            <w:vAlign w:val="center"/>
          </w:tcPr>
          <w:p w14:paraId="2915BAAD">
            <w:pPr>
              <w:widowControl/>
              <w:jc w:val="center"/>
              <w:rPr>
                <w:bCs/>
                <w:color w:val="auto"/>
                <w:kern w:val="0"/>
              </w:rPr>
            </w:pPr>
          </w:p>
        </w:tc>
        <w:tc>
          <w:tcPr>
            <w:tcW w:w="503" w:type="pct"/>
            <w:vMerge w:val="continue"/>
            <w:vAlign w:val="center"/>
          </w:tcPr>
          <w:p w14:paraId="41A74A87">
            <w:pPr>
              <w:widowControl/>
              <w:jc w:val="center"/>
              <w:rPr>
                <w:bCs/>
                <w:color w:val="auto"/>
                <w:kern w:val="0"/>
              </w:rPr>
            </w:pPr>
          </w:p>
        </w:tc>
        <w:tc>
          <w:tcPr>
            <w:tcW w:w="664" w:type="pct"/>
            <w:vMerge w:val="continue"/>
            <w:vAlign w:val="center"/>
          </w:tcPr>
          <w:p w14:paraId="49E2E20D">
            <w:pPr>
              <w:widowControl/>
              <w:jc w:val="center"/>
              <w:rPr>
                <w:bCs/>
                <w:color w:val="auto"/>
                <w:kern w:val="0"/>
              </w:rPr>
            </w:pPr>
          </w:p>
        </w:tc>
        <w:tc>
          <w:tcPr>
            <w:tcW w:w="416" w:type="pct"/>
            <w:vMerge w:val="continue"/>
            <w:vAlign w:val="center"/>
          </w:tcPr>
          <w:p w14:paraId="2006F1BA">
            <w:pPr>
              <w:widowControl/>
              <w:jc w:val="center"/>
              <w:rPr>
                <w:bCs/>
                <w:color w:val="auto"/>
                <w:kern w:val="0"/>
              </w:rPr>
            </w:pPr>
          </w:p>
        </w:tc>
        <w:tc>
          <w:tcPr>
            <w:tcW w:w="331" w:type="pct"/>
            <w:vMerge w:val="continue"/>
            <w:vAlign w:val="center"/>
          </w:tcPr>
          <w:p w14:paraId="457440B7">
            <w:pPr>
              <w:widowControl/>
              <w:jc w:val="center"/>
              <w:rPr>
                <w:bCs/>
                <w:color w:val="auto"/>
                <w:kern w:val="0"/>
              </w:rPr>
            </w:pPr>
          </w:p>
        </w:tc>
        <w:tc>
          <w:tcPr>
            <w:tcW w:w="408" w:type="pct"/>
            <w:vAlign w:val="center"/>
          </w:tcPr>
          <w:p w14:paraId="17E385A6">
            <w:pPr>
              <w:widowControl/>
              <w:jc w:val="center"/>
              <w:rPr>
                <w:bCs/>
                <w:color w:val="auto"/>
                <w:kern w:val="0"/>
              </w:rPr>
            </w:pPr>
            <w:r>
              <w:rPr>
                <w:rFonts w:hint="eastAsia"/>
                <w:bCs/>
                <w:color w:val="auto"/>
                <w:kern w:val="0"/>
              </w:rPr>
              <w:t>编号</w:t>
            </w:r>
          </w:p>
        </w:tc>
        <w:tc>
          <w:tcPr>
            <w:tcW w:w="502" w:type="pct"/>
            <w:vAlign w:val="center"/>
          </w:tcPr>
          <w:p w14:paraId="0E8AEAA1">
            <w:pPr>
              <w:widowControl/>
              <w:jc w:val="center"/>
              <w:rPr>
                <w:bCs/>
                <w:color w:val="auto"/>
                <w:kern w:val="0"/>
              </w:rPr>
            </w:pPr>
            <w:r>
              <w:rPr>
                <w:rFonts w:hint="eastAsia"/>
                <w:bCs/>
                <w:color w:val="auto"/>
                <w:kern w:val="0"/>
              </w:rPr>
              <w:t>名称</w:t>
            </w:r>
          </w:p>
        </w:tc>
        <w:tc>
          <w:tcPr>
            <w:tcW w:w="480" w:type="pct"/>
            <w:vAlign w:val="center"/>
          </w:tcPr>
          <w:p w14:paraId="0257D43F">
            <w:pPr>
              <w:widowControl/>
              <w:jc w:val="center"/>
              <w:rPr>
                <w:bCs/>
                <w:color w:val="auto"/>
                <w:kern w:val="0"/>
              </w:rPr>
            </w:pPr>
            <w:r>
              <w:rPr>
                <w:rFonts w:hint="eastAsia"/>
                <w:bCs/>
                <w:color w:val="auto"/>
                <w:kern w:val="0"/>
              </w:rPr>
              <w:t>工艺</w:t>
            </w:r>
          </w:p>
        </w:tc>
        <w:tc>
          <w:tcPr>
            <w:tcW w:w="432" w:type="pct"/>
            <w:vMerge w:val="continue"/>
            <w:vAlign w:val="center"/>
          </w:tcPr>
          <w:p w14:paraId="7E761960">
            <w:pPr>
              <w:widowControl/>
              <w:jc w:val="center"/>
              <w:rPr>
                <w:bCs/>
                <w:color w:val="auto"/>
                <w:kern w:val="0"/>
              </w:rPr>
            </w:pPr>
          </w:p>
        </w:tc>
        <w:tc>
          <w:tcPr>
            <w:tcW w:w="615" w:type="pct"/>
            <w:vMerge w:val="continue"/>
            <w:vAlign w:val="center"/>
          </w:tcPr>
          <w:p w14:paraId="13B86354">
            <w:pPr>
              <w:widowControl/>
              <w:jc w:val="center"/>
              <w:rPr>
                <w:bCs/>
                <w:color w:val="auto"/>
                <w:kern w:val="0"/>
              </w:rPr>
            </w:pPr>
          </w:p>
        </w:tc>
        <w:tc>
          <w:tcPr>
            <w:tcW w:w="494" w:type="pct"/>
            <w:vMerge w:val="continue"/>
            <w:vAlign w:val="center"/>
          </w:tcPr>
          <w:p w14:paraId="23C743D7">
            <w:pPr>
              <w:widowControl/>
              <w:jc w:val="center"/>
              <w:rPr>
                <w:bCs/>
                <w:color w:val="auto"/>
                <w:kern w:val="0"/>
              </w:rPr>
            </w:pPr>
          </w:p>
        </w:tc>
      </w:tr>
      <w:tr w14:paraId="52DB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151" w:type="pct"/>
            <w:vAlign w:val="center"/>
          </w:tcPr>
          <w:p w14:paraId="5A37D226">
            <w:pPr>
              <w:widowControl/>
              <w:jc w:val="center"/>
              <w:rPr>
                <w:bCs/>
                <w:color w:val="auto"/>
                <w:kern w:val="0"/>
              </w:rPr>
            </w:pPr>
            <w:r>
              <w:rPr>
                <w:rFonts w:hint="eastAsia"/>
                <w:bCs/>
                <w:color w:val="auto"/>
                <w:kern w:val="0"/>
              </w:rPr>
              <w:t>1</w:t>
            </w:r>
          </w:p>
        </w:tc>
        <w:tc>
          <w:tcPr>
            <w:tcW w:w="503" w:type="pct"/>
            <w:vAlign w:val="center"/>
          </w:tcPr>
          <w:p w14:paraId="2A85D845">
            <w:pPr>
              <w:widowControl/>
              <w:jc w:val="center"/>
              <w:rPr>
                <w:rFonts w:hint="eastAsia" w:eastAsia="宋体"/>
                <w:bCs/>
                <w:color w:val="auto"/>
                <w:kern w:val="0"/>
                <w:lang w:val="en-US" w:eastAsia="zh-CN"/>
              </w:rPr>
            </w:pPr>
            <w:r>
              <w:rPr>
                <w:rFonts w:hint="eastAsia"/>
                <w:bCs/>
                <w:color w:val="auto"/>
                <w:kern w:val="0"/>
                <w:lang w:val="en-US" w:eastAsia="zh-CN"/>
              </w:rPr>
              <w:t>生产废水</w:t>
            </w:r>
          </w:p>
        </w:tc>
        <w:tc>
          <w:tcPr>
            <w:tcW w:w="664" w:type="pct"/>
            <w:vAlign w:val="center"/>
          </w:tcPr>
          <w:p w14:paraId="6BC68816">
            <w:pPr>
              <w:widowControl/>
              <w:jc w:val="center"/>
              <w:rPr>
                <w:bCs/>
                <w:color w:val="auto"/>
                <w:kern w:val="0"/>
              </w:rPr>
            </w:pPr>
            <w:r>
              <w:rPr>
                <w:rFonts w:hint="eastAsia"/>
                <w:bCs/>
                <w:color w:val="auto"/>
                <w:kern w:val="0"/>
              </w:rPr>
              <w:t>COD、NH</w:t>
            </w:r>
            <w:r>
              <w:rPr>
                <w:rFonts w:hint="eastAsia"/>
                <w:bCs/>
                <w:color w:val="auto"/>
                <w:kern w:val="0"/>
                <w:vertAlign w:val="subscript"/>
              </w:rPr>
              <w:t>3</w:t>
            </w:r>
            <w:r>
              <w:rPr>
                <w:rFonts w:hint="eastAsia"/>
                <w:bCs/>
                <w:color w:val="auto"/>
                <w:kern w:val="0"/>
              </w:rPr>
              <w:t>-N、SS</w:t>
            </w:r>
          </w:p>
        </w:tc>
        <w:tc>
          <w:tcPr>
            <w:tcW w:w="416" w:type="pct"/>
            <w:vMerge w:val="restart"/>
            <w:vAlign w:val="center"/>
          </w:tcPr>
          <w:p w14:paraId="66AFA77B">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排至临平净水厂</w:t>
            </w:r>
          </w:p>
        </w:tc>
        <w:tc>
          <w:tcPr>
            <w:tcW w:w="331" w:type="pct"/>
            <w:vAlign w:val="center"/>
          </w:tcPr>
          <w:p w14:paraId="002146ED">
            <w:pPr>
              <w:widowControl/>
              <w:jc w:val="center"/>
              <w:rPr>
                <w:bCs/>
                <w:color w:val="auto"/>
                <w:kern w:val="0"/>
              </w:rPr>
            </w:pPr>
            <w:r>
              <w:rPr>
                <w:rFonts w:hint="eastAsia"/>
                <w:bCs/>
                <w:color w:val="auto"/>
                <w:kern w:val="0"/>
              </w:rPr>
              <w:t>间歇排放</w:t>
            </w:r>
          </w:p>
        </w:tc>
        <w:tc>
          <w:tcPr>
            <w:tcW w:w="408" w:type="pct"/>
            <w:vAlign w:val="center"/>
          </w:tcPr>
          <w:p w14:paraId="17AA8F53">
            <w:pPr>
              <w:widowControl/>
              <w:jc w:val="center"/>
              <w:rPr>
                <w:bCs/>
                <w:color w:val="auto"/>
                <w:kern w:val="0"/>
              </w:rPr>
            </w:pPr>
            <w:r>
              <w:rPr>
                <w:rFonts w:hint="eastAsia"/>
                <w:bCs/>
                <w:color w:val="auto"/>
                <w:kern w:val="0"/>
              </w:rPr>
              <w:t>TW001</w:t>
            </w:r>
          </w:p>
        </w:tc>
        <w:tc>
          <w:tcPr>
            <w:tcW w:w="502" w:type="pct"/>
            <w:vAlign w:val="center"/>
          </w:tcPr>
          <w:p w14:paraId="0549107D">
            <w:pPr>
              <w:widowControl/>
              <w:jc w:val="center"/>
              <w:rPr>
                <w:rFonts w:hint="default" w:eastAsia="宋体"/>
                <w:bCs/>
                <w:color w:val="auto"/>
                <w:kern w:val="0"/>
                <w:lang w:val="en-US" w:eastAsia="zh-CN"/>
              </w:rPr>
            </w:pPr>
            <w:r>
              <w:rPr>
                <w:rFonts w:hint="eastAsia"/>
                <w:bCs/>
                <w:color w:val="auto"/>
                <w:kern w:val="0"/>
                <w:lang w:val="en-US" w:eastAsia="zh-CN"/>
              </w:rPr>
              <w:t>生产废水预处理设施</w:t>
            </w:r>
          </w:p>
        </w:tc>
        <w:tc>
          <w:tcPr>
            <w:tcW w:w="480" w:type="pct"/>
            <w:vAlign w:val="center"/>
          </w:tcPr>
          <w:p w14:paraId="5F0A4921">
            <w:pPr>
              <w:widowControl/>
              <w:jc w:val="center"/>
              <w:rPr>
                <w:bCs/>
                <w:color w:val="auto"/>
                <w:kern w:val="0"/>
              </w:rPr>
            </w:pPr>
            <w:r>
              <w:rPr>
                <w:rFonts w:hint="eastAsia"/>
                <w:bCs/>
                <w:color w:val="auto"/>
                <w:kern w:val="0"/>
              </w:rPr>
              <w:t>絮凝沉淀+中和+A/O</w:t>
            </w:r>
          </w:p>
        </w:tc>
        <w:tc>
          <w:tcPr>
            <w:tcW w:w="432" w:type="pct"/>
            <w:vMerge w:val="restart"/>
            <w:vAlign w:val="center"/>
          </w:tcPr>
          <w:p w14:paraId="61737EE4">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DW001</w:t>
            </w:r>
          </w:p>
        </w:tc>
        <w:tc>
          <w:tcPr>
            <w:tcW w:w="615" w:type="pct"/>
            <w:vMerge w:val="restart"/>
            <w:vAlign w:val="center"/>
          </w:tcPr>
          <w:p w14:paraId="53167151">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是</w:t>
            </w:r>
          </w:p>
        </w:tc>
        <w:tc>
          <w:tcPr>
            <w:tcW w:w="494" w:type="pct"/>
            <w:vMerge w:val="restart"/>
            <w:vAlign w:val="center"/>
          </w:tcPr>
          <w:p w14:paraId="78F4C43D">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总排口</w:t>
            </w:r>
          </w:p>
        </w:tc>
      </w:tr>
      <w:tr w14:paraId="2C6C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151" w:type="pct"/>
            <w:vAlign w:val="center"/>
          </w:tcPr>
          <w:p w14:paraId="01E0AFFB">
            <w:pPr>
              <w:widowControl/>
              <w:jc w:val="center"/>
              <w:rPr>
                <w:rFonts w:hint="eastAsia" w:eastAsia="宋体"/>
                <w:bCs/>
                <w:color w:val="auto"/>
                <w:kern w:val="0"/>
                <w:lang w:val="en-US" w:eastAsia="zh-CN"/>
              </w:rPr>
            </w:pPr>
            <w:r>
              <w:rPr>
                <w:rFonts w:hint="eastAsia"/>
                <w:bCs/>
                <w:color w:val="auto"/>
                <w:kern w:val="0"/>
                <w:lang w:val="en-US" w:eastAsia="zh-CN"/>
              </w:rPr>
              <w:t>2</w:t>
            </w:r>
          </w:p>
        </w:tc>
        <w:tc>
          <w:tcPr>
            <w:tcW w:w="503" w:type="pct"/>
            <w:shd w:val="clear" w:color="auto" w:fill="auto"/>
            <w:vAlign w:val="center"/>
          </w:tcPr>
          <w:p w14:paraId="63063074">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生活污水</w:t>
            </w:r>
          </w:p>
        </w:tc>
        <w:tc>
          <w:tcPr>
            <w:tcW w:w="664" w:type="pct"/>
            <w:shd w:val="clear" w:color="auto" w:fill="auto"/>
            <w:vAlign w:val="center"/>
          </w:tcPr>
          <w:p w14:paraId="6D6EDCF5">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COD、NH</w:t>
            </w:r>
            <w:r>
              <w:rPr>
                <w:rFonts w:hint="eastAsia"/>
                <w:bCs/>
                <w:color w:val="auto"/>
                <w:kern w:val="0"/>
                <w:vertAlign w:val="subscript"/>
              </w:rPr>
              <w:t>3</w:t>
            </w:r>
            <w:r>
              <w:rPr>
                <w:rFonts w:hint="eastAsia"/>
                <w:bCs/>
                <w:color w:val="auto"/>
                <w:kern w:val="0"/>
              </w:rPr>
              <w:t>-N、SS</w:t>
            </w:r>
          </w:p>
        </w:tc>
        <w:tc>
          <w:tcPr>
            <w:tcW w:w="416" w:type="pct"/>
            <w:vMerge w:val="continue"/>
            <w:shd w:val="clear" w:color="auto" w:fill="auto"/>
            <w:vAlign w:val="center"/>
          </w:tcPr>
          <w:p w14:paraId="39A88ABA">
            <w:pPr>
              <w:widowControl/>
              <w:jc w:val="center"/>
              <w:rPr>
                <w:rFonts w:hint="eastAsia" w:ascii="Times New Roman" w:hAnsi="Times New Roman" w:eastAsia="宋体" w:cs="Times New Roman"/>
                <w:bCs/>
                <w:color w:val="auto"/>
                <w:kern w:val="0"/>
                <w:sz w:val="21"/>
                <w:szCs w:val="21"/>
                <w:lang w:val="en-US" w:eastAsia="zh-CN" w:bidi="ar-SA"/>
              </w:rPr>
            </w:pPr>
          </w:p>
        </w:tc>
        <w:tc>
          <w:tcPr>
            <w:tcW w:w="331" w:type="pct"/>
            <w:shd w:val="clear" w:color="auto" w:fill="auto"/>
            <w:vAlign w:val="center"/>
          </w:tcPr>
          <w:p w14:paraId="51B36C75">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间歇排放</w:t>
            </w:r>
          </w:p>
        </w:tc>
        <w:tc>
          <w:tcPr>
            <w:tcW w:w="408" w:type="pct"/>
            <w:shd w:val="clear" w:color="auto" w:fill="auto"/>
            <w:vAlign w:val="center"/>
          </w:tcPr>
          <w:p w14:paraId="08AAAF7A">
            <w:pPr>
              <w:widowControl/>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TW002</w:t>
            </w:r>
          </w:p>
        </w:tc>
        <w:tc>
          <w:tcPr>
            <w:tcW w:w="502" w:type="pct"/>
            <w:shd w:val="clear" w:color="auto" w:fill="auto"/>
            <w:vAlign w:val="center"/>
          </w:tcPr>
          <w:p w14:paraId="27D2D86E">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生活污水处理设施</w:t>
            </w:r>
          </w:p>
        </w:tc>
        <w:tc>
          <w:tcPr>
            <w:tcW w:w="480" w:type="pct"/>
            <w:shd w:val="clear" w:color="auto" w:fill="auto"/>
            <w:vAlign w:val="center"/>
          </w:tcPr>
          <w:p w14:paraId="254CFFC0">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rPr>
              <w:t>化粪池</w:t>
            </w:r>
          </w:p>
        </w:tc>
        <w:tc>
          <w:tcPr>
            <w:tcW w:w="432" w:type="pct"/>
            <w:vMerge w:val="continue"/>
            <w:shd w:val="clear" w:color="auto" w:fill="auto"/>
            <w:vAlign w:val="center"/>
          </w:tcPr>
          <w:p w14:paraId="5BAA1032">
            <w:pPr>
              <w:widowControl/>
              <w:jc w:val="center"/>
              <w:rPr>
                <w:rFonts w:hint="eastAsia" w:ascii="Times New Roman" w:hAnsi="Times New Roman" w:eastAsia="宋体" w:cs="Times New Roman"/>
                <w:bCs/>
                <w:color w:val="auto"/>
                <w:kern w:val="0"/>
                <w:sz w:val="21"/>
                <w:szCs w:val="21"/>
                <w:lang w:val="en-US" w:eastAsia="zh-CN" w:bidi="ar-SA"/>
              </w:rPr>
            </w:pPr>
          </w:p>
        </w:tc>
        <w:tc>
          <w:tcPr>
            <w:tcW w:w="615" w:type="pct"/>
            <w:vMerge w:val="continue"/>
            <w:shd w:val="clear" w:color="auto" w:fill="auto"/>
            <w:vAlign w:val="center"/>
          </w:tcPr>
          <w:p w14:paraId="31934DF3">
            <w:pPr>
              <w:widowControl/>
              <w:jc w:val="center"/>
              <w:rPr>
                <w:rFonts w:hint="eastAsia" w:ascii="Times New Roman" w:hAnsi="Times New Roman" w:eastAsia="宋体" w:cs="Times New Roman"/>
                <w:bCs/>
                <w:color w:val="auto"/>
                <w:kern w:val="0"/>
                <w:sz w:val="21"/>
                <w:szCs w:val="21"/>
                <w:lang w:val="en-US" w:eastAsia="zh-CN" w:bidi="ar-SA"/>
              </w:rPr>
            </w:pPr>
          </w:p>
        </w:tc>
        <w:tc>
          <w:tcPr>
            <w:tcW w:w="494" w:type="pct"/>
            <w:vMerge w:val="continue"/>
            <w:shd w:val="clear" w:color="auto" w:fill="auto"/>
            <w:vAlign w:val="center"/>
          </w:tcPr>
          <w:p w14:paraId="6AE9911E">
            <w:pPr>
              <w:widowControl/>
              <w:jc w:val="center"/>
              <w:rPr>
                <w:rFonts w:hint="eastAsia" w:ascii="Times New Roman" w:hAnsi="Times New Roman" w:eastAsia="宋体" w:cs="Times New Roman"/>
                <w:bCs/>
                <w:color w:val="auto"/>
                <w:kern w:val="0"/>
                <w:sz w:val="21"/>
                <w:szCs w:val="21"/>
                <w:lang w:val="en-US" w:eastAsia="zh-CN" w:bidi="ar-SA"/>
              </w:rPr>
            </w:pPr>
          </w:p>
        </w:tc>
      </w:tr>
    </w:tbl>
    <w:p w14:paraId="7A57A712">
      <w:pPr>
        <w:adjustRightInd w:val="0"/>
        <w:snapToGrid w:val="0"/>
        <w:spacing w:line="360" w:lineRule="auto"/>
        <w:jc w:val="center"/>
        <w:rPr>
          <w:b/>
          <w:bCs/>
          <w:color w:val="auto"/>
          <w:spacing w:val="-10"/>
        </w:rPr>
      </w:pPr>
      <w:r>
        <w:rPr>
          <w:rFonts w:hint="eastAsia"/>
          <w:b/>
          <w:bCs/>
          <w:color w:val="auto"/>
          <w:spacing w:val="-10"/>
        </w:rPr>
        <w:t xml:space="preserve">表16    </w:t>
      </w:r>
      <w:r>
        <w:rPr>
          <w:b/>
          <w:bCs/>
          <w:color w:val="auto"/>
          <w:spacing w:val="-10"/>
        </w:rPr>
        <w:t>废水间接排放口基本情况表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6"/>
        <w:gridCol w:w="779"/>
        <w:gridCol w:w="1370"/>
        <w:gridCol w:w="1264"/>
        <w:gridCol w:w="945"/>
        <w:gridCol w:w="555"/>
        <w:gridCol w:w="1483"/>
        <w:gridCol w:w="546"/>
        <w:gridCol w:w="465"/>
        <w:gridCol w:w="747"/>
        <w:gridCol w:w="1178"/>
      </w:tblGrid>
      <w:tr w14:paraId="749E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8" w:type="pct"/>
            <w:vMerge w:val="restart"/>
            <w:vAlign w:val="center"/>
          </w:tcPr>
          <w:p w14:paraId="0FB15979">
            <w:pPr>
              <w:widowControl/>
              <w:jc w:val="center"/>
              <w:rPr>
                <w:bCs/>
                <w:color w:val="auto"/>
                <w:kern w:val="0"/>
              </w:rPr>
            </w:pPr>
            <w:r>
              <w:rPr>
                <w:rFonts w:hint="eastAsia"/>
                <w:bCs/>
                <w:color w:val="auto"/>
                <w:kern w:val="0"/>
              </w:rPr>
              <w:t>序号</w:t>
            </w:r>
          </w:p>
        </w:tc>
        <w:tc>
          <w:tcPr>
            <w:tcW w:w="406" w:type="pct"/>
            <w:vMerge w:val="restart"/>
            <w:vAlign w:val="center"/>
          </w:tcPr>
          <w:p w14:paraId="21C23B38">
            <w:pPr>
              <w:widowControl/>
              <w:jc w:val="center"/>
              <w:rPr>
                <w:bCs/>
                <w:color w:val="auto"/>
                <w:kern w:val="0"/>
              </w:rPr>
            </w:pPr>
            <w:r>
              <w:rPr>
                <w:rFonts w:hint="eastAsia"/>
                <w:bCs/>
                <w:color w:val="auto"/>
                <w:kern w:val="0"/>
              </w:rPr>
              <w:t>排放口编号</w:t>
            </w:r>
          </w:p>
        </w:tc>
        <w:tc>
          <w:tcPr>
            <w:tcW w:w="1371" w:type="pct"/>
            <w:gridSpan w:val="2"/>
            <w:vAlign w:val="center"/>
          </w:tcPr>
          <w:p w14:paraId="33669907">
            <w:pPr>
              <w:widowControl/>
              <w:jc w:val="center"/>
              <w:rPr>
                <w:bCs/>
                <w:color w:val="auto"/>
                <w:kern w:val="0"/>
              </w:rPr>
            </w:pPr>
            <w:r>
              <w:rPr>
                <w:rFonts w:hint="eastAsia"/>
                <w:bCs/>
                <w:color w:val="auto"/>
                <w:kern w:val="0"/>
              </w:rPr>
              <w:t>排放口地理坐标</w:t>
            </w:r>
          </w:p>
        </w:tc>
        <w:tc>
          <w:tcPr>
            <w:tcW w:w="492" w:type="pct"/>
            <w:vMerge w:val="restart"/>
            <w:vAlign w:val="center"/>
          </w:tcPr>
          <w:p w14:paraId="0209788A">
            <w:pPr>
              <w:widowControl/>
              <w:jc w:val="center"/>
              <w:rPr>
                <w:bCs/>
                <w:color w:val="auto"/>
                <w:kern w:val="0"/>
              </w:rPr>
            </w:pPr>
            <w:r>
              <w:rPr>
                <w:rFonts w:hint="eastAsia"/>
                <w:bCs/>
                <w:color w:val="auto"/>
                <w:kern w:val="0"/>
              </w:rPr>
              <w:t>废水排放量(万t/a)</w:t>
            </w:r>
          </w:p>
        </w:tc>
        <w:tc>
          <w:tcPr>
            <w:tcW w:w="289" w:type="pct"/>
            <w:vMerge w:val="restart"/>
            <w:vAlign w:val="center"/>
          </w:tcPr>
          <w:p w14:paraId="4061F530">
            <w:pPr>
              <w:widowControl/>
              <w:jc w:val="center"/>
              <w:rPr>
                <w:bCs/>
                <w:color w:val="auto"/>
                <w:kern w:val="0"/>
              </w:rPr>
            </w:pPr>
            <w:r>
              <w:rPr>
                <w:rFonts w:hint="eastAsia"/>
                <w:bCs/>
                <w:color w:val="auto"/>
                <w:kern w:val="0"/>
              </w:rPr>
              <w:t>排放去向</w:t>
            </w:r>
          </w:p>
        </w:tc>
        <w:tc>
          <w:tcPr>
            <w:tcW w:w="772" w:type="pct"/>
            <w:vMerge w:val="restart"/>
            <w:vAlign w:val="center"/>
          </w:tcPr>
          <w:p w14:paraId="09080EFB">
            <w:pPr>
              <w:widowControl/>
              <w:jc w:val="center"/>
              <w:rPr>
                <w:bCs/>
                <w:color w:val="auto"/>
                <w:kern w:val="0"/>
              </w:rPr>
            </w:pPr>
            <w:r>
              <w:rPr>
                <w:rFonts w:hint="eastAsia"/>
                <w:bCs/>
                <w:color w:val="auto"/>
                <w:kern w:val="0"/>
              </w:rPr>
              <w:t>排放规律</w:t>
            </w:r>
          </w:p>
        </w:tc>
        <w:tc>
          <w:tcPr>
            <w:tcW w:w="284" w:type="pct"/>
            <w:vMerge w:val="restart"/>
            <w:vAlign w:val="center"/>
          </w:tcPr>
          <w:p w14:paraId="153363D1">
            <w:pPr>
              <w:widowControl/>
              <w:jc w:val="center"/>
              <w:rPr>
                <w:bCs/>
                <w:color w:val="auto"/>
                <w:kern w:val="0"/>
              </w:rPr>
            </w:pPr>
            <w:r>
              <w:rPr>
                <w:rFonts w:hint="eastAsia"/>
                <w:bCs/>
                <w:color w:val="auto"/>
                <w:kern w:val="0"/>
              </w:rPr>
              <w:t>间歇排放时段</w:t>
            </w:r>
          </w:p>
        </w:tc>
        <w:tc>
          <w:tcPr>
            <w:tcW w:w="1244" w:type="pct"/>
            <w:gridSpan w:val="3"/>
            <w:vAlign w:val="center"/>
          </w:tcPr>
          <w:p w14:paraId="6F88F7FA">
            <w:pPr>
              <w:widowControl/>
              <w:jc w:val="center"/>
              <w:rPr>
                <w:bCs/>
                <w:color w:val="auto"/>
                <w:kern w:val="0"/>
              </w:rPr>
            </w:pPr>
            <w:r>
              <w:rPr>
                <w:rFonts w:hint="eastAsia"/>
                <w:bCs/>
                <w:color w:val="auto"/>
                <w:kern w:val="0"/>
              </w:rPr>
              <w:t>受纳污水处理厂信息</w:t>
            </w:r>
          </w:p>
        </w:tc>
      </w:tr>
      <w:tr w14:paraId="731D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8" w:type="pct"/>
            <w:vMerge w:val="continue"/>
            <w:vAlign w:val="center"/>
          </w:tcPr>
          <w:p w14:paraId="74595D45">
            <w:pPr>
              <w:widowControl/>
              <w:jc w:val="center"/>
              <w:rPr>
                <w:bCs/>
                <w:color w:val="auto"/>
                <w:kern w:val="0"/>
              </w:rPr>
            </w:pPr>
          </w:p>
        </w:tc>
        <w:tc>
          <w:tcPr>
            <w:tcW w:w="406" w:type="pct"/>
            <w:vMerge w:val="continue"/>
            <w:vAlign w:val="center"/>
          </w:tcPr>
          <w:p w14:paraId="235C0599">
            <w:pPr>
              <w:widowControl/>
              <w:jc w:val="center"/>
              <w:rPr>
                <w:bCs/>
                <w:color w:val="auto"/>
                <w:kern w:val="0"/>
              </w:rPr>
            </w:pPr>
          </w:p>
        </w:tc>
        <w:tc>
          <w:tcPr>
            <w:tcW w:w="713" w:type="pct"/>
            <w:vAlign w:val="center"/>
          </w:tcPr>
          <w:p w14:paraId="1C4F76DB">
            <w:pPr>
              <w:widowControl/>
              <w:jc w:val="center"/>
              <w:rPr>
                <w:bCs/>
                <w:color w:val="auto"/>
                <w:kern w:val="0"/>
              </w:rPr>
            </w:pPr>
            <w:r>
              <w:rPr>
                <w:rFonts w:hint="eastAsia"/>
                <w:bCs/>
                <w:color w:val="auto"/>
                <w:kern w:val="0"/>
              </w:rPr>
              <w:t>经度</w:t>
            </w:r>
          </w:p>
        </w:tc>
        <w:tc>
          <w:tcPr>
            <w:tcW w:w="658" w:type="pct"/>
            <w:vAlign w:val="center"/>
          </w:tcPr>
          <w:p w14:paraId="2F8F72D8">
            <w:pPr>
              <w:widowControl/>
              <w:jc w:val="center"/>
              <w:rPr>
                <w:bCs/>
                <w:color w:val="auto"/>
                <w:kern w:val="0"/>
              </w:rPr>
            </w:pPr>
            <w:r>
              <w:rPr>
                <w:rFonts w:hint="eastAsia"/>
                <w:bCs/>
                <w:color w:val="auto"/>
                <w:kern w:val="0"/>
              </w:rPr>
              <w:t>纬度</w:t>
            </w:r>
          </w:p>
        </w:tc>
        <w:tc>
          <w:tcPr>
            <w:tcW w:w="492" w:type="pct"/>
            <w:vMerge w:val="continue"/>
            <w:vAlign w:val="center"/>
          </w:tcPr>
          <w:p w14:paraId="2D35A6A8">
            <w:pPr>
              <w:widowControl/>
              <w:jc w:val="center"/>
              <w:rPr>
                <w:bCs/>
                <w:color w:val="auto"/>
                <w:kern w:val="0"/>
              </w:rPr>
            </w:pPr>
          </w:p>
        </w:tc>
        <w:tc>
          <w:tcPr>
            <w:tcW w:w="289" w:type="pct"/>
            <w:vMerge w:val="continue"/>
            <w:vAlign w:val="center"/>
          </w:tcPr>
          <w:p w14:paraId="7E473ADE">
            <w:pPr>
              <w:widowControl/>
              <w:jc w:val="center"/>
              <w:rPr>
                <w:bCs/>
                <w:color w:val="auto"/>
                <w:kern w:val="0"/>
              </w:rPr>
            </w:pPr>
          </w:p>
        </w:tc>
        <w:tc>
          <w:tcPr>
            <w:tcW w:w="772" w:type="pct"/>
            <w:vMerge w:val="continue"/>
            <w:vAlign w:val="center"/>
          </w:tcPr>
          <w:p w14:paraId="0DAA4D90">
            <w:pPr>
              <w:widowControl/>
              <w:jc w:val="center"/>
              <w:rPr>
                <w:bCs/>
                <w:color w:val="auto"/>
                <w:kern w:val="0"/>
              </w:rPr>
            </w:pPr>
          </w:p>
        </w:tc>
        <w:tc>
          <w:tcPr>
            <w:tcW w:w="284" w:type="pct"/>
            <w:vMerge w:val="continue"/>
            <w:vAlign w:val="center"/>
          </w:tcPr>
          <w:p w14:paraId="596E4AFA">
            <w:pPr>
              <w:widowControl/>
              <w:jc w:val="center"/>
              <w:rPr>
                <w:bCs/>
                <w:color w:val="auto"/>
                <w:kern w:val="0"/>
              </w:rPr>
            </w:pPr>
          </w:p>
        </w:tc>
        <w:tc>
          <w:tcPr>
            <w:tcW w:w="242" w:type="pct"/>
            <w:vAlign w:val="center"/>
          </w:tcPr>
          <w:p w14:paraId="773F4577">
            <w:pPr>
              <w:widowControl/>
              <w:jc w:val="center"/>
              <w:rPr>
                <w:bCs/>
                <w:color w:val="auto"/>
                <w:kern w:val="0"/>
              </w:rPr>
            </w:pPr>
            <w:r>
              <w:rPr>
                <w:rFonts w:hint="eastAsia"/>
                <w:bCs/>
                <w:color w:val="auto"/>
                <w:kern w:val="0"/>
              </w:rPr>
              <w:t>名称</w:t>
            </w:r>
          </w:p>
        </w:tc>
        <w:tc>
          <w:tcPr>
            <w:tcW w:w="389" w:type="pct"/>
            <w:vAlign w:val="center"/>
          </w:tcPr>
          <w:p w14:paraId="5158CE9B">
            <w:pPr>
              <w:widowControl/>
              <w:jc w:val="center"/>
              <w:rPr>
                <w:bCs/>
                <w:color w:val="auto"/>
                <w:kern w:val="0"/>
              </w:rPr>
            </w:pPr>
            <w:r>
              <w:rPr>
                <w:rFonts w:hint="eastAsia"/>
                <w:bCs/>
                <w:color w:val="auto"/>
                <w:kern w:val="0"/>
              </w:rPr>
              <w:t>污染物种类</w:t>
            </w:r>
          </w:p>
        </w:tc>
        <w:tc>
          <w:tcPr>
            <w:tcW w:w="611" w:type="pct"/>
            <w:vAlign w:val="center"/>
          </w:tcPr>
          <w:p w14:paraId="56FAEB32">
            <w:pPr>
              <w:widowControl/>
              <w:jc w:val="center"/>
              <w:rPr>
                <w:bCs/>
                <w:color w:val="auto"/>
                <w:kern w:val="0"/>
              </w:rPr>
            </w:pPr>
            <w:r>
              <w:rPr>
                <w:rFonts w:hint="eastAsia"/>
                <w:bCs/>
                <w:color w:val="auto"/>
                <w:kern w:val="0"/>
              </w:rPr>
              <w:t>排放标准(mg/L)</w:t>
            </w:r>
          </w:p>
        </w:tc>
      </w:tr>
      <w:tr w14:paraId="220F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8" w:type="pct"/>
            <w:vMerge w:val="restart"/>
            <w:vAlign w:val="center"/>
          </w:tcPr>
          <w:p w14:paraId="57E83D2E">
            <w:pPr>
              <w:widowControl/>
              <w:jc w:val="center"/>
              <w:rPr>
                <w:bCs/>
                <w:color w:val="auto"/>
                <w:kern w:val="0"/>
              </w:rPr>
            </w:pPr>
            <w:r>
              <w:rPr>
                <w:rFonts w:hint="eastAsia"/>
                <w:bCs/>
                <w:color w:val="auto"/>
                <w:kern w:val="0"/>
              </w:rPr>
              <w:t>1</w:t>
            </w:r>
          </w:p>
        </w:tc>
        <w:tc>
          <w:tcPr>
            <w:tcW w:w="406" w:type="pct"/>
            <w:vMerge w:val="restart"/>
            <w:vAlign w:val="center"/>
          </w:tcPr>
          <w:p w14:paraId="037FE143">
            <w:pPr>
              <w:widowControl/>
              <w:jc w:val="center"/>
              <w:rPr>
                <w:bCs/>
                <w:color w:val="auto"/>
                <w:kern w:val="0"/>
              </w:rPr>
            </w:pPr>
            <w:r>
              <w:rPr>
                <w:rFonts w:hint="eastAsia"/>
                <w:bCs/>
                <w:color w:val="auto"/>
                <w:kern w:val="0"/>
              </w:rPr>
              <w:t>DW001</w:t>
            </w:r>
          </w:p>
        </w:tc>
        <w:tc>
          <w:tcPr>
            <w:tcW w:w="713" w:type="pct"/>
            <w:vMerge w:val="restart"/>
            <w:vAlign w:val="center"/>
          </w:tcPr>
          <w:p w14:paraId="5BF168C2">
            <w:pPr>
              <w:widowControl/>
              <w:jc w:val="center"/>
              <w:rPr>
                <w:bCs/>
                <w:color w:val="auto"/>
                <w:kern w:val="0"/>
              </w:rPr>
            </w:pPr>
            <w:r>
              <w:rPr>
                <w:rFonts w:hint="eastAsia"/>
                <w:bCs/>
                <w:color w:val="auto"/>
                <w:kern w:val="0"/>
              </w:rPr>
              <w:t>120.320518334</w:t>
            </w:r>
          </w:p>
        </w:tc>
        <w:tc>
          <w:tcPr>
            <w:tcW w:w="658" w:type="pct"/>
            <w:vMerge w:val="restart"/>
            <w:vAlign w:val="center"/>
          </w:tcPr>
          <w:p w14:paraId="574CB4C4">
            <w:pPr>
              <w:widowControl/>
              <w:jc w:val="center"/>
              <w:rPr>
                <w:bCs/>
                <w:color w:val="auto"/>
                <w:kern w:val="0"/>
              </w:rPr>
            </w:pPr>
            <w:r>
              <w:rPr>
                <w:rFonts w:hint="eastAsia"/>
                <w:bCs/>
                <w:color w:val="auto"/>
                <w:kern w:val="0"/>
              </w:rPr>
              <w:t>30.449100332</w:t>
            </w:r>
          </w:p>
        </w:tc>
        <w:tc>
          <w:tcPr>
            <w:tcW w:w="492" w:type="pct"/>
            <w:vMerge w:val="restart"/>
            <w:vAlign w:val="center"/>
          </w:tcPr>
          <w:p w14:paraId="34BF9853">
            <w:pPr>
              <w:widowControl/>
              <w:jc w:val="center"/>
              <w:rPr>
                <w:bCs/>
                <w:color w:val="auto"/>
                <w:kern w:val="0"/>
              </w:rPr>
            </w:pPr>
            <w:r>
              <w:rPr>
                <w:rFonts w:hint="eastAsia"/>
                <w:bCs/>
                <w:color w:val="auto"/>
                <w:kern w:val="0"/>
              </w:rPr>
              <w:t>0.0331</w:t>
            </w:r>
          </w:p>
        </w:tc>
        <w:tc>
          <w:tcPr>
            <w:tcW w:w="289" w:type="pct"/>
            <w:vMerge w:val="restart"/>
            <w:vAlign w:val="center"/>
          </w:tcPr>
          <w:p w14:paraId="354368D1">
            <w:pPr>
              <w:widowControl/>
              <w:jc w:val="center"/>
              <w:rPr>
                <w:bCs/>
                <w:color w:val="auto"/>
                <w:kern w:val="0"/>
              </w:rPr>
            </w:pPr>
            <w:r>
              <w:rPr>
                <w:rFonts w:hint="eastAsia"/>
                <w:bCs/>
                <w:color w:val="auto"/>
                <w:kern w:val="0"/>
              </w:rPr>
              <w:t>城市污水处理厂</w:t>
            </w:r>
          </w:p>
        </w:tc>
        <w:tc>
          <w:tcPr>
            <w:tcW w:w="772" w:type="pct"/>
            <w:vMerge w:val="restart"/>
            <w:vAlign w:val="center"/>
          </w:tcPr>
          <w:p w14:paraId="7618EA65">
            <w:pPr>
              <w:widowControl/>
              <w:jc w:val="center"/>
              <w:rPr>
                <w:bCs/>
                <w:color w:val="auto"/>
                <w:kern w:val="0"/>
              </w:rPr>
            </w:pPr>
            <w:r>
              <w:rPr>
                <w:rFonts w:hint="eastAsia"/>
                <w:bCs/>
                <w:color w:val="auto"/>
                <w:kern w:val="0"/>
              </w:rPr>
              <w:t>间断排放，排放期间流量不稳定且无规律，但不属于冲击型排放</w:t>
            </w:r>
          </w:p>
        </w:tc>
        <w:tc>
          <w:tcPr>
            <w:tcW w:w="284" w:type="pct"/>
            <w:vMerge w:val="restart"/>
            <w:vAlign w:val="center"/>
          </w:tcPr>
          <w:p w14:paraId="34E5280B">
            <w:pPr>
              <w:widowControl/>
              <w:jc w:val="center"/>
              <w:rPr>
                <w:bCs/>
                <w:color w:val="auto"/>
                <w:kern w:val="0"/>
              </w:rPr>
            </w:pPr>
            <w:r>
              <w:rPr>
                <w:rFonts w:hint="eastAsia"/>
                <w:bCs/>
                <w:color w:val="auto"/>
                <w:kern w:val="0"/>
              </w:rPr>
              <w:t>--</w:t>
            </w:r>
          </w:p>
        </w:tc>
        <w:tc>
          <w:tcPr>
            <w:tcW w:w="242" w:type="pct"/>
            <w:vMerge w:val="restart"/>
            <w:vAlign w:val="center"/>
          </w:tcPr>
          <w:p w14:paraId="563DF181">
            <w:pPr>
              <w:widowControl/>
              <w:jc w:val="center"/>
              <w:rPr>
                <w:bCs/>
                <w:color w:val="auto"/>
                <w:kern w:val="0"/>
              </w:rPr>
            </w:pPr>
            <w:r>
              <w:rPr>
                <w:rFonts w:hint="eastAsia"/>
                <w:bCs/>
                <w:color w:val="auto"/>
                <w:kern w:val="0"/>
              </w:rPr>
              <w:t>临平净水厂</w:t>
            </w:r>
          </w:p>
        </w:tc>
        <w:tc>
          <w:tcPr>
            <w:tcW w:w="389" w:type="pct"/>
            <w:vAlign w:val="center"/>
          </w:tcPr>
          <w:p w14:paraId="2166D4F5">
            <w:pPr>
              <w:widowControl/>
              <w:jc w:val="center"/>
              <w:rPr>
                <w:bCs/>
                <w:color w:val="auto"/>
                <w:kern w:val="0"/>
              </w:rPr>
            </w:pPr>
            <w:r>
              <w:rPr>
                <w:rFonts w:hint="eastAsia"/>
                <w:bCs/>
                <w:color w:val="auto"/>
                <w:kern w:val="0"/>
              </w:rPr>
              <w:t>CODCr</w:t>
            </w:r>
          </w:p>
        </w:tc>
        <w:tc>
          <w:tcPr>
            <w:tcW w:w="611" w:type="pct"/>
            <w:vAlign w:val="center"/>
          </w:tcPr>
          <w:p w14:paraId="01046E7C">
            <w:pPr>
              <w:widowControl/>
              <w:jc w:val="center"/>
              <w:rPr>
                <w:bCs/>
                <w:color w:val="auto"/>
                <w:kern w:val="0"/>
              </w:rPr>
            </w:pPr>
            <w:r>
              <w:rPr>
                <w:rFonts w:hint="eastAsia"/>
                <w:bCs/>
                <w:color w:val="auto"/>
                <w:kern w:val="0"/>
              </w:rPr>
              <w:t>40</w:t>
            </w:r>
          </w:p>
        </w:tc>
      </w:tr>
      <w:tr w14:paraId="0538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8" w:type="pct"/>
            <w:vMerge w:val="continue"/>
            <w:vAlign w:val="center"/>
          </w:tcPr>
          <w:p w14:paraId="3CA51A73">
            <w:pPr>
              <w:widowControl/>
              <w:jc w:val="center"/>
              <w:rPr>
                <w:bCs/>
                <w:color w:val="auto"/>
                <w:kern w:val="0"/>
              </w:rPr>
            </w:pPr>
          </w:p>
        </w:tc>
        <w:tc>
          <w:tcPr>
            <w:tcW w:w="406" w:type="pct"/>
            <w:vMerge w:val="continue"/>
            <w:vAlign w:val="center"/>
          </w:tcPr>
          <w:p w14:paraId="24F48782">
            <w:pPr>
              <w:widowControl/>
              <w:jc w:val="center"/>
              <w:rPr>
                <w:bCs/>
                <w:color w:val="auto"/>
                <w:kern w:val="0"/>
              </w:rPr>
            </w:pPr>
          </w:p>
        </w:tc>
        <w:tc>
          <w:tcPr>
            <w:tcW w:w="713" w:type="pct"/>
            <w:vMerge w:val="continue"/>
            <w:vAlign w:val="center"/>
          </w:tcPr>
          <w:p w14:paraId="53FF3A3A">
            <w:pPr>
              <w:widowControl/>
              <w:jc w:val="center"/>
              <w:rPr>
                <w:bCs/>
                <w:color w:val="auto"/>
                <w:kern w:val="0"/>
              </w:rPr>
            </w:pPr>
          </w:p>
        </w:tc>
        <w:tc>
          <w:tcPr>
            <w:tcW w:w="658" w:type="pct"/>
            <w:vMerge w:val="continue"/>
            <w:vAlign w:val="center"/>
          </w:tcPr>
          <w:p w14:paraId="01699F29">
            <w:pPr>
              <w:widowControl/>
              <w:jc w:val="center"/>
              <w:rPr>
                <w:bCs/>
                <w:color w:val="auto"/>
                <w:kern w:val="0"/>
              </w:rPr>
            </w:pPr>
          </w:p>
        </w:tc>
        <w:tc>
          <w:tcPr>
            <w:tcW w:w="492" w:type="pct"/>
            <w:vMerge w:val="continue"/>
            <w:vAlign w:val="center"/>
          </w:tcPr>
          <w:p w14:paraId="4C0BA470">
            <w:pPr>
              <w:widowControl/>
              <w:jc w:val="center"/>
              <w:rPr>
                <w:bCs/>
                <w:color w:val="auto"/>
                <w:kern w:val="0"/>
              </w:rPr>
            </w:pPr>
          </w:p>
        </w:tc>
        <w:tc>
          <w:tcPr>
            <w:tcW w:w="289" w:type="pct"/>
            <w:vMerge w:val="continue"/>
            <w:vAlign w:val="center"/>
          </w:tcPr>
          <w:p w14:paraId="75B02D89">
            <w:pPr>
              <w:widowControl/>
              <w:jc w:val="center"/>
              <w:rPr>
                <w:bCs/>
                <w:color w:val="auto"/>
                <w:kern w:val="0"/>
              </w:rPr>
            </w:pPr>
          </w:p>
        </w:tc>
        <w:tc>
          <w:tcPr>
            <w:tcW w:w="772" w:type="pct"/>
            <w:vMerge w:val="continue"/>
            <w:vAlign w:val="center"/>
          </w:tcPr>
          <w:p w14:paraId="02CFC5B4">
            <w:pPr>
              <w:widowControl/>
              <w:jc w:val="center"/>
              <w:rPr>
                <w:bCs/>
                <w:color w:val="auto"/>
                <w:kern w:val="0"/>
              </w:rPr>
            </w:pPr>
          </w:p>
        </w:tc>
        <w:tc>
          <w:tcPr>
            <w:tcW w:w="284" w:type="pct"/>
            <w:vMerge w:val="continue"/>
            <w:vAlign w:val="center"/>
          </w:tcPr>
          <w:p w14:paraId="77E03146">
            <w:pPr>
              <w:widowControl/>
              <w:jc w:val="center"/>
              <w:rPr>
                <w:bCs/>
                <w:color w:val="auto"/>
                <w:kern w:val="0"/>
              </w:rPr>
            </w:pPr>
          </w:p>
        </w:tc>
        <w:tc>
          <w:tcPr>
            <w:tcW w:w="242" w:type="pct"/>
            <w:vMerge w:val="continue"/>
            <w:vAlign w:val="center"/>
          </w:tcPr>
          <w:p w14:paraId="6ECF550C">
            <w:pPr>
              <w:widowControl/>
              <w:jc w:val="center"/>
              <w:rPr>
                <w:bCs/>
                <w:color w:val="auto"/>
                <w:kern w:val="0"/>
              </w:rPr>
            </w:pPr>
          </w:p>
        </w:tc>
        <w:tc>
          <w:tcPr>
            <w:tcW w:w="389" w:type="pct"/>
            <w:vAlign w:val="center"/>
          </w:tcPr>
          <w:p w14:paraId="22FE9FA1">
            <w:pPr>
              <w:widowControl/>
              <w:jc w:val="center"/>
              <w:rPr>
                <w:bCs/>
                <w:color w:val="auto"/>
                <w:kern w:val="0"/>
              </w:rPr>
            </w:pPr>
            <w:r>
              <w:rPr>
                <w:rFonts w:hint="eastAsia"/>
                <w:bCs/>
                <w:color w:val="auto"/>
                <w:kern w:val="0"/>
              </w:rPr>
              <w:t>NH</w:t>
            </w:r>
            <w:r>
              <w:rPr>
                <w:rFonts w:hint="eastAsia"/>
                <w:bCs/>
                <w:color w:val="auto"/>
                <w:kern w:val="0"/>
                <w:vertAlign w:val="subscript"/>
              </w:rPr>
              <w:t>3</w:t>
            </w:r>
            <w:r>
              <w:rPr>
                <w:rFonts w:hint="eastAsia"/>
                <w:bCs/>
                <w:color w:val="auto"/>
                <w:kern w:val="0"/>
              </w:rPr>
              <w:t>-N</w:t>
            </w:r>
          </w:p>
        </w:tc>
        <w:tc>
          <w:tcPr>
            <w:tcW w:w="611" w:type="pct"/>
            <w:vAlign w:val="center"/>
          </w:tcPr>
          <w:p w14:paraId="1D3E971E">
            <w:pPr>
              <w:widowControl/>
              <w:jc w:val="center"/>
              <w:rPr>
                <w:bCs/>
                <w:color w:val="auto"/>
                <w:kern w:val="0"/>
              </w:rPr>
            </w:pPr>
            <w:r>
              <w:rPr>
                <w:rFonts w:hint="eastAsia"/>
                <w:bCs/>
                <w:color w:val="auto"/>
                <w:kern w:val="0"/>
              </w:rPr>
              <w:t>2(4)*</w:t>
            </w:r>
          </w:p>
        </w:tc>
      </w:tr>
      <w:tr w14:paraId="77C3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8" w:type="pct"/>
            <w:vMerge w:val="continue"/>
            <w:vAlign w:val="center"/>
          </w:tcPr>
          <w:p w14:paraId="53434397">
            <w:pPr>
              <w:widowControl/>
              <w:jc w:val="center"/>
              <w:rPr>
                <w:bCs/>
                <w:color w:val="auto"/>
                <w:kern w:val="0"/>
              </w:rPr>
            </w:pPr>
          </w:p>
        </w:tc>
        <w:tc>
          <w:tcPr>
            <w:tcW w:w="406" w:type="pct"/>
            <w:vMerge w:val="continue"/>
            <w:vAlign w:val="center"/>
          </w:tcPr>
          <w:p w14:paraId="5684C6D4">
            <w:pPr>
              <w:widowControl/>
              <w:jc w:val="center"/>
              <w:rPr>
                <w:bCs/>
                <w:color w:val="auto"/>
                <w:kern w:val="0"/>
              </w:rPr>
            </w:pPr>
          </w:p>
        </w:tc>
        <w:tc>
          <w:tcPr>
            <w:tcW w:w="713" w:type="pct"/>
            <w:vMerge w:val="continue"/>
            <w:vAlign w:val="center"/>
          </w:tcPr>
          <w:p w14:paraId="3ECC9E17">
            <w:pPr>
              <w:widowControl/>
              <w:jc w:val="center"/>
              <w:rPr>
                <w:bCs/>
                <w:color w:val="auto"/>
                <w:kern w:val="0"/>
              </w:rPr>
            </w:pPr>
          </w:p>
        </w:tc>
        <w:tc>
          <w:tcPr>
            <w:tcW w:w="658" w:type="pct"/>
            <w:vMerge w:val="continue"/>
            <w:vAlign w:val="center"/>
          </w:tcPr>
          <w:p w14:paraId="4AD9A17C">
            <w:pPr>
              <w:widowControl/>
              <w:jc w:val="center"/>
              <w:rPr>
                <w:bCs/>
                <w:color w:val="auto"/>
                <w:kern w:val="0"/>
              </w:rPr>
            </w:pPr>
          </w:p>
        </w:tc>
        <w:tc>
          <w:tcPr>
            <w:tcW w:w="492" w:type="pct"/>
            <w:vMerge w:val="continue"/>
            <w:vAlign w:val="center"/>
          </w:tcPr>
          <w:p w14:paraId="1A14F6AE">
            <w:pPr>
              <w:widowControl/>
              <w:jc w:val="center"/>
              <w:rPr>
                <w:bCs/>
                <w:color w:val="auto"/>
                <w:kern w:val="0"/>
              </w:rPr>
            </w:pPr>
          </w:p>
        </w:tc>
        <w:tc>
          <w:tcPr>
            <w:tcW w:w="289" w:type="pct"/>
            <w:vMerge w:val="continue"/>
            <w:vAlign w:val="center"/>
          </w:tcPr>
          <w:p w14:paraId="31482284">
            <w:pPr>
              <w:widowControl/>
              <w:jc w:val="center"/>
              <w:rPr>
                <w:bCs/>
                <w:color w:val="auto"/>
                <w:kern w:val="0"/>
              </w:rPr>
            </w:pPr>
          </w:p>
        </w:tc>
        <w:tc>
          <w:tcPr>
            <w:tcW w:w="772" w:type="pct"/>
            <w:vMerge w:val="continue"/>
            <w:vAlign w:val="center"/>
          </w:tcPr>
          <w:p w14:paraId="3760E95C">
            <w:pPr>
              <w:widowControl/>
              <w:jc w:val="center"/>
              <w:rPr>
                <w:bCs/>
                <w:color w:val="auto"/>
                <w:kern w:val="0"/>
              </w:rPr>
            </w:pPr>
          </w:p>
        </w:tc>
        <w:tc>
          <w:tcPr>
            <w:tcW w:w="284" w:type="pct"/>
            <w:vMerge w:val="continue"/>
            <w:vAlign w:val="center"/>
          </w:tcPr>
          <w:p w14:paraId="1BE54C3C">
            <w:pPr>
              <w:widowControl/>
              <w:jc w:val="center"/>
              <w:rPr>
                <w:bCs/>
                <w:color w:val="auto"/>
                <w:kern w:val="0"/>
              </w:rPr>
            </w:pPr>
          </w:p>
        </w:tc>
        <w:tc>
          <w:tcPr>
            <w:tcW w:w="242" w:type="pct"/>
            <w:vMerge w:val="continue"/>
            <w:vAlign w:val="center"/>
          </w:tcPr>
          <w:p w14:paraId="46AA5D28">
            <w:pPr>
              <w:widowControl/>
              <w:jc w:val="center"/>
              <w:rPr>
                <w:bCs/>
                <w:color w:val="auto"/>
                <w:kern w:val="0"/>
              </w:rPr>
            </w:pPr>
          </w:p>
        </w:tc>
        <w:tc>
          <w:tcPr>
            <w:tcW w:w="389" w:type="pct"/>
            <w:vAlign w:val="center"/>
          </w:tcPr>
          <w:p w14:paraId="10C4ACB0">
            <w:pPr>
              <w:widowControl/>
              <w:jc w:val="center"/>
              <w:rPr>
                <w:bCs/>
                <w:color w:val="auto"/>
                <w:kern w:val="0"/>
              </w:rPr>
            </w:pPr>
            <w:r>
              <w:rPr>
                <w:rFonts w:hint="eastAsia"/>
                <w:bCs/>
                <w:color w:val="auto"/>
                <w:kern w:val="0"/>
              </w:rPr>
              <w:t>SS</w:t>
            </w:r>
          </w:p>
        </w:tc>
        <w:tc>
          <w:tcPr>
            <w:tcW w:w="611" w:type="pct"/>
            <w:vAlign w:val="center"/>
          </w:tcPr>
          <w:p w14:paraId="642197A7">
            <w:pPr>
              <w:widowControl/>
              <w:jc w:val="center"/>
              <w:rPr>
                <w:bCs/>
                <w:color w:val="auto"/>
                <w:kern w:val="0"/>
              </w:rPr>
            </w:pPr>
            <w:r>
              <w:rPr>
                <w:rFonts w:hint="eastAsia"/>
                <w:bCs/>
                <w:color w:val="auto"/>
                <w:kern w:val="0"/>
              </w:rPr>
              <w:t>10</w:t>
            </w:r>
          </w:p>
        </w:tc>
      </w:tr>
      <w:tr w14:paraId="61C1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8" w:type="pct"/>
            <w:vMerge w:val="continue"/>
            <w:vAlign w:val="center"/>
          </w:tcPr>
          <w:p w14:paraId="02F8544D">
            <w:pPr>
              <w:widowControl/>
              <w:jc w:val="center"/>
              <w:rPr>
                <w:bCs/>
                <w:color w:val="auto"/>
                <w:kern w:val="0"/>
              </w:rPr>
            </w:pPr>
          </w:p>
        </w:tc>
        <w:tc>
          <w:tcPr>
            <w:tcW w:w="406" w:type="pct"/>
            <w:vMerge w:val="continue"/>
            <w:vAlign w:val="center"/>
          </w:tcPr>
          <w:p w14:paraId="0BC6B1F1">
            <w:pPr>
              <w:widowControl/>
              <w:jc w:val="center"/>
              <w:rPr>
                <w:bCs/>
                <w:color w:val="auto"/>
                <w:kern w:val="0"/>
              </w:rPr>
            </w:pPr>
          </w:p>
        </w:tc>
        <w:tc>
          <w:tcPr>
            <w:tcW w:w="713" w:type="pct"/>
            <w:vMerge w:val="continue"/>
            <w:vAlign w:val="center"/>
          </w:tcPr>
          <w:p w14:paraId="60A52538">
            <w:pPr>
              <w:widowControl/>
              <w:jc w:val="center"/>
              <w:rPr>
                <w:bCs/>
                <w:color w:val="auto"/>
                <w:kern w:val="0"/>
              </w:rPr>
            </w:pPr>
          </w:p>
        </w:tc>
        <w:tc>
          <w:tcPr>
            <w:tcW w:w="658" w:type="pct"/>
            <w:vMerge w:val="continue"/>
            <w:vAlign w:val="center"/>
          </w:tcPr>
          <w:p w14:paraId="3A91CECB">
            <w:pPr>
              <w:widowControl/>
              <w:jc w:val="center"/>
              <w:rPr>
                <w:bCs/>
                <w:color w:val="auto"/>
                <w:kern w:val="0"/>
              </w:rPr>
            </w:pPr>
          </w:p>
        </w:tc>
        <w:tc>
          <w:tcPr>
            <w:tcW w:w="492" w:type="pct"/>
            <w:vMerge w:val="continue"/>
            <w:vAlign w:val="center"/>
          </w:tcPr>
          <w:p w14:paraId="06B71D2A">
            <w:pPr>
              <w:widowControl/>
              <w:jc w:val="center"/>
              <w:rPr>
                <w:bCs/>
                <w:color w:val="auto"/>
                <w:kern w:val="0"/>
              </w:rPr>
            </w:pPr>
          </w:p>
        </w:tc>
        <w:tc>
          <w:tcPr>
            <w:tcW w:w="289" w:type="pct"/>
            <w:vMerge w:val="continue"/>
            <w:vAlign w:val="center"/>
          </w:tcPr>
          <w:p w14:paraId="39E67873">
            <w:pPr>
              <w:widowControl/>
              <w:jc w:val="center"/>
              <w:rPr>
                <w:bCs/>
                <w:color w:val="auto"/>
                <w:kern w:val="0"/>
              </w:rPr>
            </w:pPr>
          </w:p>
        </w:tc>
        <w:tc>
          <w:tcPr>
            <w:tcW w:w="772" w:type="pct"/>
            <w:vMerge w:val="continue"/>
            <w:vAlign w:val="center"/>
          </w:tcPr>
          <w:p w14:paraId="59A7A35A">
            <w:pPr>
              <w:widowControl/>
              <w:jc w:val="center"/>
              <w:rPr>
                <w:bCs/>
                <w:color w:val="auto"/>
                <w:kern w:val="0"/>
              </w:rPr>
            </w:pPr>
          </w:p>
        </w:tc>
        <w:tc>
          <w:tcPr>
            <w:tcW w:w="284" w:type="pct"/>
            <w:vMerge w:val="continue"/>
            <w:vAlign w:val="center"/>
          </w:tcPr>
          <w:p w14:paraId="0F3289CB">
            <w:pPr>
              <w:widowControl/>
              <w:jc w:val="center"/>
              <w:rPr>
                <w:bCs/>
                <w:color w:val="auto"/>
                <w:kern w:val="0"/>
              </w:rPr>
            </w:pPr>
          </w:p>
        </w:tc>
        <w:tc>
          <w:tcPr>
            <w:tcW w:w="242" w:type="pct"/>
            <w:vMerge w:val="continue"/>
            <w:vAlign w:val="center"/>
          </w:tcPr>
          <w:p w14:paraId="20DCD8E9">
            <w:pPr>
              <w:widowControl/>
              <w:jc w:val="center"/>
              <w:rPr>
                <w:bCs/>
                <w:color w:val="auto"/>
                <w:kern w:val="0"/>
              </w:rPr>
            </w:pPr>
          </w:p>
        </w:tc>
        <w:tc>
          <w:tcPr>
            <w:tcW w:w="389" w:type="pct"/>
            <w:vAlign w:val="center"/>
          </w:tcPr>
          <w:p w14:paraId="537A23E8">
            <w:pPr>
              <w:widowControl/>
              <w:jc w:val="center"/>
              <w:rPr>
                <w:bCs/>
                <w:color w:val="auto"/>
                <w:kern w:val="0"/>
              </w:rPr>
            </w:pPr>
            <w:r>
              <w:rPr>
                <w:rFonts w:hint="eastAsia"/>
                <w:bCs/>
                <w:color w:val="auto"/>
                <w:kern w:val="0"/>
              </w:rPr>
              <w:t>动植物油</w:t>
            </w:r>
          </w:p>
        </w:tc>
        <w:tc>
          <w:tcPr>
            <w:tcW w:w="611" w:type="pct"/>
            <w:vAlign w:val="center"/>
          </w:tcPr>
          <w:p w14:paraId="0FC05D24">
            <w:pPr>
              <w:widowControl/>
              <w:jc w:val="center"/>
              <w:rPr>
                <w:bCs/>
                <w:color w:val="auto"/>
                <w:kern w:val="0"/>
              </w:rPr>
            </w:pPr>
            <w:r>
              <w:rPr>
                <w:rFonts w:hint="eastAsia"/>
                <w:bCs/>
                <w:color w:val="auto"/>
                <w:kern w:val="0"/>
              </w:rPr>
              <w:t>1</w:t>
            </w:r>
          </w:p>
        </w:tc>
      </w:tr>
    </w:tbl>
    <w:p w14:paraId="673E8783">
      <w:pPr>
        <w:rPr>
          <w:b/>
          <w:bCs/>
          <w:color w:val="auto"/>
          <w:spacing w:val="-10"/>
        </w:rPr>
      </w:pPr>
      <w:r>
        <w:rPr>
          <w:rFonts w:hint="eastAsia"/>
          <w:color w:val="auto"/>
          <w:sz w:val="18"/>
          <w:szCs w:val="18"/>
        </w:rPr>
        <w:t>注：*—括号内数值为每年11月1日至次年3月31日执行。</w:t>
      </w:r>
    </w:p>
    <w:p w14:paraId="64E1A2E6">
      <w:pPr>
        <w:adjustRightInd w:val="0"/>
        <w:snapToGrid w:val="0"/>
        <w:spacing w:line="360" w:lineRule="auto"/>
        <w:jc w:val="center"/>
        <w:rPr>
          <w:b/>
          <w:bCs/>
          <w:color w:val="auto"/>
          <w:spacing w:val="-10"/>
        </w:rPr>
      </w:pPr>
      <w:r>
        <w:rPr>
          <w:rFonts w:hint="eastAsia"/>
          <w:b/>
          <w:bCs/>
          <w:color w:val="auto"/>
          <w:spacing w:val="-10"/>
        </w:rPr>
        <w:t xml:space="preserve">表17     </w:t>
      </w:r>
      <w:r>
        <w:rPr>
          <w:b/>
          <w:bCs/>
          <w:color w:val="auto"/>
          <w:spacing w:val="-10"/>
        </w:rPr>
        <w:t>废水达标排放执行标准表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04"/>
        <w:gridCol w:w="1202"/>
        <w:gridCol w:w="1419"/>
        <w:gridCol w:w="2985"/>
        <w:gridCol w:w="3288"/>
      </w:tblGrid>
      <w:tr w14:paraId="256D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restart"/>
            <w:vAlign w:val="center"/>
          </w:tcPr>
          <w:p w14:paraId="3F334A7D">
            <w:pPr>
              <w:widowControl/>
              <w:jc w:val="center"/>
              <w:rPr>
                <w:bCs/>
                <w:color w:val="auto"/>
                <w:kern w:val="0"/>
              </w:rPr>
            </w:pPr>
            <w:r>
              <w:rPr>
                <w:rFonts w:hint="eastAsia"/>
                <w:bCs/>
                <w:color w:val="auto"/>
                <w:kern w:val="0"/>
              </w:rPr>
              <w:t>序号</w:t>
            </w:r>
          </w:p>
        </w:tc>
        <w:tc>
          <w:tcPr>
            <w:tcW w:w="626" w:type="pct"/>
            <w:vMerge w:val="restart"/>
            <w:vAlign w:val="center"/>
          </w:tcPr>
          <w:p w14:paraId="2DBD7DB2">
            <w:pPr>
              <w:widowControl/>
              <w:jc w:val="center"/>
              <w:rPr>
                <w:bCs/>
                <w:color w:val="auto"/>
                <w:kern w:val="0"/>
              </w:rPr>
            </w:pPr>
            <w:r>
              <w:rPr>
                <w:rFonts w:hint="eastAsia"/>
                <w:bCs/>
                <w:color w:val="auto"/>
                <w:kern w:val="0"/>
              </w:rPr>
              <w:t>排放口编号</w:t>
            </w:r>
          </w:p>
        </w:tc>
        <w:tc>
          <w:tcPr>
            <w:tcW w:w="739" w:type="pct"/>
            <w:vMerge w:val="restart"/>
            <w:vAlign w:val="center"/>
          </w:tcPr>
          <w:p w14:paraId="598BD8CC">
            <w:pPr>
              <w:widowControl/>
              <w:jc w:val="center"/>
              <w:rPr>
                <w:bCs/>
                <w:color w:val="auto"/>
                <w:kern w:val="0"/>
              </w:rPr>
            </w:pPr>
            <w:r>
              <w:rPr>
                <w:rFonts w:hint="eastAsia"/>
                <w:bCs/>
                <w:color w:val="auto"/>
                <w:kern w:val="0"/>
              </w:rPr>
              <w:t>污染物种类</w:t>
            </w:r>
          </w:p>
        </w:tc>
        <w:tc>
          <w:tcPr>
            <w:tcW w:w="3268" w:type="pct"/>
            <w:gridSpan w:val="2"/>
            <w:vAlign w:val="center"/>
          </w:tcPr>
          <w:p w14:paraId="650900B8">
            <w:pPr>
              <w:widowControl/>
              <w:jc w:val="center"/>
              <w:rPr>
                <w:bCs/>
                <w:color w:val="auto"/>
                <w:kern w:val="0"/>
              </w:rPr>
            </w:pPr>
            <w:r>
              <w:rPr>
                <w:rFonts w:hint="eastAsia"/>
                <w:bCs/>
                <w:color w:val="auto"/>
                <w:kern w:val="0"/>
              </w:rPr>
              <w:t>国家或地方污染物排放标准及其他按规定商定的排放协议</w:t>
            </w:r>
          </w:p>
        </w:tc>
      </w:tr>
      <w:tr w14:paraId="4C4C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continue"/>
            <w:vAlign w:val="center"/>
          </w:tcPr>
          <w:p w14:paraId="7505C3AE">
            <w:pPr>
              <w:widowControl/>
              <w:jc w:val="center"/>
              <w:rPr>
                <w:bCs/>
                <w:color w:val="auto"/>
                <w:kern w:val="0"/>
              </w:rPr>
            </w:pPr>
          </w:p>
        </w:tc>
        <w:tc>
          <w:tcPr>
            <w:tcW w:w="626" w:type="pct"/>
            <w:vMerge w:val="continue"/>
            <w:vAlign w:val="center"/>
          </w:tcPr>
          <w:p w14:paraId="7930D535">
            <w:pPr>
              <w:widowControl/>
              <w:jc w:val="center"/>
              <w:rPr>
                <w:bCs/>
                <w:color w:val="auto"/>
                <w:kern w:val="0"/>
              </w:rPr>
            </w:pPr>
          </w:p>
        </w:tc>
        <w:tc>
          <w:tcPr>
            <w:tcW w:w="739" w:type="pct"/>
            <w:vMerge w:val="continue"/>
            <w:vAlign w:val="center"/>
          </w:tcPr>
          <w:p w14:paraId="61703AC7">
            <w:pPr>
              <w:widowControl/>
              <w:jc w:val="center"/>
              <w:rPr>
                <w:bCs/>
                <w:color w:val="auto"/>
                <w:kern w:val="0"/>
              </w:rPr>
            </w:pPr>
          </w:p>
        </w:tc>
        <w:tc>
          <w:tcPr>
            <w:tcW w:w="1555" w:type="pct"/>
            <w:vAlign w:val="center"/>
          </w:tcPr>
          <w:p w14:paraId="298BCD1F">
            <w:pPr>
              <w:widowControl/>
              <w:jc w:val="center"/>
              <w:rPr>
                <w:bCs/>
                <w:color w:val="auto"/>
                <w:kern w:val="0"/>
              </w:rPr>
            </w:pPr>
            <w:r>
              <w:rPr>
                <w:rFonts w:hint="eastAsia"/>
                <w:bCs/>
                <w:color w:val="auto"/>
                <w:kern w:val="0"/>
              </w:rPr>
              <w:t>名称</w:t>
            </w:r>
          </w:p>
        </w:tc>
        <w:tc>
          <w:tcPr>
            <w:tcW w:w="1713" w:type="pct"/>
            <w:vAlign w:val="center"/>
          </w:tcPr>
          <w:p w14:paraId="7348D628">
            <w:pPr>
              <w:widowControl/>
              <w:jc w:val="center"/>
              <w:rPr>
                <w:bCs/>
                <w:color w:val="auto"/>
                <w:kern w:val="0"/>
              </w:rPr>
            </w:pPr>
            <w:r>
              <w:rPr>
                <w:rFonts w:hint="eastAsia"/>
                <w:bCs/>
                <w:color w:val="auto"/>
                <w:kern w:val="0"/>
              </w:rPr>
              <w:t>浓度限值(mg/L)</w:t>
            </w:r>
          </w:p>
        </w:tc>
      </w:tr>
      <w:tr w14:paraId="6E6C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34172AE5">
            <w:pPr>
              <w:widowControl/>
              <w:jc w:val="center"/>
              <w:rPr>
                <w:bCs/>
                <w:color w:val="auto"/>
                <w:kern w:val="0"/>
              </w:rPr>
            </w:pPr>
            <w:r>
              <w:rPr>
                <w:rFonts w:hint="eastAsia"/>
                <w:bCs/>
                <w:color w:val="auto"/>
                <w:kern w:val="0"/>
              </w:rPr>
              <w:t>1</w:t>
            </w:r>
          </w:p>
        </w:tc>
        <w:tc>
          <w:tcPr>
            <w:tcW w:w="626" w:type="pct"/>
            <w:vMerge w:val="restart"/>
            <w:vAlign w:val="center"/>
          </w:tcPr>
          <w:p w14:paraId="77D5581F">
            <w:pPr>
              <w:widowControl/>
              <w:jc w:val="center"/>
              <w:rPr>
                <w:bCs/>
                <w:color w:val="auto"/>
                <w:kern w:val="0"/>
              </w:rPr>
            </w:pPr>
            <w:r>
              <w:rPr>
                <w:rFonts w:hint="eastAsia"/>
                <w:bCs/>
                <w:color w:val="auto"/>
                <w:kern w:val="0"/>
              </w:rPr>
              <w:t>DW001</w:t>
            </w:r>
          </w:p>
        </w:tc>
        <w:tc>
          <w:tcPr>
            <w:tcW w:w="739" w:type="pct"/>
            <w:vAlign w:val="center"/>
          </w:tcPr>
          <w:p w14:paraId="4EA2A1A9">
            <w:pPr>
              <w:widowControl/>
              <w:jc w:val="center"/>
              <w:rPr>
                <w:bCs/>
                <w:color w:val="auto"/>
                <w:kern w:val="0"/>
              </w:rPr>
            </w:pPr>
            <w:r>
              <w:rPr>
                <w:rFonts w:hint="eastAsia"/>
                <w:bCs/>
                <w:color w:val="auto"/>
                <w:kern w:val="0"/>
              </w:rPr>
              <w:t>COD</w:t>
            </w:r>
          </w:p>
        </w:tc>
        <w:tc>
          <w:tcPr>
            <w:tcW w:w="1555" w:type="pct"/>
            <w:vMerge w:val="restart"/>
            <w:vAlign w:val="center"/>
          </w:tcPr>
          <w:p w14:paraId="5020A8BC">
            <w:pPr>
              <w:widowControl/>
              <w:jc w:val="center"/>
              <w:rPr>
                <w:bCs/>
                <w:color w:val="auto"/>
                <w:kern w:val="0"/>
              </w:rPr>
            </w:pPr>
            <w:r>
              <w:rPr>
                <w:rFonts w:hint="eastAsia"/>
                <w:bCs/>
                <w:color w:val="auto"/>
                <w:kern w:val="0"/>
              </w:rPr>
              <w:t>《污水综合排放标准》(GB8978-1996)三级标准</w:t>
            </w:r>
          </w:p>
        </w:tc>
        <w:tc>
          <w:tcPr>
            <w:tcW w:w="1713" w:type="pct"/>
            <w:vAlign w:val="center"/>
          </w:tcPr>
          <w:p w14:paraId="0FF6140F">
            <w:pPr>
              <w:widowControl/>
              <w:jc w:val="center"/>
              <w:rPr>
                <w:bCs/>
                <w:color w:val="auto"/>
                <w:kern w:val="0"/>
              </w:rPr>
            </w:pPr>
            <w:r>
              <w:rPr>
                <w:rFonts w:hint="eastAsia"/>
                <w:bCs/>
                <w:color w:val="auto"/>
                <w:kern w:val="0"/>
              </w:rPr>
              <w:t>500</w:t>
            </w:r>
          </w:p>
        </w:tc>
      </w:tr>
      <w:tr w14:paraId="6DD2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494D2AB7">
            <w:pPr>
              <w:widowControl/>
              <w:jc w:val="center"/>
              <w:rPr>
                <w:bCs/>
                <w:color w:val="auto"/>
                <w:kern w:val="0"/>
              </w:rPr>
            </w:pPr>
            <w:r>
              <w:rPr>
                <w:rFonts w:hint="eastAsia"/>
                <w:bCs/>
                <w:color w:val="auto"/>
                <w:kern w:val="0"/>
              </w:rPr>
              <w:t>2</w:t>
            </w:r>
          </w:p>
        </w:tc>
        <w:tc>
          <w:tcPr>
            <w:tcW w:w="626" w:type="pct"/>
            <w:vMerge w:val="continue"/>
            <w:vAlign w:val="center"/>
          </w:tcPr>
          <w:p w14:paraId="306C9A4E">
            <w:pPr>
              <w:widowControl/>
              <w:jc w:val="center"/>
              <w:rPr>
                <w:bCs/>
                <w:color w:val="auto"/>
                <w:kern w:val="0"/>
              </w:rPr>
            </w:pPr>
          </w:p>
        </w:tc>
        <w:tc>
          <w:tcPr>
            <w:tcW w:w="739" w:type="pct"/>
            <w:vAlign w:val="center"/>
          </w:tcPr>
          <w:p w14:paraId="5168646C">
            <w:pPr>
              <w:widowControl/>
              <w:jc w:val="center"/>
              <w:rPr>
                <w:bCs/>
                <w:color w:val="auto"/>
                <w:kern w:val="0"/>
              </w:rPr>
            </w:pPr>
            <w:r>
              <w:rPr>
                <w:rFonts w:hint="eastAsia"/>
                <w:bCs/>
                <w:color w:val="auto"/>
                <w:kern w:val="0"/>
              </w:rPr>
              <w:t>NH</w:t>
            </w:r>
            <w:r>
              <w:rPr>
                <w:rFonts w:hint="eastAsia"/>
                <w:bCs/>
                <w:color w:val="auto"/>
                <w:kern w:val="0"/>
                <w:vertAlign w:val="subscript"/>
              </w:rPr>
              <w:t>3</w:t>
            </w:r>
            <w:r>
              <w:rPr>
                <w:rFonts w:hint="eastAsia"/>
                <w:bCs/>
                <w:color w:val="auto"/>
                <w:kern w:val="0"/>
              </w:rPr>
              <w:t>-N</w:t>
            </w:r>
          </w:p>
        </w:tc>
        <w:tc>
          <w:tcPr>
            <w:tcW w:w="1555" w:type="pct"/>
            <w:vMerge w:val="continue"/>
            <w:vAlign w:val="center"/>
          </w:tcPr>
          <w:p w14:paraId="2CE16504">
            <w:pPr>
              <w:widowControl/>
              <w:jc w:val="center"/>
              <w:rPr>
                <w:bCs/>
                <w:color w:val="auto"/>
                <w:kern w:val="0"/>
              </w:rPr>
            </w:pPr>
          </w:p>
        </w:tc>
        <w:tc>
          <w:tcPr>
            <w:tcW w:w="1713" w:type="pct"/>
            <w:vAlign w:val="center"/>
          </w:tcPr>
          <w:p w14:paraId="5DED25DD">
            <w:pPr>
              <w:widowControl/>
              <w:jc w:val="center"/>
              <w:rPr>
                <w:bCs/>
                <w:color w:val="auto"/>
                <w:kern w:val="0"/>
              </w:rPr>
            </w:pPr>
            <w:r>
              <w:rPr>
                <w:rFonts w:hint="eastAsia"/>
                <w:bCs/>
                <w:color w:val="auto"/>
                <w:kern w:val="0"/>
              </w:rPr>
              <w:t>35</w:t>
            </w:r>
          </w:p>
        </w:tc>
      </w:tr>
      <w:tr w14:paraId="1AA5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3F8D1A77">
            <w:pPr>
              <w:widowControl/>
              <w:jc w:val="center"/>
              <w:rPr>
                <w:bCs/>
                <w:color w:val="auto"/>
                <w:kern w:val="0"/>
              </w:rPr>
            </w:pPr>
            <w:r>
              <w:rPr>
                <w:rFonts w:hint="eastAsia"/>
                <w:bCs/>
                <w:color w:val="auto"/>
                <w:kern w:val="0"/>
              </w:rPr>
              <w:t>3</w:t>
            </w:r>
          </w:p>
        </w:tc>
        <w:tc>
          <w:tcPr>
            <w:tcW w:w="626" w:type="pct"/>
            <w:vMerge w:val="continue"/>
            <w:vAlign w:val="center"/>
          </w:tcPr>
          <w:p w14:paraId="233D1D7A">
            <w:pPr>
              <w:widowControl/>
              <w:jc w:val="center"/>
              <w:rPr>
                <w:bCs/>
                <w:color w:val="auto"/>
                <w:kern w:val="0"/>
              </w:rPr>
            </w:pPr>
          </w:p>
        </w:tc>
        <w:tc>
          <w:tcPr>
            <w:tcW w:w="739" w:type="pct"/>
            <w:vAlign w:val="center"/>
          </w:tcPr>
          <w:p w14:paraId="7AA0876A">
            <w:pPr>
              <w:widowControl/>
              <w:jc w:val="center"/>
              <w:rPr>
                <w:bCs/>
                <w:color w:val="auto"/>
                <w:kern w:val="0"/>
              </w:rPr>
            </w:pPr>
            <w:r>
              <w:rPr>
                <w:rFonts w:hint="eastAsia"/>
                <w:bCs/>
                <w:color w:val="auto"/>
                <w:kern w:val="0"/>
              </w:rPr>
              <w:t>石油类</w:t>
            </w:r>
          </w:p>
        </w:tc>
        <w:tc>
          <w:tcPr>
            <w:tcW w:w="1555" w:type="pct"/>
            <w:vMerge w:val="continue"/>
            <w:vAlign w:val="center"/>
          </w:tcPr>
          <w:p w14:paraId="7B77F340">
            <w:pPr>
              <w:widowControl/>
              <w:jc w:val="center"/>
              <w:rPr>
                <w:bCs/>
                <w:color w:val="auto"/>
                <w:kern w:val="0"/>
              </w:rPr>
            </w:pPr>
          </w:p>
        </w:tc>
        <w:tc>
          <w:tcPr>
            <w:tcW w:w="1713" w:type="pct"/>
            <w:vAlign w:val="center"/>
          </w:tcPr>
          <w:p w14:paraId="43BBE74B">
            <w:pPr>
              <w:widowControl/>
              <w:jc w:val="center"/>
              <w:rPr>
                <w:bCs/>
                <w:color w:val="auto"/>
                <w:kern w:val="0"/>
              </w:rPr>
            </w:pPr>
            <w:r>
              <w:rPr>
                <w:rFonts w:hint="eastAsia"/>
                <w:bCs/>
                <w:color w:val="auto"/>
                <w:kern w:val="0"/>
              </w:rPr>
              <w:t>20</w:t>
            </w:r>
          </w:p>
        </w:tc>
      </w:tr>
      <w:tr w14:paraId="4450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489588EC">
            <w:pPr>
              <w:widowControl/>
              <w:jc w:val="center"/>
              <w:rPr>
                <w:bCs/>
                <w:color w:val="auto"/>
                <w:kern w:val="0"/>
              </w:rPr>
            </w:pPr>
            <w:r>
              <w:rPr>
                <w:rFonts w:hint="eastAsia"/>
                <w:bCs/>
                <w:color w:val="auto"/>
                <w:kern w:val="0"/>
              </w:rPr>
              <w:t>4</w:t>
            </w:r>
          </w:p>
        </w:tc>
        <w:tc>
          <w:tcPr>
            <w:tcW w:w="626" w:type="pct"/>
            <w:vMerge w:val="continue"/>
            <w:vAlign w:val="center"/>
          </w:tcPr>
          <w:p w14:paraId="2BB295AF">
            <w:pPr>
              <w:widowControl/>
              <w:jc w:val="center"/>
              <w:rPr>
                <w:bCs/>
                <w:color w:val="auto"/>
                <w:kern w:val="0"/>
              </w:rPr>
            </w:pPr>
          </w:p>
        </w:tc>
        <w:tc>
          <w:tcPr>
            <w:tcW w:w="739" w:type="pct"/>
            <w:vAlign w:val="center"/>
          </w:tcPr>
          <w:p w14:paraId="7D252D24">
            <w:pPr>
              <w:widowControl/>
              <w:jc w:val="center"/>
              <w:rPr>
                <w:bCs/>
                <w:color w:val="auto"/>
                <w:kern w:val="0"/>
              </w:rPr>
            </w:pPr>
            <w:r>
              <w:rPr>
                <w:rFonts w:hint="eastAsia"/>
                <w:bCs/>
                <w:color w:val="auto"/>
                <w:kern w:val="0"/>
              </w:rPr>
              <w:t>SS</w:t>
            </w:r>
          </w:p>
        </w:tc>
        <w:tc>
          <w:tcPr>
            <w:tcW w:w="1555" w:type="pct"/>
            <w:vMerge w:val="continue"/>
            <w:vAlign w:val="center"/>
          </w:tcPr>
          <w:p w14:paraId="1641C4BA">
            <w:pPr>
              <w:widowControl/>
              <w:jc w:val="center"/>
              <w:rPr>
                <w:bCs/>
                <w:color w:val="auto"/>
                <w:kern w:val="0"/>
              </w:rPr>
            </w:pPr>
          </w:p>
        </w:tc>
        <w:tc>
          <w:tcPr>
            <w:tcW w:w="1713" w:type="pct"/>
            <w:vAlign w:val="center"/>
          </w:tcPr>
          <w:p w14:paraId="7424D6C7">
            <w:pPr>
              <w:widowControl/>
              <w:jc w:val="center"/>
              <w:rPr>
                <w:bCs/>
                <w:color w:val="auto"/>
                <w:kern w:val="0"/>
              </w:rPr>
            </w:pPr>
            <w:r>
              <w:rPr>
                <w:rFonts w:hint="eastAsia"/>
                <w:bCs/>
                <w:color w:val="auto"/>
                <w:kern w:val="0"/>
              </w:rPr>
              <w:t>400</w:t>
            </w:r>
          </w:p>
        </w:tc>
      </w:tr>
      <w:tr w14:paraId="3F3D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615F8E55">
            <w:pPr>
              <w:widowControl/>
              <w:jc w:val="center"/>
              <w:rPr>
                <w:bCs/>
                <w:color w:val="auto"/>
                <w:kern w:val="0"/>
              </w:rPr>
            </w:pPr>
            <w:r>
              <w:rPr>
                <w:rFonts w:hint="eastAsia"/>
                <w:bCs/>
                <w:color w:val="auto"/>
                <w:kern w:val="0"/>
              </w:rPr>
              <w:t>5</w:t>
            </w:r>
          </w:p>
        </w:tc>
        <w:tc>
          <w:tcPr>
            <w:tcW w:w="626" w:type="pct"/>
            <w:vMerge w:val="continue"/>
            <w:vAlign w:val="center"/>
          </w:tcPr>
          <w:p w14:paraId="29E4496B">
            <w:pPr>
              <w:widowControl/>
              <w:jc w:val="center"/>
              <w:rPr>
                <w:bCs/>
                <w:color w:val="auto"/>
                <w:kern w:val="0"/>
              </w:rPr>
            </w:pPr>
          </w:p>
        </w:tc>
        <w:tc>
          <w:tcPr>
            <w:tcW w:w="739" w:type="pct"/>
            <w:vAlign w:val="center"/>
          </w:tcPr>
          <w:p w14:paraId="35E14EFC">
            <w:pPr>
              <w:widowControl/>
              <w:jc w:val="center"/>
              <w:rPr>
                <w:bCs/>
                <w:color w:val="auto"/>
                <w:kern w:val="0"/>
              </w:rPr>
            </w:pPr>
            <w:r>
              <w:rPr>
                <w:rFonts w:hint="eastAsia"/>
                <w:bCs/>
                <w:color w:val="auto"/>
                <w:kern w:val="0"/>
              </w:rPr>
              <w:t>LAS</w:t>
            </w:r>
          </w:p>
        </w:tc>
        <w:tc>
          <w:tcPr>
            <w:tcW w:w="1555" w:type="pct"/>
            <w:vMerge w:val="continue"/>
            <w:vAlign w:val="center"/>
          </w:tcPr>
          <w:p w14:paraId="1F9FED78">
            <w:pPr>
              <w:widowControl/>
              <w:jc w:val="center"/>
              <w:rPr>
                <w:bCs/>
                <w:color w:val="auto"/>
                <w:kern w:val="0"/>
              </w:rPr>
            </w:pPr>
          </w:p>
        </w:tc>
        <w:tc>
          <w:tcPr>
            <w:tcW w:w="1713" w:type="pct"/>
            <w:vAlign w:val="center"/>
          </w:tcPr>
          <w:p w14:paraId="5565D8DA">
            <w:pPr>
              <w:widowControl/>
              <w:jc w:val="center"/>
              <w:rPr>
                <w:bCs/>
                <w:color w:val="auto"/>
                <w:kern w:val="0"/>
              </w:rPr>
            </w:pPr>
            <w:r>
              <w:rPr>
                <w:rFonts w:hint="eastAsia"/>
                <w:bCs/>
                <w:color w:val="auto"/>
                <w:kern w:val="0"/>
              </w:rPr>
              <w:t>20</w:t>
            </w:r>
          </w:p>
        </w:tc>
      </w:tr>
    </w:tbl>
    <w:p w14:paraId="247E9484">
      <w:pPr>
        <w:adjustRightInd w:val="0"/>
        <w:snapToGrid w:val="0"/>
        <w:spacing w:line="360" w:lineRule="auto"/>
        <w:ind w:firstLine="480" w:firstLineChars="200"/>
        <w:rPr>
          <w:color w:val="auto"/>
          <w:sz w:val="24"/>
          <w:szCs w:val="24"/>
        </w:rPr>
      </w:pPr>
      <w:r>
        <w:rPr>
          <w:rFonts w:hint="eastAsia"/>
          <w:color w:val="auto"/>
          <w:sz w:val="24"/>
          <w:szCs w:val="24"/>
        </w:rPr>
        <w:t>（8）水源及水平衡</w:t>
      </w:r>
    </w:p>
    <w:p w14:paraId="27146160">
      <w:pPr>
        <w:adjustRightInd w:val="0"/>
        <w:snapToGrid w:val="0"/>
        <w:spacing w:line="360" w:lineRule="auto"/>
        <w:ind w:firstLine="480" w:firstLineChars="200"/>
        <w:rPr>
          <w:color w:val="auto"/>
          <w:sz w:val="24"/>
          <w:szCs w:val="24"/>
        </w:rPr>
      </w:pPr>
      <w:r>
        <w:rPr>
          <w:rFonts w:hint="eastAsia"/>
          <w:color w:val="auto"/>
          <w:sz w:val="24"/>
          <w:szCs w:val="24"/>
        </w:rPr>
        <w:t>本项目建成后全厂新鲜水用水均为自来水，全厂水平衡见下图。</w:t>
      </w:r>
    </w:p>
    <w:p w14:paraId="53E8560C">
      <w:pPr>
        <w:adjustRightInd w:val="0"/>
        <w:snapToGrid w:val="0"/>
        <w:spacing w:line="360" w:lineRule="auto"/>
        <w:ind w:firstLine="480" w:firstLineChars="200"/>
        <w:jc w:val="center"/>
        <w:rPr>
          <w:rFonts w:hint="eastAsia" w:eastAsia="宋体"/>
          <w:color w:val="auto"/>
          <w:sz w:val="24"/>
          <w:szCs w:val="24"/>
          <w:lang w:eastAsia="zh-CN"/>
        </w:rPr>
      </w:pPr>
      <w:r>
        <w:rPr>
          <w:rFonts w:hint="eastAsia" w:eastAsia="宋体"/>
          <w:color w:val="auto"/>
          <w:sz w:val="24"/>
          <w:szCs w:val="24"/>
          <w:lang w:eastAsia="zh-CN"/>
        </w:rPr>
        <w:drawing>
          <wp:inline distT="0" distB="0" distL="114300" distR="114300">
            <wp:extent cx="6052185" cy="3308350"/>
            <wp:effectExtent l="0" t="0" r="0" b="0"/>
            <wp:docPr id="2" name="图片 2" descr="水平衡(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水平衡(10.29)"/>
                    <pic:cNvPicPr>
                      <a:picLocks noChangeAspect="1"/>
                    </pic:cNvPicPr>
                  </pic:nvPicPr>
                  <pic:blipFill>
                    <a:blip r:embed="rId17"/>
                    <a:stretch>
                      <a:fillRect/>
                    </a:stretch>
                  </pic:blipFill>
                  <pic:spPr>
                    <a:xfrm>
                      <a:off x="0" y="0"/>
                      <a:ext cx="6052185" cy="3308350"/>
                    </a:xfrm>
                    <a:prstGeom prst="rect">
                      <a:avLst/>
                    </a:prstGeom>
                  </pic:spPr>
                </pic:pic>
              </a:graphicData>
            </a:graphic>
          </wp:inline>
        </w:drawing>
      </w:r>
    </w:p>
    <w:p w14:paraId="1339F0B7">
      <w:pPr>
        <w:adjustRightInd w:val="0"/>
        <w:snapToGrid w:val="0"/>
        <w:spacing w:line="360" w:lineRule="auto"/>
        <w:ind w:firstLine="480" w:firstLineChars="200"/>
        <w:jc w:val="center"/>
        <w:rPr>
          <w:b/>
          <w:bCs/>
          <w:color w:val="auto"/>
          <w:sz w:val="24"/>
          <w:szCs w:val="24"/>
        </w:rPr>
      </w:pPr>
      <w:r>
        <w:rPr>
          <w:rFonts w:hint="eastAsia"/>
          <w:b/>
          <w:bCs/>
          <w:color w:val="auto"/>
          <w:sz w:val="24"/>
          <w:szCs w:val="24"/>
        </w:rPr>
        <w:t>图4 水平衡</w:t>
      </w:r>
    </w:p>
    <w:p w14:paraId="30D4549A">
      <w:pPr>
        <w:pStyle w:val="122"/>
        <w:ind w:firstLine="482"/>
        <w:rPr>
          <w:b/>
          <w:bCs/>
          <w:color w:val="auto"/>
        </w:rPr>
      </w:pPr>
      <w:r>
        <w:rPr>
          <w:rFonts w:hint="eastAsia"/>
          <w:b/>
          <w:bCs/>
          <w:color w:val="auto"/>
        </w:rPr>
        <w:t>1</w:t>
      </w:r>
      <w:r>
        <w:rPr>
          <w:b/>
          <w:bCs/>
          <w:color w:val="auto"/>
        </w:rPr>
        <w:t>.6.3</w:t>
      </w:r>
      <w:r>
        <w:rPr>
          <w:rFonts w:hint="eastAsia"/>
          <w:b/>
          <w:bCs/>
          <w:color w:val="auto"/>
        </w:rPr>
        <w:t>固体废物</w:t>
      </w:r>
    </w:p>
    <w:p w14:paraId="5CBE73A8">
      <w:pPr>
        <w:pStyle w:val="21"/>
        <w:rPr>
          <w:color w:val="auto"/>
          <w:sz w:val="24"/>
          <w:szCs w:val="24"/>
        </w:rPr>
      </w:pPr>
      <w:bookmarkStart w:id="40" w:name="_Toc2723"/>
      <w:r>
        <w:rPr>
          <w:rFonts w:hint="eastAsia"/>
          <w:color w:val="auto"/>
          <w:sz w:val="24"/>
          <w:szCs w:val="24"/>
        </w:rPr>
        <w:t>（1）固体废物源强</w:t>
      </w:r>
      <w:bookmarkEnd w:id="40"/>
    </w:p>
    <w:p w14:paraId="1167DA76">
      <w:pPr>
        <w:pStyle w:val="21"/>
        <w:rPr>
          <w:color w:val="auto"/>
          <w:sz w:val="24"/>
          <w:szCs w:val="24"/>
        </w:rPr>
      </w:pPr>
      <w:r>
        <w:rPr>
          <w:rFonts w:hint="eastAsia"/>
          <w:color w:val="auto"/>
          <w:sz w:val="24"/>
          <w:szCs w:val="24"/>
        </w:rPr>
        <w:t>根据工程分析可知，本项目固废主要包括：废金属屑，废硝盐，废切削液，废砂，漆渣，生活垃圾。</w:t>
      </w:r>
    </w:p>
    <w:p w14:paraId="58349FF5">
      <w:pPr>
        <w:pStyle w:val="21"/>
        <w:rPr>
          <w:color w:val="auto"/>
          <w:sz w:val="24"/>
          <w:szCs w:val="24"/>
        </w:rPr>
      </w:pPr>
      <w:r>
        <w:rPr>
          <w:color w:val="auto"/>
          <w:sz w:val="24"/>
          <w:szCs w:val="24"/>
        </w:rPr>
        <w:t>1）</w:t>
      </w:r>
      <w:r>
        <w:rPr>
          <w:rFonts w:hint="eastAsia"/>
          <w:color w:val="auto"/>
          <w:sz w:val="24"/>
          <w:szCs w:val="24"/>
        </w:rPr>
        <w:t>废金属屑</w:t>
      </w:r>
    </w:p>
    <w:p w14:paraId="75E95198">
      <w:pPr>
        <w:pStyle w:val="21"/>
        <w:rPr>
          <w:color w:val="auto"/>
          <w:sz w:val="24"/>
          <w:szCs w:val="24"/>
        </w:rPr>
      </w:pPr>
      <w:r>
        <w:rPr>
          <w:rFonts w:hint="eastAsia"/>
          <w:color w:val="auto"/>
          <w:sz w:val="24"/>
          <w:szCs w:val="24"/>
        </w:rPr>
        <w:t>在生产过程中，本项目原材料在</w:t>
      </w:r>
      <w:r>
        <w:rPr>
          <w:rFonts w:hint="eastAsia"/>
          <w:color w:val="auto"/>
          <w:sz w:val="24"/>
          <w:szCs w:val="24"/>
          <w:lang w:val="en-US" w:eastAsia="zh-CN"/>
        </w:rPr>
        <w:t>金加工、激光</w:t>
      </w:r>
      <w:r>
        <w:rPr>
          <w:rFonts w:hint="eastAsia"/>
          <w:color w:val="auto"/>
          <w:sz w:val="24"/>
          <w:szCs w:val="24"/>
        </w:rPr>
        <w:t>切割</w:t>
      </w:r>
      <w:r>
        <w:rPr>
          <w:rFonts w:hint="eastAsia"/>
          <w:color w:val="auto"/>
          <w:sz w:val="24"/>
          <w:szCs w:val="24"/>
          <w:lang w:eastAsia="zh-CN"/>
        </w:rPr>
        <w:t>、</w:t>
      </w:r>
      <w:r>
        <w:rPr>
          <w:rFonts w:hint="eastAsia"/>
          <w:color w:val="auto"/>
          <w:sz w:val="24"/>
          <w:szCs w:val="24"/>
          <w:lang w:val="en-US" w:eastAsia="zh-CN"/>
        </w:rPr>
        <w:t>平面磨、开齿</w:t>
      </w:r>
      <w:r>
        <w:rPr>
          <w:rFonts w:hint="eastAsia"/>
          <w:color w:val="auto"/>
          <w:sz w:val="24"/>
          <w:szCs w:val="24"/>
        </w:rPr>
        <w:t>等过程会产生</w:t>
      </w:r>
      <w:r>
        <w:rPr>
          <w:rFonts w:hint="eastAsia"/>
          <w:color w:val="auto"/>
          <w:sz w:val="24"/>
          <w:szCs w:val="24"/>
          <w:lang w:val="en-US" w:eastAsia="zh-CN"/>
        </w:rPr>
        <w:t>废金属屑</w:t>
      </w:r>
      <w:r>
        <w:rPr>
          <w:rFonts w:hint="eastAsia"/>
          <w:color w:val="auto"/>
          <w:sz w:val="24"/>
          <w:szCs w:val="24"/>
        </w:rPr>
        <w:t>，粉尘收集会产生少量粉尘，根据</w:t>
      </w:r>
      <w:r>
        <w:rPr>
          <w:rFonts w:hint="eastAsia"/>
          <w:color w:val="auto"/>
          <w:sz w:val="24"/>
          <w:szCs w:val="24"/>
          <w:lang w:val="en-US" w:eastAsia="zh-CN"/>
        </w:rPr>
        <w:t>现有项目</w:t>
      </w:r>
      <w:r>
        <w:rPr>
          <w:rFonts w:hint="eastAsia"/>
          <w:color w:val="auto"/>
          <w:sz w:val="24"/>
          <w:szCs w:val="24"/>
        </w:rPr>
        <w:t>业主提供的</w:t>
      </w:r>
      <w:r>
        <w:rPr>
          <w:rFonts w:hint="eastAsia"/>
          <w:color w:val="auto"/>
          <w:sz w:val="24"/>
          <w:szCs w:val="24"/>
          <w:lang w:val="en-US" w:eastAsia="zh-CN"/>
        </w:rPr>
        <w:t>统计</w:t>
      </w:r>
      <w:r>
        <w:rPr>
          <w:rFonts w:hint="eastAsia"/>
          <w:color w:val="auto"/>
          <w:sz w:val="24"/>
          <w:szCs w:val="24"/>
        </w:rPr>
        <w:t>资料，产生量按</w:t>
      </w:r>
      <w:r>
        <w:rPr>
          <w:rFonts w:hint="eastAsia"/>
          <w:color w:val="auto"/>
          <w:sz w:val="24"/>
          <w:szCs w:val="24"/>
          <w:lang w:val="en-US" w:eastAsia="zh-CN"/>
        </w:rPr>
        <w:t>钢板</w:t>
      </w:r>
      <w:r>
        <w:rPr>
          <w:rFonts w:hint="eastAsia"/>
          <w:color w:val="auto"/>
          <w:sz w:val="24"/>
          <w:szCs w:val="24"/>
        </w:rPr>
        <w:t>原料用量的1%计，约为</w:t>
      </w:r>
      <w:r>
        <w:rPr>
          <w:rFonts w:hint="eastAsia"/>
          <w:color w:val="auto"/>
          <w:sz w:val="24"/>
          <w:szCs w:val="24"/>
          <w:lang w:val="en-US" w:eastAsia="zh-CN"/>
        </w:rPr>
        <w:t>4.6</w:t>
      </w:r>
      <w:r>
        <w:rPr>
          <w:rFonts w:hint="eastAsia"/>
          <w:color w:val="auto"/>
          <w:sz w:val="24"/>
          <w:szCs w:val="24"/>
        </w:rPr>
        <w:t>t/a。边角料属于一般工业固废，经收集后外售综合利用</w:t>
      </w:r>
      <w:r>
        <w:rPr>
          <w:color w:val="auto"/>
          <w:sz w:val="24"/>
          <w:szCs w:val="24"/>
        </w:rPr>
        <w:t>。</w:t>
      </w:r>
    </w:p>
    <w:p w14:paraId="12EC1B06">
      <w:pPr>
        <w:pStyle w:val="21"/>
        <w:rPr>
          <w:color w:val="auto"/>
          <w:sz w:val="24"/>
          <w:szCs w:val="24"/>
        </w:rPr>
      </w:pPr>
      <w:r>
        <w:rPr>
          <w:rFonts w:hint="eastAsia"/>
          <w:color w:val="auto"/>
          <w:sz w:val="24"/>
          <w:szCs w:val="24"/>
        </w:rPr>
        <w:t>2）废硝盐</w:t>
      </w:r>
    </w:p>
    <w:p w14:paraId="06D570C0">
      <w:pPr>
        <w:pStyle w:val="21"/>
        <w:rPr>
          <w:rFonts w:hint="eastAsia"/>
          <w:color w:val="auto"/>
          <w:sz w:val="24"/>
          <w:szCs w:val="24"/>
        </w:rPr>
      </w:pPr>
      <w:r>
        <w:rPr>
          <w:rFonts w:hint="eastAsia"/>
          <w:color w:val="auto"/>
          <w:sz w:val="24"/>
          <w:szCs w:val="24"/>
        </w:rPr>
        <w:t>本项目项目淬火炉内炉渣需定期清理，根据建设单位提供的年使用硝盐量为</w:t>
      </w:r>
      <w:r>
        <w:rPr>
          <w:rFonts w:hint="eastAsia"/>
          <w:color w:val="auto"/>
          <w:sz w:val="24"/>
          <w:szCs w:val="24"/>
          <w:lang w:val="en-US" w:eastAsia="zh-CN"/>
        </w:rPr>
        <w:t>22t/a，</w:t>
      </w:r>
      <w:r>
        <w:rPr>
          <w:rFonts w:hint="eastAsia"/>
          <w:color w:val="auto"/>
          <w:sz w:val="24"/>
          <w:szCs w:val="24"/>
        </w:rPr>
        <w:t>则项目淬火炉炉渣量为</w:t>
      </w:r>
      <w:r>
        <w:rPr>
          <w:rFonts w:hint="eastAsia"/>
          <w:color w:val="auto"/>
          <w:sz w:val="24"/>
          <w:szCs w:val="24"/>
          <w:lang w:val="en-US" w:eastAsia="zh-CN"/>
        </w:rPr>
        <w:t>22</w:t>
      </w:r>
      <w:r>
        <w:rPr>
          <w:rFonts w:hint="eastAsia"/>
          <w:color w:val="auto"/>
          <w:sz w:val="24"/>
          <w:szCs w:val="24"/>
        </w:rPr>
        <w:t>t</w:t>
      </w:r>
      <w:r>
        <w:rPr>
          <w:rFonts w:hint="eastAsia"/>
          <w:color w:val="auto"/>
          <w:sz w:val="24"/>
          <w:szCs w:val="24"/>
          <w:lang w:val="en-US" w:eastAsia="zh-CN"/>
        </w:rPr>
        <w:t>/</w:t>
      </w:r>
      <w:r>
        <w:rPr>
          <w:rFonts w:hint="eastAsia"/>
          <w:color w:val="auto"/>
          <w:sz w:val="24"/>
          <w:szCs w:val="24"/>
        </w:rPr>
        <w:t>a。</w:t>
      </w:r>
    </w:p>
    <w:p w14:paraId="0832599B">
      <w:pPr>
        <w:pStyle w:val="21"/>
        <w:rPr>
          <w:rFonts w:hint="eastAsia"/>
          <w:color w:val="auto"/>
          <w:sz w:val="24"/>
          <w:szCs w:val="24"/>
          <w:lang w:val="en-US" w:eastAsia="zh-CN"/>
        </w:rPr>
      </w:pPr>
      <w:r>
        <w:rPr>
          <w:rFonts w:hint="eastAsia"/>
          <w:color w:val="auto"/>
          <w:sz w:val="24"/>
          <w:szCs w:val="24"/>
        </w:rPr>
        <w:t>对照《国家危险废物名录（2025年版）》编号为HW</w:t>
      </w:r>
      <w:r>
        <w:rPr>
          <w:rFonts w:hint="eastAsia"/>
          <w:color w:val="auto"/>
          <w:sz w:val="24"/>
          <w:szCs w:val="24"/>
          <w:lang w:val="en-US" w:eastAsia="zh-CN"/>
        </w:rPr>
        <w:t>49</w:t>
      </w:r>
      <w:r>
        <w:rPr>
          <w:rFonts w:hint="eastAsia"/>
          <w:color w:val="auto"/>
          <w:sz w:val="24"/>
          <w:szCs w:val="24"/>
        </w:rPr>
        <w:t xml:space="preserve"> </w:t>
      </w:r>
      <w:r>
        <w:rPr>
          <w:rFonts w:hint="eastAsia"/>
          <w:color w:val="auto"/>
          <w:sz w:val="24"/>
          <w:szCs w:val="24"/>
          <w:lang w:val="en-US" w:eastAsia="zh-CN"/>
        </w:rPr>
        <w:t>其他</w:t>
      </w:r>
      <w:r>
        <w:rPr>
          <w:rFonts w:hint="eastAsia"/>
          <w:color w:val="auto"/>
          <w:sz w:val="24"/>
          <w:szCs w:val="24"/>
        </w:rPr>
        <w:t>废物，废物代码900-</w:t>
      </w:r>
      <w:r>
        <w:rPr>
          <w:rFonts w:hint="eastAsia"/>
          <w:color w:val="auto"/>
          <w:sz w:val="24"/>
          <w:szCs w:val="24"/>
          <w:lang w:val="en-US" w:eastAsia="zh-CN"/>
        </w:rPr>
        <w:t>999</w:t>
      </w:r>
      <w:r>
        <w:rPr>
          <w:rFonts w:hint="eastAsia"/>
          <w:color w:val="auto"/>
          <w:sz w:val="24"/>
          <w:szCs w:val="24"/>
        </w:rPr>
        <w:t>-</w:t>
      </w:r>
      <w:r>
        <w:rPr>
          <w:rFonts w:hint="eastAsia"/>
          <w:color w:val="auto"/>
          <w:sz w:val="24"/>
          <w:szCs w:val="24"/>
          <w:lang w:val="en-US" w:eastAsia="zh-CN"/>
        </w:rPr>
        <w:t>49，被所有者申报废弃的，或者未申报废弃但被非法排放、倾倒、利用、处置的，以及有关部门依法收缴或者接收且需要销毁的列入《危险化学品目录》的危险化学品（不含该目录中仅具有“加压气体”物理危险性的危险化学品）</w:t>
      </w:r>
      <w:r>
        <w:rPr>
          <w:rFonts w:hint="eastAsia"/>
          <w:color w:val="auto"/>
          <w:sz w:val="24"/>
          <w:szCs w:val="24"/>
          <w:lang w:eastAsia="zh-CN"/>
        </w:rPr>
        <w:t>，</w:t>
      </w:r>
      <w:r>
        <w:rPr>
          <w:rFonts w:hint="eastAsia"/>
          <w:color w:val="auto"/>
          <w:sz w:val="24"/>
          <w:szCs w:val="24"/>
          <w:lang w:val="en-US" w:eastAsia="zh-CN"/>
        </w:rPr>
        <w:t>废硝</w:t>
      </w:r>
      <w:r>
        <w:rPr>
          <w:rFonts w:hint="eastAsia"/>
          <w:color w:val="auto"/>
          <w:sz w:val="24"/>
          <w:szCs w:val="24"/>
          <w:lang w:eastAsia="zh-CN"/>
        </w:rPr>
        <w:t>盐实际产生后</w:t>
      </w:r>
      <w:r>
        <w:rPr>
          <w:rFonts w:hint="eastAsia"/>
          <w:color w:val="auto"/>
          <w:sz w:val="24"/>
          <w:szCs w:val="24"/>
          <w:lang w:val="en-US" w:eastAsia="zh-CN"/>
        </w:rPr>
        <w:t>需</w:t>
      </w:r>
      <w:r>
        <w:rPr>
          <w:rFonts w:hint="eastAsia"/>
          <w:color w:val="auto"/>
          <w:sz w:val="24"/>
          <w:szCs w:val="24"/>
          <w:lang w:eastAsia="zh-CN"/>
        </w:rPr>
        <w:t>经危废鉴定，</w:t>
      </w:r>
      <w:r>
        <w:rPr>
          <w:rFonts w:hint="eastAsia"/>
          <w:color w:val="auto"/>
          <w:sz w:val="24"/>
          <w:szCs w:val="24"/>
          <w:lang w:val="en-US" w:eastAsia="zh-CN"/>
        </w:rPr>
        <w:t>鉴定后</w:t>
      </w:r>
      <w:r>
        <w:rPr>
          <w:rFonts w:hint="eastAsia"/>
          <w:color w:val="auto"/>
          <w:sz w:val="24"/>
          <w:szCs w:val="24"/>
          <w:lang w:eastAsia="zh-CN"/>
        </w:rPr>
        <w:t>按鉴定结果处理。(危废鉴定前先按照《危险废物贮存污染控制标准》(GB18597-2023)中的相关要求暂时存放于危险废物仓内。实际产生经危废鉴定确定属性后，若</w:t>
      </w:r>
      <w:r>
        <w:rPr>
          <w:rFonts w:hint="eastAsia"/>
          <w:color w:val="auto"/>
          <w:sz w:val="24"/>
          <w:szCs w:val="24"/>
          <w:lang w:val="en-US" w:eastAsia="zh-CN"/>
        </w:rPr>
        <w:t>废硝</w:t>
      </w:r>
      <w:r>
        <w:rPr>
          <w:rFonts w:hint="eastAsia"/>
          <w:color w:val="auto"/>
          <w:sz w:val="24"/>
          <w:szCs w:val="24"/>
          <w:lang w:eastAsia="zh-CN"/>
        </w:rPr>
        <w:t>盐鉴定为危险废物，则按照危险废物处置要求进行委外处理；若鉴定为不属于危险废物，</w:t>
      </w:r>
      <w:r>
        <w:rPr>
          <w:rFonts w:hint="eastAsia"/>
          <w:color w:val="auto"/>
          <w:sz w:val="24"/>
          <w:szCs w:val="24"/>
          <w:lang w:val="en-US" w:eastAsia="zh-CN"/>
        </w:rPr>
        <w:t>则</w:t>
      </w:r>
      <w:r>
        <w:rPr>
          <w:rFonts w:hint="eastAsia"/>
          <w:color w:val="auto"/>
          <w:sz w:val="24"/>
          <w:szCs w:val="24"/>
          <w:lang w:eastAsia="zh-CN"/>
        </w:rPr>
        <w:t>产生的废硝盐属于一般工业固废，需按照一般工业固废处置要求进行委外处置。)</w:t>
      </w:r>
      <w:r>
        <w:rPr>
          <w:rFonts w:hint="eastAsia"/>
          <w:color w:val="auto"/>
          <w:sz w:val="24"/>
          <w:szCs w:val="24"/>
          <w:lang w:val="en-US" w:eastAsia="zh-CN"/>
        </w:rPr>
        <w:t>。</w:t>
      </w:r>
    </w:p>
    <w:p w14:paraId="455338BC">
      <w:pPr>
        <w:pStyle w:val="21"/>
        <w:rPr>
          <w:color w:val="auto"/>
          <w:sz w:val="24"/>
          <w:szCs w:val="24"/>
        </w:rPr>
      </w:pPr>
      <w:r>
        <w:rPr>
          <w:color w:val="auto"/>
          <w:sz w:val="24"/>
          <w:szCs w:val="24"/>
        </w:rPr>
        <w:t>3</w:t>
      </w:r>
      <w:r>
        <w:rPr>
          <w:rFonts w:hint="eastAsia"/>
          <w:color w:val="auto"/>
          <w:sz w:val="24"/>
          <w:szCs w:val="24"/>
        </w:rPr>
        <w:t>）废切削液</w:t>
      </w:r>
    </w:p>
    <w:p w14:paraId="24B46CF9">
      <w:pPr>
        <w:pStyle w:val="21"/>
        <w:rPr>
          <w:rFonts w:hint="eastAsia"/>
          <w:color w:val="auto"/>
          <w:sz w:val="24"/>
          <w:szCs w:val="24"/>
        </w:rPr>
      </w:pPr>
      <w:r>
        <w:rPr>
          <w:rFonts w:hint="eastAsia"/>
          <w:color w:val="auto"/>
          <w:sz w:val="24"/>
          <w:szCs w:val="24"/>
        </w:rPr>
        <w:t>项目生产过程中使用切削液，和水兑成一定比例循环使用，使用过程中产生消耗，根据使用情况定期进行更换，根据企业实际生产情况，切削液的更换频率为</w:t>
      </w:r>
      <w:r>
        <w:rPr>
          <w:rFonts w:hint="eastAsia"/>
          <w:color w:val="auto"/>
          <w:sz w:val="24"/>
          <w:szCs w:val="24"/>
          <w:lang w:val="en-US" w:eastAsia="zh-CN"/>
        </w:rPr>
        <w:t>每</w:t>
      </w:r>
      <w:r>
        <w:rPr>
          <w:rFonts w:hint="eastAsia"/>
          <w:color w:val="auto"/>
          <w:sz w:val="24"/>
          <w:szCs w:val="24"/>
        </w:rPr>
        <w:t>3月1次，加工过程产生的少量金属屑混在废切削液中无法分离，随废切削液一同处置。根据现有项目业主提供的统计资料，每次更换量为0. 1t，年产生废切削液量为0.4t/a。</w:t>
      </w:r>
    </w:p>
    <w:p w14:paraId="426F355E">
      <w:pPr>
        <w:pStyle w:val="21"/>
        <w:rPr>
          <w:rFonts w:hint="default" w:eastAsia="宋体"/>
          <w:color w:val="auto"/>
          <w:sz w:val="24"/>
          <w:szCs w:val="24"/>
          <w:lang w:val="en-US" w:eastAsia="zh-CN"/>
        </w:rPr>
      </w:pPr>
      <w:r>
        <w:rPr>
          <w:rFonts w:hint="eastAsia"/>
          <w:color w:val="auto"/>
          <w:sz w:val="24"/>
          <w:szCs w:val="24"/>
        </w:rPr>
        <w:t>对照《国家危险废物名录（2025年版）》编号为</w:t>
      </w:r>
      <w:r>
        <w:rPr>
          <w:rFonts w:hint="eastAsia"/>
          <w:color w:val="auto"/>
          <w:sz w:val="24"/>
          <w:szCs w:val="24"/>
          <w:lang w:val="en-US" w:eastAsia="zh-CN"/>
        </w:rPr>
        <w:t>HW09，</w:t>
      </w:r>
      <w:r>
        <w:rPr>
          <w:rFonts w:hint="eastAsia"/>
          <w:color w:val="auto"/>
          <w:sz w:val="24"/>
          <w:szCs w:val="24"/>
        </w:rPr>
        <w:t>废物代码900-</w:t>
      </w:r>
      <w:r>
        <w:rPr>
          <w:rFonts w:hint="eastAsia"/>
          <w:color w:val="auto"/>
          <w:sz w:val="24"/>
          <w:szCs w:val="24"/>
          <w:lang w:val="en-US" w:eastAsia="zh-CN"/>
        </w:rPr>
        <w:t>006</w:t>
      </w:r>
      <w:r>
        <w:rPr>
          <w:rFonts w:hint="eastAsia"/>
          <w:color w:val="auto"/>
          <w:sz w:val="24"/>
          <w:szCs w:val="24"/>
        </w:rPr>
        <w:t>-</w:t>
      </w:r>
      <w:r>
        <w:rPr>
          <w:rFonts w:hint="eastAsia"/>
          <w:color w:val="auto"/>
          <w:sz w:val="24"/>
          <w:szCs w:val="24"/>
          <w:lang w:val="en-US" w:eastAsia="zh-CN"/>
        </w:rPr>
        <w:t>09，使用切削油或者切削液进行机械加工过程中产生的油/水、烃/水混合物或者乳化液。</w:t>
      </w:r>
    </w:p>
    <w:p w14:paraId="38C55CC8">
      <w:pPr>
        <w:pStyle w:val="21"/>
        <w:rPr>
          <w:color w:val="auto"/>
          <w:sz w:val="24"/>
          <w:szCs w:val="24"/>
        </w:rPr>
      </w:pPr>
      <w:r>
        <w:rPr>
          <w:rFonts w:hint="eastAsia"/>
          <w:color w:val="auto"/>
          <w:sz w:val="24"/>
          <w:szCs w:val="24"/>
        </w:rPr>
        <w:t>4）废砂</w:t>
      </w:r>
    </w:p>
    <w:p w14:paraId="068533B6">
      <w:pPr>
        <w:pStyle w:val="21"/>
        <w:rPr>
          <w:color w:val="auto"/>
          <w:sz w:val="24"/>
          <w:szCs w:val="24"/>
        </w:rPr>
      </w:pPr>
      <w:r>
        <w:rPr>
          <w:rFonts w:hint="eastAsia"/>
          <w:color w:val="auto"/>
          <w:sz w:val="24"/>
          <w:szCs w:val="24"/>
        </w:rPr>
        <w:t>项目喷砂过程会产生废砂，根据现有项目业主提供的统计资料，</w:t>
      </w:r>
      <w:r>
        <w:rPr>
          <w:rFonts w:hint="eastAsia"/>
          <w:color w:val="auto"/>
          <w:sz w:val="24"/>
          <w:szCs w:val="24"/>
          <w:lang w:val="en-US" w:eastAsia="zh-CN"/>
        </w:rPr>
        <w:t>废砂年</w:t>
      </w:r>
      <w:r>
        <w:rPr>
          <w:rFonts w:hint="eastAsia"/>
          <w:color w:val="auto"/>
          <w:sz w:val="24"/>
          <w:szCs w:val="24"/>
        </w:rPr>
        <w:t>产生量约为 0.5t/a。</w:t>
      </w:r>
    </w:p>
    <w:p w14:paraId="3F1D726F">
      <w:pPr>
        <w:pStyle w:val="21"/>
        <w:rPr>
          <w:color w:val="auto"/>
          <w:sz w:val="24"/>
          <w:szCs w:val="24"/>
        </w:rPr>
      </w:pPr>
      <w:r>
        <w:rPr>
          <w:rFonts w:hint="eastAsia"/>
          <w:color w:val="auto"/>
          <w:sz w:val="24"/>
          <w:szCs w:val="24"/>
        </w:rPr>
        <w:t>5）废油漆桶</w:t>
      </w:r>
    </w:p>
    <w:p w14:paraId="67BBD155">
      <w:pPr>
        <w:pStyle w:val="21"/>
        <w:rPr>
          <w:color w:val="auto"/>
          <w:sz w:val="24"/>
          <w:szCs w:val="24"/>
        </w:rPr>
      </w:pPr>
      <w:r>
        <w:rPr>
          <w:rFonts w:hint="eastAsia"/>
          <w:color w:val="auto"/>
          <w:sz w:val="24"/>
          <w:szCs w:val="24"/>
        </w:rPr>
        <w:t>根据企业提供的原料及包装规格统计，一般一个废油漆桶约1.2~1.3kg，本次项目建成后全厂合计使用水性油漆</w:t>
      </w:r>
      <w:r>
        <w:rPr>
          <w:rFonts w:hint="eastAsia"/>
          <w:color w:val="auto"/>
          <w:sz w:val="24"/>
          <w:szCs w:val="24"/>
          <w:lang w:val="en-US" w:eastAsia="zh-CN"/>
        </w:rPr>
        <w:t>和溶剂型油漆漆2.17875</w:t>
      </w:r>
      <w:r>
        <w:rPr>
          <w:rFonts w:hint="eastAsia"/>
          <w:color w:val="auto"/>
          <w:sz w:val="24"/>
          <w:szCs w:val="24"/>
        </w:rPr>
        <w:t>t</w:t>
      </w:r>
      <w:r>
        <w:rPr>
          <w:rFonts w:hint="eastAsia"/>
          <w:color w:val="auto"/>
          <w:sz w:val="24"/>
          <w:szCs w:val="24"/>
          <w:lang w:val="en-US" w:eastAsia="zh-CN"/>
        </w:rPr>
        <w:t>/a</w:t>
      </w:r>
      <w:r>
        <w:rPr>
          <w:rFonts w:hint="eastAsia"/>
          <w:color w:val="auto"/>
          <w:sz w:val="24"/>
          <w:szCs w:val="24"/>
        </w:rPr>
        <w:t>，按照20kg/桶的规格进行计算，产生废油漆桶约</w:t>
      </w:r>
      <w:r>
        <w:rPr>
          <w:rFonts w:hint="eastAsia"/>
          <w:color w:val="auto"/>
          <w:sz w:val="24"/>
          <w:szCs w:val="24"/>
          <w:lang w:val="en-US" w:eastAsia="zh-CN"/>
        </w:rPr>
        <w:t>109</w:t>
      </w:r>
      <w:r>
        <w:rPr>
          <w:rFonts w:hint="eastAsia"/>
          <w:color w:val="auto"/>
          <w:sz w:val="24"/>
          <w:szCs w:val="24"/>
        </w:rPr>
        <w:t>个，按每个废油漆桶1.25kg进行计算，预计企业生产过程中产生的废油漆桶量为0.</w:t>
      </w:r>
      <w:r>
        <w:rPr>
          <w:rFonts w:hint="eastAsia"/>
          <w:color w:val="auto"/>
          <w:sz w:val="24"/>
          <w:szCs w:val="24"/>
          <w:lang w:val="en-US" w:eastAsia="zh-CN"/>
        </w:rPr>
        <w:t>13625</w:t>
      </w:r>
      <w:r>
        <w:rPr>
          <w:rFonts w:hint="eastAsia"/>
          <w:color w:val="auto"/>
          <w:sz w:val="24"/>
          <w:szCs w:val="24"/>
        </w:rPr>
        <w:t>t/a。则本项目实施后全厂废油漆桶产生量为：0.</w:t>
      </w:r>
      <w:r>
        <w:rPr>
          <w:rFonts w:hint="eastAsia"/>
          <w:color w:val="auto"/>
          <w:sz w:val="24"/>
          <w:szCs w:val="24"/>
          <w:lang w:val="en-US" w:eastAsia="zh-CN"/>
        </w:rPr>
        <w:t>13625</w:t>
      </w:r>
      <w:r>
        <w:rPr>
          <w:rFonts w:hint="eastAsia"/>
          <w:color w:val="auto"/>
          <w:sz w:val="24"/>
          <w:szCs w:val="24"/>
        </w:rPr>
        <w:t>t/a。</w:t>
      </w:r>
    </w:p>
    <w:p w14:paraId="2B5A8EE2">
      <w:pPr>
        <w:pStyle w:val="21"/>
        <w:rPr>
          <w:color w:val="auto"/>
          <w:sz w:val="24"/>
          <w:szCs w:val="24"/>
        </w:rPr>
      </w:pPr>
      <w:r>
        <w:rPr>
          <w:rFonts w:hint="eastAsia"/>
          <w:color w:val="auto"/>
          <w:sz w:val="24"/>
          <w:szCs w:val="24"/>
          <w:lang w:val="en-US" w:eastAsia="zh-CN"/>
        </w:rPr>
        <w:t>本项目所使用的水性漆中含有氢氧化铵，大鼠经口LD</w:t>
      </w:r>
      <w:r>
        <w:rPr>
          <w:rFonts w:hint="eastAsia"/>
          <w:color w:val="auto"/>
          <w:sz w:val="24"/>
          <w:szCs w:val="24"/>
          <w:vertAlign w:val="subscript"/>
          <w:lang w:val="en-US" w:eastAsia="zh-CN"/>
        </w:rPr>
        <w:t>50</w:t>
      </w:r>
      <w:r>
        <w:rPr>
          <w:rFonts w:hint="eastAsia"/>
          <w:color w:val="auto"/>
          <w:sz w:val="24"/>
          <w:szCs w:val="24"/>
          <w:lang w:val="en-US" w:eastAsia="zh-CN"/>
        </w:rPr>
        <w:t>约为350 mg/kg（以氨计），属于中等毒性，因此本项目水性油漆桶不予豁免。</w:t>
      </w:r>
      <w:r>
        <w:rPr>
          <w:rFonts w:hint="eastAsia"/>
          <w:color w:val="auto"/>
          <w:sz w:val="24"/>
          <w:szCs w:val="24"/>
        </w:rPr>
        <w:t>对照《国家危险废物名录（2025年版）》编号为HW</w:t>
      </w:r>
      <w:r>
        <w:rPr>
          <w:rFonts w:hint="eastAsia"/>
          <w:color w:val="auto"/>
          <w:sz w:val="24"/>
          <w:szCs w:val="24"/>
          <w:lang w:val="en-US" w:eastAsia="zh-CN"/>
        </w:rPr>
        <w:t>49</w:t>
      </w:r>
      <w:r>
        <w:rPr>
          <w:rFonts w:hint="eastAsia"/>
          <w:color w:val="auto"/>
          <w:sz w:val="24"/>
          <w:szCs w:val="24"/>
        </w:rPr>
        <w:t xml:space="preserve"> </w:t>
      </w:r>
      <w:r>
        <w:rPr>
          <w:rFonts w:hint="eastAsia"/>
          <w:color w:val="auto"/>
          <w:sz w:val="24"/>
          <w:szCs w:val="24"/>
          <w:lang w:val="en-US" w:eastAsia="zh-CN"/>
        </w:rPr>
        <w:t>其他</w:t>
      </w:r>
      <w:r>
        <w:rPr>
          <w:rFonts w:hint="eastAsia"/>
          <w:color w:val="auto"/>
          <w:sz w:val="24"/>
          <w:szCs w:val="24"/>
        </w:rPr>
        <w:t>废物，废物代码900-</w:t>
      </w:r>
      <w:r>
        <w:rPr>
          <w:rFonts w:hint="eastAsia"/>
          <w:color w:val="auto"/>
          <w:sz w:val="24"/>
          <w:szCs w:val="24"/>
          <w:lang w:val="en-US" w:eastAsia="zh-CN"/>
        </w:rPr>
        <w:t>041</w:t>
      </w:r>
      <w:r>
        <w:rPr>
          <w:rFonts w:hint="eastAsia"/>
          <w:color w:val="auto"/>
          <w:sz w:val="24"/>
          <w:szCs w:val="24"/>
        </w:rPr>
        <w:t>-</w:t>
      </w:r>
      <w:r>
        <w:rPr>
          <w:rFonts w:hint="eastAsia"/>
          <w:color w:val="auto"/>
          <w:sz w:val="24"/>
          <w:szCs w:val="24"/>
          <w:lang w:val="en-US" w:eastAsia="zh-CN"/>
        </w:rPr>
        <w:t>49</w:t>
      </w:r>
      <w:r>
        <w:rPr>
          <w:rFonts w:hint="eastAsia"/>
          <w:color w:val="auto"/>
          <w:sz w:val="24"/>
          <w:szCs w:val="24"/>
        </w:rPr>
        <w:t>，含有或者沾染毒性、感染性危险废物的废弃的包装物、容器、过滤吸附介质</w:t>
      </w:r>
      <w:r>
        <w:rPr>
          <w:rFonts w:hint="eastAsia"/>
          <w:color w:val="auto"/>
          <w:sz w:val="24"/>
          <w:szCs w:val="24"/>
          <w:lang w:eastAsia="zh-CN"/>
        </w:rPr>
        <w:t>；</w:t>
      </w:r>
      <w:r>
        <w:rPr>
          <w:rFonts w:hint="eastAsia"/>
          <w:color w:val="auto"/>
          <w:sz w:val="24"/>
          <w:szCs w:val="24"/>
          <w:lang w:val="en-US" w:eastAsia="zh-CN"/>
        </w:rPr>
        <w:t>本项目产生的废油漆桶属于危险废物，</w:t>
      </w:r>
      <w:r>
        <w:rPr>
          <w:rFonts w:hint="eastAsia"/>
          <w:color w:val="auto"/>
          <w:sz w:val="24"/>
          <w:szCs w:val="24"/>
        </w:rPr>
        <w:t>经收集由企业自行贮存后委托有资质单位进行处置。</w:t>
      </w:r>
    </w:p>
    <w:p w14:paraId="4C28483F">
      <w:pPr>
        <w:pStyle w:val="21"/>
        <w:rPr>
          <w:rFonts w:hint="eastAsia" w:eastAsia="宋体"/>
          <w:color w:val="auto"/>
          <w:sz w:val="24"/>
          <w:szCs w:val="24"/>
          <w:lang w:eastAsia="zh-CN"/>
        </w:rPr>
      </w:pPr>
      <w:r>
        <w:rPr>
          <w:rFonts w:hint="eastAsia"/>
          <w:color w:val="auto"/>
          <w:sz w:val="24"/>
          <w:szCs w:val="24"/>
        </w:rPr>
        <w:t>6）</w:t>
      </w:r>
      <w:r>
        <w:rPr>
          <w:rFonts w:hint="eastAsia"/>
          <w:color w:val="auto"/>
          <w:sz w:val="24"/>
          <w:szCs w:val="24"/>
          <w:lang w:val="en-US" w:eastAsia="zh-CN"/>
        </w:rPr>
        <w:t>漆渣</w:t>
      </w:r>
    </w:p>
    <w:p w14:paraId="06F35A07">
      <w:pPr>
        <w:pStyle w:val="21"/>
        <w:rPr>
          <w:rFonts w:hint="eastAsia"/>
          <w:color w:val="auto"/>
          <w:sz w:val="24"/>
          <w:szCs w:val="24"/>
          <w:lang w:val="en-US" w:eastAsia="zh-CN"/>
        </w:rPr>
      </w:pPr>
      <w:r>
        <w:rPr>
          <w:color w:val="auto"/>
          <w:sz w:val="24"/>
          <w:szCs w:val="24"/>
        </w:rPr>
        <w:t>项目喷漆工序中会产生少量的漆雾</w:t>
      </w:r>
      <w:r>
        <w:rPr>
          <w:rFonts w:hint="eastAsia"/>
          <w:color w:val="auto"/>
          <w:sz w:val="24"/>
          <w:szCs w:val="24"/>
        </w:rPr>
        <w:t>，</w:t>
      </w:r>
      <w:r>
        <w:rPr>
          <w:color w:val="auto"/>
          <w:sz w:val="24"/>
          <w:szCs w:val="24"/>
        </w:rPr>
        <w:t>产生量</w:t>
      </w:r>
      <w:r>
        <w:rPr>
          <w:rFonts w:hint="eastAsia"/>
          <w:color w:val="auto"/>
          <w:sz w:val="24"/>
          <w:szCs w:val="24"/>
        </w:rPr>
        <w:t>约</w:t>
      </w:r>
      <w:r>
        <w:rPr>
          <w:color w:val="auto"/>
          <w:sz w:val="24"/>
          <w:szCs w:val="24"/>
        </w:rPr>
        <w:t>为油漆总量的10%</w:t>
      </w:r>
      <w:r>
        <w:rPr>
          <w:rFonts w:hint="eastAsia"/>
          <w:color w:val="auto"/>
          <w:sz w:val="24"/>
          <w:szCs w:val="24"/>
        </w:rPr>
        <w:t>，</w:t>
      </w:r>
      <w:r>
        <w:rPr>
          <w:color w:val="auto"/>
          <w:sz w:val="24"/>
          <w:szCs w:val="24"/>
        </w:rPr>
        <w:t>本项目油漆年用量为</w:t>
      </w:r>
      <w:r>
        <w:rPr>
          <w:rFonts w:hint="eastAsia"/>
          <w:color w:val="auto"/>
          <w:sz w:val="24"/>
          <w:szCs w:val="24"/>
          <w:lang w:val="en-US" w:eastAsia="zh-CN"/>
        </w:rPr>
        <w:t>2.17875</w:t>
      </w:r>
      <w:r>
        <w:rPr>
          <w:color w:val="auto"/>
          <w:sz w:val="24"/>
          <w:szCs w:val="24"/>
        </w:rPr>
        <w:t>t</w:t>
      </w:r>
      <w:r>
        <w:rPr>
          <w:rFonts w:hint="eastAsia"/>
          <w:color w:val="auto"/>
          <w:sz w:val="24"/>
          <w:szCs w:val="24"/>
          <w:lang w:val="en-US" w:eastAsia="zh-CN"/>
        </w:rPr>
        <w:t>/a</w:t>
      </w:r>
      <w:r>
        <w:rPr>
          <w:rFonts w:hint="eastAsia"/>
          <w:color w:val="auto"/>
          <w:sz w:val="24"/>
          <w:szCs w:val="24"/>
        </w:rPr>
        <w:t>，</w:t>
      </w:r>
      <w:r>
        <w:rPr>
          <w:color w:val="auto"/>
          <w:sz w:val="24"/>
          <w:szCs w:val="24"/>
        </w:rPr>
        <w:t>则漆雾产生量为</w:t>
      </w:r>
      <w:r>
        <w:rPr>
          <w:rFonts w:hint="eastAsia"/>
          <w:color w:val="auto"/>
          <w:sz w:val="24"/>
          <w:szCs w:val="24"/>
          <w:lang w:val="en-US" w:eastAsia="zh-CN"/>
        </w:rPr>
        <w:t>0.218</w:t>
      </w:r>
      <w:r>
        <w:rPr>
          <w:color w:val="auto"/>
          <w:sz w:val="24"/>
          <w:szCs w:val="24"/>
        </w:rPr>
        <w:t>t</w:t>
      </w:r>
      <w:r>
        <w:rPr>
          <w:rFonts w:hint="eastAsia"/>
          <w:color w:val="auto"/>
          <w:sz w:val="24"/>
          <w:szCs w:val="24"/>
          <w:lang w:val="en-US" w:eastAsia="zh-CN"/>
        </w:rPr>
        <w:t>/a</w:t>
      </w:r>
      <w:r>
        <w:rPr>
          <w:color w:val="auto"/>
          <w:sz w:val="24"/>
          <w:szCs w:val="24"/>
        </w:rPr>
        <w:t>。</w:t>
      </w:r>
      <w:r>
        <w:rPr>
          <w:rFonts w:hint="eastAsia"/>
          <w:color w:val="auto"/>
          <w:sz w:val="24"/>
          <w:szCs w:val="24"/>
        </w:rPr>
        <w:t>产生的</w:t>
      </w:r>
      <w:r>
        <w:rPr>
          <w:color w:val="auto"/>
          <w:sz w:val="24"/>
          <w:szCs w:val="24"/>
        </w:rPr>
        <w:t>漆雾</w:t>
      </w:r>
      <w:r>
        <w:rPr>
          <w:rFonts w:hint="eastAsia"/>
          <w:color w:val="auto"/>
          <w:sz w:val="24"/>
          <w:szCs w:val="24"/>
        </w:rPr>
        <w:t>会</w:t>
      </w:r>
      <w:r>
        <w:rPr>
          <w:color w:val="auto"/>
          <w:sz w:val="24"/>
          <w:szCs w:val="24"/>
        </w:rPr>
        <w:t>被水帘漆雾净化机洗涤下来</w:t>
      </w:r>
      <w:r>
        <w:rPr>
          <w:rFonts w:hint="eastAsia"/>
          <w:color w:val="auto"/>
          <w:sz w:val="24"/>
          <w:szCs w:val="24"/>
        </w:rPr>
        <w:t>，</w:t>
      </w:r>
      <w:r>
        <w:rPr>
          <w:color w:val="auto"/>
          <w:sz w:val="24"/>
          <w:szCs w:val="24"/>
        </w:rPr>
        <w:t>进入</w:t>
      </w:r>
      <w:r>
        <w:rPr>
          <w:rFonts w:hint="eastAsia"/>
          <w:color w:val="auto"/>
          <w:sz w:val="24"/>
          <w:szCs w:val="24"/>
        </w:rPr>
        <w:t>水帘喷淋</w:t>
      </w:r>
      <w:r>
        <w:rPr>
          <w:color w:val="auto"/>
          <w:sz w:val="24"/>
          <w:szCs w:val="24"/>
        </w:rPr>
        <w:t>水中</w:t>
      </w:r>
      <w:r>
        <w:rPr>
          <w:rFonts w:hint="eastAsia"/>
          <w:color w:val="auto"/>
          <w:sz w:val="24"/>
          <w:szCs w:val="24"/>
        </w:rPr>
        <w:t>，水帘喷淋水定期更换，废水先经预处理（混凝沉淀）后</w:t>
      </w:r>
      <w:r>
        <w:rPr>
          <w:color w:val="auto"/>
          <w:sz w:val="24"/>
          <w:szCs w:val="24"/>
        </w:rPr>
        <w:t>形成漆渣</w:t>
      </w:r>
      <w:r>
        <w:rPr>
          <w:rFonts w:hint="eastAsia"/>
          <w:color w:val="auto"/>
          <w:sz w:val="24"/>
          <w:szCs w:val="24"/>
        </w:rPr>
        <w:t>，将废水中的漆渣打捞过滤后</w:t>
      </w:r>
      <w:r>
        <w:rPr>
          <w:rFonts w:hint="eastAsia"/>
          <w:color w:val="auto"/>
          <w:sz w:val="24"/>
          <w:szCs w:val="24"/>
          <w:lang w:val="en-US" w:eastAsia="zh-CN"/>
        </w:rPr>
        <w:t>废水排入自建污水处理设施，与其他清洗废水一同经处理后纳管排放</w:t>
      </w:r>
      <w:r>
        <w:rPr>
          <w:rFonts w:hint="eastAsia"/>
          <w:color w:val="auto"/>
          <w:sz w:val="24"/>
          <w:szCs w:val="24"/>
        </w:rPr>
        <w:t>，</w:t>
      </w:r>
      <w:r>
        <w:rPr>
          <w:rFonts w:hint="eastAsia"/>
          <w:color w:val="auto"/>
          <w:sz w:val="24"/>
          <w:szCs w:val="24"/>
          <w:lang w:val="en-US" w:eastAsia="zh-CN"/>
        </w:rPr>
        <w:t>漆渣</w:t>
      </w:r>
      <w:r>
        <w:rPr>
          <w:rFonts w:hint="eastAsia"/>
          <w:color w:val="auto"/>
          <w:sz w:val="24"/>
          <w:szCs w:val="24"/>
        </w:rPr>
        <w:t>经收集由企业自行贮存后委托有资质单位进行处置</w:t>
      </w:r>
      <w:r>
        <w:rPr>
          <w:rFonts w:hint="eastAsia"/>
          <w:color w:val="auto"/>
          <w:sz w:val="24"/>
          <w:szCs w:val="24"/>
          <w:lang w:val="en-US" w:eastAsia="zh-CN"/>
        </w:rPr>
        <w:t>。</w:t>
      </w:r>
    </w:p>
    <w:p w14:paraId="4068720D">
      <w:pPr>
        <w:pStyle w:val="21"/>
        <w:rPr>
          <w:color w:val="auto"/>
          <w:sz w:val="24"/>
          <w:szCs w:val="24"/>
        </w:rPr>
      </w:pPr>
      <w:r>
        <w:rPr>
          <w:rFonts w:hint="eastAsia"/>
          <w:color w:val="auto"/>
          <w:sz w:val="24"/>
          <w:szCs w:val="24"/>
        </w:rPr>
        <w:t>对照《国家危险废物名录（2025年版）》编号为HW12 染料、涂料废物，废物代码900-2</w:t>
      </w:r>
      <w:r>
        <w:rPr>
          <w:rFonts w:hint="eastAsia"/>
          <w:color w:val="auto"/>
          <w:sz w:val="24"/>
          <w:szCs w:val="24"/>
          <w:lang w:val="en-US" w:eastAsia="zh-CN"/>
        </w:rPr>
        <w:t>52</w:t>
      </w:r>
      <w:r>
        <w:rPr>
          <w:rFonts w:hint="eastAsia"/>
          <w:color w:val="auto"/>
          <w:sz w:val="24"/>
          <w:szCs w:val="24"/>
        </w:rPr>
        <w:t>-12</w:t>
      </w:r>
      <w:r>
        <w:rPr>
          <w:rFonts w:hint="eastAsia"/>
          <w:color w:val="auto"/>
          <w:sz w:val="24"/>
          <w:szCs w:val="24"/>
          <w:lang w:eastAsia="zh-CN"/>
        </w:rPr>
        <w:t>“使用油漆（不包括水性漆）、有机溶剂进行喷漆、上漆过程中过喷漆雾湿法捕集产生的漆渣、以及喷涂工位和管道清理过程产生的落地漆渣”，</w:t>
      </w:r>
      <w:r>
        <w:rPr>
          <w:rFonts w:hint="eastAsia"/>
          <w:color w:val="auto"/>
          <w:sz w:val="24"/>
          <w:szCs w:val="24"/>
        </w:rPr>
        <w:t>由于本项目使用的油漆为水性漆</w:t>
      </w:r>
      <w:r>
        <w:rPr>
          <w:rFonts w:hint="eastAsia"/>
          <w:color w:val="auto"/>
          <w:sz w:val="24"/>
          <w:szCs w:val="24"/>
          <w:lang w:val="en-US" w:eastAsia="zh-CN"/>
        </w:rPr>
        <w:t>和溶剂型油漆</w:t>
      </w:r>
      <w:r>
        <w:rPr>
          <w:rFonts w:hint="eastAsia"/>
          <w:color w:val="auto"/>
          <w:sz w:val="24"/>
          <w:szCs w:val="24"/>
        </w:rPr>
        <w:t>，</w:t>
      </w:r>
      <w:r>
        <w:rPr>
          <w:rFonts w:hint="eastAsia"/>
          <w:color w:val="auto"/>
          <w:sz w:val="24"/>
          <w:szCs w:val="24"/>
          <w:lang w:val="en-US" w:eastAsia="zh-CN"/>
        </w:rPr>
        <w:t>设备为全自动一体化设备，两类油漆在使用时不区分生产设备因此</w:t>
      </w:r>
      <w:r>
        <w:rPr>
          <w:rFonts w:hint="eastAsia"/>
          <w:color w:val="auto"/>
          <w:sz w:val="24"/>
          <w:szCs w:val="24"/>
        </w:rPr>
        <w:t>捞出的漆渣</w:t>
      </w:r>
      <w:r>
        <w:rPr>
          <w:rFonts w:hint="eastAsia"/>
          <w:color w:val="auto"/>
          <w:sz w:val="24"/>
          <w:szCs w:val="24"/>
          <w:lang w:val="en-US" w:eastAsia="zh-CN"/>
        </w:rPr>
        <w:t>均考虑为</w:t>
      </w:r>
      <w:r>
        <w:rPr>
          <w:rFonts w:hint="eastAsia"/>
          <w:color w:val="auto"/>
          <w:sz w:val="24"/>
          <w:szCs w:val="24"/>
        </w:rPr>
        <w:t>危险废物，本项目</w:t>
      </w:r>
      <w:r>
        <w:rPr>
          <w:rFonts w:hint="eastAsia"/>
          <w:color w:val="auto"/>
          <w:sz w:val="24"/>
          <w:szCs w:val="24"/>
          <w:lang w:val="en-US" w:eastAsia="zh-CN"/>
        </w:rPr>
        <w:t>漆雾</w:t>
      </w:r>
      <w:r>
        <w:rPr>
          <w:rFonts w:hint="eastAsia"/>
          <w:color w:val="auto"/>
          <w:sz w:val="24"/>
          <w:szCs w:val="24"/>
        </w:rPr>
        <w:t>产生量约</w:t>
      </w:r>
      <w:r>
        <w:rPr>
          <w:color w:val="auto"/>
          <w:sz w:val="24"/>
          <w:szCs w:val="24"/>
        </w:rPr>
        <w:t>为</w:t>
      </w:r>
      <w:r>
        <w:rPr>
          <w:rFonts w:hint="eastAsia"/>
          <w:color w:val="auto"/>
          <w:sz w:val="24"/>
          <w:szCs w:val="24"/>
          <w:lang w:val="en-US" w:eastAsia="zh-CN"/>
        </w:rPr>
        <w:t>0.218</w:t>
      </w:r>
      <w:r>
        <w:rPr>
          <w:color w:val="auto"/>
          <w:sz w:val="24"/>
          <w:szCs w:val="24"/>
        </w:rPr>
        <w:t>t</w:t>
      </w:r>
      <w:r>
        <w:rPr>
          <w:rFonts w:hint="eastAsia"/>
          <w:color w:val="auto"/>
          <w:sz w:val="24"/>
          <w:szCs w:val="24"/>
        </w:rPr>
        <w:t>/a</w:t>
      </w:r>
      <w:r>
        <w:rPr>
          <w:rFonts w:hint="eastAsia"/>
          <w:color w:val="auto"/>
          <w:sz w:val="24"/>
          <w:szCs w:val="24"/>
          <w:lang w:eastAsia="zh-CN"/>
        </w:rPr>
        <w:t>，漆雾固含量50%，去除率92%，人工捞渣含水率85%，</w:t>
      </w:r>
      <w:r>
        <w:rPr>
          <w:rFonts w:hint="eastAsia"/>
          <w:color w:val="auto"/>
          <w:sz w:val="24"/>
          <w:szCs w:val="24"/>
          <w:lang w:val="en-US" w:eastAsia="zh-CN"/>
        </w:rPr>
        <w:t>0.218t/a</w:t>
      </w:r>
      <w:r>
        <w:rPr>
          <w:rFonts w:hint="eastAsia"/>
          <w:color w:val="auto"/>
          <w:sz w:val="24"/>
          <w:szCs w:val="24"/>
          <w:lang w:eastAsia="zh-CN"/>
        </w:rPr>
        <w:t>漆雾产生漆渣约</w:t>
      </w:r>
      <w:r>
        <w:rPr>
          <w:rFonts w:hint="eastAsia"/>
          <w:color w:val="auto"/>
          <w:sz w:val="24"/>
          <w:szCs w:val="24"/>
          <w:lang w:val="en-US" w:eastAsia="zh-CN"/>
        </w:rPr>
        <w:t>0.058</w:t>
      </w:r>
      <w:r>
        <w:rPr>
          <w:rFonts w:hint="eastAsia"/>
          <w:color w:val="auto"/>
          <w:sz w:val="24"/>
          <w:szCs w:val="24"/>
          <w:lang w:eastAsia="zh-CN"/>
        </w:rPr>
        <w:t>t</w:t>
      </w:r>
      <w:r>
        <w:rPr>
          <w:rFonts w:hint="eastAsia"/>
          <w:color w:val="auto"/>
          <w:sz w:val="24"/>
          <w:szCs w:val="24"/>
          <w:lang w:val="en-US" w:eastAsia="zh-CN"/>
        </w:rPr>
        <w:t>/a</w:t>
      </w:r>
      <w:r>
        <w:rPr>
          <w:color w:val="auto"/>
          <w:sz w:val="24"/>
          <w:szCs w:val="24"/>
        </w:rPr>
        <w:t>。</w:t>
      </w:r>
    </w:p>
    <w:p w14:paraId="01EC3C69">
      <w:pPr>
        <w:pStyle w:val="21"/>
        <w:rPr>
          <w:color w:val="auto"/>
          <w:sz w:val="24"/>
          <w:szCs w:val="24"/>
        </w:rPr>
      </w:pPr>
      <w:r>
        <w:rPr>
          <w:rFonts w:hint="eastAsia"/>
          <w:color w:val="auto"/>
          <w:sz w:val="24"/>
          <w:szCs w:val="24"/>
        </w:rPr>
        <w:t>7）废活性炭</w:t>
      </w:r>
    </w:p>
    <w:p w14:paraId="0BB39870">
      <w:pPr>
        <w:pStyle w:val="21"/>
        <w:rPr>
          <w:rFonts w:hint="eastAsia"/>
          <w:color w:val="auto"/>
          <w:sz w:val="24"/>
          <w:szCs w:val="24"/>
        </w:rPr>
      </w:pPr>
      <w:r>
        <w:rPr>
          <w:rFonts w:hint="eastAsia"/>
          <w:color w:val="auto"/>
          <w:sz w:val="24"/>
          <w:szCs w:val="24"/>
        </w:rPr>
        <w:t>本项目</w:t>
      </w:r>
      <w:r>
        <w:rPr>
          <w:rFonts w:hint="eastAsia"/>
          <w:color w:val="auto"/>
          <w:sz w:val="24"/>
          <w:szCs w:val="24"/>
          <w:lang w:val="en-US" w:eastAsia="zh-CN"/>
        </w:rPr>
        <w:t>喷涂</w:t>
      </w:r>
      <w:r>
        <w:rPr>
          <w:rFonts w:hint="eastAsia"/>
          <w:color w:val="auto"/>
          <w:sz w:val="24"/>
          <w:szCs w:val="24"/>
        </w:rPr>
        <w:t>废气收集后经</w:t>
      </w:r>
      <w:r>
        <w:rPr>
          <w:rFonts w:hint="eastAsia"/>
          <w:color w:val="auto"/>
          <w:sz w:val="24"/>
          <w:szCs w:val="24"/>
          <w:lang w:eastAsia="zh-CN"/>
        </w:rPr>
        <w:t>“</w:t>
      </w:r>
      <w:r>
        <w:rPr>
          <w:rFonts w:hint="eastAsia"/>
          <w:color w:val="auto"/>
          <w:sz w:val="24"/>
          <w:szCs w:val="24"/>
          <w:lang w:val="en-US" w:eastAsia="zh-CN"/>
        </w:rPr>
        <w:t>活性炭吸附+脱附催化燃烧</w:t>
      </w:r>
      <w:r>
        <w:rPr>
          <w:rFonts w:hint="eastAsia"/>
          <w:color w:val="auto"/>
          <w:sz w:val="24"/>
          <w:szCs w:val="24"/>
          <w:lang w:eastAsia="zh-CN"/>
        </w:rPr>
        <w:t>”</w:t>
      </w:r>
      <w:r>
        <w:rPr>
          <w:rFonts w:hint="eastAsia"/>
          <w:color w:val="auto"/>
          <w:sz w:val="24"/>
          <w:szCs w:val="24"/>
          <w:lang w:val="en-US" w:eastAsia="zh-CN"/>
        </w:rPr>
        <w:t>装置处理</w:t>
      </w:r>
      <w:r>
        <w:rPr>
          <w:rFonts w:hint="eastAsia"/>
          <w:color w:val="auto"/>
          <w:sz w:val="24"/>
          <w:szCs w:val="24"/>
        </w:rPr>
        <w:t>后排放，会产生废活性炭。</w:t>
      </w:r>
      <w:r>
        <w:rPr>
          <w:rFonts w:hint="eastAsia"/>
          <w:color w:val="auto"/>
          <w:sz w:val="24"/>
          <w:szCs w:val="24"/>
          <w:lang w:val="en-US" w:eastAsia="zh-CN"/>
        </w:rPr>
        <w:t>根据工程设计方案，活性炭箱装填体积为4m</w:t>
      </w:r>
      <w:r>
        <w:rPr>
          <w:rFonts w:hint="eastAsia"/>
          <w:color w:val="auto"/>
          <w:sz w:val="24"/>
          <w:szCs w:val="24"/>
          <w:vertAlign w:val="superscript"/>
          <w:lang w:val="en-US" w:eastAsia="zh-CN"/>
        </w:rPr>
        <w:t>3</w:t>
      </w:r>
      <w:r>
        <w:rPr>
          <w:rFonts w:hint="eastAsia"/>
          <w:color w:val="auto"/>
          <w:sz w:val="24"/>
          <w:szCs w:val="24"/>
          <w:lang w:val="en-US" w:eastAsia="zh-CN"/>
        </w:rPr>
        <w:t>，本项目</w:t>
      </w:r>
      <w:r>
        <w:rPr>
          <w:rFonts w:hint="eastAsia"/>
          <w:color w:val="auto"/>
          <w:sz w:val="24"/>
          <w:szCs w:val="24"/>
        </w:rPr>
        <w:t>活性炭选用颗粒状活性炭，碘值在800mg/g以上</w:t>
      </w:r>
      <w:r>
        <w:rPr>
          <w:rFonts w:hint="eastAsia"/>
          <w:color w:val="auto"/>
          <w:sz w:val="24"/>
          <w:szCs w:val="24"/>
          <w:lang w:eastAsia="zh-CN"/>
        </w:rPr>
        <w:t>，</w:t>
      </w:r>
      <w:r>
        <w:rPr>
          <w:rFonts w:hint="eastAsia"/>
          <w:color w:val="auto"/>
          <w:sz w:val="24"/>
          <w:szCs w:val="24"/>
          <w:lang w:val="en-US" w:eastAsia="zh-CN"/>
        </w:rPr>
        <w:t>取活性炭密度为0.5g/cm</w:t>
      </w:r>
      <w:r>
        <w:rPr>
          <w:rFonts w:hint="eastAsia"/>
          <w:color w:val="auto"/>
          <w:sz w:val="24"/>
          <w:szCs w:val="24"/>
          <w:vertAlign w:val="superscript"/>
          <w:lang w:val="en-US" w:eastAsia="zh-CN"/>
        </w:rPr>
        <w:t>3</w:t>
      </w:r>
      <w:r>
        <w:rPr>
          <w:rFonts w:hint="eastAsia"/>
          <w:color w:val="auto"/>
          <w:sz w:val="24"/>
          <w:szCs w:val="24"/>
          <w:lang w:val="en-US" w:eastAsia="zh-CN"/>
        </w:rPr>
        <w:t>，则单次装填量为2t，由于采用吸附脱附+催化燃烧的处理工艺，设备配套安装活性炭效率监控设备，考虑在活性炭吸附效能不满足要求后才进行更换，保守考虑每半年进行1次更换，则年废活性炭产生量为4t</w:t>
      </w:r>
      <w:r>
        <w:rPr>
          <w:rFonts w:hint="eastAsia"/>
          <w:color w:val="auto"/>
          <w:sz w:val="24"/>
          <w:szCs w:val="24"/>
        </w:rPr>
        <w:t>。</w:t>
      </w:r>
    </w:p>
    <w:p w14:paraId="4827DAE9">
      <w:pPr>
        <w:pStyle w:val="21"/>
        <w:rPr>
          <w:rFonts w:hint="eastAsia" w:eastAsia="宋体"/>
          <w:color w:val="auto"/>
          <w:sz w:val="24"/>
          <w:szCs w:val="24"/>
          <w:lang w:val="en-US" w:eastAsia="zh-CN"/>
        </w:rPr>
      </w:pPr>
      <w:r>
        <w:rPr>
          <w:rFonts w:hint="eastAsia"/>
          <w:color w:val="auto"/>
          <w:sz w:val="24"/>
          <w:szCs w:val="24"/>
          <w:lang w:val="en-US" w:eastAsia="zh-CN"/>
        </w:rPr>
        <w:t>对照</w:t>
      </w:r>
      <w:r>
        <w:rPr>
          <w:rFonts w:hint="eastAsia"/>
          <w:color w:val="auto"/>
          <w:sz w:val="24"/>
          <w:szCs w:val="24"/>
        </w:rPr>
        <w:t>《国家危险废物名录（2025年版）》编号为</w:t>
      </w:r>
      <w:r>
        <w:rPr>
          <w:rFonts w:hint="eastAsia"/>
          <w:color w:val="auto"/>
          <w:sz w:val="24"/>
          <w:szCs w:val="24"/>
          <w:lang w:val="en-US" w:eastAsia="zh-CN"/>
        </w:rPr>
        <w:t>HW49其他废物，非特定行业，危废代码900-039-49“烟气、VOCs治理过程产生的废活性炭”，废活性炭</w:t>
      </w:r>
      <w:r>
        <w:rPr>
          <w:rFonts w:hint="eastAsia"/>
          <w:color w:val="auto"/>
          <w:sz w:val="24"/>
          <w:szCs w:val="24"/>
        </w:rPr>
        <w:t>经收集由企业自行贮存后委托有资质单位进行处置</w:t>
      </w:r>
      <w:r>
        <w:rPr>
          <w:rFonts w:hint="eastAsia"/>
          <w:color w:val="auto"/>
          <w:sz w:val="24"/>
          <w:szCs w:val="24"/>
          <w:lang w:eastAsia="zh-CN"/>
        </w:rPr>
        <w:t>。</w:t>
      </w:r>
    </w:p>
    <w:p w14:paraId="780C15AA">
      <w:pPr>
        <w:pStyle w:val="21"/>
        <w:numPr>
          <w:ilvl w:val="0"/>
          <w:numId w:val="0"/>
        </w:numPr>
        <w:ind w:firstLine="480" w:firstLineChars="200"/>
        <w:rPr>
          <w:rFonts w:hint="eastAsia"/>
          <w:color w:val="auto"/>
          <w:sz w:val="24"/>
          <w:szCs w:val="24"/>
          <w:lang w:val="en-US" w:eastAsia="zh-CN"/>
        </w:rPr>
      </w:pPr>
      <w:r>
        <w:rPr>
          <w:rFonts w:hint="eastAsia" w:ascii="Times New Roman" w:hAnsi="Times New Roman" w:eastAsia="宋体" w:cs="Times New Roman"/>
          <w:color w:val="auto"/>
          <w:kern w:val="2"/>
          <w:sz w:val="24"/>
          <w:szCs w:val="24"/>
          <w:lang w:val="en-US" w:eastAsia="zh-CN" w:bidi="ar-SA"/>
        </w:rPr>
        <w:t>8）</w:t>
      </w:r>
      <w:r>
        <w:rPr>
          <w:rFonts w:hint="eastAsia"/>
          <w:color w:val="auto"/>
          <w:sz w:val="24"/>
          <w:szCs w:val="24"/>
          <w:lang w:val="en-US" w:eastAsia="zh-CN"/>
        </w:rPr>
        <w:t>废催化剂</w:t>
      </w:r>
    </w:p>
    <w:p w14:paraId="2902A547">
      <w:pPr>
        <w:pStyle w:val="21"/>
        <w:rPr>
          <w:rFonts w:hint="default"/>
          <w:color w:val="auto"/>
          <w:sz w:val="24"/>
          <w:szCs w:val="24"/>
          <w:lang w:val="en-US" w:eastAsia="zh-CN"/>
        </w:rPr>
      </w:pPr>
      <w:r>
        <w:rPr>
          <w:rFonts w:hint="eastAsia"/>
          <w:color w:val="auto"/>
          <w:sz w:val="24"/>
          <w:szCs w:val="24"/>
          <w:lang w:val="en-US" w:eastAsia="zh-CN"/>
        </w:rPr>
        <w:t>根据工程设计方案，废气治理催化燃烧产生废催化剂，催化剂装填量为0.01t，每两年更换一次，则年最大产生量为0.01t/a，危废类别为HW50废催化剂，行业来源为非特定行业，参照机动车和非道路移动机械尾气净化废催化剂，废物代码为 900-049-50；经收集由企业自行贮存后委托有资质单位进行处置。</w:t>
      </w:r>
    </w:p>
    <w:p w14:paraId="03EBB631">
      <w:pPr>
        <w:pStyle w:val="21"/>
        <w:rPr>
          <w:color w:val="auto"/>
          <w:sz w:val="24"/>
          <w:szCs w:val="24"/>
        </w:rPr>
      </w:pPr>
      <w:r>
        <w:rPr>
          <w:rFonts w:hint="eastAsia"/>
          <w:color w:val="auto"/>
          <w:sz w:val="24"/>
          <w:szCs w:val="24"/>
          <w:lang w:val="en-US" w:eastAsia="zh-CN"/>
        </w:rPr>
        <w:t>9</w:t>
      </w:r>
      <w:r>
        <w:rPr>
          <w:rFonts w:hint="eastAsia"/>
          <w:color w:val="auto"/>
          <w:sz w:val="24"/>
          <w:szCs w:val="24"/>
        </w:rPr>
        <w:t>）生活垃圾</w:t>
      </w:r>
    </w:p>
    <w:p w14:paraId="04B91D71">
      <w:pPr>
        <w:pStyle w:val="21"/>
        <w:numPr>
          <w:ilvl w:val="255"/>
          <w:numId w:val="0"/>
        </w:numPr>
        <w:ind w:firstLine="480" w:firstLineChars="200"/>
        <w:rPr>
          <w:color w:val="auto"/>
          <w:sz w:val="24"/>
          <w:szCs w:val="24"/>
        </w:rPr>
      </w:pPr>
      <w:r>
        <w:rPr>
          <w:rFonts w:hint="eastAsia"/>
          <w:color w:val="auto"/>
          <w:sz w:val="24"/>
          <w:szCs w:val="24"/>
        </w:rPr>
        <w:t>本项目劳动定员</w:t>
      </w:r>
      <w:r>
        <w:rPr>
          <w:rFonts w:hint="eastAsia"/>
          <w:color w:val="auto"/>
          <w:sz w:val="24"/>
          <w:szCs w:val="24"/>
          <w:lang w:val="en-US" w:eastAsia="zh-CN"/>
        </w:rPr>
        <w:t>100</w:t>
      </w:r>
      <w:r>
        <w:rPr>
          <w:rFonts w:hint="eastAsia"/>
          <w:color w:val="auto"/>
          <w:sz w:val="24"/>
          <w:szCs w:val="24"/>
        </w:rPr>
        <w:t>人，年工作300天，取生活垃圾产污系数0.5kg/人·天，经计算可得生活垃圾产生量为</w:t>
      </w:r>
      <w:r>
        <w:rPr>
          <w:rFonts w:hint="eastAsia"/>
          <w:color w:val="auto"/>
          <w:sz w:val="24"/>
          <w:szCs w:val="24"/>
          <w:lang w:val="en-US" w:eastAsia="zh-CN"/>
        </w:rPr>
        <w:t>15</w:t>
      </w:r>
      <w:r>
        <w:rPr>
          <w:rFonts w:hint="eastAsia"/>
          <w:color w:val="auto"/>
          <w:sz w:val="24"/>
          <w:szCs w:val="24"/>
        </w:rPr>
        <w:t>t/a，生活垃圾由环卫部门统一清运。</w:t>
      </w:r>
    </w:p>
    <w:p w14:paraId="4CAB2EE6">
      <w:pPr>
        <w:spacing w:line="360" w:lineRule="auto"/>
        <w:ind w:firstLine="482"/>
        <w:rPr>
          <w:color w:val="auto"/>
          <w:sz w:val="24"/>
          <w:szCs w:val="24"/>
        </w:rPr>
      </w:pPr>
      <w:r>
        <w:rPr>
          <w:color w:val="auto"/>
          <w:sz w:val="24"/>
          <w:szCs w:val="24"/>
        </w:rPr>
        <w:t>综上，本项目各种副产物产生情况汇总如下：</w:t>
      </w:r>
    </w:p>
    <w:p w14:paraId="5E3305E5">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表1</w:t>
      </w:r>
      <w:r>
        <w:rPr>
          <w:rFonts w:hint="eastAsia" w:cs="Times New Roman"/>
          <w:b/>
          <w:color w:val="auto"/>
          <w:kern w:val="2"/>
          <w:sz w:val="21"/>
          <w:szCs w:val="21"/>
          <w:lang w:val="en-US" w:eastAsia="zh-CN" w:bidi="ar-SA"/>
        </w:rPr>
        <w:t>9</w:t>
      </w:r>
      <w:r>
        <w:rPr>
          <w:color w:val="auto"/>
        </w:rPr>
        <w:t>项目废物产生情况</w:t>
      </w:r>
      <w:r>
        <w:rPr>
          <w:rFonts w:hint="eastAsia"/>
          <w:color w:val="auto"/>
        </w:rPr>
        <w:t>汇总表</w:t>
      </w:r>
    </w:p>
    <w:tbl>
      <w:tblPr>
        <w:tblStyle w:val="88"/>
        <w:tblW w:w="499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50"/>
        <w:gridCol w:w="2020"/>
        <w:gridCol w:w="1326"/>
        <w:gridCol w:w="879"/>
        <w:gridCol w:w="2352"/>
        <w:gridCol w:w="1180"/>
        <w:gridCol w:w="1181"/>
      </w:tblGrid>
      <w:tr w14:paraId="203AAE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jc w:val="center"/>
        </w:trPr>
        <w:tc>
          <w:tcPr>
            <w:tcW w:w="339" w:type="pct"/>
            <w:vAlign w:val="center"/>
          </w:tcPr>
          <w:p w14:paraId="667601F3">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序号</w:t>
            </w:r>
          </w:p>
        </w:tc>
        <w:tc>
          <w:tcPr>
            <w:tcW w:w="1053" w:type="pct"/>
            <w:vAlign w:val="center"/>
          </w:tcPr>
          <w:p w14:paraId="5835A65C">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副产物名称</w:t>
            </w:r>
          </w:p>
        </w:tc>
        <w:tc>
          <w:tcPr>
            <w:tcW w:w="691" w:type="pct"/>
            <w:vAlign w:val="center"/>
          </w:tcPr>
          <w:p w14:paraId="1D3C0485">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产生工序</w:t>
            </w:r>
          </w:p>
        </w:tc>
        <w:tc>
          <w:tcPr>
            <w:tcW w:w="458" w:type="pct"/>
            <w:vAlign w:val="center"/>
          </w:tcPr>
          <w:p w14:paraId="228627C7">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形态</w:t>
            </w:r>
          </w:p>
        </w:tc>
        <w:tc>
          <w:tcPr>
            <w:tcW w:w="1226" w:type="pct"/>
            <w:vAlign w:val="center"/>
          </w:tcPr>
          <w:p w14:paraId="0FB0BF62">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主要成分</w:t>
            </w:r>
          </w:p>
        </w:tc>
        <w:tc>
          <w:tcPr>
            <w:tcW w:w="615" w:type="pct"/>
            <w:vAlign w:val="center"/>
          </w:tcPr>
          <w:p w14:paraId="0AAACE06">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产生量（t/a）</w:t>
            </w:r>
          </w:p>
        </w:tc>
        <w:tc>
          <w:tcPr>
            <w:tcW w:w="615" w:type="pct"/>
            <w:vAlign w:val="center"/>
          </w:tcPr>
          <w:p w14:paraId="55AE713A">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是否固体废物</w:t>
            </w:r>
          </w:p>
        </w:tc>
      </w:tr>
      <w:tr w14:paraId="79D65F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0657EF7D">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1</w:t>
            </w:r>
          </w:p>
        </w:tc>
        <w:tc>
          <w:tcPr>
            <w:tcW w:w="1053" w:type="pct"/>
            <w:vAlign w:val="center"/>
          </w:tcPr>
          <w:p w14:paraId="768B3E23">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废金属屑</w:t>
            </w:r>
          </w:p>
        </w:tc>
        <w:tc>
          <w:tcPr>
            <w:tcW w:w="691" w:type="pct"/>
            <w:vAlign w:val="center"/>
          </w:tcPr>
          <w:p w14:paraId="56DBB99A">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金加工、激光切割等</w:t>
            </w:r>
          </w:p>
        </w:tc>
        <w:tc>
          <w:tcPr>
            <w:tcW w:w="458" w:type="pct"/>
            <w:vAlign w:val="center"/>
          </w:tcPr>
          <w:p w14:paraId="466C3092">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固</w:t>
            </w:r>
          </w:p>
        </w:tc>
        <w:tc>
          <w:tcPr>
            <w:tcW w:w="2352" w:type="dxa"/>
            <w:vAlign w:val="center"/>
          </w:tcPr>
          <w:p w14:paraId="3F9032E5">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废金属屑</w:t>
            </w:r>
          </w:p>
        </w:tc>
        <w:tc>
          <w:tcPr>
            <w:tcW w:w="615" w:type="pct"/>
            <w:vAlign w:val="center"/>
          </w:tcPr>
          <w:p w14:paraId="19FD5D93">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4.6</w:t>
            </w:r>
          </w:p>
        </w:tc>
        <w:tc>
          <w:tcPr>
            <w:tcW w:w="615" w:type="pct"/>
            <w:vAlign w:val="center"/>
          </w:tcPr>
          <w:p w14:paraId="27FB96D6">
            <w:pPr>
              <w:jc w:val="center"/>
              <w:rPr>
                <w:color w:val="auto"/>
              </w:rPr>
            </w:pPr>
            <w:r>
              <w:rPr>
                <w:color w:val="auto"/>
              </w:rPr>
              <w:t>是</w:t>
            </w:r>
          </w:p>
        </w:tc>
      </w:tr>
      <w:tr w14:paraId="1D08E6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3021DBE0">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rPr>
              <w:t>2</w:t>
            </w:r>
          </w:p>
        </w:tc>
        <w:tc>
          <w:tcPr>
            <w:tcW w:w="1053" w:type="pct"/>
            <w:vAlign w:val="center"/>
          </w:tcPr>
          <w:p w14:paraId="1DFCDA72">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废硝盐</w:t>
            </w:r>
          </w:p>
        </w:tc>
        <w:tc>
          <w:tcPr>
            <w:tcW w:w="691" w:type="pct"/>
            <w:vAlign w:val="center"/>
          </w:tcPr>
          <w:p w14:paraId="0855187D">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default" w:ascii="Times New Roman" w:hAnsi="Times New Roman" w:eastAsia="宋体" w:cs="Times New Roman"/>
                <w:color w:val="auto"/>
                <w:sz w:val="21"/>
                <w:szCs w:val="21"/>
                <w:lang w:val="en-US" w:eastAsia="zh-CN"/>
              </w:rPr>
              <w:t>硝盐淬火</w:t>
            </w:r>
          </w:p>
        </w:tc>
        <w:tc>
          <w:tcPr>
            <w:tcW w:w="458" w:type="pct"/>
            <w:vAlign w:val="center"/>
          </w:tcPr>
          <w:p w14:paraId="43993B6B">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rPr>
              <w:t>固</w:t>
            </w:r>
          </w:p>
        </w:tc>
        <w:tc>
          <w:tcPr>
            <w:tcW w:w="2352" w:type="dxa"/>
            <w:vAlign w:val="center"/>
          </w:tcPr>
          <w:p w14:paraId="688940B3">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废硝盐</w:t>
            </w:r>
          </w:p>
        </w:tc>
        <w:tc>
          <w:tcPr>
            <w:tcW w:w="615" w:type="pct"/>
            <w:vAlign w:val="center"/>
          </w:tcPr>
          <w:p w14:paraId="74840225">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22</w:t>
            </w:r>
          </w:p>
        </w:tc>
        <w:tc>
          <w:tcPr>
            <w:tcW w:w="615" w:type="pct"/>
            <w:vAlign w:val="center"/>
          </w:tcPr>
          <w:p w14:paraId="07532D98">
            <w:pPr>
              <w:jc w:val="center"/>
              <w:rPr>
                <w:color w:val="auto"/>
              </w:rPr>
            </w:pPr>
            <w:r>
              <w:rPr>
                <w:rFonts w:hint="eastAsia"/>
                <w:color w:val="auto"/>
              </w:rPr>
              <w:t>是</w:t>
            </w:r>
          </w:p>
        </w:tc>
      </w:tr>
      <w:tr w14:paraId="2C7CF8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79770543">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3</w:t>
            </w:r>
          </w:p>
        </w:tc>
        <w:tc>
          <w:tcPr>
            <w:tcW w:w="1053" w:type="pct"/>
            <w:vAlign w:val="center"/>
          </w:tcPr>
          <w:p w14:paraId="6611C284">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废切削液</w:t>
            </w:r>
          </w:p>
        </w:tc>
        <w:tc>
          <w:tcPr>
            <w:tcW w:w="691" w:type="pct"/>
            <w:vAlign w:val="center"/>
          </w:tcPr>
          <w:p w14:paraId="52602070">
            <w:pPr>
              <w:pStyle w:val="12"/>
              <w:topLinePunct/>
              <w:ind w:left="0" w:leftChars="0" w:firstLine="0" w:firstLineChars="0"/>
              <w:jc w:val="center"/>
              <w:rPr>
                <w:rFonts w:ascii="Times New Roman" w:hAnsi="Times New Roman"/>
                <w:color w:val="auto"/>
                <w:kern w:val="0"/>
                <w:sz w:val="21"/>
                <w:szCs w:val="21"/>
              </w:rPr>
            </w:pPr>
            <w:r>
              <w:rPr>
                <w:rFonts w:hint="default" w:ascii="Times New Roman" w:hAnsi="Times New Roman" w:eastAsia="宋体" w:cs="Times New Roman"/>
                <w:color w:val="auto"/>
                <w:sz w:val="21"/>
                <w:szCs w:val="21"/>
                <w:lang w:val="en-US" w:eastAsia="zh-CN"/>
              </w:rPr>
              <w:t>平面磨床</w:t>
            </w:r>
          </w:p>
        </w:tc>
        <w:tc>
          <w:tcPr>
            <w:tcW w:w="458" w:type="pct"/>
            <w:vAlign w:val="center"/>
          </w:tcPr>
          <w:p w14:paraId="4CC94466">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Times New Roman" w:hAnsi="Times New Roman"/>
                <w:color w:val="auto"/>
                <w:kern w:val="0"/>
                <w:sz w:val="21"/>
                <w:szCs w:val="21"/>
                <w:lang w:val="en-US" w:eastAsia="zh-CN"/>
              </w:rPr>
              <w:t>液</w:t>
            </w:r>
          </w:p>
        </w:tc>
        <w:tc>
          <w:tcPr>
            <w:tcW w:w="2352" w:type="dxa"/>
            <w:vAlign w:val="center"/>
          </w:tcPr>
          <w:p w14:paraId="6051E37B">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废切削液</w:t>
            </w:r>
          </w:p>
        </w:tc>
        <w:tc>
          <w:tcPr>
            <w:tcW w:w="615" w:type="pct"/>
            <w:vAlign w:val="center"/>
          </w:tcPr>
          <w:p w14:paraId="4090CB23">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0.4</w:t>
            </w:r>
          </w:p>
        </w:tc>
        <w:tc>
          <w:tcPr>
            <w:tcW w:w="615" w:type="pct"/>
            <w:vAlign w:val="center"/>
          </w:tcPr>
          <w:p w14:paraId="0DCDD54F">
            <w:pPr>
              <w:jc w:val="center"/>
              <w:rPr>
                <w:color w:val="auto"/>
              </w:rPr>
            </w:pPr>
            <w:r>
              <w:rPr>
                <w:color w:val="auto"/>
              </w:rPr>
              <w:t>是</w:t>
            </w:r>
          </w:p>
        </w:tc>
      </w:tr>
      <w:tr w14:paraId="7B7AAE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514838A5">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rPr>
              <w:t>4</w:t>
            </w:r>
          </w:p>
        </w:tc>
        <w:tc>
          <w:tcPr>
            <w:tcW w:w="1053" w:type="pct"/>
            <w:vAlign w:val="center"/>
          </w:tcPr>
          <w:p w14:paraId="5AB1FB4A">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废砂</w:t>
            </w:r>
          </w:p>
        </w:tc>
        <w:tc>
          <w:tcPr>
            <w:tcW w:w="691" w:type="pct"/>
            <w:vAlign w:val="center"/>
          </w:tcPr>
          <w:p w14:paraId="79022E8E">
            <w:pPr>
              <w:pStyle w:val="12"/>
              <w:topLinePunct/>
              <w:ind w:left="0" w:leftChars="0" w:firstLine="0" w:firstLineChars="0"/>
              <w:jc w:val="center"/>
              <w:rPr>
                <w:rFonts w:hint="eastAsia" w:ascii="Times New Roman" w:hAnsi="Times New Roman" w:eastAsia="宋体"/>
                <w:color w:val="auto"/>
                <w:kern w:val="0"/>
                <w:sz w:val="21"/>
                <w:szCs w:val="21"/>
                <w:lang w:eastAsia="zh-CN"/>
              </w:rPr>
            </w:pPr>
            <w:r>
              <w:rPr>
                <w:rFonts w:hint="eastAsia" w:ascii="宋体" w:hAnsi="宋体"/>
                <w:color w:val="auto"/>
                <w:sz w:val="21"/>
                <w:szCs w:val="21"/>
                <w:lang w:val="en-US" w:eastAsia="zh-CN"/>
              </w:rPr>
              <w:t>喷砂</w:t>
            </w:r>
          </w:p>
        </w:tc>
        <w:tc>
          <w:tcPr>
            <w:tcW w:w="458" w:type="pct"/>
            <w:vAlign w:val="center"/>
          </w:tcPr>
          <w:p w14:paraId="63C0F445">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lang w:val="en-US"/>
              </w:rPr>
              <w:t>固</w:t>
            </w:r>
          </w:p>
        </w:tc>
        <w:tc>
          <w:tcPr>
            <w:tcW w:w="2352" w:type="dxa"/>
            <w:vAlign w:val="center"/>
          </w:tcPr>
          <w:p w14:paraId="7C67F07A">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废砂</w:t>
            </w:r>
          </w:p>
        </w:tc>
        <w:tc>
          <w:tcPr>
            <w:tcW w:w="615" w:type="pct"/>
            <w:vAlign w:val="center"/>
          </w:tcPr>
          <w:p w14:paraId="3A816A5D">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0.5</w:t>
            </w:r>
          </w:p>
        </w:tc>
        <w:tc>
          <w:tcPr>
            <w:tcW w:w="615" w:type="pct"/>
            <w:vAlign w:val="center"/>
          </w:tcPr>
          <w:p w14:paraId="11DA36F2">
            <w:pPr>
              <w:jc w:val="center"/>
              <w:rPr>
                <w:color w:val="auto"/>
              </w:rPr>
            </w:pPr>
            <w:r>
              <w:rPr>
                <w:color w:val="auto"/>
              </w:rPr>
              <w:t>是</w:t>
            </w:r>
          </w:p>
        </w:tc>
      </w:tr>
      <w:tr w14:paraId="26DC15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2C84E3AD">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5</w:t>
            </w:r>
          </w:p>
        </w:tc>
        <w:tc>
          <w:tcPr>
            <w:tcW w:w="1053" w:type="pct"/>
            <w:vAlign w:val="center"/>
          </w:tcPr>
          <w:p w14:paraId="011F3DD7">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废油漆桶</w:t>
            </w:r>
          </w:p>
        </w:tc>
        <w:tc>
          <w:tcPr>
            <w:tcW w:w="691" w:type="pct"/>
            <w:vAlign w:val="center"/>
          </w:tcPr>
          <w:p w14:paraId="26941A5A">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原料包装</w:t>
            </w:r>
          </w:p>
        </w:tc>
        <w:tc>
          <w:tcPr>
            <w:tcW w:w="458" w:type="pct"/>
            <w:vAlign w:val="center"/>
          </w:tcPr>
          <w:p w14:paraId="1AC3BFD9">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固</w:t>
            </w:r>
          </w:p>
        </w:tc>
        <w:tc>
          <w:tcPr>
            <w:tcW w:w="2352" w:type="dxa"/>
            <w:vAlign w:val="center"/>
          </w:tcPr>
          <w:p w14:paraId="62A39BF1">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rPr>
              <w:t>废油漆桶</w:t>
            </w:r>
          </w:p>
        </w:tc>
        <w:tc>
          <w:tcPr>
            <w:tcW w:w="615" w:type="pct"/>
            <w:vAlign w:val="center"/>
          </w:tcPr>
          <w:p w14:paraId="39A26646">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0.13625</w:t>
            </w:r>
          </w:p>
        </w:tc>
        <w:tc>
          <w:tcPr>
            <w:tcW w:w="615" w:type="pct"/>
            <w:vAlign w:val="center"/>
          </w:tcPr>
          <w:p w14:paraId="263A5503">
            <w:pPr>
              <w:jc w:val="center"/>
              <w:rPr>
                <w:color w:val="auto"/>
              </w:rPr>
            </w:pPr>
            <w:r>
              <w:rPr>
                <w:rFonts w:hint="eastAsia"/>
                <w:color w:val="auto"/>
              </w:rPr>
              <w:t>是</w:t>
            </w:r>
          </w:p>
        </w:tc>
      </w:tr>
      <w:tr w14:paraId="4D75BC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643D3EC6">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6</w:t>
            </w:r>
          </w:p>
        </w:tc>
        <w:tc>
          <w:tcPr>
            <w:tcW w:w="1053" w:type="pct"/>
            <w:vAlign w:val="center"/>
          </w:tcPr>
          <w:p w14:paraId="1C9E21F3">
            <w:pPr>
              <w:pStyle w:val="12"/>
              <w:topLinePunct/>
              <w:ind w:left="0" w:leftChars="0" w:firstLine="0" w:firstLineChars="0"/>
              <w:jc w:val="center"/>
              <w:rPr>
                <w:rFonts w:hint="eastAsia" w:ascii="宋体" w:hAnsi="宋体" w:eastAsia="宋体"/>
                <w:color w:val="auto"/>
                <w:sz w:val="21"/>
                <w:szCs w:val="21"/>
                <w:lang w:val="en-US" w:eastAsia="zh-CN"/>
              </w:rPr>
            </w:pPr>
            <w:r>
              <w:rPr>
                <w:rFonts w:hint="eastAsia" w:ascii="宋体" w:hAnsi="宋体"/>
                <w:color w:val="auto"/>
                <w:sz w:val="21"/>
                <w:szCs w:val="21"/>
                <w:lang w:val="en-US" w:eastAsia="zh-CN"/>
              </w:rPr>
              <w:t>漆渣</w:t>
            </w:r>
          </w:p>
        </w:tc>
        <w:tc>
          <w:tcPr>
            <w:tcW w:w="691" w:type="pct"/>
            <w:vAlign w:val="center"/>
          </w:tcPr>
          <w:p w14:paraId="79892FF4">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废气处理</w:t>
            </w:r>
          </w:p>
        </w:tc>
        <w:tc>
          <w:tcPr>
            <w:tcW w:w="458" w:type="pct"/>
            <w:vAlign w:val="center"/>
          </w:tcPr>
          <w:p w14:paraId="1F01AB30">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固</w:t>
            </w:r>
          </w:p>
        </w:tc>
        <w:tc>
          <w:tcPr>
            <w:tcW w:w="2352" w:type="dxa"/>
            <w:vAlign w:val="center"/>
          </w:tcPr>
          <w:p w14:paraId="1E111A8B">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eastAsia="zh-CN"/>
              </w:rPr>
              <w:t>漆渣</w:t>
            </w:r>
          </w:p>
        </w:tc>
        <w:tc>
          <w:tcPr>
            <w:tcW w:w="615" w:type="pct"/>
            <w:vAlign w:val="center"/>
          </w:tcPr>
          <w:p w14:paraId="113412A0">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0.058</w:t>
            </w:r>
          </w:p>
        </w:tc>
        <w:tc>
          <w:tcPr>
            <w:tcW w:w="615" w:type="pct"/>
            <w:vAlign w:val="center"/>
          </w:tcPr>
          <w:p w14:paraId="15BB4C95">
            <w:pPr>
              <w:jc w:val="center"/>
              <w:rPr>
                <w:color w:val="auto"/>
              </w:rPr>
            </w:pPr>
            <w:r>
              <w:rPr>
                <w:rFonts w:hint="eastAsia"/>
                <w:color w:val="auto"/>
              </w:rPr>
              <w:t>是</w:t>
            </w:r>
          </w:p>
        </w:tc>
      </w:tr>
      <w:tr w14:paraId="0D1190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38C9B82D">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7</w:t>
            </w:r>
          </w:p>
        </w:tc>
        <w:tc>
          <w:tcPr>
            <w:tcW w:w="1053" w:type="pct"/>
            <w:vAlign w:val="center"/>
          </w:tcPr>
          <w:p w14:paraId="2DAB5A62">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废活性炭</w:t>
            </w:r>
          </w:p>
        </w:tc>
        <w:tc>
          <w:tcPr>
            <w:tcW w:w="691" w:type="pct"/>
            <w:vAlign w:val="center"/>
          </w:tcPr>
          <w:p w14:paraId="21B738BF">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废气处理</w:t>
            </w:r>
          </w:p>
        </w:tc>
        <w:tc>
          <w:tcPr>
            <w:tcW w:w="458" w:type="pct"/>
            <w:vAlign w:val="center"/>
          </w:tcPr>
          <w:p w14:paraId="0D08B462">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固</w:t>
            </w:r>
          </w:p>
        </w:tc>
        <w:tc>
          <w:tcPr>
            <w:tcW w:w="2352" w:type="dxa"/>
            <w:vAlign w:val="center"/>
          </w:tcPr>
          <w:p w14:paraId="21FCC189">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rPr>
              <w:t>废活性炭</w:t>
            </w:r>
          </w:p>
        </w:tc>
        <w:tc>
          <w:tcPr>
            <w:tcW w:w="615" w:type="pct"/>
            <w:vAlign w:val="center"/>
          </w:tcPr>
          <w:p w14:paraId="78996581">
            <w:pPr>
              <w:pStyle w:val="12"/>
              <w:topLinePunct/>
              <w:ind w:left="0" w:leftChars="0" w:firstLine="0" w:firstLineChars="0"/>
              <w:jc w:val="center"/>
              <w:rPr>
                <w:rFonts w:hint="eastAsia"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4</w:t>
            </w:r>
          </w:p>
        </w:tc>
        <w:tc>
          <w:tcPr>
            <w:tcW w:w="615" w:type="pct"/>
            <w:vAlign w:val="center"/>
          </w:tcPr>
          <w:p w14:paraId="2FD803AB">
            <w:pPr>
              <w:jc w:val="center"/>
              <w:rPr>
                <w:color w:val="auto"/>
              </w:rPr>
            </w:pPr>
            <w:r>
              <w:rPr>
                <w:rFonts w:hint="eastAsia"/>
                <w:color w:val="auto"/>
              </w:rPr>
              <w:t>是</w:t>
            </w:r>
          </w:p>
        </w:tc>
      </w:tr>
      <w:tr w14:paraId="4BF7FC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75D08097">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8</w:t>
            </w:r>
          </w:p>
        </w:tc>
        <w:tc>
          <w:tcPr>
            <w:tcW w:w="1053" w:type="pct"/>
            <w:vAlign w:val="center"/>
          </w:tcPr>
          <w:p w14:paraId="5AE20555">
            <w:pPr>
              <w:pStyle w:val="12"/>
              <w:topLinePunct/>
              <w:ind w:left="0" w:leftChars="0" w:firstLine="0" w:firstLineChars="0"/>
              <w:jc w:val="center"/>
              <w:rPr>
                <w:rFonts w:hint="eastAsia" w:ascii="宋体" w:hAnsi="宋体" w:eastAsia="宋体"/>
                <w:color w:val="auto"/>
                <w:sz w:val="21"/>
                <w:szCs w:val="21"/>
                <w:lang w:val="en-US" w:eastAsia="zh-CN"/>
              </w:rPr>
            </w:pPr>
            <w:r>
              <w:rPr>
                <w:rFonts w:hint="eastAsia" w:ascii="宋体" w:hAnsi="宋体"/>
                <w:color w:val="auto"/>
                <w:sz w:val="21"/>
                <w:szCs w:val="21"/>
                <w:lang w:val="en-US" w:eastAsia="zh-CN"/>
              </w:rPr>
              <w:t>废催化剂</w:t>
            </w:r>
          </w:p>
        </w:tc>
        <w:tc>
          <w:tcPr>
            <w:tcW w:w="691" w:type="pct"/>
            <w:vAlign w:val="center"/>
          </w:tcPr>
          <w:p w14:paraId="2BF37E0C">
            <w:pPr>
              <w:pStyle w:val="12"/>
              <w:topLinePunct/>
              <w:ind w:left="0" w:leftChars="0" w:firstLine="0" w:firstLineChars="0"/>
              <w:jc w:val="center"/>
              <w:rPr>
                <w:rFonts w:hint="eastAsia" w:ascii="宋体" w:hAnsi="宋体" w:eastAsia="宋体"/>
                <w:color w:val="auto"/>
                <w:sz w:val="21"/>
                <w:szCs w:val="21"/>
                <w:lang w:val="en-US" w:eastAsia="zh-CN"/>
              </w:rPr>
            </w:pPr>
            <w:r>
              <w:rPr>
                <w:rFonts w:hint="eastAsia" w:ascii="宋体" w:hAnsi="宋体"/>
                <w:color w:val="auto"/>
                <w:sz w:val="21"/>
                <w:szCs w:val="21"/>
                <w:lang w:val="en-US" w:eastAsia="zh-CN"/>
              </w:rPr>
              <w:t>废气处理</w:t>
            </w:r>
          </w:p>
        </w:tc>
        <w:tc>
          <w:tcPr>
            <w:tcW w:w="458" w:type="pct"/>
            <w:vAlign w:val="center"/>
          </w:tcPr>
          <w:p w14:paraId="373768FA">
            <w:pPr>
              <w:pStyle w:val="12"/>
              <w:topLinePunct/>
              <w:ind w:left="0" w:leftChars="0" w:firstLine="0" w:firstLineChars="0"/>
              <w:jc w:val="center"/>
              <w:rPr>
                <w:rFonts w:hint="eastAsia"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固</w:t>
            </w:r>
          </w:p>
        </w:tc>
        <w:tc>
          <w:tcPr>
            <w:tcW w:w="2352" w:type="dxa"/>
            <w:vAlign w:val="center"/>
          </w:tcPr>
          <w:p w14:paraId="63C317C2">
            <w:pPr>
              <w:pStyle w:val="12"/>
              <w:topLinePunct/>
              <w:ind w:left="0" w:leftChars="0" w:firstLine="0" w:firstLineChars="0"/>
              <w:jc w:val="center"/>
              <w:rPr>
                <w:rFonts w:hint="eastAsia" w:ascii="宋体" w:hAnsi="宋体" w:eastAsia="宋体"/>
                <w:color w:val="auto"/>
                <w:kern w:val="0"/>
                <w:sz w:val="21"/>
                <w:szCs w:val="21"/>
                <w:lang w:val="en-US" w:eastAsia="zh-CN"/>
              </w:rPr>
            </w:pPr>
            <w:r>
              <w:rPr>
                <w:rFonts w:hint="eastAsia" w:ascii="宋体" w:hAnsi="宋体"/>
                <w:color w:val="auto"/>
                <w:sz w:val="21"/>
                <w:szCs w:val="21"/>
                <w:lang w:val="en-US" w:eastAsia="zh-CN"/>
              </w:rPr>
              <w:t>废催化剂</w:t>
            </w:r>
          </w:p>
        </w:tc>
        <w:tc>
          <w:tcPr>
            <w:tcW w:w="615" w:type="pct"/>
            <w:vAlign w:val="center"/>
          </w:tcPr>
          <w:p w14:paraId="4E735E9E">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0.01</w:t>
            </w:r>
          </w:p>
        </w:tc>
        <w:tc>
          <w:tcPr>
            <w:tcW w:w="615" w:type="pct"/>
            <w:vAlign w:val="center"/>
          </w:tcPr>
          <w:p w14:paraId="3B01B7E1">
            <w:pPr>
              <w:jc w:val="center"/>
              <w:rPr>
                <w:rFonts w:hint="eastAsia" w:eastAsia="宋体"/>
                <w:color w:val="auto"/>
                <w:lang w:val="en-US" w:eastAsia="zh-CN"/>
              </w:rPr>
            </w:pPr>
            <w:r>
              <w:rPr>
                <w:rFonts w:hint="eastAsia"/>
                <w:color w:val="auto"/>
                <w:lang w:val="en-US" w:eastAsia="zh-CN"/>
              </w:rPr>
              <w:t>是</w:t>
            </w:r>
          </w:p>
        </w:tc>
      </w:tr>
      <w:tr w14:paraId="3E0B93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25A396F5">
            <w:pPr>
              <w:pStyle w:val="12"/>
              <w:topLinePunct/>
              <w:ind w:left="0" w:leftChars="0" w:firstLine="0" w:firstLineChars="0"/>
              <w:jc w:val="center"/>
              <w:rPr>
                <w:rFonts w:hint="eastAsia"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9</w:t>
            </w:r>
          </w:p>
        </w:tc>
        <w:tc>
          <w:tcPr>
            <w:tcW w:w="1053" w:type="pct"/>
            <w:shd w:val="clear" w:color="auto" w:fill="auto"/>
            <w:vAlign w:val="center"/>
          </w:tcPr>
          <w:p w14:paraId="2C35DDC3">
            <w:pPr>
              <w:pStyle w:val="12"/>
              <w:topLinePunct/>
              <w:ind w:left="0" w:leftChars="0" w:firstLine="0" w:firstLineChars="0"/>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 w:val="21"/>
                <w:szCs w:val="21"/>
                <w:lang w:val="en-US"/>
              </w:rPr>
              <w:t>生活垃圾</w:t>
            </w:r>
          </w:p>
        </w:tc>
        <w:tc>
          <w:tcPr>
            <w:tcW w:w="691" w:type="pct"/>
            <w:shd w:val="clear" w:color="auto" w:fill="auto"/>
            <w:vAlign w:val="center"/>
          </w:tcPr>
          <w:p w14:paraId="08C4DE08">
            <w:pPr>
              <w:pStyle w:val="12"/>
              <w:topLinePunct/>
              <w:ind w:left="0" w:leftChars="0" w:firstLine="0" w:firstLineChars="0"/>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 w:val="21"/>
                <w:szCs w:val="21"/>
                <w:lang w:val="en-US"/>
              </w:rPr>
              <w:t>员工生活</w:t>
            </w:r>
          </w:p>
        </w:tc>
        <w:tc>
          <w:tcPr>
            <w:tcW w:w="458" w:type="pct"/>
            <w:shd w:val="clear" w:color="auto" w:fill="auto"/>
            <w:vAlign w:val="center"/>
          </w:tcPr>
          <w:p w14:paraId="42AC3A4C">
            <w:pPr>
              <w:pStyle w:val="12"/>
              <w:topLinePunct/>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olor w:val="auto"/>
                <w:kern w:val="0"/>
                <w:sz w:val="21"/>
                <w:szCs w:val="21"/>
                <w:lang w:val="en-US"/>
              </w:rPr>
              <w:t>固</w:t>
            </w:r>
          </w:p>
        </w:tc>
        <w:tc>
          <w:tcPr>
            <w:tcW w:w="2352" w:type="dxa"/>
            <w:shd w:val="clear" w:color="auto" w:fill="auto"/>
            <w:vAlign w:val="center"/>
          </w:tcPr>
          <w:p w14:paraId="0D48D5F3">
            <w:pPr>
              <w:pStyle w:val="12"/>
              <w:topLinePunct/>
              <w:ind w:left="0" w:leftChars="0" w:firstLine="0" w:firstLineChars="0"/>
              <w:jc w:val="center"/>
              <w:rPr>
                <w:rFonts w:hint="eastAsia" w:ascii="宋体" w:hAnsi="宋体" w:eastAsia="宋体" w:cs="Times New Roman"/>
                <w:color w:val="auto"/>
                <w:kern w:val="0"/>
                <w:sz w:val="21"/>
                <w:szCs w:val="21"/>
                <w:lang w:val="en-US" w:eastAsia="zh-CN" w:bidi="ar-SA"/>
              </w:rPr>
            </w:pPr>
            <w:r>
              <w:rPr>
                <w:rFonts w:hint="eastAsia" w:ascii="宋体" w:hAnsi="宋体"/>
                <w:color w:val="auto"/>
                <w:sz w:val="21"/>
                <w:szCs w:val="21"/>
                <w:lang w:val="en-US"/>
              </w:rPr>
              <w:t>生活垃圾</w:t>
            </w:r>
          </w:p>
        </w:tc>
        <w:tc>
          <w:tcPr>
            <w:tcW w:w="615" w:type="pct"/>
            <w:shd w:val="clear" w:color="auto" w:fill="auto"/>
            <w:vAlign w:val="center"/>
          </w:tcPr>
          <w:p w14:paraId="6788DEB5">
            <w:pPr>
              <w:pStyle w:val="12"/>
              <w:topLinePunct/>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olor w:val="auto"/>
                <w:kern w:val="0"/>
                <w:sz w:val="21"/>
                <w:szCs w:val="21"/>
                <w:lang w:val="en-US"/>
              </w:rPr>
              <w:t>3.75</w:t>
            </w:r>
          </w:p>
        </w:tc>
        <w:tc>
          <w:tcPr>
            <w:tcW w:w="615" w:type="pct"/>
            <w:shd w:val="clear" w:color="auto" w:fill="auto"/>
            <w:vAlign w:val="center"/>
          </w:tcPr>
          <w:p w14:paraId="10C8611C">
            <w:pPr>
              <w:jc w:val="center"/>
              <w:rPr>
                <w:rFonts w:hint="eastAsia" w:ascii="Times New Roman" w:hAnsi="Times New Roman" w:eastAsia="宋体" w:cs="Times New Roman"/>
                <w:color w:val="auto"/>
                <w:kern w:val="2"/>
                <w:sz w:val="21"/>
                <w:szCs w:val="21"/>
                <w:lang w:val="en-US" w:eastAsia="zh-CN" w:bidi="ar-SA"/>
              </w:rPr>
            </w:pPr>
            <w:r>
              <w:rPr>
                <w:rFonts w:hint="eastAsia"/>
                <w:color w:val="auto"/>
              </w:rPr>
              <w:t>是</w:t>
            </w:r>
          </w:p>
        </w:tc>
      </w:tr>
    </w:tbl>
    <w:p w14:paraId="039D573F">
      <w:pPr>
        <w:spacing w:line="360" w:lineRule="auto"/>
        <w:ind w:firstLine="482"/>
        <w:rPr>
          <w:color w:val="auto"/>
          <w:sz w:val="24"/>
          <w:szCs w:val="24"/>
        </w:rPr>
      </w:pPr>
      <w:r>
        <w:rPr>
          <w:color w:val="auto"/>
          <w:sz w:val="24"/>
          <w:szCs w:val="24"/>
        </w:rPr>
        <w:t>根据《国家危险废物名录（202</w:t>
      </w:r>
      <w:r>
        <w:rPr>
          <w:rFonts w:hint="eastAsia"/>
          <w:color w:val="auto"/>
          <w:sz w:val="24"/>
          <w:szCs w:val="24"/>
        </w:rPr>
        <w:t>5年</w:t>
      </w:r>
      <w:r>
        <w:rPr>
          <w:color w:val="auto"/>
          <w:sz w:val="24"/>
          <w:szCs w:val="24"/>
        </w:rPr>
        <w:t>版）》及《危险废物鉴别标准》对上述固体废物是否属于危险废物进行判定，具体如下。</w:t>
      </w:r>
    </w:p>
    <w:p w14:paraId="4628C296">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w:t>
      </w:r>
      <w:r>
        <w:rPr>
          <w:rFonts w:hint="eastAsia" w:cs="Times New Roman"/>
          <w:b/>
          <w:color w:val="auto"/>
          <w:kern w:val="2"/>
          <w:sz w:val="21"/>
          <w:szCs w:val="21"/>
          <w:lang w:val="en-US" w:eastAsia="zh-CN" w:bidi="ar-SA"/>
        </w:rPr>
        <w:t>20</w:t>
      </w:r>
      <w:r>
        <w:rPr>
          <w:color w:val="auto"/>
        </w:rPr>
        <w:t>项目危险废物属性判定</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12"/>
        <w:gridCol w:w="1854"/>
        <w:gridCol w:w="1085"/>
        <w:gridCol w:w="1355"/>
        <w:gridCol w:w="1355"/>
        <w:gridCol w:w="1858"/>
        <w:gridCol w:w="1479"/>
      </w:tblGrid>
      <w:tr w14:paraId="51112F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24BDBEE6">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序号</w:t>
            </w:r>
          </w:p>
        </w:tc>
        <w:tc>
          <w:tcPr>
            <w:tcW w:w="966" w:type="pct"/>
            <w:vAlign w:val="center"/>
          </w:tcPr>
          <w:p w14:paraId="1E513F32">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废物名称</w:t>
            </w:r>
          </w:p>
        </w:tc>
        <w:tc>
          <w:tcPr>
            <w:tcW w:w="565" w:type="pct"/>
            <w:vAlign w:val="center"/>
          </w:tcPr>
          <w:p w14:paraId="2DF21923">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产生工序</w:t>
            </w:r>
          </w:p>
        </w:tc>
        <w:tc>
          <w:tcPr>
            <w:tcW w:w="706" w:type="pct"/>
            <w:vAlign w:val="center"/>
          </w:tcPr>
          <w:p w14:paraId="3BBB217E">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产生量(t/a)</w:t>
            </w:r>
          </w:p>
        </w:tc>
        <w:tc>
          <w:tcPr>
            <w:tcW w:w="706" w:type="pct"/>
            <w:vAlign w:val="center"/>
          </w:tcPr>
          <w:p w14:paraId="1500A715">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是否属危险废物</w:t>
            </w:r>
          </w:p>
        </w:tc>
        <w:tc>
          <w:tcPr>
            <w:tcW w:w="968" w:type="pct"/>
            <w:tcBorders>
              <w:left w:val="single" w:color="auto" w:sz="4" w:space="0"/>
            </w:tcBorders>
            <w:vAlign w:val="center"/>
          </w:tcPr>
          <w:p w14:paraId="55168EF8">
            <w:pPr>
              <w:pStyle w:val="12"/>
              <w:topLinePunct/>
              <w:ind w:left="0" w:leftChars="0"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危废代码</w:t>
            </w:r>
          </w:p>
        </w:tc>
        <w:tc>
          <w:tcPr>
            <w:tcW w:w="765" w:type="pct"/>
            <w:tcBorders>
              <w:left w:val="single" w:color="auto" w:sz="4" w:space="0"/>
            </w:tcBorders>
            <w:vAlign w:val="center"/>
          </w:tcPr>
          <w:p w14:paraId="5D779EBA">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rPr>
              <w:t>危险特性</w:t>
            </w:r>
          </w:p>
        </w:tc>
      </w:tr>
      <w:tr w14:paraId="0BFE73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1B4D5588">
            <w:pPr>
              <w:adjustRightInd w:val="0"/>
              <w:snapToGrid w:val="0"/>
              <w:spacing w:line="320" w:lineRule="exact"/>
              <w:jc w:val="center"/>
              <w:rPr>
                <w:color w:val="auto"/>
              </w:rPr>
            </w:pPr>
            <w:r>
              <w:rPr>
                <w:color w:val="auto"/>
              </w:rPr>
              <w:t>1</w:t>
            </w:r>
          </w:p>
        </w:tc>
        <w:tc>
          <w:tcPr>
            <w:tcW w:w="966" w:type="pct"/>
            <w:vAlign w:val="center"/>
          </w:tcPr>
          <w:p w14:paraId="00D70240">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废金属屑</w:t>
            </w:r>
          </w:p>
        </w:tc>
        <w:tc>
          <w:tcPr>
            <w:tcW w:w="565" w:type="pct"/>
            <w:vAlign w:val="center"/>
          </w:tcPr>
          <w:p w14:paraId="537DFB6F">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lang w:val="en-US" w:eastAsia="zh-CN"/>
              </w:rPr>
              <w:t>金加工、激光切割等</w:t>
            </w:r>
          </w:p>
        </w:tc>
        <w:tc>
          <w:tcPr>
            <w:tcW w:w="706" w:type="pct"/>
            <w:vAlign w:val="center"/>
          </w:tcPr>
          <w:p w14:paraId="2323B548">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4.6</w:t>
            </w:r>
          </w:p>
        </w:tc>
        <w:tc>
          <w:tcPr>
            <w:tcW w:w="706" w:type="pct"/>
            <w:vAlign w:val="center"/>
          </w:tcPr>
          <w:p w14:paraId="2BEE55F0">
            <w:pPr>
              <w:adjustRightInd w:val="0"/>
              <w:snapToGrid w:val="0"/>
              <w:spacing w:line="320" w:lineRule="exact"/>
              <w:jc w:val="center"/>
              <w:rPr>
                <w:color w:val="auto"/>
              </w:rPr>
            </w:pPr>
            <w:r>
              <w:rPr>
                <w:color w:val="auto"/>
              </w:rPr>
              <w:t>否</w:t>
            </w:r>
          </w:p>
        </w:tc>
        <w:tc>
          <w:tcPr>
            <w:tcW w:w="968" w:type="pct"/>
            <w:tcBorders>
              <w:left w:val="single" w:color="auto" w:sz="4" w:space="0"/>
            </w:tcBorders>
            <w:vAlign w:val="center"/>
          </w:tcPr>
          <w:p w14:paraId="7163964D">
            <w:pPr>
              <w:adjustRightInd w:val="0"/>
              <w:snapToGrid w:val="0"/>
              <w:spacing w:line="320" w:lineRule="exact"/>
              <w:jc w:val="center"/>
              <w:rPr>
                <w:color w:val="auto"/>
                <w:kern w:val="0"/>
              </w:rPr>
            </w:pPr>
            <w:r>
              <w:rPr>
                <w:color w:val="auto"/>
                <w:kern w:val="0"/>
              </w:rPr>
              <w:t>--</w:t>
            </w:r>
          </w:p>
        </w:tc>
        <w:tc>
          <w:tcPr>
            <w:tcW w:w="765" w:type="pct"/>
            <w:tcBorders>
              <w:left w:val="single" w:color="auto" w:sz="4" w:space="0"/>
            </w:tcBorders>
            <w:vAlign w:val="center"/>
          </w:tcPr>
          <w:p w14:paraId="1489F811">
            <w:pPr>
              <w:adjustRightInd w:val="0"/>
              <w:snapToGrid w:val="0"/>
              <w:spacing w:line="320" w:lineRule="exact"/>
              <w:jc w:val="center"/>
              <w:rPr>
                <w:color w:val="auto"/>
                <w:kern w:val="0"/>
              </w:rPr>
            </w:pPr>
            <w:r>
              <w:rPr>
                <w:rFonts w:hint="eastAsia"/>
                <w:color w:val="auto"/>
                <w:kern w:val="0"/>
              </w:rPr>
              <w:t>-</w:t>
            </w:r>
            <w:r>
              <w:rPr>
                <w:color w:val="auto"/>
                <w:kern w:val="0"/>
              </w:rPr>
              <w:t>-</w:t>
            </w:r>
          </w:p>
        </w:tc>
      </w:tr>
      <w:tr w14:paraId="6A022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3BAE42B7">
            <w:pPr>
              <w:adjustRightInd w:val="0"/>
              <w:snapToGrid w:val="0"/>
              <w:spacing w:line="320" w:lineRule="exact"/>
              <w:jc w:val="center"/>
              <w:rPr>
                <w:color w:val="auto"/>
              </w:rPr>
            </w:pPr>
            <w:r>
              <w:rPr>
                <w:rFonts w:hint="eastAsia"/>
                <w:color w:val="auto"/>
              </w:rPr>
              <w:t>2</w:t>
            </w:r>
          </w:p>
        </w:tc>
        <w:tc>
          <w:tcPr>
            <w:tcW w:w="966" w:type="pct"/>
            <w:vAlign w:val="center"/>
          </w:tcPr>
          <w:p w14:paraId="274230E3">
            <w:pPr>
              <w:pStyle w:val="12"/>
              <w:topLinePunct/>
              <w:ind w:left="0" w:leftChars="0" w:firstLine="0" w:firstLineChars="0"/>
              <w:jc w:val="center"/>
              <w:rPr>
                <w:rFonts w:hint="default" w:ascii="Times New Roman" w:hAnsi="Times New Roman"/>
                <w:color w:val="auto"/>
                <w:kern w:val="0"/>
                <w:sz w:val="21"/>
                <w:szCs w:val="21"/>
                <w:lang w:val="en-US"/>
              </w:rPr>
            </w:pPr>
            <w:r>
              <w:rPr>
                <w:rFonts w:hint="eastAsia" w:ascii="宋体" w:hAnsi="宋体"/>
                <w:color w:val="auto"/>
                <w:sz w:val="21"/>
                <w:szCs w:val="21"/>
                <w:lang w:val="en-US" w:eastAsia="zh-CN"/>
              </w:rPr>
              <w:t>废硝盐*</w:t>
            </w:r>
          </w:p>
        </w:tc>
        <w:tc>
          <w:tcPr>
            <w:tcW w:w="565" w:type="pct"/>
            <w:vAlign w:val="center"/>
          </w:tcPr>
          <w:p w14:paraId="315A361A">
            <w:pPr>
              <w:pStyle w:val="12"/>
              <w:topLinePunct/>
              <w:ind w:left="0" w:leftChars="0" w:firstLine="0" w:firstLineChars="0"/>
              <w:jc w:val="center"/>
              <w:rPr>
                <w:rFonts w:ascii="Times New Roman" w:hAnsi="Times New Roman"/>
                <w:color w:val="auto"/>
                <w:kern w:val="0"/>
                <w:sz w:val="21"/>
                <w:szCs w:val="21"/>
              </w:rPr>
            </w:pPr>
            <w:r>
              <w:rPr>
                <w:rFonts w:hint="default" w:ascii="Times New Roman" w:hAnsi="Times New Roman" w:eastAsia="宋体" w:cs="Times New Roman"/>
                <w:color w:val="auto"/>
                <w:sz w:val="21"/>
                <w:szCs w:val="21"/>
                <w:lang w:val="en-US" w:eastAsia="zh-CN"/>
              </w:rPr>
              <w:t>硝盐淬火</w:t>
            </w:r>
          </w:p>
        </w:tc>
        <w:tc>
          <w:tcPr>
            <w:tcW w:w="706" w:type="pct"/>
            <w:vAlign w:val="center"/>
          </w:tcPr>
          <w:p w14:paraId="6CDA61C7">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lang w:val="en-US" w:eastAsia="zh-CN"/>
              </w:rPr>
              <w:t>22</w:t>
            </w:r>
          </w:p>
        </w:tc>
        <w:tc>
          <w:tcPr>
            <w:tcW w:w="706" w:type="pct"/>
            <w:vAlign w:val="center"/>
          </w:tcPr>
          <w:p w14:paraId="10E6036F">
            <w:pPr>
              <w:adjustRightInd w:val="0"/>
              <w:snapToGrid w:val="0"/>
              <w:spacing w:line="320" w:lineRule="exact"/>
              <w:jc w:val="center"/>
              <w:rPr>
                <w:rFonts w:hint="eastAsia" w:eastAsia="宋体"/>
                <w:color w:val="auto"/>
                <w:lang w:val="en-US" w:eastAsia="zh-CN"/>
              </w:rPr>
            </w:pPr>
            <w:r>
              <w:rPr>
                <w:rFonts w:hint="eastAsia"/>
                <w:color w:val="auto"/>
                <w:lang w:val="en-US" w:eastAsia="zh-CN"/>
              </w:rPr>
              <w:t>是</w:t>
            </w:r>
          </w:p>
        </w:tc>
        <w:tc>
          <w:tcPr>
            <w:tcW w:w="968" w:type="pct"/>
            <w:tcBorders>
              <w:left w:val="single" w:color="auto" w:sz="4" w:space="0"/>
            </w:tcBorders>
            <w:vAlign w:val="center"/>
          </w:tcPr>
          <w:p w14:paraId="631E81C7">
            <w:pPr>
              <w:adjustRightInd w:val="0"/>
              <w:snapToGrid w:val="0"/>
              <w:spacing w:line="320" w:lineRule="exact"/>
              <w:jc w:val="center"/>
              <w:rPr>
                <w:rFonts w:hint="default" w:eastAsia="宋体"/>
                <w:color w:val="auto"/>
                <w:kern w:val="0"/>
                <w:lang w:val="en-US" w:eastAsia="zh-CN"/>
              </w:rPr>
            </w:pPr>
            <w:r>
              <w:rPr>
                <w:rFonts w:hint="eastAsia"/>
                <w:color w:val="auto"/>
                <w:kern w:val="0"/>
                <w:lang w:val="en-US" w:eastAsia="zh-CN"/>
              </w:rPr>
              <w:t>HW49/900-999-49</w:t>
            </w:r>
          </w:p>
        </w:tc>
        <w:tc>
          <w:tcPr>
            <w:tcW w:w="765" w:type="pct"/>
            <w:tcBorders>
              <w:left w:val="single" w:color="auto" w:sz="4" w:space="0"/>
            </w:tcBorders>
            <w:vAlign w:val="center"/>
          </w:tcPr>
          <w:p w14:paraId="2465A1EF">
            <w:pPr>
              <w:adjustRightInd w:val="0"/>
              <w:snapToGrid w:val="0"/>
              <w:spacing w:line="320" w:lineRule="exact"/>
              <w:jc w:val="center"/>
              <w:rPr>
                <w:rFonts w:hint="default" w:eastAsia="宋体"/>
                <w:color w:val="auto"/>
                <w:kern w:val="0"/>
                <w:lang w:val="en-US" w:eastAsia="zh-CN"/>
              </w:rPr>
            </w:pPr>
            <w:r>
              <w:rPr>
                <w:color w:val="auto"/>
                <w:kern w:val="0"/>
              </w:rPr>
              <w:t>T</w:t>
            </w:r>
            <w:r>
              <w:rPr>
                <w:rFonts w:hint="eastAsia"/>
                <w:color w:val="auto"/>
                <w:kern w:val="0"/>
                <w:lang w:val="en-US" w:eastAsia="zh-CN"/>
              </w:rPr>
              <w:t>/C/I/R</w:t>
            </w:r>
          </w:p>
        </w:tc>
      </w:tr>
      <w:tr w14:paraId="32AC1E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6F343C60">
            <w:pPr>
              <w:adjustRightInd w:val="0"/>
              <w:snapToGrid w:val="0"/>
              <w:spacing w:line="320" w:lineRule="exact"/>
              <w:jc w:val="center"/>
              <w:rPr>
                <w:color w:val="auto"/>
              </w:rPr>
            </w:pPr>
            <w:r>
              <w:rPr>
                <w:rFonts w:hint="eastAsia"/>
                <w:color w:val="auto"/>
              </w:rPr>
              <w:t>3</w:t>
            </w:r>
          </w:p>
        </w:tc>
        <w:tc>
          <w:tcPr>
            <w:tcW w:w="966" w:type="pct"/>
            <w:vAlign w:val="center"/>
          </w:tcPr>
          <w:p w14:paraId="41FD2C61">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废切削液</w:t>
            </w:r>
          </w:p>
        </w:tc>
        <w:tc>
          <w:tcPr>
            <w:tcW w:w="565" w:type="pct"/>
            <w:vAlign w:val="center"/>
          </w:tcPr>
          <w:p w14:paraId="289C68AB">
            <w:pPr>
              <w:pStyle w:val="12"/>
              <w:topLinePunct/>
              <w:ind w:left="0" w:leftChars="0" w:firstLine="0" w:firstLineChars="0"/>
              <w:jc w:val="center"/>
              <w:rPr>
                <w:rFonts w:ascii="Times New Roman" w:hAnsi="Times New Roman"/>
                <w:color w:val="auto"/>
                <w:kern w:val="0"/>
                <w:sz w:val="21"/>
                <w:szCs w:val="21"/>
              </w:rPr>
            </w:pPr>
            <w:r>
              <w:rPr>
                <w:rFonts w:hint="default" w:ascii="Times New Roman" w:hAnsi="Times New Roman" w:eastAsia="宋体" w:cs="Times New Roman"/>
                <w:color w:val="auto"/>
                <w:sz w:val="21"/>
                <w:szCs w:val="21"/>
                <w:lang w:val="en-US" w:eastAsia="zh-CN"/>
              </w:rPr>
              <w:t>平面磨床</w:t>
            </w:r>
          </w:p>
        </w:tc>
        <w:tc>
          <w:tcPr>
            <w:tcW w:w="706" w:type="pct"/>
            <w:vAlign w:val="center"/>
          </w:tcPr>
          <w:p w14:paraId="13684363">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lang w:val="en-US" w:eastAsia="zh-CN"/>
              </w:rPr>
              <w:t>0.4</w:t>
            </w:r>
          </w:p>
        </w:tc>
        <w:tc>
          <w:tcPr>
            <w:tcW w:w="706" w:type="pct"/>
            <w:vAlign w:val="center"/>
          </w:tcPr>
          <w:p w14:paraId="21EDE996">
            <w:pPr>
              <w:adjustRightInd w:val="0"/>
              <w:snapToGrid w:val="0"/>
              <w:spacing w:line="320" w:lineRule="exact"/>
              <w:jc w:val="center"/>
              <w:rPr>
                <w:color w:val="auto"/>
              </w:rPr>
            </w:pPr>
            <w:r>
              <w:rPr>
                <w:rFonts w:hint="eastAsia"/>
                <w:color w:val="auto"/>
                <w:lang w:val="en-US" w:eastAsia="zh-CN"/>
              </w:rPr>
              <w:t>是</w:t>
            </w:r>
          </w:p>
        </w:tc>
        <w:tc>
          <w:tcPr>
            <w:tcW w:w="968" w:type="pct"/>
            <w:tcBorders>
              <w:left w:val="single" w:color="auto" w:sz="4" w:space="0"/>
            </w:tcBorders>
            <w:vAlign w:val="center"/>
          </w:tcPr>
          <w:p w14:paraId="3F26D0F2">
            <w:pPr>
              <w:adjustRightInd w:val="0"/>
              <w:snapToGrid w:val="0"/>
              <w:spacing w:line="320" w:lineRule="exact"/>
              <w:jc w:val="center"/>
              <w:rPr>
                <w:rFonts w:hint="default" w:eastAsia="宋体"/>
                <w:color w:val="auto"/>
                <w:kern w:val="0"/>
                <w:lang w:val="en-US" w:eastAsia="zh-CN"/>
              </w:rPr>
            </w:pPr>
            <w:r>
              <w:rPr>
                <w:rFonts w:hint="eastAsia"/>
                <w:color w:val="auto"/>
                <w:kern w:val="0"/>
                <w:lang w:val="en-US" w:eastAsia="zh-CN"/>
              </w:rPr>
              <w:t>HW09/900-006-09</w:t>
            </w:r>
          </w:p>
        </w:tc>
        <w:tc>
          <w:tcPr>
            <w:tcW w:w="765" w:type="pct"/>
            <w:tcBorders>
              <w:left w:val="single" w:color="auto" w:sz="4" w:space="0"/>
            </w:tcBorders>
            <w:vAlign w:val="center"/>
          </w:tcPr>
          <w:p w14:paraId="4F2AA942">
            <w:pPr>
              <w:adjustRightInd w:val="0"/>
              <w:snapToGrid w:val="0"/>
              <w:spacing w:line="320" w:lineRule="exact"/>
              <w:jc w:val="center"/>
              <w:rPr>
                <w:color w:val="auto"/>
                <w:kern w:val="0"/>
              </w:rPr>
            </w:pPr>
            <w:r>
              <w:rPr>
                <w:color w:val="auto"/>
                <w:kern w:val="0"/>
              </w:rPr>
              <w:t>T</w:t>
            </w:r>
          </w:p>
        </w:tc>
      </w:tr>
      <w:tr w14:paraId="06A6D7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101CA4F9">
            <w:pPr>
              <w:adjustRightInd w:val="0"/>
              <w:snapToGrid w:val="0"/>
              <w:spacing w:line="320" w:lineRule="exact"/>
              <w:jc w:val="center"/>
              <w:rPr>
                <w:color w:val="auto"/>
              </w:rPr>
            </w:pPr>
            <w:r>
              <w:rPr>
                <w:color w:val="auto"/>
              </w:rPr>
              <w:t>4</w:t>
            </w:r>
          </w:p>
        </w:tc>
        <w:tc>
          <w:tcPr>
            <w:tcW w:w="966" w:type="pct"/>
            <w:vAlign w:val="center"/>
          </w:tcPr>
          <w:p w14:paraId="35F19C34">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废砂</w:t>
            </w:r>
          </w:p>
        </w:tc>
        <w:tc>
          <w:tcPr>
            <w:tcW w:w="565" w:type="pct"/>
            <w:vAlign w:val="center"/>
          </w:tcPr>
          <w:p w14:paraId="11025621">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喷砂</w:t>
            </w:r>
          </w:p>
        </w:tc>
        <w:tc>
          <w:tcPr>
            <w:tcW w:w="706" w:type="pct"/>
            <w:vAlign w:val="center"/>
          </w:tcPr>
          <w:p w14:paraId="21AEDE4C">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0.5</w:t>
            </w:r>
          </w:p>
        </w:tc>
        <w:tc>
          <w:tcPr>
            <w:tcW w:w="706" w:type="pct"/>
            <w:vAlign w:val="center"/>
          </w:tcPr>
          <w:p w14:paraId="4C92C6D3">
            <w:pPr>
              <w:adjustRightInd w:val="0"/>
              <w:snapToGrid w:val="0"/>
              <w:spacing w:line="320" w:lineRule="exact"/>
              <w:jc w:val="center"/>
              <w:rPr>
                <w:color w:val="auto"/>
              </w:rPr>
            </w:pPr>
            <w:r>
              <w:rPr>
                <w:color w:val="auto"/>
              </w:rPr>
              <w:t>否</w:t>
            </w:r>
          </w:p>
        </w:tc>
        <w:tc>
          <w:tcPr>
            <w:tcW w:w="968" w:type="pct"/>
            <w:tcBorders>
              <w:left w:val="single" w:color="auto" w:sz="4" w:space="0"/>
            </w:tcBorders>
            <w:vAlign w:val="center"/>
          </w:tcPr>
          <w:p w14:paraId="35E275DA">
            <w:pPr>
              <w:adjustRightInd w:val="0"/>
              <w:snapToGrid w:val="0"/>
              <w:spacing w:line="320" w:lineRule="exact"/>
              <w:jc w:val="center"/>
              <w:rPr>
                <w:color w:val="auto"/>
                <w:kern w:val="0"/>
              </w:rPr>
            </w:pPr>
            <w:r>
              <w:rPr>
                <w:color w:val="auto"/>
                <w:kern w:val="0"/>
              </w:rPr>
              <w:t>--</w:t>
            </w:r>
          </w:p>
        </w:tc>
        <w:tc>
          <w:tcPr>
            <w:tcW w:w="765" w:type="pct"/>
            <w:tcBorders>
              <w:left w:val="single" w:color="auto" w:sz="4" w:space="0"/>
            </w:tcBorders>
            <w:vAlign w:val="center"/>
          </w:tcPr>
          <w:p w14:paraId="4BD006EF">
            <w:pPr>
              <w:adjustRightInd w:val="0"/>
              <w:snapToGrid w:val="0"/>
              <w:spacing w:line="320" w:lineRule="exact"/>
              <w:jc w:val="center"/>
              <w:rPr>
                <w:color w:val="auto"/>
                <w:kern w:val="0"/>
              </w:rPr>
            </w:pPr>
            <w:r>
              <w:rPr>
                <w:rFonts w:hint="eastAsia"/>
                <w:color w:val="auto"/>
                <w:kern w:val="0"/>
              </w:rPr>
              <w:t>-</w:t>
            </w:r>
            <w:r>
              <w:rPr>
                <w:color w:val="auto"/>
                <w:kern w:val="0"/>
              </w:rPr>
              <w:t>-</w:t>
            </w:r>
          </w:p>
        </w:tc>
      </w:tr>
      <w:tr w14:paraId="2EB734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49A1E5A1">
            <w:pPr>
              <w:adjustRightInd w:val="0"/>
              <w:snapToGrid w:val="0"/>
              <w:spacing w:line="320" w:lineRule="exact"/>
              <w:jc w:val="center"/>
              <w:rPr>
                <w:color w:val="auto"/>
              </w:rPr>
            </w:pPr>
            <w:r>
              <w:rPr>
                <w:rFonts w:hint="eastAsia"/>
                <w:color w:val="auto"/>
              </w:rPr>
              <w:t>5</w:t>
            </w:r>
          </w:p>
        </w:tc>
        <w:tc>
          <w:tcPr>
            <w:tcW w:w="966" w:type="pct"/>
            <w:shd w:val="clear" w:color="auto" w:fill="auto"/>
            <w:vAlign w:val="center"/>
          </w:tcPr>
          <w:p w14:paraId="62F32435">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废油漆桶</w:t>
            </w:r>
          </w:p>
        </w:tc>
        <w:tc>
          <w:tcPr>
            <w:tcW w:w="565" w:type="pct"/>
            <w:shd w:val="clear" w:color="auto" w:fill="auto"/>
            <w:vAlign w:val="center"/>
          </w:tcPr>
          <w:p w14:paraId="24C0F37A">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原料包装</w:t>
            </w:r>
          </w:p>
        </w:tc>
        <w:tc>
          <w:tcPr>
            <w:tcW w:w="706" w:type="pct"/>
            <w:vAlign w:val="center"/>
          </w:tcPr>
          <w:p w14:paraId="19494A37">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lang w:val="en-US" w:eastAsia="zh-CN"/>
              </w:rPr>
              <w:t>0.13625</w:t>
            </w:r>
          </w:p>
        </w:tc>
        <w:tc>
          <w:tcPr>
            <w:tcW w:w="706" w:type="pct"/>
            <w:shd w:val="clear" w:color="auto" w:fill="auto"/>
            <w:vAlign w:val="center"/>
          </w:tcPr>
          <w:p w14:paraId="2BB0F0FB">
            <w:pPr>
              <w:adjustRightInd w:val="0"/>
              <w:snapToGrid w:val="0"/>
              <w:spacing w:line="320" w:lineRule="exact"/>
              <w:jc w:val="center"/>
              <w:rPr>
                <w:color w:val="auto"/>
              </w:rPr>
            </w:pPr>
            <w:r>
              <w:rPr>
                <w:rFonts w:hint="eastAsia"/>
                <w:color w:val="auto"/>
              </w:rPr>
              <w:t>是</w:t>
            </w:r>
          </w:p>
        </w:tc>
        <w:tc>
          <w:tcPr>
            <w:tcW w:w="968" w:type="pct"/>
            <w:tcBorders>
              <w:left w:val="single" w:color="auto" w:sz="4" w:space="0"/>
            </w:tcBorders>
            <w:shd w:val="clear" w:color="auto" w:fill="auto"/>
            <w:vAlign w:val="center"/>
          </w:tcPr>
          <w:p w14:paraId="3E198E39">
            <w:pPr>
              <w:adjustRightInd w:val="0"/>
              <w:snapToGrid w:val="0"/>
              <w:spacing w:line="320" w:lineRule="exact"/>
              <w:jc w:val="center"/>
              <w:rPr>
                <w:color w:val="auto"/>
                <w:kern w:val="0"/>
              </w:rPr>
            </w:pPr>
            <w:r>
              <w:rPr>
                <w:rFonts w:hint="eastAsia"/>
                <w:color w:val="auto"/>
                <w:kern w:val="0"/>
              </w:rPr>
              <w:t>HW</w:t>
            </w:r>
            <w:r>
              <w:rPr>
                <w:rFonts w:hint="eastAsia"/>
                <w:color w:val="auto"/>
                <w:kern w:val="0"/>
                <w:lang w:val="en-US" w:eastAsia="zh-CN"/>
              </w:rPr>
              <w:t>49</w:t>
            </w:r>
            <w:r>
              <w:rPr>
                <w:rFonts w:hint="eastAsia"/>
                <w:color w:val="auto"/>
                <w:kern w:val="0"/>
              </w:rPr>
              <w:t>/900-041-49</w:t>
            </w:r>
          </w:p>
        </w:tc>
        <w:tc>
          <w:tcPr>
            <w:tcW w:w="765" w:type="pct"/>
            <w:tcBorders>
              <w:left w:val="single" w:color="auto" w:sz="4" w:space="0"/>
            </w:tcBorders>
            <w:shd w:val="clear" w:color="auto" w:fill="auto"/>
            <w:vAlign w:val="center"/>
          </w:tcPr>
          <w:p w14:paraId="7571EDA8">
            <w:pPr>
              <w:adjustRightInd w:val="0"/>
              <w:snapToGrid w:val="0"/>
              <w:spacing w:line="320" w:lineRule="exact"/>
              <w:jc w:val="center"/>
              <w:rPr>
                <w:rFonts w:hint="default" w:eastAsia="宋体"/>
                <w:color w:val="auto"/>
                <w:kern w:val="0"/>
                <w:lang w:val="en-US" w:eastAsia="zh-CN"/>
              </w:rPr>
            </w:pPr>
            <w:r>
              <w:rPr>
                <w:color w:val="auto"/>
                <w:kern w:val="0"/>
              </w:rPr>
              <w:t>T</w:t>
            </w:r>
            <w:r>
              <w:rPr>
                <w:rFonts w:hint="eastAsia"/>
                <w:color w:val="auto"/>
                <w:kern w:val="0"/>
                <w:lang w:val="en-US" w:eastAsia="zh-CN"/>
              </w:rPr>
              <w:t>/In</w:t>
            </w:r>
          </w:p>
        </w:tc>
      </w:tr>
      <w:tr w14:paraId="0AFEC3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45707BC0">
            <w:pPr>
              <w:adjustRightInd w:val="0"/>
              <w:snapToGrid w:val="0"/>
              <w:spacing w:line="320" w:lineRule="exact"/>
              <w:jc w:val="center"/>
              <w:rPr>
                <w:color w:val="auto"/>
              </w:rPr>
            </w:pPr>
            <w:r>
              <w:rPr>
                <w:rFonts w:hint="eastAsia"/>
                <w:color w:val="auto"/>
              </w:rPr>
              <w:t>6</w:t>
            </w:r>
          </w:p>
        </w:tc>
        <w:tc>
          <w:tcPr>
            <w:tcW w:w="966" w:type="pct"/>
            <w:shd w:val="clear" w:color="auto" w:fill="auto"/>
            <w:vAlign w:val="center"/>
          </w:tcPr>
          <w:p w14:paraId="07485D34">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漆渣</w:t>
            </w:r>
          </w:p>
        </w:tc>
        <w:tc>
          <w:tcPr>
            <w:tcW w:w="565" w:type="pct"/>
            <w:shd w:val="clear" w:color="auto" w:fill="auto"/>
            <w:vAlign w:val="center"/>
          </w:tcPr>
          <w:p w14:paraId="7E2C4F4E">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废气处理</w:t>
            </w:r>
          </w:p>
        </w:tc>
        <w:tc>
          <w:tcPr>
            <w:tcW w:w="706" w:type="pct"/>
            <w:vAlign w:val="center"/>
          </w:tcPr>
          <w:p w14:paraId="04EB651E">
            <w:pPr>
              <w:pStyle w:val="12"/>
              <w:topLinePunct/>
              <w:ind w:left="0" w:leftChars="0" w:firstLine="0" w:firstLineChars="0"/>
              <w:jc w:val="center"/>
              <w:rPr>
                <w:rFonts w:ascii="Times New Roman" w:hAnsi="Times New Roman"/>
                <w:color w:val="auto"/>
                <w:kern w:val="0"/>
                <w:sz w:val="21"/>
                <w:szCs w:val="21"/>
              </w:rPr>
            </w:pPr>
            <w:r>
              <w:rPr>
                <w:rFonts w:hint="eastAsia" w:ascii="Times New Roman" w:hAnsi="Times New Roman"/>
                <w:color w:val="auto"/>
                <w:kern w:val="0"/>
                <w:sz w:val="21"/>
                <w:szCs w:val="21"/>
                <w:lang w:val="en-US" w:eastAsia="zh-CN"/>
              </w:rPr>
              <w:t>0.058</w:t>
            </w:r>
          </w:p>
        </w:tc>
        <w:tc>
          <w:tcPr>
            <w:tcW w:w="706" w:type="pct"/>
            <w:shd w:val="clear" w:color="auto" w:fill="auto"/>
            <w:vAlign w:val="center"/>
          </w:tcPr>
          <w:p w14:paraId="5592D416">
            <w:pPr>
              <w:adjustRightInd w:val="0"/>
              <w:snapToGrid w:val="0"/>
              <w:spacing w:line="320" w:lineRule="exact"/>
              <w:jc w:val="center"/>
              <w:rPr>
                <w:color w:val="auto"/>
              </w:rPr>
            </w:pPr>
            <w:r>
              <w:rPr>
                <w:rFonts w:hint="eastAsia"/>
                <w:color w:val="auto"/>
                <w:lang w:val="en-US" w:eastAsia="zh-CN"/>
              </w:rPr>
              <w:t>是</w:t>
            </w:r>
          </w:p>
        </w:tc>
        <w:tc>
          <w:tcPr>
            <w:tcW w:w="968" w:type="pct"/>
            <w:tcBorders>
              <w:left w:val="single" w:color="auto" w:sz="4" w:space="0"/>
            </w:tcBorders>
            <w:shd w:val="clear" w:color="auto" w:fill="auto"/>
            <w:vAlign w:val="center"/>
          </w:tcPr>
          <w:p w14:paraId="7CDF45ED">
            <w:pPr>
              <w:adjustRightInd w:val="0"/>
              <w:snapToGrid w:val="0"/>
              <w:spacing w:line="320" w:lineRule="exact"/>
              <w:jc w:val="center"/>
              <w:rPr>
                <w:rFonts w:hint="default" w:eastAsia="宋体"/>
                <w:color w:val="auto"/>
                <w:kern w:val="0"/>
                <w:lang w:val="en-US" w:eastAsia="zh-CN"/>
              </w:rPr>
            </w:pPr>
            <w:r>
              <w:rPr>
                <w:rFonts w:hint="eastAsia"/>
                <w:color w:val="auto"/>
                <w:kern w:val="0"/>
                <w:lang w:val="en-US" w:eastAsia="zh-CN"/>
              </w:rPr>
              <w:t>HW12/900-252-12</w:t>
            </w:r>
          </w:p>
        </w:tc>
        <w:tc>
          <w:tcPr>
            <w:tcW w:w="765" w:type="pct"/>
            <w:tcBorders>
              <w:left w:val="single" w:color="auto" w:sz="4" w:space="0"/>
            </w:tcBorders>
            <w:shd w:val="clear" w:color="auto" w:fill="auto"/>
            <w:vAlign w:val="center"/>
          </w:tcPr>
          <w:p w14:paraId="1C8A918E">
            <w:pPr>
              <w:adjustRightInd w:val="0"/>
              <w:snapToGrid w:val="0"/>
              <w:spacing w:line="320" w:lineRule="exact"/>
              <w:jc w:val="center"/>
              <w:rPr>
                <w:rFonts w:hint="default" w:eastAsia="宋体"/>
                <w:color w:val="auto"/>
                <w:kern w:val="0"/>
                <w:lang w:val="en-US" w:eastAsia="zh-CN"/>
              </w:rPr>
            </w:pPr>
            <w:r>
              <w:rPr>
                <w:color w:val="auto"/>
                <w:kern w:val="0"/>
              </w:rPr>
              <w:t>T</w:t>
            </w:r>
            <w:r>
              <w:rPr>
                <w:rFonts w:hint="eastAsia"/>
                <w:color w:val="auto"/>
                <w:kern w:val="0"/>
                <w:lang w:eastAsia="zh-CN"/>
              </w:rPr>
              <w:t>，</w:t>
            </w:r>
            <w:r>
              <w:rPr>
                <w:rFonts w:hint="eastAsia"/>
                <w:color w:val="auto"/>
                <w:kern w:val="0"/>
                <w:lang w:val="en-US" w:eastAsia="zh-CN"/>
              </w:rPr>
              <w:t>I</w:t>
            </w:r>
          </w:p>
        </w:tc>
      </w:tr>
      <w:tr w14:paraId="787FA3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6A92D0AB">
            <w:pPr>
              <w:adjustRightInd w:val="0"/>
              <w:snapToGrid w:val="0"/>
              <w:spacing w:line="320" w:lineRule="exact"/>
              <w:jc w:val="center"/>
              <w:rPr>
                <w:color w:val="auto"/>
              </w:rPr>
            </w:pPr>
            <w:r>
              <w:rPr>
                <w:rFonts w:hint="eastAsia"/>
                <w:color w:val="auto"/>
              </w:rPr>
              <w:t>7</w:t>
            </w:r>
          </w:p>
        </w:tc>
        <w:tc>
          <w:tcPr>
            <w:tcW w:w="966" w:type="pct"/>
            <w:shd w:val="clear" w:color="auto" w:fill="auto"/>
            <w:vAlign w:val="center"/>
          </w:tcPr>
          <w:p w14:paraId="1D5C0DDC">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废活性炭</w:t>
            </w:r>
          </w:p>
        </w:tc>
        <w:tc>
          <w:tcPr>
            <w:tcW w:w="565" w:type="pct"/>
            <w:shd w:val="clear" w:color="auto" w:fill="auto"/>
            <w:vAlign w:val="center"/>
          </w:tcPr>
          <w:p w14:paraId="6F8C6D50">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废气处理</w:t>
            </w:r>
          </w:p>
        </w:tc>
        <w:tc>
          <w:tcPr>
            <w:tcW w:w="706" w:type="pct"/>
            <w:vAlign w:val="center"/>
          </w:tcPr>
          <w:p w14:paraId="794A7F55">
            <w:pPr>
              <w:pStyle w:val="12"/>
              <w:topLinePunct/>
              <w:ind w:left="0" w:leftChars="0" w:firstLine="0" w:firstLineChars="0"/>
              <w:jc w:val="center"/>
              <w:rPr>
                <w:rFonts w:hint="eastAsia"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4</w:t>
            </w:r>
          </w:p>
        </w:tc>
        <w:tc>
          <w:tcPr>
            <w:tcW w:w="706" w:type="pct"/>
            <w:shd w:val="clear" w:color="auto" w:fill="auto"/>
            <w:vAlign w:val="center"/>
          </w:tcPr>
          <w:p w14:paraId="3A03E806">
            <w:pPr>
              <w:adjustRightInd w:val="0"/>
              <w:snapToGrid w:val="0"/>
              <w:spacing w:line="320" w:lineRule="exact"/>
              <w:jc w:val="center"/>
              <w:rPr>
                <w:color w:val="auto"/>
              </w:rPr>
            </w:pPr>
            <w:r>
              <w:rPr>
                <w:rFonts w:hint="eastAsia"/>
                <w:color w:val="auto"/>
              </w:rPr>
              <w:t>是</w:t>
            </w:r>
          </w:p>
        </w:tc>
        <w:tc>
          <w:tcPr>
            <w:tcW w:w="968" w:type="pct"/>
            <w:tcBorders>
              <w:left w:val="single" w:color="auto" w:sz="4" w:space="0"/>
            </w:tcBorders>
            <w:shd w:val="clear" w:color="auto" w:fill="auto"/>
            <w:vAlign w:val="center"/>
          </w:tcPr>
          <w:p w14:paraId="42E909AB">
            <w:pPr>
              <w:adjustRightInd w:val="0"/>
              <w:snapToGrid w:val="0"/>
              <w:spacing w:line="320" w:lineRule="exact"/>
              <w:jc w:val="center"/>
              <w:rPr>
                <w:color w:val="auto"/>
                <w:kern w:val="0"/>
              </w:rPr>
            </w:pPr>
            <w:r>
              <w:rPr>
                <w:rFonts w:hint="eastAsia"/>
                <w:color w:val="auto"/>
                <w:kern w:val="0"/>
              </w:rPr>
              <w:t>H</w:t>
            </w:r>
            <w:r>
              <w:rPr>
                <w:color w:val="auto"/>
                <w:kern w:val="0"/>
              </w:rPr>
              <w:t>W49/900-039-49</w:t>
            </w:r>
          </w:p>
        </w:tc>
        <w:tc>
          <w:tcPr>
            <w:tcW w:w="765" w:type="pct"/>
            <w:tcBorders>
              <w:left w:val="single" w:color="auto" w:sz="4" w:space="0"/>
            </w:tcBorders>
            <w:shd w:val="clear" w:color="auto" w:fill="auto"/>
            <w:vAlign w:val="center"/>
          </w:tcPr>
          <w:p w14:paraId="0124B6A6">
            <w:pPr>
              <w:adjustRightInd w:val="0"/>
              <w:snapToGrid w:val="0"/>
              <w:spacing w:line="320" w:lineRule="exact"/>
              <w:jc w:val="center"/>
              <w:rPr>
                <w:color w:val="auto"/>
                <w:kern w:val="0"/>
              </w:rPr>
            </w:pPr>
            <w:r>
              <w:rPr>
                <w:color w:val="auto"/>
                <w:kern w:val="0"/>
              </w:rPr>
              <w:t>T</w:t>
            </w:r>
          </w:p>
        </w:tc>
      </w:tr>
      <w:tr w14:paraId="3FB47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53AC3029">
            <w:pPr>
              <w:adjustRightInd w:val="0"/>
              <w:snapToGrid w:val="0"/>
              <w:spacing w:line="320" w:lineRule="exact"/>
              <w:jc w:val="center"/>
              <w:rPr>
                <w:color w:val="auto"/>
              </w:rPr>
            </w:pPr>
            <w:r>
              <w:rPr>
                <w:rFonts w:hint="eastAsia"/>
                <w:color w:val="auto"/>
              </w:rPr>
              <w:t>8</w:t>
            </w:r>
          </w:p>
        </w:tc>
        <w:tc>
          <w:tcPr>
            <w:tcW w:w="966" w:type="pct"/>
            <w:shd w:val="clear" w:color="auto" w:fill="auto"/>
            <w:vAlign w:val="center"/>
          </w:tcPr>
          <w:p w14:paraId="0FC06B71">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废催化剂</w:t>
            </w:r>
          </w:p>
        </w:tc>
        <w:tc>
          <w:tcPr>
            <w:tcW w:w="565" w:type="pct"/>
            <w:shd w:val="clear" w:color="auto" w:fill="auto"/>
            <w:vAlign w:val="center"/>
          </w:tcPr>
          <w:p w14:paraId="63E679A8">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废气处理</w:t>
            </w:r>
          </w:p>
        </w:tc>
        <w:tc>
          <w:tcPr>
            <w:tcW w:w="706" w:type="pct"/>
            <w:vAlign w:val="center"/>
          </w:tcPr>
          <w:p w14:paraId="1BD6174C">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0.01</w:t>
            </w:r>
          </w:p>
        </w:tc>
        <w:tc>
          <w:tcPr>
            <w:tcW w:w="706" w:type="pct"/>
            <w:shd w:val="clear" w:color="auto" w:fill="auto"/>
            <w:vAlign w:val="center"/>
          </w:tcPr>
          <w:p w14:paraId="7F487C59">
            <w:pPr>
              <w:adjustRightInd w:val="0"/>
              <w:snapToGrid w:val="0"/>
              <w:spacing w:line="320" w:lineRule="exact"/>
              <w:jc w:val="center"/>
              <w:rPr>
                <w:color w:val="auto"/>
              </w:rPr>
            </w:pPr>
            <w:r>
              <w:rPr>
                <w:rFonts w:hint="eastAsia"/>
                <w:color w:val="auto"/>
                <w:lang w:val="en-US" w:eastAsia="zh-CN"/>
              </w:rPr>
              <w:t>是</w:t>
            </w:r>
          </w:p>
        </w:tc>
        <w:tc>
          <w:tcPr>
            <w:tcW w:w="968" w:type="pct"/>
            <w:tcBorders>
              <w:left w:val="single" w:color="auto" w:sz="4" w:space="0"/>
            </w:tcBorders>
            <w:shd w:val="clear" w:color="auto" w:fill="auto"/>
            <w:vAlign w:val="center"/>
          </w:tcPr>
          <w:p w14:paraId="1AD755F3">
            <w:pPr>
              <w:adjustRightInd w:val="0"/>
              <w:snapToGrid w:val="0"/>
              <w:spacing w:line="320" w:lineRule="exact"/>
              <w:jc w:val="center"/>
              <w:rPr>
                <w:color w:val="auto"/>
                <w:kern w:val="0"/>
              </w:rPr>
            </w:pPr>
            <w:r>
              <w:rPr>
                <w:rFonts w:hint="eastAsia"/>
                <w:color w:val="auto"/>
                <w:kern w:val="0"/>
                <w:lang w:val="en-US" w:eastAsia="zh-CN"/>
              </w:rPr>
              <w:t>HW50/</w:t>
            </w:r>
            <w:r>
              <w:rPr>
                <w:rFonts w:hint="eastAsia"/>
                <w:color w:val="auto"/>
                <w:kern w:val="0"/>
              </w:rPr>
              <w:t>900-049-50</w:t>
            </w:r>
          </w:p>
        </w:tc>
        <w:tc>
          <w:tcPr>
            <w:tcW w:w="765" w:type="pct"/>
            <w:tcBorders>
              <w:left w:val="single" w:color="auto" w:sz="4" w:space="0"/>
            </w:tcBorders>
            <w:shd w:val="clear" w:color="auto" w:fill="auto"/>
            <w:vAlign w:val="center"/>
          </w:tcPr>
          <w:p w14:paraId="5209093E">
            <w:pPr>
              <w:adjustRightInd w:val="0"/>
              <w:snapToGrid w:val="0"/>
              <w:spacing w:line="320" w:lineRule="exact"/>
              <w:jc w:val="center"/>
              <w:rPr>
                <w:color w:val="auto"/>
                <w:kern w:val="0"/>
              </w:rPr>
            </w:pPr>
            <w:r>
              <w:rPr>
                <w:color w:val="auto"/>
                <w:kern w:val="0"/>
              </w:rPr>
              <w:t>T</w:t>
            </w:r>
          </w:p>
        </w:tc>
      </w:tr>
      <w:tr w14:paraId="6EA4FD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0D096999">
            <w:pPr>
              <w:adjustRightInd w:val="0"/>
              <w:snapToGrid w:val="0"/>
              <w:spacing w:line="320" w:lineRule="exact"/>
              <w:jc w:val="center"/>
              <w:rPr>
                <w:rFonts w:hint="eastAsia" w:eastAsia="宋体"/>
                <w:color w:val="auto"/>
                <w:lang w:val="en-US" w:eastAsia="zh-CN"/>
              </w:rPr>
            </w:pPr>
            <w:r>
              <w:rPr>
                <w:rFonts w:hint="eastAsia"/>
                <w:color w:val="auto"/>
                <w:lang w:val="en-US" w:eastAsia="zh-CN"/>
              </w:rPr>
              <w:t>9</w:t>
            </w:r>
          </w:p>
        </w:tc>
        <w:tc>
          <w:tcPr>
            <w:tcW w:w="966" w:type="pct"/>
            <w:shd w:val="clear" w:color="auto" w:fill="auto"/>
            <w:vAlign w:val="center"/>
          </w:tcPr>
          <w:p w14:paraId="38C1A569">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生活垃圾</w:t>
            </w:r>
          </w:p>
        </w:tc>
        <w:tc>
          <w:tcPr>
            <w:tcW w:w="565" w:type="pct"/>
            <w:shd w:val="clear" w:color="auto" w:fill="auto"/>
            <w:vAlign w:val="center"/>
          </w:tcPr>
          <w:p w14:paraId="6B7E77A5">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员工生活</w:t>
            </w:r>
          </w:p>
        </w:tc>
        <w:tc>
          <w:tcPr>
            <w:tcW w:w="706" w:type="pct"/>
            <w:vAlign w:val="center"/>
          </w:tcPr>
          <w:p w14:paraId="7C3EFE27">
            <w:pPr>
              <w:pStyle w:val="12"/>
              <w:topLinePunct/>
              <w:ind w:left="0" w:leftChars="0" w:firstLine="0" w:firstLineChars="0"/>
              <w:jc w:val="center"/>
              <w:rPr>
                <w:rFonts w:hint="eastAsia" w:ascii="Times New Roman" w:hAnsi="Times New Roman"/>
                <w:color w:val="auto"/>
                <w:kern w:val="0"/>
                <w:sz w:val="21"/>
                <w:szCs w:val="21"/>
                <w:lang w:val="en-US"/>
              </w:rPr>
            </w:pPr>
            <w:r>
              <w:rPr>
                <w:rFonts w:hint="eastAsia" w:ascii="Times New Roman" w:hAnsi="Times New Roman"/>
                <w:color w:val="auto"/>
                <w:kern w:val="0"/>
                <w:sz w:val="21"/>
                <w:szCs w:val="21"/>
                <w:lang w:val="en-US"/>
              </w:rPr>
              <w:t>3.75</w:t>
            </w:r>
          </w:p>
        </w:tc>
        <w:tc>
          <w:tcPr>
            <w:tcW w:w="706" w:type="pct"/>
            <w:shd w:val="clear" w:color="auto" w:fill="auto"/>
            <w:vAlign w:val="center"/>
          </w:tcPr>
          <w:p w14:paraId="0629DFD5">
            <w:pPr>
              <w:adjustRightInd w:val="0"/>
              <w:snapToGrid w:val="0"/>
              <w:spacing w:line="320" w:lineRule="exact"/>
              <w:jc w:val="center"/>
              <w:rPr>
                <w:rFonts w:hint="eastAsia" w:eastAsia="宋体"/>
                <w:color w:val="auto"/>
                <w:lang w:val="en-US" w:eastAsia="zh-CN"/>
              </w:rPr>
            </w:pPr>
            <w:r>
              <w:rPr>
                <w:rFonts w:hint="eastAsia"/>
                <w:color w:val="auto"/>
                <w:lang w:val="en-US" w:eastAsia="zh-CN"/>
              </w:rPr>
              <w:t>否</w:t>
            </w:r>
          </w:p>
        </w:tc>
        <w:tc>
          <w:tcPr>
            <w:tcW w:w="968" w:type="pct"/>
            <w:tcBorders>
              <w:left w:val="single" w:color="auto" w:sz="4" w:space="0"/>
            </w:tcBorders>
            <w:shd w:val="clear" w:color="auto" w:fill="auto"/>
            <w:vAlign w:val="center"/>
          </w:tcPr>
          <w:p w14:paraId="4DB6D0D0">
            <w:pPr>
              <w:adjustRightInd w:val="0"/>
              <w:snapToGrid w:val="0"/>
              <w:spacing w:line="320" w:lineRule="exact"/>
              <w:jc w:val="center"/>
              <w:rPr>
                <w:rFonts w:hint="default" w:eastAsia="宋体"/>
                <w:color w:val="auto"/>
                <w:kern w:val="0"/>
                <w:lang w:val="en-US" w:eastAsia="zh-CN"/>
              </w:rPr>
            </w:pPr>
            <w:r>
              <w:rPr>
                <w:rFonts w:hint="eastAsia"/>
                <w:color w:val="auto"/>
                <w:kern w:val="0"/>
                <w:lang w:val="en-US" w:eastAsia="zh-CN"/>
              </w:rPr>
              <w:t>--</w:t>
            </w:r>
          </w:p>
        </w:tc>
        <w:tc>
          <w:tcPr>
            <w:tcW w:w="765" w:type="pct"/>
            <w:tcBorders>
              <w:left w:val="single" w:color="auto" w:sz="4" w:space="0"/>
            </w:tcBorders>
            <w:shd w:val="clear" w:color="auto" w:fill="auto"/>
            <w:vAlign w:val="center"/>
          </w:tcPr>
          <w:p w14:paraId="076D928D">
            <w:pPr>
              <w:adjustRightInd w:val="0"/>
              <w:snapToGrid w:val="0"/>
              <w:spacing w:line="320" w:lineRule="exact"/>
              <w:jc w:val="center"/>
              <w:rPr>
                <w:rFonts w:hint="default" w:eastAsia="宋体"/>
                <w:color w:val="auto"/>
                <w:kern w:val="0"/>
                <w:lang w:val="en-US" w:eastAsia="zh-CN"/>
              </w:rPr>
            </w:pPr>
            <w:r>
              <w:rPr>
                <w:rFonts w:hint="eastAsia"/>
                <w:color w:val="auto"/>
                <w:kern w:val="0"/>
                <w:lang w:val="en-US" w:eastAsia="zh-CN"/>
              </w:rPr>
              <w:t>--</w:t>
            </w:r>
          </w:p>
        </w:tc>
      </w:tr>
      <w:tr w14:paraId="5EA4D6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5000" w:type="pct"/>
            <w:gridSpan w:val="7"/>
            <w:vAlign w:val="center"/>
          </w:tcPr>
          <w:p w14:paraId="67B88FBB">
            <w:pPr>
              <w:adjustRightInd w:val="0"/>
              <w:snapToGrid w:val="0"/>
              <w:spacing w:line="320" w:lineRule="exact"/>
              <w:jc w:val="center"/>
              <w:rPr>
                <w:rFonts w:hint="default"/>
                <w:color w:val="auto"/>
                <w:kern w:val="0"/>
                <w:lang w:val="en-US" w:eastAsia="zh-CN"/>
              </w:rPr>
            </w:pPr>
            <w:r>
              <w:rPr>
                <w:rFonts w:hint="eastAsia"/>
                <w:color w:val="auto"/>
                <w:kern w:val="0"/>
                <w:lang w:val="en-US" w:eastAsia="zh-CN"/>
              </w:rPr>
              <w:t>*废硝盐实际产生后需经危废鉴定，鉴定后按鉴定结果处理。(危废鉴定前先按照《危险废物贮存污染控制标准》(GB18597-2023)中的相关要求暂时存放于危险废物仓内。实际产生经危废鉴定确定属性后，若废硝盐鉴定为危险废物，则按照危险废物处置要求进行委外处理；若鉴定为不属于危险废物，则产生的废硝盐属于一般工业固废，需按照一般工业固废处置要求进行委外处置。)</w:t>
            </w:r>
          </w:p>
        </w:tc>
      </w:tr>
    </w:tbl>
    <w:p w14:paraId="0879F81B">
      <w:pPr>
        <w:spacing w:line="360" w:lineRule="auto"/>
        <w:ind w:firstLine="480" w:firstLineChars="200"/>
        <w:rPr>
          <w:color w:val="auto"/>
          <w:sz w:val="24"/>
          <w:szCs w:val="24"/>
        </w:rPr>
      </w:pPr>
      <w:r>
        <w:rPr>
          <w:rFonts w:hint="eastAsia"/>
          <w:color w:val="auto"/>
          <w:sz w:val="24"/>
          <w:szCs w:val="24"/>
        </w:rPr>
        <w:t>本项目固废产生情况汇总如下。</w:t>
      </w:r>
    </w:p>
    <w:p w14:paraId="4A2FD9C2">
      <w:pPr>
        <w:pStyle w:val="116"/>
        <w:numPr>
          <w:ilvl w:val="0"/>
          <w:numId w:val="0"/>
        </w:numPr>
        <w:spacing w:before="0" w:beforeLines="0" w:line="360" w:lineRule="auto"/>
        <w:ind w:left="0" w:leftChars="0" w:firstLine="0" w:firstLineChars="0"/>
        <w:rPr>
          <w:color w:val="auto"/>
          <w:sz w:val="24"/>
        </w:rPr>
      </w:pPr>
      <w:r>
        <w:rPr>
          <w:rFonts w:hint="eastAsia" w:ascii="Times New Roman" w:hAnsi="Times New Roman" w:eastAsia="宋体" w:cs="Times New Roman"/>
          <w:b/>
          <w:bCs w:val="0"/>
          <w:i w:val="0"/>
          <w:iCs w:val="0"/>
          <w:caps w:val="0"/>
          <w:smallCaps w:val="0"/>
          <w:strike w:val="0"/>
          <w:dstrike w:val="0"/>
          <w:vanish w:val="0"/>
          <w:color w:val="auto"/>
          <w:spacing w:val="0"/>
          <w:kern w:val="2"/>
          <w:position w:val="0"/>
          <w:sz w:val="24"/>
          <w:szCs w:val="21"/>
          <w:u w:val="none"/>
          <w:vertAlign w:val="baseline"/>
          <w:lang w:val="zh-CN" w:eastAsia="zh-CN" w:bidi="ar-SA"/>
          <w14:shadow w14:blurRad="0" w14:dist="0" w14:dir="0" w14:sx="0" w14:sy="0" w14:kx="0" w14:ky="0" w14:algn="none">
            <w14:srgbClr w14:val="000000"/>
          </w14:shadow>
        </w:rPr>
        <w:t>表</w:t>
      </w:r>
      <w:r>
        <w:rPr>
          <w:rFonts w:hint="eastAsia" w:cs="Times New Roman"/>
          <w:b/>
          <w:bCs w:val="0"/>
          <w:i w:val="0"/>
          <w:iCs w:val="0"/>
          <w:caps w:val="0"/>
          <w:smallCaps w:val="0"/>
          <w:strike w:val="0"/>
          <w:dstrike w:val="0"/>
          <w:vanish w:val="0"/>
          <w:color w:val="auto"/>
          <w:spacing w:val="0"/>
          <w:kern w:val="2"/>
          <w:position w:val="0"/>
          <w:sz w:val="24"/>
          <w:szCs w:val="21"/>
          <w:u w:val="none"/>
          <w:vertAlign w:val="baseline"/>
          <w:lang w:val="en-US" w:eastAsia="zh-CN" w:bidi="ar-SA"/>
          <w14:shadow w14:blurRad="0" w14:dist="0" w14:dir="0" w14:sx="0" w14:sy="0" w14:kx="0" w14:ky="0" w14:algn="none">
            <w14:srgbClr w14:val="000000"/>
          </w14:shadow>
        </w:rPr>
        <w:t xml:space="preserve">21  </w:t>
      </w:r>
      <w:r>
        <w:rPr>
          <w:color w:val="auto"/>
          <w:sz w:val="24"/>
        </w:rPr>
        <w:t>项目固废污染源源强核算结果及相关参数一览表</w:t>
      </w:r>
    </w:p>
    <w:tbl>
      <w:tblPr>
        <w:tblStyle w:val="88"/>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1"/>
        <w:gridCol w:w="1169"/>
        <w:gridCol w:w="1596"/>
        <w:gridCol w:w="1588"/>
        <w:gridCol w:w="435"/>
        <w:gridCol w:w="1013"/>
        <w:gridCol w:w="725"/>
        <w:gridCol w:w="723"/>
        <w:gridCol w:w="873"/>
        <w:gridCol w:w="1210"/>
      </w:tblGrid>
      <w:tr w14:paraId="6686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11" w:type="pct"/>
            <w:vMerge w:val="restart"/>
            <w:vAlign w:val="center"/>
          </w:tcPr>
          <w:p w14:paraId="28C1B8ED">
            <w:pPr>
              <w:widowControl/>
              <w:jc w:val="center"/>
              <w:rPr>
                <w:color w:val="auto"/>
                <w:kern w:val="0"/>
              </w:rPr>
            </w:pPr>
            <w:r>
              <w:rPr>
                <w:color w:val="auto"/>
                <w:kern w:val="0"/>
              </w:rPr>
              <w:t>序号</w:t>
            </w:r>
          </w:p>
        </w:tc>
        <w:tc>
          <w:tcPr>
            <w:tcW w:w="600" w:type="pct"/>
            <w:vMerge w:val="restart"/>
            <w:vAlign w:val="center"/>
          </w:tcPr>
          <w:p w14:paraId="2AE02095">
            <w:pPr>
              <w:widowControl/>
              <w:jc w:val="center"/>
              <w:rPr>
                <w:color w:val="auto"/>
                <w:kern w:val="0"/>
              </w:rPr>
            </w:pPr>
            <w:r>
              <w:rPr>
                <w:color w:val="auto"/>
                <w:kern w:val="0"/>
              </w:rPr>
              <w:t>工序/生产线</w:t>
            </w:r>
          </w:p>
        </w:tc>
        <w:tc>
          <w:tcPr>
            <w:tcW w:w="819" w:type="pct"/>
            <w:vMerge w:val="restart"/>
            <w:vAlign w:val="center"/>
          </w:tcPr>
          <w:p w14:paraId="734ECEB7">
            <w:pPr>
              <w:widowControl/>
              <w:jc w:val="center"/>
              <w:rPr>
                <w:color w:val="auto"/>
                <w:kern w:val="0"/>
              </w:rPr>
            </w:pPr>
            <w:r>
              <w:rPr>
                <w:color w:val="auto"/>
                <w:kern w:val="0"/>
              </w:rPr>
              <w:t>固体废物名称</w:t>
            </w:r>
          </w:p>
        </w:tc>
        <w:tc>
          <w:tcPr>
            <w:tcW w:w="815" w:type="pct"/>
            <w:vMerge w:val="restart"/>
            <w:vAlign w:val="center"/>
          </w:tcPr>
          <w:p w14:paraId="315D3379">
            <w:pPr>
              <w:widowControl/>
              <w:jc w:val="center"/>
              <w:rPr>
                <w:color w:val="auto"/>
                <w:kern w:val="0"/>
              </w:rPr>
            </w:pPr>
            <w:r>
              <w:rPr>
                <w:color w:val="auto"/>
                <w:kern w:val="0"/>
              </w:rPr>
              <w:t>主要成分</w:t>
            </w:r>
          </w:p>
        </w:tc>
        <w:tc>
          <w:tcPr>
            <w:tcW w:w="223" w:type="pct"/>
            <w:vMerge w:val="restart"/>
            <w:vAlign w:val="center"/>
          </w:tcPr>
          <w:p w14:paraId="5F8C7F7F">
            <w:pPr>
              <w:widowControl/>
              <w:jc w:val="center"/>
              <w:rPr>
                <w:color w:val="auto"/>
                <w:kern w:val="0"/>
              </w:rPr>
            </w:pPr>
            <w:r>
              <w:rPr>
                <w:color w:val="auto"/>
                <w:kern w:val="0"/>
              </w:rPr>
              <w:t>固废属性</w:t>
            </w:r>
          </w:p>
        </w:tc>
        <w:tc>
          <w:tcPr>
            <w:tcW w:w="892" w:type="pct"/>
            <w:gridSpan w:val="2"/>
            <w:vAlign w:val="center"/>
          </w:tcPr>
          <w:p w14:paraId="2C042379">
            <w:pPr>
              <w:widowControl/>
              <w:jc w:val="center"/>
              <w:rPr>
                <w:color w:val="auto"/>
                <w:kern w:val="0"/>
              </w:rPr>
            </w:pPr>
            <w:r>
              <w:rPr>
                <w:color w:val="auto"/>
                <w:kern w:val="0"/>
              </w:rPr>
              <w:t>产生情况</w:t>
            </w:r>
          </w:p>
        </w:tc>
        <w:tc>
          <w:tcPr>
            <w:tcW w:w="819" w:type="pct"/>
            <w:gridSpan w:val="2"/>
            <w:vAlign w:val="center"/>
          </w:tcPr>
          <w:p w14:paraId="35D1A7DC">
            <w:pPr>
              <w:widowControl/>
              <w:jc w:val="center"/>
              <w:rPr>
                <w:color w:val="auto"/>
                <w:kern w:val="0"/>
              </w:rPr>
            </w:pPr>
            <w:r>
              <w:rPr>
                <w:color w:val="auto"/>
                <w:kern w:val="0"/>
              </w:rPr>
              <w:t>处置措施</w:t>
            </w:r>
          </w:p>
        </w:tc>
        <w:tc>
          <w:tcPr>
            <w:tcW w:w="615" w:type="pct"/>
            <w:vMerge w:val="restart"/>
            <w:vAlign w:val="center"/>
          </w:tcPr>
          <w:p w14:paraId="472160AA">
            <w:pPr>
              <w:widowControl/>
              <w:jc w:val="center"/>
              <w:rPr>
                <w:color w:val="auto"/>
                <w:kern w:val="0"/>
              </w:rPr>
            </w:pPr>
            <w:r>
              <w:rPr>
                <w:color w:val="auto"/>
                <w:kern w:val="0"/>
              </w:rPr>
              <w:t>最终去向</w:t>
            </w:r>
          </w:p>
        </w:tc>
      </w:tr>
      <w:tr w14:paraId="4875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11" w:type="pct"/>
            <w:vMerge w:val="continue"/>
            <w:vAlign w:val="center"/>
          </w:tcPr>
          <w:p w14:paraId="43935BFB">
            <w:pPr>
              <w:widowControl/>
              <w:jc w:val="center"/>
              <w:rPr>
                <w:color w:val="auto"/>
                <w:kern w:val="0"/>
              </w:rPr>
            </w:pPr>
          </w:p>
        </w:tc>
        <w:tc>
          <w:tcPr>
            <w:tcW w:w="600" w:type="pct"/>
            <w:vMerge w:val="continue"/>
            <w:vAlign w:val="center"/>
          </w:tcPr>
          <w:p w14:paraId="073C8760">
            <w:pPr>
              <w:widowControl/>
              <w:jc w:val="center"/>
              <w:rPr>
                <w:color w:val="auto"/>
                <w:kern w:val="0"/>
              </w:rPr>
            </w:pPr>
          </w:p>
        </w:tc>
        <w:tc>
          <w:tcPr>
            <w:tcW w:w="819" w:type="pct"/>
            <w:vMerge w:val="continue"/>
            <w:vAlign w:val="center"/>
          </w:tcPr>
          <w:p w14:paraId="38222386">
            <w:pPr>
              <w:widowControl/>
              <w:jc w:val="center"/>
              <w:rPr>
                <w:color w:val="auto"/>
                <w:kern w:val="0"/>
              </w:rPr>
            </w:pPr>
          </w:p>
        </w:tc>
        <w:tc>
          <w:tcPr>
            <w:tcW w:w="815" w:type="pct"/>
            <w:vMerge w:val="continue"/>
            <w:vAlign w:val="center"/>
          </w:tcPr>
          <w:p w14:paraId="10B9A79F">
            <w:pPr>
              <w:widowControl/>
              <w:jc w:val="center"/>
              <w:rPr>
                <w:color w:val="auto"/>
                <w:kern w:val="0"/>
              </w:rPr>
            </w:pPr>
          </w:p>
        </w:tc>
        <w:tc>
          <w:tcPr>
            <w:tcW w:w="223" w:type="pct"/>
            <w:vMerge w:val="continue"/>
            <w:vAlign w:val="center"/>
          </w:tcPr>
          <w:p w14:paraId="3D602D5E">
            <w:pPr>
              <w:widowControl/>
              <w:jc w:val="center"/>
              <w:rPr>
                <w:color w:val="auto"/>
                <w:kern w:val="0"/>
              </w:rPr>
            </w:pPr>
          </w:p>
        </w:tc>
        <w:tc>
          <w:tcPr>
            <w:tcW w:w="520" w:type="pct"/>
            <w:vAlign w:val="center"/>
          </w:tcPr>
          <w:p w14:paraId="2DB9483D">
            <w:pPr>
              <w:widowControl/>
              <w:jc w:val="center"/>
              <w:rPr>
                <w:color w:val="auto"/>
                <w:kern w:val="0"/>
              </w:rPr>
            </w:pPr>
            <w:r>
              <w:rPr>
                <w:color w:val="auto"/>
                <w:kern w:val="0"/>
              </w:rPr>
              <w:t>核算方法</w:t>
            </w:r>
          </w:p>
        </w:tc>
        <w:tc>
          <w:tcPr>
            <w:tcW w:w="372" w:type="pct"/>
            <w:vAlign w:val="center"/>
          </w:tcPr>
          <w:p w14:paraId="381524E0">
            <w:pPr>
              <w:widowControl/>
              <w:jc w:val="center"/>
              <w:rPr>
                <w:color w:val="auto"/>
                <w:kern w:val="0"/>
              </w:rPr>
            </w:pPr>
            <w:r>
              <w:rPr>
                <w:color w:val="auto"/>
                <w:kern w:val="0"/>
              </w:rPr>
              <w:t>产生量(t/a)</w:t>
            </w:r>
          </w:p>
        </w:tc>
        <w:tc>
          <w:tcPr>
            <w:tcW w:w="371" w:type="pct"/>
            <w:vAlign w:val="center"/>
          </w:tcPr>
          <w:p w14:paraId="1E34819D">
            <w:pPr>
              <w:widowControl/>
              <w:jc w:val="center"/>
              <w:rPr>
                <w:color w:val="auto"/>
                <w:kern w:val="0"/>
              </w:rPr>
            </w:pPr>
            <w:r>
              <w:rPr>
                <w:color w:val="auto"/>
                <w:kern w:val="0"/>
              </w:rPr>
              <w:t>工艺</w:t>
            </w:r>
          </w:p>
        </w:tc>
        <w:tc>
          <w:tcPr>
            <w:tcW w:w="448" w:type="pct"/>
            <w:vAlign w:val="center"/>
          </w:tcPr>
          <w:p w14:paraId="5F5D2E83">
            <w:pPr>
              <w:widowControl/>
              <w:jc w:val="center"/>
              <w:rPr>
                <w:color w:val="auto"/>
                <w:kern w:val="0"/>
              </w:rPr>
            </w:pPr>
            <w:r>
              <w:rPr>
                <w:color w:val="auto"/>
                <w:kern w:val="0"/>
              </w:rPr>
              <w:t>处置量(t/a)</w:t>
            </w:r>
          </w:p>
        </w:tc>
        <w:tc>
          <w:tcPr>
            <w:tcW w:w="615" w:type="pct"/>
            <w:vMerge w:val="continue"/>
            <w:vAlign w:val="center"/>
          </w:tcPr>
          <w:p w14:paraId="14CE4690">
            <w:pPr>
              <w:widowControl/>
              <w:jc w:val="center"/>
              <w:rPr>
                <w:color w:val="auto"/>
                <w:kern w:val="0"/>
              </w:rPr>
            </w:pPr>
          </w:p>
        </w:tc>
      </w:tr>
      <w:tr w14:paraId="0C6A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211" w:type="pct"/>
            <w:vAlign w:val="center"/>
          </w:tcPr>
          <w:p w14:paraId="66DA3768">
            <w:pPr>
              <w:widowControl/>
              <w:jc w:val="center"/>
              <w:rPr>
                <w:color w:val="auto"/>
                <w:kern w:val="0"/>
              </w:rPr>
            </w:pPr>
            <w:r>
              <w:rPr>
                <w:color w:val="auto"/>
              </w:rPr>
              <w:t>1</w:t>
            </w:r>
          </w:p>
        </w:tc>
        <w:tc>
          <w:tcPr>
            <w:tcW w:w="600" w:type="pct"/>
            <w:vAlign w:val="center"/>
          </w:tcPr>
          <w:p w14:paraId="5C8C7BED">
            <w:pPr>
              <w:pStyle w:val="12"/>
              <w:topLinePunct/>
              <w:ind w:left="0" w:leftChars="0" w:firstLine="0" w:firstLineChars="0"/>
              <w:jc w:val="center"/>
              <w:rPr>
                <w:rFonts w:hint="eastAsia" w:ascii="宋体" w:hAnsi="宋体" w:cs="宋体"/>
                <w:color w:val="auto"/>
              </w:rPr>
            </w:pPr>
            <w:r>
              <w:rPr>
                <w:rFonts w:hint="eastAsia" w:ascii="Times New Roman" w:hAnsi="Times New Roman"/>
                <w:color w:val="auto"/>
                <w:kern w:val="0"/>
                <w:sz w:val="21"/>
                <w:szCs w:val="21"/>
                <w:lang w:val="en-US" w:eastAsia="zh-CN"/>
              </w:rPr>
              <w:t>金加工、激光切割等</w:t>
            </w:r>
          </w:p>
        </w:tc>
        <w:tc>
          <w:tcPr>
            <w:tcW w:w="819" w:type="pct"/>
            <w:vAlign w:val="center"/>
          </w:tcPr>
          <w:p w14:paraId="147B2990">
            <w:pPr>
              <w:pStyle w:val="12"/>
              <w:topLinePunct/>
              <w:ind w:left="0" w:leftChars="0" w:firstLine="0" w:firstLineChars="0"/>
              <w:jc w:val="center"/>
              <w:rPr>
                <w:color w:val="auto"/>
              </w:rPr>
            </w:pPr>
            <w:r>
              <w:rPr>
                <w:rFonts w:hint="eastAsia" w:ascii="宋体" w:hAnsi="宋体"/>
                <w:color w:val="auto"/>
                <w:sz w:val="21"/>
                <w:szCs w:val="21"/>
                <w:lang w:val="en-US" w:eastAsia="zh-CN"/>
              </w:rPr>
              <w:t>废金属屑</w:t>
            </w:r>
          </w:p>
        </w:tc>
        <w:tc>
          <w:tcPr>
            <w:tcW w:w="815" w:type="pct"/>
            <w:vAlign w:val="center"/>
          </w:tcPr>
          <w:p w14:paraId="53F63375">
            <w:pPr>
              <w:pStyle w:val="12"/>
              <w:topLinePunct/>
              <w:ind w:left="0" w:leftChars="0" w:firstLine="0" w:firstLineChars="0"/>
              <w:jc w:val="center"/>
              <w:rPr>
                <w:color w:val="auto"/>
              </w:rPr>
            </w:pPr>
            <w:r>
              <w:rPr>
                <w:rFonts w:hint="eastAsia" w:ascii="宋体" w:hAnsi="宋体"/>
                <w:color w:val="auto"/>
                <w:sz w:val="21"/>
                <w:szCs w:val="21"/>
                <w:lang w:val="en-US" w:eastAsia="zh-CN"/>
              </w:rPr>
              <w:t>废金属屑</w:t>
            </w:r>
          </w:p>
        </w:tc>
        <w:tc>
          <w:tcPr>
            <w:tcW w:w="223" w:type="pct"/>
            <w:vAlign w:val="center"/>
          </w:tcPr>
          <w:p w14:paraId="2720E78C">
            <w:pPr>
              <w:widowControl/>
              <w:jc w:val="center"/>
              <w:rPr>
                <w:color w:val="auto"/>
                <w:kern w:val="0"/>
              </w:rPr>
            </w:pPr>
            <w:r>
              <w:rPr>
                <w:rFonts w:hint="eastAsia"/>
                <w:color w:val="auto"/>
                <w:kern w:val="0"/>
              </w:rPr>
              <w:t>一般固废</w:t>
            </w:r>
          </w:p>
        </w:tc>
        <w:tc>
          <w:tcPr>
            <w:tcW w:w="520" w:type="pct"/>
            <w:vAlign w:val="center"/>
          </w:tcPr>
          <w:p w14:paraId="345FA9BF">
            <w:pPr>
              <w:widowControl/>
              <w:jc w:val="center"/>
              <w:rPr>
                <w:color w:val="auto"/>
                <w:kern w:val="0"/>
              </w:rPr>
            </w:pPr>
            <w:r>
              <w:rPr>
                <w:rFonts w:hint="eastAsia"/>
                <w:color w:val="auto"/>
              </w:rPr>
              <w:t>物料衡算</w:t>
            </w:r>
          </w:p>
        </w:tc>
        <w:tc>
          <w:tcPr>
            <w:tcW w:w="372" w:type="pct"/>
            <w:vAlign w:val="center"/>
          </w:tcPr>
          <w:p w14:paraId="54FFCD97">
            <w:pPr>
              <w:pStyle w:val="12"/>
              <w:topLinePunct/>
              <w:ind w:left="0" w:leftChars="0" w:firstLine="0" w:firstLineChars="0"/>
              <w:jc w:val="center"/>
              <w:rPr>
                <w:rFonts w:hint="default" w:eastAsia="宋体"/>
                <w:color w:val="auto"/>
                <w:lang w:val="en-US" w:eastAsia="zh-CN"/>
              </w:rPr>
            </w:pPr>
            <w:r>
              <w:rPr>
                <w:rFonts w:hint="eastAsia" w:ascii="Times New Roman" w:hAnsi="Times New Roman"/>
                <w:color w:val="auto"/>
                <w:kern w:val="0"/>
                <w:sz w:val="21"/>
                <w:szCs w:val="21"/>
                <w:lang w:val="en-US" w:eastAsia="zh-CN"/>
              </w:rPr>
              <w:t>4.6</w:t>
            </w:r>
          </w:p>
        </w:tc>
        <w:tc>
          <w:tcPr>
            <w:tcW w:w="371" w:type="pct"/>
            <w:vAlign w:val="center"/>
          </w:tcPr>
          <w:p w14:paraId="747F0573">
            <w:pPr>
              <w:jc w:val="center"/>
              <w:rPr>
                <w:rFonts w:hint="eastAsia" w:ascii="宋体" w:hAnsi="宋体" w:cs="宋体"/>
                <w:color w:val="auto"/>
              </w:rPr>
            </w:pPr>
            <w:r>
              <w:rPr>
                <w:rFonts w:hint="eastAsia"/>
                <w:color w:val="auto"/>
              </w:rPr>
              <w:t>资源化</w:t>
            </w:r>
          </w:p>
        </w:tc>
        <w:tc>
          <w:tcPr>
            <w:tcW w:w="448" w:type="pct"/>
            <w:vAlign w:val="center"/>
          </w:tcPr>
          <w:p w14:paraId="480106AF">
            <w:pPr>
              <w:pStyle w:val="12"/>
              <w:topLinePunct/>
              <w:ind w:left="0" w:leftChars="0" w:firstLine="0" w:firstLineChars="0"/>
              <w:jc w:val="center"/>
              <w:rPr>
                <w:rFonts w:hint="default" w:eastAsia="宋体"/>
                <w:color w:val="auto"/>
                <w:lang w:val="en-US" w:eastAsia="zh-CN"/>
              </w:rPr>
            </w:pPr>
            <w:r>
              <w:rPr>
                <w:rFonts w:hint="eastAsia" w:ascii="Times New Roman" w:hAnsi="Times New Roman"/>
                <w:color w:val="auto"/>
                <w:kern w:val="0"/>
                <w:sz w:val="21"/>
                <w:szCs w:val="21"/>
                <w:lang w:val="en-US" w:eastAsia="zh-CN"/>
              </w:rPr>
              <w:t>4.6</w:t>
            </w:r>
          </w:p>
        </w:tc>
        <w:tc>
          <w:tcPr>
            <w:tcW w:w="615" w:type="pct"/>
            <w:vAlign w:val="center"/>
          </w:tcPr>
          <w:p w14:paraId="6A6A55CB">
            <w:pPr>
              <w:jc w:val="center"/>
              <w:rPr>
                <w:color w:val="auto"/>
                <w:kern w:val="0"/>
              </w:rPr>
            </w:pPr>
            <w:r>
              <w:rPr>
                <w:color w:val="auto"/>
                <w:kern w:val="0"/>
              </w:rPr>
              <w:t>委托有关单位综合利用或处置</w:t>
            </w:r>
          </w:p>
        </w:tc>
      </w:tr>
      <w:tr w14:paraId="67CE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1" w:type="pct"/>
            <w:vAlign w:val="center"/>
          </w:tcPr>
          <w:p w14:paraId="6073AD5C">
            <w:pPr>
              <w:jc w:val="center"/>
              <w:rPr>
                <w:color w:val="auto"/>
              </w:rPr>
            </w:pPr>
            <w:r>
              <w:rPr>
                <w:rFonts w:hint="eastAsia"/>
                <w:color w:val="auto"/>
              </w:rPr>
              <w:t>2</w:t>
            </w:r>
          </w:p>
        </w:tc>
        <w:tc>
          <w:tcPr>
            <w:tcW w:w="600" w:type="pct"/>
            <w:vAlign w:val="center"/>
          </w:tcPr>
          <w:p w14:paraId="50CE89D2">
            <w:pPr>
              <w:pStyle w:val="12"/>
              <w:topLinePunct/>
              <w:ind w:left="0" w:leftChars="0" w:firstLine="0" w:firstLineChars="0"/>
              <w:jc w:val="center"/>
              <w:rPr>
                <w:rFonts w:hint="eastAsia" w:ascii="宋体" w:hAnsi="宋体" w:cs="宋体"/>
                <w:color w:val="auto"/>
              </w:rPr>
            </w:pPr>
            <w:r>
              <w:rPr>
                <w:rFonts w:hint="default" w:ascii="Times New Roman" w:hAnsi="Times New Roman" w:eastAsia="宋体" w:cs="Times New Roman"/>
                <w:color w:val="auto"/>
                <w:sz w:val="21"/>
                <w:szCs w:val="21"/>
                <w:lang w:val="en-US" w:eastAsia="zh-CN"/>
              </w:rPr>
              <w:t>硝盐淬火</w:t>
            </w:r>
          </w:p>
        </w:tc>
        <w:tc>
          <w:tcPr>
            <w:tcW w:w="819" w:type="pct"/>
            <w:vAlign w:val="center"/>
          </w:tcPr>
          <w:p w14:paraId="1E8A309B">
            <w:pPr>
              <w:pStyle w:val="12"/>
              <w:topLinePunct/>
              <w:ind w:left="0" w:leftChars="0" w:firstLine="0" w:firstLineChars="0"/>
              <w:jc w:val="center"/>
              <w:rPr>
                <w:rFonts w:hint="default"/>
                <w:color w:val="auto"/>
                <w:lang w:val="en-US"/>
              </w:rPr>
            </w:pPr>
            <w:r>
              <w:rPr>
                <w:rFonts w:hint="eastAsia" w:ascii="宋体" w:hAnsi="宋体"/>
                <w:color w:val="auto"/>
                <w:sz w:val="21"/>
                <w:szCs w:val="21"/>
                <w:lang w:val="en-US" w:eastAsia="zh-CN"/>
              </w:rPr>
              <w:t>废硝盐*</w:t>
            </w:r>
          </w:p>
        </w:tc>
        <w:tc>
          <w:tcPr>
            <w:tcW w:w="815" w:type="pct"/>
            <w:vAlign w:val="center"/>
          </w:tcPr>
          <w:p w14:paraId="367772B1">
            <w:pPr>
              <w:pStyle w:val="12"/>
              <w:topLinePunct/>
              <w:ind w:left="0" w:leftChars="0" w:firstLine="0" w:firstLineChars="0"/>
              <w:jc w:val="center"/>
              <w:rPr>
                <w:color w:val="auto"/>
              </w:rPr>
            </w:pPr>
            <w:r>
              <w:rPr>
                <w:rFonts w:hint="eastAsia" w:ascii="宋体" w:hAnsi="宋体"/>
                <w:color w:val="auto"/>
                <w:sz w:val="21"/>
                <w:szCs w:val="21"/>
                <w:lang w:val="en-US" w:eastAsia="zh-CN"/>
              </w:rPr>
              <w:t>废硝盐</w:t>
            </w:r>
          </w:p>
        </w:tc>
        <w:tc>
          <w:tcPr>
            <w:tcW w:w="223" w:type="pct"/>
            <w:vAlign w:val="center"/>
          </w:tcPr>
          <w:p w14:paraId="1F77B59D">
            <w:pPr>
              <w:widowControl/>
              <w:jc w:val="center"/>
              <w:rPr>
                <w:color w:val="auto"/>
                <w:kern w:val="0"/>
              </w:rPr>
            </w:pPr>
            <w:r>
              <w:rPr>
                <w:rFonts w:hint="eastAsia"/>
                <w:color w:val="auto"/>
                <w:kern w:val="0"/>
              </w:rPr>
              <w:t>危险废物</w:t>
            </w:r>
          </w:p>
        </w:tc>
        <w:tc>
          <w:tcPr>
            <w:tcW w:w="520" w:type="pct"/>
            <w:vAlign w:val="center"/>
          </w:tcPr>
          <w:p w14:paraId="4E7EFC2F">
            <w:pPr>
              <w:jc w:val="center"/>
              <w:rPr>
                <w:rFonts w:hint="eastAsia" w:ascii="宋体" w:hAnsi="宋体" w:cs="宋体"/>
                <w:color w:val="auto"/>
              </w:rPr>
            </w:pPr>
            <w:r>
              <w:rPr>
                <w:rFonts w:hint="eastAsia"/>
                <w:color w:val="auto"/>
              </w:rPr>
              <w:t>物料衡算</w:t>
            </w:r>
          </w:p>
        </w:tc>
        <w:tc>
          <w:tcPr>
            <w:tcW w:w="372" w:type="pct"/>
            <w:vAlign w:val="center"/>
          </w:tcPr>
          <w:p w14:paraId="789D8118">
            <w:pPr>
              <w:pStyle w:val="12"/>
              <w:topLinePunct/>
              <w:ind w:left="0" w:leftChars="0" w:firstLine="0" w:firstLineChars="0"/>
              <w:jc w:val="center"/>
              <w:rPr>
                <w:color w:val="auto"/>
              </w:rPr>
            </w:pPr>
            <w:r>
              <w:rPr>
                <w:rFonts w:hint="eastAsia" w:ascii="Times New Roman" w:hAnsi="Times New Roman"/>
                <w:color w:val="auto"/>
                <w:kern w:val="0"/>
                <w:sz w:val="21"/>
                <w:szCs w:val="21"/>
                <w:lang w:val="en-US" w:eastAsia="zh-CN"/>
              </w:rPr>
              <w:t>22</w:t>
            </w:r>
          </w:p>
        </w:tc>
        <w:tc>
          <w:tcPr>
            <w:tcW w:w="371" w:type="pct"/>
            <w:vAlign w:val="center"/>
          </w:tcPr>
          <w:p w14:paraId="4D6E76BF">
            <w:pPr>
              <w:jc w:val="center"/>
              <w:rPr>
                <w:rFonts w:hint="eastAsia" w:ascii="宋体" w:hAnsi="宋体" w:cs="宋体"/>
                <w:color w:val="auto"/>
              </w:rPr>
            </w:pPr>
            <w:r>
              <w:rPr>
                <w:rFonts w:hint="eastAsia" w:ascii="Times New Roman" w:hAnsi="Times New Roman"/>
                <w:color w:val="auto"/>
                <w:kern w:val="0"/>
                <w:sz w:val="21"/>
                <w:szCs w:val="21"/>
                <w:lang w:val="en-US"/>
              </w:rPr>
              <w:t>无害化</w:t>
            </w:r>
          </w:p>
        </w:tc>
        <w:tc>
          <w:tcPr>
            <w:tcW w:w="448" w:type="pct"/>
            <w:vAlign w:val="center"/>
          </w:tcPr>
          <w:p w14:paraId="21CE4F23">
            <w:pPr>
              <w:pStyle w:val="12"/>
              <w:topLinePunct/>
              <w:ind w:left="0" w:leftChars="0" w:firstLine="0" w:firstLineChars="0"/>
              <w:jc w:val="center"/>
              <w:rPr>
                <w:color w:val="auto"/>
              </w:rPr>
            </w:pPr>
            <w:r>
              <w:rPr>
                <w:rFonts w:hint="eastAsia" w:ascii="Times New Roman" w:hAnsi="Times New Roman"/>
                <w:color w:val="auto"/>
                <w:kern w:val="0"/>
                <w:sz w:val="21"/>
                <w:szCs w:val="21"/>
                <w:lang w:val="en-US" w:eastAsia="zh-CN"/>
              </w:rPr>
              <w:t>22</w:t>
            </w:r>
          </w:p>
        </w:tc>
        <w:tc>
          <w:tcPr>
            <w:tcW w:w="615" w:type="pct"/>
            <w:vAlign w:val="center"/>
          </w:tcPr>
          <w:p w14:paraId="02BEABB7">
            <w:pPr>
              <w:jc w:val="center"/>
              <w:rPr>
                <w:color w:val="auto"/>
                <w:kern w:val="0"/>
              </w:rPr>
            </w:pPr>
            <w:r>
              <w:rPr>
                <w:color w:val="auto"/>
                <w:kern w:val="0"/>
              </w:rPr>
              <w:t>委托有</w:t>
            </w:r>
            <w:r>
              <w:rPr>
                <w:rFonts w:hint="eastAsia"/>
                <w:color w:val="auto"/>
                <w:kern w:val="0"/>
              </w:rPr>
              <w:t>资质</w:t>
            </w:r>
            <w:r>
              <w:rPr>
                <w:color w:val="auto"/>
                <w:kern w:val="0"/>
              </w:rPr>
              <w:t>单位</w:t>
            </w:r>
            <w:r>
              <w:rPr>
                <w:rFonts w:hint="eastAsia"/>
                <w:color w:val="auto"/>
                <w:kern w:val="0"/>
              </w:rPr>
              <w:t>无害化</w:t>
            </w:r>
            <w:r>
              <w:rPr>
                <w:color w:val="auto"/>
                <w:kern w:val="0"/>
              </w:rPr>
              <w:t>处置</w:t>
            </w:r>
          </w:p>
        </w:tc>
      </w:tr>
      <w:tr w14:paraId="1B55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1" w:type="pct"/>
            <w:vAlign w:val="center"/>
          </w:tcPr>
          <w:p w14:paraId="6BF669D6">
            <w:pPr>
              <w:jc w:val="center"/>
              <w:rPr>
                <w:color w:val="auto"/>
              </w:rPr>
            </w:pPr>
            <w:r>
              <w:rPr>
                <w:rFonts w:hint="eastAsia"/>
                <w:color w:val="auto"/>
              </w:rPr>
              <w:t>3</w:t>
            </w:r>
          </w:p>
        </w:tc>
        <w:tc>
          <w:tcPr>
            <w:tcW w:w="600" w:type="pct"/>
            <w:vAlign w:val="center"/>
          </w:tcPr>
          <w:p w14:paraId="67471633">
            <w:pPr>
              <w:pStyle w:val="12"/>
              <w:topLinePunct/>
              <w:ind w:left="0" w:leftChars="0" w:firstLine="0" w:firstLineChars="0"/>
              <w:jc w:val="center"/>
              <w:rPr>
                <w:rFonts w:hint="eastAsia" w:ascii="宋体" w:hAnsi="宋体"/>
                <w:color w:val="auto"/>
                <w:sz w:val="21"/>
                <w:szCs w:val="21"/>
                <w:lang w:val="en-US"/>
              </w:rPr>
            </w:pPr>
            <w:r>
              <w:rPr>
                <w:rFonts w:hint="default" w:ascii="Times New Roman" w:hAnsi="Times New Roman" w:eastAsia="宋体" w:cs="Times New Roman"/>
                <w:color w:val="auto"/>
                <w:sz w:val="21"/>
                <w:szCs w:val="21"/>
                <w:lang w:val="en-US" w:eastAsia="zh-CN"/>
              </w:rPr>
              <w:t>平面磨床</w:t>
            </w:r>
          </w:p>
        </w:tc>
        <w:tc>
          <w:tcPr>
            <w:tcW w:w="819" w:type="pct"/>
            <w:vAlign w:val="center"/>
          </w:tcPr>
          <w:p w14:paraId="2D2B8C41">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废切削液</w:t>
            </w:r>
          </w:p>
        </w:tc>
        <w:tc>
          <w:tcPr>
            <w:tcW w:w="815" w:type="pct"/>
            <w:vAlign w:val="center"/>
          </w:tcPr>
          <w:p w14:paraId="7AB05866">
            <w:pPr>
              <w:pStyle w:val="12"/>
              <w:topLinePunct/>
              <w:ind w:left="0" w:leftChars="0" w:firstLine="0" w:firstLineChars="0"/>
              <w:jc w:val="center"/>
              <w:rPr>
                <w:rFonts w:ascii="Times New Roman" w:hAnsi="Times New Roman"/>
                <w:color w:val="auto"/>
                <w:kern w:val="0"/>
                <w:sz w:val="21"/>
                <w:szCs w:val="21"/>
              </w:rPr>
            </w:pPr>
            <w:r>
              <w:rPr>
                <w:rFonts w:hint="eastAsia" w:ascii="宋体" w:hAnsi="宋体"/>
                <w:color w:val="auto"/>
                <w:sz w:val="21"/>
                <w:szCs w:val="21"/>
                <w:lang w:val="en-US" w:eastAsia="zh-CN"/>
              </w:rPr>
              <w:t>废切削液</w:t>
            </w:r>
          </w:p>
        </w:tc>
        <w:tc>
          <w:tcPr>
            <w:tcW w:w="223" w:type="pct"/>
            <w:vAlign w:val="center"/>
          </w:tcPr>
          <w:p w14:paraId="5A3C497F">
            <w:pPr>
              <w:widowControl/>
              <w:jc w:val="center"/>
              <w:rPr>
                <w:color w:val="auto"/>
                <w:kern w:val="0"/>
              </w:rPr>
            </w:pPr>
            <w:r>
              <w:rPr>
                <w:rFonts w:hint="eastAsia"/>
                <w:color w:val="auto"/>
                <w:kern w:val="0"/>
              </w:rPr>
              <w:t>危险废物</w:t>
            </w:r>
          </w:p>
        </w:tc>
        <w:tc>
          <w:tcPr>
            <w:tcW w:w="520" w:type="pct"/>
            <w:vAlign w:val="center"/>
          </w:tcPr>
          <w:p w14:paraId="55DC847F">
            <w:pPr>
              <w:jc w:val="center"/>
              <w:rPr>
                <w:color w:val="auto"/>
              </w:rPr>
            </w:pPr>
            <w:r>
              <w:rPr>
                <w:rFonts w:hint="eastAsia"/>
                <w:color w:val="auto"/>
              </w:rPr>
              <w:t>物料衡算</w:t>
            </w:r>
          </w:p>
        </w:tc>
        <w:tc>
          <w:tcPr>
            <w:tcW w:w="372" w:type="pct"/>
            <w:vAlign w:val="center"/>
          </w:tcPr>
          <w:p w14:paraId="07D3E38B">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0.4</w:t>
            </w:r>
          </w:p>
        </w:tc>
        <w:tc>
          <w:tcPr>
            <w:tcW w:w="371" w:type="pct"/>
            <w:vAlign w:val="center"/>
          </w:tcPr>
          <w:p w14:paraId="66CCF215">
            <w:pPr>
              <w:jc w:val="center"/>
              <w:rPr>
                <w:color w:val="auto"/>
              </w:rPr>
            </w:pPr>
            <w:r>
              <w:rPr>
                <w:rFonts w:hint="eastAsia" w:ascii="Times New Roman" w:hAnsi="Times New Roman"/>
                <w:color w:val="auto"/>
                <w:kern w:val="0"/>
                <w:sz w:val="21"/>
                <w:szCs w:val="21"/>
                <w:lang w:val="en-US"/>
              </w:rPr>
              <w:t>无害化</w:t>
            </w:r>
          </w:p>
        </w:tc>
        <w:tc>
          <w:tcPr>
            <w:tcW w:w="448" w:type="pct"/>
            <w:vAlign w:val="center"/>
          </w:tcPr>
          <w:p w14:paraId="5F6FFE5F">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0.4</w:t>
            </w:r>
          </w:p>
        </w:tc>
        <w:tc>
          <w:tcPr>
            <w:tcW w:w="615" w:type="pct"/>
            <w:vAlign w:val="center"/>
          </w:tcPr>
          <w:p w14:paraId="667E6E2F">
            <w:pPr>
              <w:jc w:val="center"/>
              <w:rPr>
                <w:color w:val="auto"/>
                <w:kern w:val="0"/>
              </w:rPr>
            </w:pPr>
            <w:r>
              <w:rPr>
                <w:color w:val="auto"/>
                <w:kern w:val="0"/>
              </w:rPr>
              <w:t>委托有</w:t>
            </w:r>
            <w:r>
              <w:rPr>
                <w:rFonts w:hint="eastAsia"/>
                <w:color w:val="auto"/>
                <w:kern w:val="0"/>
              </w:rPr>
              <w:t>资质</w:t>
            </w:r>
            <w:r>
              <w:rPr>
                <w:color w:val="auto"/>
                <w:kern w:val="0"/>
              </w:rPr>
              <w:t>单位</w:t>
            </w:r>
            <w:r>
              <w:rPr>
                <w:rFonts w:hint="eastAsia"/>
                <w:color w:val="auto"/>
                <w:kern w:val="0"/>
              </w:rPr>
              <w:t>无害化</w:t>
            </w:r>
            <w:r>
              <w:rPr>
                <w:color w:val="auto"/>
                <w:kern w:val="0"/>
              </w:rPr>
              <w:t>处置</w:t>
            </w:r>
          </w:p>
        </w:tc>
      </w:tr>
      <w:tr w14:paraId="401D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1" w:type="pct"/>
            <w:shd w:val="clear" w:color="auto" w:fill="auto"/>
            <w:vAlign w:val="center"/>
          </w:tcPr>
          <w:p w14:paraId="47D5F384">
            <w:pPr>
              <w:adjustRightInd w:val="0"/>
              <w:snapToGrid w:val="0"/>
              <w:spacing w:line="320" w:lineRule="exact"/>
              <w:jc w:val="center"/>
              <w:rPr>
                <w:color w:val="auto"/>
              </w:rPr>
            </w:pPr>
            <w:r>
              <w:rPr>
                <w:color w:val="auto"/>
              </w:rPr>
              <w:t>4</w:t>
            </w:r>
          </w:p>
        </w:tc>
        <w:tc>
          <w:tcPr>
            <w:tcW w:w="600" w:type="pct"/>
            <w:vAlign w:val="center"/>
          </w:tcPr>
          <w:p w14:paraId="75EBE99D">
            <w:pPr>
              <w:pStyle w:val="12"/>
              <w:topLinePunct/>
              <w:ind w:left="0" w:leftChars="0" w:firstLine="0" w:firstLineChars="0"/>
              <w:jc w:val="center"/>
              <w:rPr>
                <w:rFonts w:hint="eastAsia" w:ascii="宋体" w:hAnsi="宋体" w:cs="宋体"/>
                <w:color w:val="auto"/>
              </w:rPr>
            </w:pPr>
            <w:r>
              <w:rPr>
                <w:rFonts w:hint="eastAsia" w:ascii="宋体" w:hAnsi="宋体"/>
                <w:color w:val="auto"/>
                <w:sz w:val="21"/>
                <w:szCs w:val="21"/>
                <w:lang w:val="en-US" w:eastAsia="zh-CN"/>
              </w:rPr>
              <w:t>喷砂</w:t>
            </w:r>
          </w:p>
        </w:tc>
        <w:tc>
          <w:tcPr>
            <w:tcW w:w="819" w:type="pct"/>
            <w:vAlign w:val="center"/>
          </w:tcPr>
          <w:p w14:paraId="766E23FE">
            <w:pPr>
              <w:pStyle w:val="12"/>
              <w:topLinePunct/>
              <w:ind w:left="0" w:leftChars="0" w:firstLine="0" w:firstLineChars="0"/>
              <w:jc w:val="center"/>
              <w:rPr>
                <w:color w:val="auto"/>
              </w:rPr>
            </w:pPr>
            <w:r>
              <w:rPr>
                <w:rFonts w:hint="eastAsia" w:ascii="宋体" w:hAnsi="宋体"/>
                <w:color w:val="auto"/>
                <w:sz w:val="21"/>
                <w:szCs w:val="21"/>
                <w:lang w:val="en-US" w:eastAsia="zh-CN"/>
              </w:rPr>
              <w:t>废砂</w:t>
            </w:r>
          </w:p>
        </w:tc>
        <w:tc>
          <w:tcPr>
            <w:tcW w:w="815" w:type="pct"/>
            <w:vAlign w:val="center"/>
          </w:tcPr>
          <w:p w14:paraId="7A67C021">
            <w:pPr>
              <w:pStyle w:val="12"/>
              <w:topLinePunct/>
              <w:ind w:left="0" w:leftChars="0" w:firstLine="0" w:firstLineChars="0"/>
              <w:jc w:val="center"/>
              <w:rPr>
                <w:color w:val="auto"/>
              </w:rPr>
            </w:pPr>
            <w:r>
              <w:rPr>
                <w:rFonts w:hint="eastAsia" w:ascii="宋体" w:hAnsi="宋体"/>
                <w:color w:val="auto"/>
                <w:sz w:val="21"/>
                <w:szCs w:val="21"/>
                <w:lang w:val="en-US" w:eastAsia="zh-CN"/>
              </w:rPr>
              <w:t>废砂</w:t>
            </w:r>
          </w:p>
        </w:tc>
        <w:tc>
          <w:tcPr>
            <w:tcW w:w="223" w:type="pct"/>
            <w:vAlign w:val="center"/>
          </w:tcPr>
          <w:p w14:paraId="7942B1BD">
            <w:pPr>
              <w:widowControl/>
              <w:jc w:val="center"/>
              <w:rPr>
                <w:color w:val="auto"/>
                <w:kern w:val="0"/>
              </w:rPr>
            </w:pPr>
            <w:r>
              <w:rPr>
                <w:rFonts w:hint="eastAsia"/>
                <w:color w:val="auto"/>
                <w:kern w:val="0"/>
              </w:rPr>
              <w:t>一般固废</w:t>
            </w:r>
          </w:p>
        </w:tc>
        <w:tc>
          <w:tcPr>
            <w:tcW w:w="520" w:type="pct"/>
            <w:vAlign w:val="center"/>
          </w:tcPr>
          <w:p w14:paraId="0EA99454">
            <w:pPr>
              <w:jc w:val="center"/>
              <w:rPr>
                <w:rFonts w:hint="eastAsia" w:ascii="宋体" w:hAnsi="宋体" w:cs="宋体"/>
                <w:color w:val="auto"/>
              </w:rPr>
            </w:pPr>
            <w:r>
              <w:rPr>
                <w:rFonts w:hint="eastAsia"/>
                <w:color w:val="auto"/>
              </w:rPr>
              <w:t>物料衡算</w:t>
            </w:r>
          </w:p>
        </w:tc>
        <w:tc>
          <w:tcPr>
            <w:tcW w:w="372" w:type="pct"/>
            <w:vAlign w:val="center"/>
          </w:tcPr>
          <w:p w14:paraId="1AAC06F3">
            <w:pPr>
              <w:pStyle w:val="12"/>
              <w:topLinePunct/>
              <w:ind w:left="0" w:leftChars="0"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0.5</w:t>
            </w:r>
          </w:p>
        </w:tc>
        <w:tc>
          <w:tcPr>
            <w:tcW w:w="371" w:type="pct"/>
            <w:vAlign w:val="center"/>
          </w:tcPr>
          <w:p w14:paraId="5493671A">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资源化</w:t>
            </w:r>
          </w:p>
        </w:tc>
        <w:tc>
          <w:tcPr>
            <w:tcW w:w="448" w:type="pct"/>
            <w:vAlign w:val="center"/>
          </w:tcPr>
          <w:p w14:paraId="35E72D95">
            <w:pPr>
              <w:pStyle w:val="12"/>
              <w:topLinePunct/>
              <w:ind w:left="0" w:leftChars="0" w:firstLine="0" w:firstLineChars="0"/>
              <w:jc w:val="center"/>
              <w:rPr>
                <w:rFonts w:hint="default" w:eastAsia="宋体"/>
                <w:color w:val="auto"/>
                <w:lang w:val="en-US" w:eastAsia="zh-CN"/>
              </w:rPr>
            </w:pPr>
            <w:r>
              <w:rPr>
                <w:rFonts w:hint="eastAsia" w:ascii="Times New Roman" w:hAnsi="Times New Roman"/>
                <w:color w:val="auto"/>
                <w:kern w:val="0"/>
                <w:sz w:val="21"/>
                <w:szCs w:val="21"/>
                <w:lang w:val="en-US" w:eastAsia="zh-CN"/>
              </w:rPr>
              <w:t>0.5</w:t>
            </w:r>
          </w:p>
        </w:tc>
        <w:tc>
          <w:tcPr>
            <w:tcW w:w="615" w:type="pct"/>
            <w:vAlign w:val="center"/>
          </w:tcPr>
          <w:p w14:paraId="00CC7E81">
            <w:pPr>
              <w:widowControl/>
              <w:jc w:val="center"/>
              <w:rPr>
                <w:color w:val="auto"/>
                <w:kern w:val="0"/>
              </w:rPr>
            </w:pPr>
            <w:r>
              <w:rPr>
                <w:color w:val="auto"/>
                <w:kern w:val="0"/>
              </w:rPr>
              <w:t>委托有关单位综合利用或处置</w:t>
            </w:r>
          </w:p>
        </w:tc>
      </w:tr>
      <w:tr w14:paraId="00B6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1" w:type="pct"/>
            <w:shd w:val="clear" w:color="auto" w:fill="auto"/>
            <w:vAlign w:val="center"/>
          </w:tcPr>
          <w:p w14:paraId="5402DFF3">
            <w:pPr>
              <w:adjustRightInd w:val="0"/>
              <w:snapToGrid w:val="0"/>
              <w:spacing w:line="320" w:lineRule="exact"/>
              <w:jc w:val="center"/>
              <w:rPr>
                <w:color w:val="auto"/>
              </w:rPr>
            </w:pPr>
            <w:r>
              <w:rPr>
                <w:rFonts w:hint="eastAsia"/>
                <w:color w:val="auto"/>
              </w:rPr>
              <w:t>5</w:t>
            </w:r>
          </w:p>
        </w:tc>
        <w:tc>
          <w:tcPr>
            <w:tcW w:w="600" w:type="pct"/>
            <w:vAlign w:val="center"/>
          </w:tcPr>
          <w:p w14:paraId="0D564300">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原料包装</w:t>
            </w:r>
          </w:p>
        </w:tc>
        <w:tc>
          <w:tcPr>
            <w:tcW w:w="819" w:type="pct"/>
            <w:vAlign w:val="center"/>
          </w:tcPr>
          <w:p w14:paraId="415502AF">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废油漆桶</w:t>
            </w:r>
          </w:p>
        </w:tc>
        <w:tc>
          <w:tcPr>
            <w:tcW w:w="815" w:type="pct"/>
            <w:vAlign w:val="center"/>
          </w:tcPr>
          <w:p w14:paraId="7554C970">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rPr>
              <w:t>废油漆桶</w:t>
            </w:r>
          </w:p>
        </w:tc>
        <w:tc>
          <w:tcPr>
            <w:tcW w:w="223" w:type="pct"/>
            <w:vAlign w:val="center"/>
          </w:tcPr>
          <w:p w14:paraId="50C0D409">
            <w:pPr>
              <w:widowControl/>
              <w:jc w:val="center"/>
              <w:rPr>
                <w:color w:val="auto"/>
                <w:kern w:val="0"/>
              </w:rPr>
            </w:pPr>
            <w:r>
              <w:rPr>
                <w:rFonts w:hint="eastAsia"/>
                <w:color w:val="auto"/>
                <w:kern w:val="0"/>
              </w:rPr>
              <w:t>危险废物</w:t>
            </w:r>
          </w:p>
        </w:tc>
        <w:tc>
          <w:tcPr>
            <w:tcW w:w="520" w:type="pct"/>
            <w:vAlign w:val="center"/>
          </w:tcPr>
          <w:p w14:paraId="10932AF9">
            <w:pPr>
              <w:jc w:val="center"/>
              <w:rPr>
                <w:color w:val="auto"/>
              </w:rPr>
            </w:pPr>
            <w:r>
              <w:rPr>
                <w:rFonts w:hint="eastAsia"/>
                <w:color w:val="auto"/>
              </w:rPr>
              <w:t>物料衡算</w:t>
            </w:r>
          </w:p>
        </w:tc>
        <w:tc>
          <w:tcPr>
            <w:tcW w:w="372" w:type="pct"/>
            <w:vAlign w:val="center"/>
          </w:tcPr>
          <w:p w14:paraId="78E453CB">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0.13625</w:t>
            </w:r>
          </w:p>
        </w:tc>
        <w:tc>
          <w:tcPr>
            <w:tcW w:w="371" w:type="pct"/>
            <w:vAlign w:val="center"/>
          </w:tcPr>
          <w:p w14:paraId="6A6F7B92">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无害化</w:t>
            </w:r>
          </w:p>
        </w:tc>
        <w:tc>
          <w:tcPr>
            <w:tcW w:w="448" w:type="pct"/>
            <w:vAlign w:val="center"/>
          </w:tcPr>
          <w:p w14:paraId="51E46E5F">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0.13625</w:t>
            </w:r>
          </w:p>
        </w:tc>
        <w:tc>
          <w:tcPr>
            <w:tcW w:w="615" w:type="pct"/>
            <w:vAlign w:val="center"/>
          </w:tcPr>
          <w:p w14:paraId="436B26A7">
            <w:pPr>
              <w:widowControl/>
              <w:jc w:val="center"/>
              <w:rPr>
                <w:color w:val="auto"/>
                <w:kern w:val="0"/>
              </w:rPr>
            </w:pPr>
            <w:r>
              <w:rPr>
                <w:color w:val="auto"/>
                <w:kern w:val="0"/>
              </w:rPr>
              <w:t>委托有</w:t>
            </w:r>
            <w:r>
              <w:rPr>
                <w:rFonts w:hint="eastAsia"/>
                <w:color w:val="auto"/>
                <w:kern w:val="0"/>
              </w:rPr>
              <w:t>资质</w:t>
            </w:r>
            <w:r>
              <w:rPr>
                <w:color w:val="auto"/>
                <w:kern w:val="0"/>
              </w:rPr>
              <w:t>单位</w:t>
            </w:r>
            <w:r>
              <w:rPr>
                <w:rFonts w:hint="eastAsia"/>
                <w:color w:val="auto"/>
                <w:kern w:val="0"/>
              </w:rPr>
              <w:t>无害化</w:t>
            </w:r>
            <w:r>
              <w:rPr>
                <w:color w:val="auto"/>
                <w:kern w:val="0"/>
              </w:rPr>
              <w:t>处置</w:t>
            </w:r>
          </w:p>
        </w:tc>
      </w:tr>
      <w:tr w14:paraId="4156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1" w:type="pct"/>
            <w:shd w:val="clear" w:color="auto" w:fill="auto"/>
            <w:vAlign w:val="center"/>
          </w:tcPr>
          <w:p w14:paraId="78B0E128">
            <w:pPr>
              <w:adjustRightInd w:val="0"/>
              <w:snapToGrid w:val="0"/>
              <w:spacing w:line="320" w:lineRule="exact"/>
              <w:jc w:val="center"/>
              <w:rPr>
                <w:color w:val="auto"/>
              </w:rPr>
            </w:pPr>
            <w:r>
              <w:rPr>
                <w:rFonts w:hint="eastAsia"/>
                <w:color w:val="auto"/>
              </w:rPr>
              <w:t>6</w:t>
            </w:r>
          </w:p>
        </w:tc>
        <w:tc>
          <w:tcPr>
            <w:tcW w:w="600" w:type="pct"/>
            <w:vAlign w:val="center"/>
          </w:tcPr>
          <w:p w14:paraId="34BAC088">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废气处理</w:t>
            </w:r>
          </w:p>
        </w:tc>
        <w:tc>
          <w:tcPr>
            <w:tcW w:w="819" w:type="pct"/>
            <w:vAlign w:val="center"/>
          </w:tcPr>
          <w:p w14:paraId="7B78F04D">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漆渣</w:t>
            </w:r>
          </w:p>
        </w:tc>
        <w:tc>
          <w:tcPr>
            <w:tcW w:w="815" w:type="pct"/>
            <w:vAlign w:val="center"/>
          </w:tcPr>
          <w:p w14:paraId="69A7C470">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eastAsia="zh-CN"/>
              </w:rPr>
              <w:t>漆渣</w:t>
            </w:r>
          </w:p>
        </w:tc>
        <w:tc>
          <w:tcPr>
            <w:tcW w:w="223" w:type="pct"/>
            <w:vAlign w:val="center"/>
          </w:tcPr>
          <w:p w14:paraId="6427F04D">
            <w:pPr>
              <w:widowControl/>
              <w:jc w:val="center"/>
              <w:rPr>
                <w:color w:val="auto"/>
                <w:kern w:val="0"/>
              </w:rPr>
            </w:pPr>
            <w:r>
              <w:rPr>
                <w:rFonts w:hint="eastAsia"/>
                <w:color w:val="auto"/>
                <w:kern w:val="0"/>
              </w:rPr>
              <w:t>危险废物</w:t>
            </w:r>
          </w:p>
        </w:tc>
        <w:tc>
          <w:tcPr>
            <w:tcW w:w="520" w:type="pct"/>
            <w:vAlign w:val="center"/>
          </w:tcPr>
          <w:p w14:paraId="6B3A9E39">
            <w:pPr>
              <w:jc w:val="center"/>
              <w:rPr>
                <w:color w:val="auto"/>
              </w:rPr>
            </w:pPr>
            <w:r>
              <w:rPr>
                <w:rFonts w:hint="eastAsia"/>
                <w:color w:val="auto"/>
              </w:rPr>
              <w:t>物料衡算</w:t>
            </w:r>
          </w:p>
        </w:tc>
        <w:tc>
          <w:tcPr>
            <w:tcW w:w="372" w:type="pct"/>
            <w:vAlign w:val="center"/>
          </w:tcPr>
          <w:p w14:paraId="42D4F242">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0.058</w:t>
            </w:r>
          </w:p>
        </w:tc>
        <w:tc>
          <w:tcPr>
            <w:tcW w:w="371" w:type="pct"/>
            <w:vAlign w:val="center"/>
          </w:tcPr>
          <w:p w14:paraId="7E5EAA0F">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无害化</w:t>
            </w:r>
          </w:p>
        </w:tc>
        <w:tc>
          <w:tcPr>
            <w:tcW w:w="448" w:type="pct"/>
            <w:vAlign w:val="center"/>
          </w:tcPr>
          <w:p w14:paraId="10AF0AB9">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0.058</w:t>
            </w:r>
          </w:p>
        </w:tc>
        <w:tc>
          <w:tcPr>
            <w:tcW w:w="615" w:type="pct"/>
            <w:vAlign w:val="center"/>
          </w:tcPr>
          <w:p w14:paraId="263B05B1">
            <w:pPr>
              <w:widowControl/>
              <w:jc w:val="center"/>
              <w:rPr>
                <w:color w:val="auto"/>
                <w:kern w:val="0"/>
              </w:rPr>
            </w:pPr>
            <w:r>
              <w:rPr>
                <w:color w:val="auto"/>
                <w:kern w:val="0"/>
              </w:rPr>
              <w:t>委托有</w:t>
            </w:r>
            <w:r>
              <w:rPr>
                <w:rFonts w:hint="eastAsia"/>
                <w:color w:val="auto"/>
                <w:kern w:val="0"/>
              </w:rPr>
              <w:t>资质</w:t>
            </w:r>
            <w:r>
              <w:rPr>
                <w:color w:val="auto"/>
                <w:kern w:val="0"/>
              </w:rPr>
              <w:t>单位</w:t>
            </w:r>
            <w:r>
              <w:rPr>
                <w:rFonts w:hint="eastAsia"/>
                <w:color w:val="auto"/>
                <w:kern w:val="0"/>
              </w:rPr>
              <w:t>无害化</w:t>
            </w:r>
            <w:r>
              <w:rPr>
                <w:color w:val="auto"/>
                <w:kern w:val="0"/>
              </w:rPr>
              <w:t>处置</w:t>
            </w:r>
          </w:p>
        </w:tc>
      </w:tr>
      <w:tr w14:paraId="7147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1" w:type="pct"/>
            <w:shd w:val="clear" w:color="auto" w:fill="auto"/>
            <w:vAlign w:val="center"/>
          </w:tcPr>
          <w:p w14:paraId="2299A466">
            <w:pPr>
              <w:adjustRightInd w:val="0"/>
              <w:snapToGrid w:val="0"/>
              <w:spacing w:line="320" w:lineRule="exact"/>
              <w:jc w:val="center"/>
              <w:rPr>
                <w:color w:val="auto"/>
              </w:rPr>
            </w:pPr>
            <w:r>
              <w:rPr>
                <w:rFonts w:hint="eastAsia"/>
                <w:color w:val="auto"/>
              </w:rPr>
              <w:t>7</w:t>
            </w:r>
          </w:p>
        </w:tc>
        <w:tc>
          <w:tcPr>
            <w:tcW w:w="600" w:type="pct"/>
            <w:vAlign w:val="center"/>
          </w:tcPr>
          <w:p w14:paraId="7B44A4AF">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废气处理</w:t>
            </w:r>
          </w:p>
        </w:tc>
        <w:tc>
          <w:tcPr>
            <w:tcW w:w="819" w:type="pct"/>
            <w:vAlign w:val="center"/>
          </w:tcPr>
          <w:p w14:paraId="136EC04B">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废活性炭</w:t>
            </w:r>
          </w:p>
        </w:tc>
        <w:tc>
          <w:tcPr>
            <w:tcW w:w="815" w:type="pct"/>
            <w:vAlign w:val="center"/>
          </w:tcPr>
          <w:p w14:paraId="1AD3B452">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rPr>
              <w:t>废活性炭</w:t>
            </w:r>
          </w:p>
        </w:tc>
        <w:tc>
          <w:tcPr>
            <w:tcW w:w="223" w:type="pct"/>
            <w:vAlign w:val="center"/>
          </w:tcPr>
          <w:p w14:paraId="46B974AC">
            <w:pPr>
              <w:widowControl/>
              <w:jc w:val="center"/>
              <w:rPr>
                <w:color w:val="auto"/>
                <w:kern w:val="0"/>
              </w:rPr>
            </w:pPr>
            <w:r>
              <w:rPr>
                <w:rFonts w:hint="eastAsia"/>
                <w:color w:val="auto"/>
                <w:kern w:val="0"/>
              </w:rPr>
              <w:t>危险废物</w:t>
            </w:r>
          </w:p>
        </w:tc>
        <w:tc>
          <w:tcPr>
            <w:tcW w:w="520" w:type="pct"/>
            <w:vAlign w:val="center"/>
          </w:tcPr>
          <w:p w14:paraId="53BDBDE1">
            <w:pPr>
              <w:jc w:val="center"/>
              <w:rPr>
                <w:color w:val="auto"/>
              </w:rPr>
            </w:pPr>
            <w:r>
              <w:rPr>
                <w:rFonts w:hint="eastAsia"/>
                <w:color w:val="auto"/>
              </w:rPr>
              <w:t>物料衡算</w:t>
            </w:r>
          </w:p>
        </w:tc>
        <w:tc>
          <w:tcPr>
            <w:tcW w:w="372" w:type="pct"/>
            <w:vAlign w:val="center"/>
          </w:tcPr>
          <w:p w14:paraId="312A40F3">
            <w:pPr>
              <w:pStyle w:val="12"/>
              <w:topLinePunct/>
              <w:ind w:left="0" w:leftChars="0" w:firstLine="0" w:firstLineChars="0"/>
              <w:jc w:val="center"/>
              <w:rPr>
                <w:rFonts w:hint="eastAsia"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4</w:t>
            </w:r>
          </w:p>
        </w:tc>
        <w:tc>
          <w:tcPr>
            <w:tcW w:w="371" w:type="pct"/>
            <w:vAlign w:val="center"/>
          </w:tcPr>
          <w:p w14:paraId="3D0A6672">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无害化</w:t>
            </w:r>
          </w:p>
        </w:tc>
        <w:tc>
          <w:tcPr>
            <w:tcW w:w="448" w:type="pct"/>
            <w:vAlign w:val="center"/>
          </w:tcPr>
          <w:p w14:paraId="5308F7C8">
            <w:pPr>
              <w:pStyle w:val="12"/>
              <w:topLinePunct/>
              <w:ind w:left="0" w:leftChars="0" w:firstLine="0" w:firstLineChars="0"/>
              <w:jc w:val="center"/>
              <w:rPr>
                <w:rFonts w:hint="eastAsia" w:ascii="Times New Roman" w:hAnsi="Times New Roman" w:eastAsia="宋体"/>
                <w:color w:val="auto"/>
                <w:kern w:val="0"/>
                <w:sz w:val="21"/>
                <w:szCs w:val="21"/>
                <w:lang w:val="en-US" w:eastAsia="zh-CN"/>
              </w:rPr>
            </w:pPr>
            <w:r>
              <w:rPr>
                <w:rFonts w:hint="eastAsia" w:ascii="Times New Roman" w:hAnsi="Times New Roman"/>
                <w:color w:val="auto"/>
                <w:kern w:val="0"/>
                <w:sz w:val="21"/>
                <w:szCs w:val="21"/>
                <w:lang w:val="en-US" w:eastAsia="zh-CN"/>
              </w:rPr>
              <w:t>4</w:t>
            </w:r>
          </w:p>
        </w:tc>
        <w:tc>
          <w:tcPr>
            <w:tcW w:w="615" w:type="pct"/>
            <w:vAlign w:val="center"/>
          </w:tcPr>
          <w:p w14:paraId="1A16A1BB">
            <w:pPr>
              <w:widowControl/>
              <w:jc w:val="center"/>
              <w:rPr>
                <w:color w:val="auto"/>
                <w:kern w:val="0"/>
              </w:rPr>
            </w:pPr>
            <w:r>
              <w:rPr>
                <w:color w:val="auto"/>
                <w:kern w:val="0"/>
              </w:rPr>
              <w:t>委托有</w:t>
            </w:r>
            <w:r>
              <w:rPr>
                <w:rFonts w:hint="eastAsia"/>
                <w:color w:val="auto"/>
                <w:kern w:val="0"/>
              </w:rPr>
              <w:t>资质</w:t>
            </w:r>
            <w:r>
              <w:rPr>
                <w:color w:val="auto"/>
                <w:kern w:val="0"/>
              </w:rPr>
              <w:t>单位</w:t>
            </w:r>
            <w:r>
              <w:rPr>
                <w:rFonts w:hint="eastAsia"/>
                <w:color w:val="auto"/>
                <w:kern w:val="0"/>
              </w:rPr>
              <w:t>无害化</w:t>
            </w:r>
            <w:r>
              <w:rPr>
                <w:color w:val="auto"/>
                <w:kern w:val="0"/>
              </w:rPr>
              <w:t>处置</w:t>
            </w:r>
          </w:p>
        </w:tc>
      </w:tr>
      <w:tr w14:paraId="73FA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1" w:type="pct"/>
            <w:shd w:val="clear" w:color="auto" w:fill="auto"/>
            <w:vAlign w:val="center"/>
          </w:tcPr>
          <w:p w14:paraId="53051711">
            <w:pPr>
              <w:adjustRightInd w:val="0"/>
              <w:snapToGrid w:val="0"/>
              <w:spacing w:line="320" w:lineRule="exact"/>
              <w:jc w:val="center"/>
              <w:rPr>
                <w:color w:val="auto"/>
              </w:rPr>
            </w:pPr>
            <w:r>
              <w:rPr>
                <w:rFonts w:hint="eastAsia"/>
                <w:color w:val="auto"/>
              </w:rPr>
              <w:t>8</w:t>
            </w:r>
          </w:p>
        </w:tc>
        <w:tc>
          <w:tcPr>
            <w:tcW w:w="600" w:type="pct"/>
            <w:vAlign w:val="center"/>
          </w:tcPr>
          <w:p w14:paraId="0552CDE8">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废气处理</w:t>
            </w:r>
          </w:p>
        </w:tc>
        <w:tc>
          <w:tcPr>
            <w:tcW w:w="819" w:type="pct"/>
            <w:vAlign w:val="center"/>
          </w:tcPr>
          <w:p w14:paraId="54B1F1E1">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eastAsia="zh-CN"/>
              </w:rPr>
              <w:t>废催化剂</w:t>
            </w:r>
          </w:p>
        </w:tc>
        <w:tc>
          <w:tcPr>
            <w:tcW w:w="815" w:type="pct"/>
            <w:vAlign w:val="center"/>
          </w:tcPr>
          <w:p w14:paraId="49993235">
            <w:pPr>
              <w:pStyle w:val="12"/>
              <w:topLinePunct/>
              <w:ind w:left="0" w:leftChars="0" w:firstLine="0" w:firstLineChars="0"/>
              <w:jc w:val="center"/>
              <w:rPr>
                <w:rFonts w:ascii="Times New Roman" w:hAnsi="Times New Roman"/>
                <w:color w:val="auto"/>
                <w:kern w:val="0"/>
                <w:sz w:val="21"/>
                <w:szCs w:val="21"/>
                <w:lang w:val="en-US"/>
              </w:rPr>
            </w:pPr>
            <w:r>
              <w:rPr>
                <w:rFonts w:hint="eastAsia" w:ascii="宋体" w:hAnsi="宋体"/>
                <w:color w:val="auto"/>
                <w:sz w:val="21"/>
                <w:szCs w:val="21"/>
                <w:lang w:val="en-US" w:eastAsia="zh-CN"/>
              </w:rPr>
              <w:t>废催化剂</w:t>
            </w:r>
          </w:p>
        </w:tc>
        <w:tc>
          <w:tcPr>
            <w:tcW w:w="223" w:type="pct"/>
            <w:shd w:val="clear" w:color="auto" w:fill="auto"/>
            <w:vAlign w:val="center"/>
          </w:tcPr>
          <w:p w14:paraId="1528038F">
            <w:pPr>
              <w:widowControl/>
              <w:jc w:val="center"/>
              <w:rPr>
                <w:color w:val="auto"/>
                <w:kern w:val="0"/>
              </w:rPr>
            </w:pPr>
            <w:r>
              <w:rPr>
                <w:rFonts w:hint="eastAsia"/>
                <w:color w:val="auto"/>
                <w:kern w:val="0"/>
              </w:rPr>
              <w:t>危险废物</w:t>
            </w:r>
          </w:p>
        </w:tc>
        <w:tc>
          <w:tcPr>
            <w:tcW w:w="520" w:type="pct"/>
            <w:shd w:val="clear" w:color="auto" w:fill="auto"/>
            <w:vAlign w:val="center"/>
          </w:tcPr>
          <w:p w14:paraId="3B1D326E">
            <w:pPr>
              <w:jc w:val="center"/>
              <w:rPr>
                <w:color w:val="auto"/>
              </w:rPr>
            </w:pPr>
            <w:r>
              <w:rPr>
                <w:rFonts w:hint="eastAsia"/>
                <w:color w:val="auto"/>
              </w:rPr>
              <w:t>物料衡算</w:t>
            </w:r>
          </w:p>
        </w:tc>
        <w:tc>
          <w:tcPr>
            <w:tcW w:w="372" w:type="pct"/>
            <w:vAlign w:val="center"/>
          </w:tcPr>
          <w:p w14:paraId="6A24899D">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0.01</w:t>
            </w:r>
          </w:p>
        </w:tc>
        <w:tc>
          <w:tcPr>
            <w:tcW w:w="371" w:type="pct"/>
            <w:vAlign w:val="center"/>
          </w:tcPr>
          <w:p w14:paraId="16C03C35">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rPr>
              <w:t>无害化</w:t>
            </w:r>
          </w:p>
        </w:tc>
        <w:tc>
          <w:tcPr>
            <w:tcW w:w="448" w:type="pct"/>
            <w:vAlign w:val="center"/>
          </w:tcPr>
          <w:p w14:paraId="67D26D81">
            <w:pPr>
              <w:pStyle w:val="12"/>
              <w:topLinePunct/>
              <w:ind w:left="0" w:leftChars="0" w:firstLine="0" w:firstLineChars="0"/>
              <w:jc w:val="center"/>
              <w:rPr>
                <w:rFonts w:ascii="Times New Roman" w:hAnsi="Times New Roman"/>
                <w:color w:val="auto"/>
                <w:kern w:val="0"/>
                <w:sz w:val="21"/>
                <w:szCs w:val="21"/>
                <w:lang w:val="en-US"/>
              </w:rPr>
            </w:pPr>
            <w:r>
              <w:rPr>
                <w:rFonts w:hint="eastAsia" w:ascii="Times New Roman" w:hAnsi="Times New Roman"/>
                <w:color w:val="auto"/>
                <w:kern w:val="0"/>
                <w:sz w:val="21"/>
                <w:szCs w:val="21"/>
                <w:lang w:val="en-US" w:eastAsia="zh-CN"/>
              </w:rPr>
              <w:t>0.01</w:t>
            </w:r>
          </w:p>
        </w:tc>
        <w:tc>
          <w:tcPr>
            <w:tcW w:w="615" w:type="pct"/>
            <w:vAlign w:val="center"/>
          </w:tcPr>
          <w:p w14:paraId="0EBFED2B">
            <w:pPr>
              <w:widowControl/>
              <w:jc w:val="center"/>
              <w:rPr>
                <w:color w:val="auto"/>
                <w:kern w:val="0"/>
              </w:rPr>
            </w:pPr>
            <w:r>
              <w:rPr>
                <w:color w:val="auto"/>
                <w:kern w:val="0"/>
              </w:rPr>
              <w:t>委托有</w:t>
            </w:r>
            <w:r>
              <w:rPr>
                <w:rFonts w:hint="eastAsia"/>
                <w:color w:val="auto"/>
                <w:kern w:val="0"/>
              </w:rPr>
              <w:t>资质</w:t>
            </w:r>
            <w:r>
              <w:rPr>
                <w:color w:val="auto"/>
                <w:kern w:val="0"/>
              </w:rPr>
              <w:t>单位</w:t>
            </w:r>
            <w:r>
              <w:rPr>
                <w:rFonts w:hint="eastAsia"/>
                <w:color w:val="auto"/>
                <w:kern w:val="0"/>
              </w:rPr>
              <w:t>无害化</w:t>
            </w:r>
            <w:r>
              <w:rPr>
                <w:color w:val="auto"/>
                <w:kern w:val="0"/>
              </w:rPr>
              <w:t>处置</w:t>
            </w:r>
          </w:p>
        </w:tc>
      </w:tr>
      <w:tr w14:paraId="1EDB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1" w:type="pct"/>
            <w:shd w:val="clear" w:color="auto" w:fill="auto"/>
            <w:vAlign w:val="center"/>
          </w:tcPr>
          <w:p w14:paraId="6B444AC6">
            <w:pPr>
              <w:adjustRightInd w:val="0"/>
              <w:snapToGrid w:val="0"/>
              <w:spacing w:line="320" w:lineRule="exact"/>
              <w:jc w:val="center"/>
              <w:rPr>
                <w:rFonts w:hint="eastAsia" w:eastAsia="宋体"/>
                <w:color w:val="auto"/>
                <w:lang w:val="en-US" w:eastAsia="zh-CN"/>
              </w:rPr>
            </w:pPr>
            <w:r>
              <w:rPr>
                <w:rFonts w:hint="eastAsia"/>
                <w:color w:val="auto"/>
                <w:lang w:val="en-US" w:eastAsia="zh-CN"/>
              </w:rPr>
              <w:t>9</w:t>
            </w:r>
          </w:p>
        </w:tc>
        <w:tc>
          <w:tcPr>
            <w:tcW w:w="600" w:type="pct"/>
            <w:vAlign w:val="center"/>
          </w:tcPr>
          <w:p w14:paraId="4819062A">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员工生活</w:t>
            </w:r>
          </w:p>
        </w:tc>
        <w:tc>
          <w:tcPr>
            <w:tcW w:w="819" w:type="pct"/>
            <w:vAlign w:val="center"/>
          </w:tcPr>
          <w:p w14:paraId="2040BD00">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生活垃圾</w:t>
            </w:r>
          </w:p>
        </w:tc>
        <w:tc>
          <w:tcPr>
            <w:tcW w:w="815" w:type="pct"/>
            <w:vAlign w:val="center"/>
          </w:tcPr>
          <w:p w14:paraId="6E9604EF">
            <w:pPr>
              <w:pStyle w:val="12"/>
              <w:topLinePunct/>
              <w:ind w:left="0" w:leftChars="0" w:firstLine="0" w:firstLineChars="0"/>
              <w:jc w:val="center"/>
              <w:rPr>
                <w:rFonts w:hint="eastAsia" w:ascii="宋体" w:hAnsi="宋体"/>
                <w:color w:val="auto"/>
                <w:sz w:val="21"/>
                <w:szCs w:val="21"/>
                <w:lang w:val="en-US"/>
              </w:rPr>
            </w:pPr>
            <w:r>
              <w:rPr>
                <w:rFonts w:hint="eastAsia" w:ascii="宋体" w:hAnsi="宋体"/>
                <w:color w:val="auto"/>
                <w:sz w:val="21"/>
                <w:szCs w:val="21"/>
                <w:lang w:val="en-US"/>
              </w:rPr>
              <w:t>生活垃圾</w:t>
            </w:r>
          </w:p>
        </w:tc>
        <w:tc>
          <w:tcPr>
            <w:tcW w:w="223" w:type="pct"/>
            <w:shd w:val="clear" w:color="auto" w:fill="auto"/>
            <w:vAlign w:val="center"/>
          </w:tcPr>
          <w:p w14:paraId="495F7E9B">
            <w:pPr>
              <w:widowControl/>
              <w:jc w:val="center"/>
              <w:rPr>
                <w:rFonts w:hint="eastAsia"/>
                <w:color w:val="auto"/>
                <w:kern w:val="0"/>
              </w:rPr>
            </w:pPr>
            <w:r>
              <w:rPr>
                <w:rFonts w:hint="eastAsia"/>
                <w:color w:val="auto"/>
                <w:kern w:val="0"/>
              </w:rPr>
              <w:t>一般固废</w:t>
            </w:r>
          </w:p>
        </w:tc>
        <w:tc>
          <w:tcPr>
            <w:tcW w:w="520" w:type="pct"/>
            <w:shd w:val="clear" w:color="auto" w:fill="auto"/>
            <w:vAlign w:val="center"/>
          </w:tcPr>
          <w:p w14:paraId="5C5FF9B5">
            <w:pPr>
              <w:jc w:val="center"/>
              <w:rPr>
                <w:rFonts w:hint="eastAsia"/>
                <w:color w:val="auto"/>
              </w:rPr>
            </w:pPr>
            <w:r>
              <w:rPr>
                <w:rFonts w:hint="eastAsia"/>
                <w:color w:val="auto"/>
              </w:rPr>
              <w:t>物料衡算</w:t>
            </w:r>
          </w:p>
        </w:tc>
        <w:tc>
          <w:tcPr>
            <w:tcW w:w="372" w:type="pct"/>
            <w:vAlign w:val="center"/>
          </w:tcPr>
          <w:p w14:paraId="21A1A03D">
            <w:pPr>
              <w:pStyle w:val="12"/>
              <w:topLinePunct/>
              <w:ind w:left="0" w:leftChars="0" w:firstLine="0" w:firstLineChars="0"/>
              <w:jc w:val="center"/>
              <w:rPr>
                <w:rFonts w:hint="eastAsia" w:ascii="Times New Roman" w:hAnsi="Times New Roman"/>
                <w:color w:val="auto"/>
                <w:kern w:val="0"/>
                <w:sz w:val="21"/>
                <w:szCs w:val="21"/>
                <w:lang w:val="en-US"/>
              </w:rPr>
            </w:pPr>
            <w:r>
              <w:rPr>
                <w:rFonts w:hint="eastAsia" w:ascii="Times New Roman" w:hAnsi="Times New Roman"/>
                <w:color w:val="auto"/>
                <w:kern w:val="0"/>
                <w:sz w:val="21"/>
                <w:szCs w:val="21"/>
                <w:lang w:val="en-US"/>
              </w:rPr>
              <w:t>3.75</w:t>
            </w:r>
          </w:p>
        </w:tc>
        <w:tc>
          <w:tcPr>
            <w:tcW w:w="371" w:type="pct"/>
            <w:vAlign w:val="center"/>
          </w:tcPr>
          <w:p w14:paraId="08399943">
            <w:pPr>
              <w:pStyle w:val="12"/>
              <w:topLinePunct/>
              <w:ind w:left="0" w:leftChars="0" w:firstLine="0" w:firstLineChars="0"/>
              <w:jc w:val="center"/>
              <w:rPr>
                <w:rFonts w:hint="eastAsia" w:ascii="Times New Roman" w:hAnsi="Times New Roman"/>
                <w:color w:val="auto"/>
                <w:kern w:val="0"/>
                <w:sz w:val="21"/>
                <w:szCs w:val="21"/>
                <w:lang w:val="en-US"/>
              </w:rPr>
            </w:pPr>
            <w:r>
              <w:rPr>
                <w:rFonts w:hint="eastAsia" w:ascii="Times New Roman" w:hAnsi="Times New Roman"/>
                <w:color w:val="auto"/>
                <w:kern w:val="0"/>
                <w:sz w:val="21"/>
                <w:szCs w:val="21"/>
                <w:lang w:val="en-US"/>
              </w:rPr>
              <w:t>资源化</w:t>
            </w:r>
          </w:p>
        </w:tc>
        <w:tc>
          <w:tcPr>
            <w:tcW w:w="448" w:type="pct"/>
            <w:vAlign w:val="center"/>
          </w:tcPr>
          <w:p w14:paraId="0F67502E">
            <w:pPr>
              <w:pStyle w:val="12"/>
              <w:topLinePunct/>
              <w:ind w:left="0" w:leftChars="0" w:firstLine="0" w:firstLineChars="0"/>
              <w:jc w:val="center"/>
              <w:rPr>
                <w:rFonts w:hint="eastAsia" w:ascii="Times New Roman" w:hAnsi="Times New Roman"/>
                <w:color w:val="auto"/>
                <w:kern w:val="0"/>
                <w:sz w:val="21"/>
                <w:szCs w:val="21"/>
                <w:lang w:val="en-US"/>
              </w:rPr>
            </w:pPr>
            <w:r>
              <w:rPr>
                <w:rFonts w:hint="eastAsia" w:ascii="Times New Roman" w:hAnsi="Times New Roman"/>
                <w:color w:val="auto"/>
                <w:kern w:val="0"/>
                <w:sz w:val="21"/>
                <w:szCs w:val="21"/>
                <w:lang w:val="en-US"/>
              </w:rPr>
              <w:t>3.75</w:t>
            </w:r>
          </w:p>
        </w:tc>
        <w:tc>
          <w:tcPr>
            <w:tcW w:w="615" w:type="pct"/>
            <w:vAlign w:val="center"/>
          </w:tcPr>
          <w:p w14:paraId="5ED2E9B4">
            <w:pPr>
              <w:widowControl/>
              <w:jc w:val="center"/>
              <w:rPr>
                <w:rFonts w:hint="eastAsia"/>
                <w:color w:val="auto"/>
                <w:kern w:val="0"/>
              </w:rPr>
            </w:pPr>
            <w:r>
              <w:rPr>
                <w:rFonts w:hint="eastAsia"/>
                <w:color w:val="auto"/>
                <w:kern w:val="0"/>
              </w:rPr>
              <w:t>环卫部门统一清运</w:t>
            </w:r>
          </w:p>
        </w:tc>
      </w:tr>
      <w:tr w14:paraId="5ACE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10"/>
            <w:shd w:val="clear" w:color="auto" w:fill="auto"/>
            <w:vAlign w:val="center"/>
          </w:tcPr>
          <w:p w14:paraId="588AF981">
            <w:pPr>
              <w:widowControl/>
              <w:jc w:val="center"/>
              <w:rPr>
                <w:rFonts w:hint="eastAsia" w:eastAsia="宋体"/>
                <w:color w:val="auto"/>
                <w:kern w:val="0"/>
                <w:lang w:val="en-US" w:eastAsia="zh-CN"/>
              </w:rPr>
            </w:pPr>
            <w:r>
              <w:rPr>
                <w:rFonts w:hint="eastAsia"/>
                <w:color w:val="auto"/>
                <w:kern w:val="0"/>
                <w:lang w:val="en-US" w:eastAsia="zh-CN"/>
              </w:rPr>
              <w:t>*废硝盐实际产生后需经危废鉴定，鉴定后按鉴定结果处理。(危废鉴定前先按照《危险废物贮存污染控制标准》(GB18597-2023)中的相关要求暂时存放于危险废物仓内。实际产生经危废鉴定确定属性后，若废硝盐鉴定为危险废物，则按照危险废物处置要求进行委外处理；若鉴定为不属于危险废物，则产生的废硝盐属于一般工业固废，需按照一般工业固废处置要求进行委外处置。)</w:t>
            </w:r>
          </w:p>
        </w:tc>
      </w:tr>
    </w:tbl>
    <w:p w14:paraId="537220C3">
      <w:pPr>
        <w:pStyle w:val="122"/>
        <w:ind w:firstLine="0" w:firstLineChars="0"/>
        <w:rPr>
          <w:b/>
          <w:color w:val="auto"/>
        </w:rPr>
        <w:sectPr>
          <w:pgSz w:w="11906" w:h="16838"/>
          <w:pgMar w:top="1418" w:right="1230" w:bottom="1418" w:left="1134" w:header="851" w:footer="992" w:gutter="0"/>
          <w:pgNumType w:fmt="decimal"/>
          <w:cols w:space="425" w:num="1"/>
          <w:docGrid w:type="linesAndChars" w:linePitch="312" w:charSpace="0"/>
        </w:sectPr>
      </w:pPr>
    </w:p>
    <w:p w14:paraId="6E596792">
      <w:pPr>
        <w:pStyle w:val="122"/>
        <w:ind w:firstLine="0" w:firstLineChars="0"/>
        <w:outlineLvl w:val="1"/>
        <w:rPr>
          <w:b/>
          <w:color w:val="auto"/>
        </w:rPr>
      </w:pPr>
      <w:bookmarkStart w:id="41" w:name="_Toc28792"/>
      <w:bookmarkStart w:id="42" w:name="_Toc537"/>
      <w:r>
        <w:rPr>
          <w:rFonts w:hint="eastAsia"/>
          <w:b/>
          <w:color w:val="auto"/>
        </w:rPr>
        <w:t>2、现有项目内容简介</w:t>
      </w:r>
      <w:bookmarkEnd w:id="41"/>
      <w:bookmarkEnd w:id="42"/>
    </w:p>
    <w:p w14:paraId="76E74904">
      <w:pPr>
        <w:pStyle w:val="122"/>
        <w:ind w:firstLine="480"/>
        <w:rPr>
          <w:bCs/>
          <w:color w:val="auto"/>
        </w:rPr>
      </w:pPr>
      <w:r>
        <w:rPr>
          <w:rFonts w:hint="eastAsia"/>
          <w:bCs/>
          <w:color w:val="auto"/>
        </w:rPr>
        <w:t>杭州欣胜精密机械有限公司成立于2016年8月，</w:t>
      </w:r>
      <w:r>
        <w:rPr>
          <w:rFonts w:hint="eastAsia"/>
          <w:bCs/>
          <w:color w:val="auto"/>
          <w:lang w:val="en-US" w:eastAsia="zh-CN"/>
        </w:rPr>
        <w:t>最初</w:t>
      </w:r>
      <w:r>
        <w:rPr>
          <w:rFonts w:hint="eastAsia"/>
          <w:bCs/>
          <w:color w:val="auto"/>
        </w:rPr>
        <w:t>地址位于杭州市余杭区康信路 597号，</w:t>
      </w:r>
      <w:r>
        <w:rPr>
          <w:rFonts w:hint="eastAsia"/>
          <w:bCs/>
          <w:color w:val="auto"/>
          <w:lang w:val="en-US" w:eastAsia="zh-CN"/>
        </w:rPr>
        <w:t>最初</w:t>
      </w:r>
      <w:r>
        <w:rPr>
          <w:rFonts w:hint="eastAsia"/>
          <w:bCs/>
          <w:color w:val="auto"/>
        </w:rPr>
        <w:t>申报年产锯片15万片的生产规模，项目已通过环保审批（环评批复【2018】58 号），并于2019年03月完成环境保护自主验收。</w:t>
      </w:r>
      <w:r>
        <w:rPr>
          <w:rFonts w:hint="eastAsia"/>
          <w:bCs/>
          <w:color w:val="auto"/>
          <w:lang w:val="en-US" w:eastAsia="zh-CN"/>
        </w:rPr>
        <w:t>后</w:t>
      </w:r>
      <w:r>
        <w:rPr>
          <w:rFonts w:hint="eastAsia"/>
          <w:bCs/>
          <w:color w:val="auto"/>
        </w:rPr>
        <w:t>企业因发展需要，搬迁到浙江省杭州市临平区东湖街道兴国路530号2幢，租用杭州豪友实业有限公司现有闲置厂房进行生产经营，项目建成后年产30万片多功能锯片的规模</w:t>
      </w:r>
      <w:r>
        <w:rPr>
          <w:rFonts w:hint="eastAsia"/>
          <w:bCs/>
          <w:color w:val="auto"/>
          <w:lang w:eastAsia="zh-CN"/>
        </w:rPr>
        <w:t>，</w:t>
      </w:r>
      <w:r>
        <w:rPr>
          <w:rFonts w:hint="eastAsia"/>
          <w:bCs/>
          <w:color w:val="auto"/>
          <w:lang w:val="en-US" w:eastAsia="zh-CN"/>
        </w:rPr>
        <w:t>项目于2022年12月通过环保审批（杭环临平改备【2022】59号），并于2023年9月21日完成自主验收，并出具验收意见</w:t>
      </w:r>
      <w:r>
        <w:rPr>
          <w:rFonts w:hint="eastAsia"/>
          <w:bCs/>
          <w:color w:val="auto"/>
        </w:rPr>
        <w:t>。</w:t>
      </w:r>
    </w:p>
    <w:p w14:paraId="21E91DC2">
      <w:pPr>
        <w:pStyle w:val="122"/>
        <w:ind w:firstLine="480"/>
        <w:rPr>
          <w:bCs/>
          <w:color w:val="auto"/>
        </w:rPr>
      </w:pPr>
      <w:r>
        <w:rPr>
          <w:rFonts w:hint="eastAsia"/>
          <w:bCs/>
          <w:color w:val="auto"/>
        </w:rPr>
        <w:t>具体如下：</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3892"/>
        <w:gridCol w:w="1931"/>
        <w:gridCol w:w="1541"/>
        <w:gridCol w:w="758"/>
        <w:gridCol w:w="1119"/>
      </w:tblGrid>
      <w:tr w14:paraId="44DE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Align w:val="center"/>
          </w:tcPr>
          <w:p w14:paraId="07276655">
            <w:pPr>
              <w:adjustRightInd w:val="0"/>
              <w:snapToGrid w:val="0"/>
              <w:jc w:val="center"/>
              <w:rPr>
                <w:color w:val="auto"/>
                <w:sz w:val="18"/>
                <w:szCs w:val="18"/>
              </w:rPr>
            </w:pPr>
            <w:r>
              <w:rPr>
                <w:color w:val="auto"/>
                <w:sz w:val="18"/>
                <w:szCs w:val="18"/>
              </w:rPr>
              <w:t>序号</w:t>
            </w:r>
          </w:p>
        </w:tc>
        <w:tc>
          <w:tcPr>
            <w:tcW w:w="0" w:type="auto"/>
            <w:vAlign w:val="center"/>
          </w:tcPr>
          <w:p w14:paraId="0D8D8FF7">
            <w:pPr>
              <w:adjustRightInd w:val="0"/>
              <w:snapToGrid w:val="0"/>
              <w:jc w:val="center"/>
              <w:rPr>
                <w:color w:val="auto"/>
                <w:sz w:val="18"/>
                <w:szCs w:val="18"/>
              </w:rPr>
            </w:pPr>
            <w:r>
              <w:rPr>
                <w:color w:val="auto"/>
                <w:sz w:val="18"/>
                <w:szCs w:val="18"/>
              </w:rPr>
              <w:t>项目名称</w:t>
            </w:r>
          </w:p>
        </w:tc>
        <w:tc>
          <w:tcPr>
            <w:tcW w:w="0" w:type="auto"/>
            <w:vAlign w:val="center"/>
          </w:tcPr>
          <w:p w14:paraId="0AD8BC58">
            <w:pPr>
              <w:adjustRightInd w:val="0"/>
              <w:snapToGrid w:val="0"/>
              <w:jc w:val="center"/>
              <w:rPr>
                <w:color w:val="auto"/>
                <w:sz w:val="18"/>
                <w:szCs w:val="18"/>
              </w:rPr>
            </w:pPr>
            <w:r>
              <w:rPr>
                <w:color w:val="auto"/>
                <w:sz w:val="18"/>
                <w:szCs w:val="18"/>
              </w:rPr>
              <w:t>审批文号</w:t>
            </w:r>
          </w:p>
        </w:tc>
        <w:tc>
          <w:tcPr>
            <w:tcW w:w="0" w:type="auto"/>
            <w:vAlign w:val="center"/>
          </w:tcPr>
          <w:p w14:paraId="37BE25A1">
            <w:pPr>
              <w:adjustRightInd w:val="0"/>
              <w:snapToGrid w:val="0"/>
              <w:jc w:val="center"/>
              <w:rPr>
                <w:color w:val="auto"/>
                <w:sz w:val="18"/>
                <w:szCs w:val="18"/>
              </w:rPr>
            </w:pPr>
            <w:r>
              <w:rPr>
                <w:rFonts w:hint="eastAsia"/>
                <w:color w:val="auto"/>
                <w:sz w:val="18"/>
                <w:szCs w:val="18"/>
              </w:rPr>
              <w:t>审批规模</w:t>
            </w:r>
          </w:p>
        </w:tc>
        <w:tc>
          <w:tcPr>
            <w:tcW w:w="0" w:type="auto"/>
            <w:vAlign w:val="center"/>
          </w:tcPr>
          <w:p w14:paraId="14B66B08">
            <w:pPr>
              <w:adjustRightInd w:val="0"/>
              <w:snapToGrid w:val="0"/>
              <w:jc w:val="center"/>
              <w:rPr>
                <w:color w:val="auto"/>
                <w:sz w:val="18"/>
                <w:szCs w:val="18"/>
              </w:rPr>
            </w:pPr>
            <w:r>
              <w:rPr>
                <w:rFonts w:hint="eastAsia"/>
                <w:color w:val="auto"/>
                <w:sz w:val="18"/>
                <w:szCs w:val="18"/>
              </w:rPr>
              <w:t>验收文号</w:t>
            </w:r>
          </w:p>
        </w:tc>
        <w:tc>
          <w:tcPr>
            <w:tcW w:w="0" w:type="auto"/>
            <w:vAlign w:val="center"/>
          </w:tcPr>
          <w:p w14:paraId="3534C7B5">
            <w:pPr>
              <w:adjustRightInd w:val="0"/>
              <w:snapToGrid w:val="0"/>
              <w:jc w:val="center"/>
              <w:rPr>
                <w:color w:val="auto"/>
                <w:sz w:val="18"/>
                <w:szCs w:val="18"/>
              </w:rPr>
            </w:pPr>
            <w:r>
              <w:rPr>
                <w:rFonts w:hint="eastAsia"/>
                <w:color w:val="auto"/>
                <w:sz w:val="18"/>
                <w:szCs w:val="18"/>
              </w:rPr>
              <w:t>实际总产能</w:t>
            </w:r>
          </w:p>
        </w:tc>
      </w:tr>
      <w:tr w14:paraId="5B17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1AA1B36F">
            <w:pPr>
              <w:adjustRightInd w:val="0"/>
              <w:snapToGrid w:val="0"/>
              <w:jc w:val="center"/>
              <w:rPr>
                <w:color w:val="auto"/>
                <w:sz w:val="18"/>
                <w:szCs w:val="18"/>
              </w:rPr>
            </w:pPr>
            <w:r>
              <w:rPr>
                <w:color w:val="auto"/>
                <w:sz w:val="18"/>
                <w:szCs w:val="18"/>
              </w:rPr>
              <w:t>1</w:t>
            </w:r>
          </w:p>
        </w:tc>
        <w:tc>
          <w:tcPr>
            <w:tcW w:w="0" w:type="auto"/>
            <w:vAlign w:val="center"/>
          </w:tcPr>
          <w:p w14:paraId="486D5CCD">
            <w:pPr>
              <w:adjustRightInd w:val="0"/>
              <w:snapToGrid w:val="0"/>
              <w:rPr>
                <w:color w:val="auto"/>
                <w:sz w:val="18"/>
                <w:szCs w:val="18"/>
              </w:rPr>
            </w:pPr>
            <w:r>
              <w:rPr>
                <w:rFonts w:hint="eastAsia"/>
                <w:color w:val="auto"/>
                <w:sz w:val="18"/>
                <w:szCs w:val="18"/>
              </w:rPr>
              <w:t>杭州欣胜精密机械有限公司年产锯片15万片生产项目</w:t>
            </w:r>
          </w:p>
        </w:tc>
        <w:tc>
          <w:tcPr>
            <w:tcW w:w="0" w:type="auto"/>
            <w:vAlign w:val="center"/>
          </w:tcPr>
          <w:p w14:paraId="268DF625">
            <w:pPr>
              <w:adjustRightInd w:val="0"/>
              <w:snapToGrid w:val="0"/>
              <w:jc w:val="center"/>
              <w:rPr>
                <w:color w:val="auto"/>
                <w:sz w:val="18"/>
                <w:szCs w:val="18"/>
              </w:rPr>
            </w:pPr>
            <w:r>
              <w:rPr>
                <w:rFonts w:hint="eastAsia"/>
                <w:color w:val="auto"/>
                <w:sz w:val="18"/>
                <w:szCs w:val="18"/>
              </w:rPr>
              <w:t>环评批复【2018】58 号</w:t>
            </w:r>
          </w:p>
        </w:tc>
        <w:tc>
          <w:tcPr>
            <w:tcW w:w="0" w:type="auto"/>
            <w:vAlign w:val="center"/>
          </w:tcPr>
          <w:p w14:paraId="2F28C2D5">
            <w:pPr>
              <w:adjustRightInd w:val="0"/>
              <w:snapToGrid w:val="0"/>
              <w:jc w:val="center"/>
              <w:rPr>
                <w:color w:val="auto"/>
                <w:sz w:val="18"/>
                <w:szCs w:val="18"/>
              </w:rPr>
            </w:pPr>
            <w:r>
              <w:rPr>
                <w:rFonts w:hint="eastAsia"/>
                <w:color w:val="auto"/>
                <w:sz w:val="18"/>
                <w:szCs w:val="18"/>
              </w:rPr>
              <w:t>年产锯片15万片</w:t>
            </w:r>
          </w:p>
        </w:tc>
        <w:tc>
          <w:tcPr>
            <w:tcW w:w="0" w:type="auto"/>
            <w:vAlign w:val="center"/>
          </w:tcPr>
          <w:p w14:paraId="49C7339B">
            <w:pPr>
              <w:adjustRightInd w:val="0"/>
              <w:snapToGrid w:val="0"/>
              <w:jc w:val="center"/>
              <w:rPr>
                <w:rFonts w:hint="eastAsia" w:eastAsia="宋体"/>
                <w:color w:val="auto"/>
                <w:sz w:val="18"/>
                <w:szCs w:val="18"/>
                <w:lang w:eastAsia="zh-CN"/>
              </w:rPr>
            </w:pPr>
            <w:r>
              <w:rPr>
                <w:rFonts w:hint="eastAsia"/>
                <w:color w:val="auto"/>
                <w:sz w:val="18"/>
                <w:szCs w:val="18"/>
                <w:lang w:val="en-US" w:eastAsia="zh-CN"/>
              </w:rPr>
              <w:t>自主验收</w:t>
            </w:r>
          </w:p>
        </w:tc>
        <w:tc>
          <w:tcPr>
            <w:tcW w:w="0" w:type="auto"/>
            <w:vAlign w:val="center"/>
          </w:tcPr>
          <w:p w14:paraId="7A138D0F">
            <w:pPr>
              <w:adjustRightInd w:val="0"/>
              <w:snapToGrid w:val="0"/>
              <w:jc w:val="center"/>
              <w:rPr>
                <w:color w:val="auto"/>
                <w:sz w:val="18"/>
                <w:szCs w:val="18"/>
              </w:rPr>
            </w:pPr>
            <w:r>
              <w:rPr>
                <w:rFonts w:hint="eastAsia"/>
                <w:color w:val="auto"/>
                <w:sz w:val="18"/>
                <w:szCs w:val="18"/>
              </w:rPr>
              <w:t>与环评批复一致</w:t>
            </w:r>
          </w:p>
        </w:tc>
      </w:tr>
      <w:tr w14:paraId="5B6E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2C68A86B">
            <w:pPr>
              <w:adjustRightInd w:val="0"/>
              <w:snapToGrid w:val="0"/>
              <w:jc w:val="center"/>
              <w:rPr>
                <w:color w:val="auto"/>
                <w:sz w:val="18"/>
                <w:szCs w:val="18"/>
              </w:rPr>
            </w:pPr>
            <w:r>
              <w:rPr>
                <w:rFonts w:hint="eastAsia"/>
                <w:color w:val="auto"/>
                <w:sz w:val="18"/>
                <w:szCs w:val="18"/>
              </w:rPr>
              <w:t>2</w:t>
            </w:r>
          </w:p>
        </w:tc>
        <w:tc>
          <w:tcPr>
            <w:tcW w:w="0" w:type="auto"/>
            <w:vAlign w:val="center"/>
          </w:tcPr>
          <w:p w14:paraId="4611CCF7">
            <w:pPr>
              <w:adjustRightInd w:val="0"/>
              <w:snapToGrid w:val="0"/>
              <w:rPr>
                <w:color w:val="auto"/>
                <w:sz w:val="18"/>
                <w:szCs w:val="18"/>
              </w:rPr>
            </w:pPr>
            <w:r>
              <w:rPr>
                <w:rFonts w:hint="eastAsia"/>
                <w:color w:val="auto"/>
                <w:sz w:val="18"/>
                <w:szCs w:val="18"/>
              </w:rPr>
              <w:t>杭州欣胜精密机械有限公司年产 30 万片多功能锯片智能化改造项目</w:t>
            </w:r>
          </w:p>
        </w:tc>
        <w:tc>
          <w:tcPr>
            <w:tcW w:w="0" w:type="auto"/>
            <w:vAlign w:val="center"/>
          </w:tcPr>
          <w:p w14:paraId="33F0ED22">
            <w:pPr>
              <w:adjustRightInd w:val="0"/>
              <w:snapToGrid w:val="0"/>
              <w:jc w:val="center"/>
              <w:rPr>
                <w:color w:val="auto"/>
                <w:sz w:val="18"/>
                <w:szCs w:val="18"/>
              </w:rPr>
            </w:pPr>
            <w:r>
              <w:rPr>
                <w:rFonts w:hint="eastAsia"/>
                <w:color w:val="auto"/>
                <w:sz w:val="18"/>
                <w:szCs w:val="18"/>
              </w:rPr>
              <w:t>杭环临平改备【2022】59号</w:t>
            </w:r>
          </w:p>
        </w:tc>
        <w:tc>
          <w:tcPr>
            <w:tcW w:w="0" w:type="auto"/>
            <w:vAlign w:val="center"/>
          </w:tcPr>
          <w:p w14:paraId="3CC5FD2E">
            <w:pPr>
              <w:adjustRightInd w:val="0"/>
              <w:snapToGrid w:val="0"/>
              <w:jc w:val="center"/>
              <w:rPr>
                <w:color w:val="auto"/>
                <w:sz w:val="18"/>
                <w:szCs w:val="18"/>
              </w:rPr>
            </w:pPr>
            <w:r>
              <w:rPr>
                <w:rFonts w:hint="eastAsia"/>
                <w:color w:val="auto"/>
                <w:sz w:val="18"/>
                <w:szCs w:val="18"/>
              </w:rPr>
              <w:t>年产30万片多功能锯片</w:t>
            </w:r>
          </w:p>
        </w:tc>
        <w:tc>
          <w:tcPr>
            <w:tcW w:w="758" w:type="dxa"/>
            <w:vAlign w:val="center"/>
          </w:tcPr>
          <w:p w14:paraId="128EA0A9">
            <w:pPr>
              <w:adjustRightInd w:val="0"/>
              <w:snapToGrid w:val="0"/>
              <w:jc w:val="center"/>
              <w:rPr>
                <w:color w:val="auto"/>
                <w:sz w:val="18"/>
                <w:szCs w:val="18"/>
              </w:rPr>
            </w:pPr>
            <w:r>
              <w:rPr>
                <w:rFonts w:hint="eastAsia"/>
                <w:color w:val="auto"/>
                <w:sz w:val="18"/>
                <w:szCs w:val="18"/>
                <w:lang w:val="en-US" w:eastAsia="zh-CN"/>
              </w:rPr>
              <w:t>自主验收</w:t>
            </w:r>
          </w:p>
        </w:tc>
        <w:tc>
          <w:tcPr>
            <w:tcW w:w="1119" w:type="dxa"/>
            <w:vAlign w:val="center"/>
          </w:tcPr>
          <w:p w14:paraId="04B629CC">
            <w:pPr>
              <w:adjustRightInd w:val="0"/>
              <w:snapToGrid w:val="0"/>
              <w:jc w:val="center"/>
              <w:rPr>
                <w:color w:val="auto"/>
                <w:sz w:val="18"/>
                <w:szCs w:val="18"/>
              </w:rPr>
            </w:pPr>
            <w:r>
              <w:rPr>
                <w:rFonts w:hint="eastAsia"/>
                <w:color w:val="auto"/>
                <w:sz w:val="18"/>
                <w:szCs w:val="18"/>
              </w:rPr>
              <w:t>与环评批复一致</w:t>
            </w:r>
          </w:p>
        </w:tc>
      </w:tr>
    </w:tbl>
    <w:p w14:paraId="2BA6D6B3">
      <w:pPr>
        <w:spacing w:line="360" w:lineRule="auto"/>
        <w:rPr>
          <w:b/>
          <w:color w:val="auto"/>
        </w:rPr>
      </w:pPr>
      <w:r>
        <w:rPr>
          <w:b/>
          <w:color w:val="auto"/>
        </w:rPr>
        <w:t>2.1</w:t>
      </w:r>
      <w:r>
        <w:rPr>
          <w:rFonts w:hint="eastAsia"/>
          <w:b/>
          <w:color w:val="auto"/>
        </w:rPr>
        <w:t>已批已验项目</w:t>
      </w:r>
    </w:p>
    <w:p w14:paraId="3A876DDD">
      <w:pPr>
        <w:spacing w:line="360" w:lineRule="auto"/>
        <w:ind w:firstLine="420" w:firstLineChars="200"/>
        <w:rPr>
          <w:bCs/>
          <w:color w:val="auto"/>
        </w:rPr>
      </w:pPr>
      <w:r>
        <w:rPr>
          <w:rFonts w:hint="eastAsia"/>
          <w:bCs/>
          <w:color w:val="auto"/>
        </w:rPr>
        <w:t>1、产品方案</w:t>
      </w:r>
    </w:p>
    <w:p w14:paraId="788E9325">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w:t>
      </w:r>
      <w:r>
        <w:rPr>
          <w:rFonts w:hint="eastAsia" w:cs="Times New Roman"/>
          <w:b/>
          <w:color w:val="auto"/>
          <w:kern w:val="2"/>
          <w:sz w:val="21"/>
          <w:szCs w:val="21"/>
          <w:lang w:val="en-US" w:eastAsia="zh-CN" w:bidi="ar-SA"/>
        </w:rPr>
        <w:t xml:space="preserve">22 </w:t>
      </w:r>
      <w:r>
        <w:rPr>
          <w:rFonts w:hint="eastAsia"/>
          <w:color w:val="auto"/>
        </w:rPr>
        <w:t>已批已验项目产品方案一览表</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2369"/>
        <w:gridCol w:w="2542"/>
        <w:gridCol w:w="3979"/>
      </w:tblGrid>
      <w:tr w14:paraId="15C1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Merge w:val="restart"/>
            <w:vAlign w:val="center"/>
          </w:tcPr>
          <w:p w14:paraId="10AFE6CF">
            <w:pPr>
              <w:widowControl/>
              <w:jc w:val="center"/>
              <w:rPr>
                <w:color w:val="auto"/>
                <w:kern w:val="0"/>
                <w:sz w:val="18"/>
                <w:szCs w:val="18"/>
              </w:rPr>
            </w:pPr>
            <w:bookmarkStart w:id="43" w:name="_Hlk97067912"/>
            <w:r>
              <w:rPr>
                <w:color w:val="auto"/>
                <w:kern w:val="0"/>
                <w:sz w:val="18"/>
                <w:szCs w:val="18"/>
              </w:rPr>
              <w:t>序号</w:t>
            </w:r>
          </w:p>
        </w:tc>
        <w:tc>
          <w:tcPr>
            <w:tcW w:w="1214" w:type="pct"/>
            <w:vMerge w:val="restart"/>
            <w:vAlign w:val="center"/>
          </w:tcPr>
          <w:p w14:paraId="47364A1F">
            <w:pPr>
              <w:widowControl/>
              <w:jc w:val="center"/>
              <w:rPr>
                <w:color w:val="auto"/>
                <w:kern w:val="0"/>
                <w:sz w:val="18"/>
                <w:szCs w:val="18"/>
              </w:rPr>
            </w:pPr>
            <w:r>
              <w:rPr>
                <w:rFonts w:hint="eastAsia"/>
                <w:color w:val="auto"/>
                <w:kern w:val="0"/>
                <w:sz w:val="18"/>
                <w:szCs w:val="18"/>
              </w:rPr>
              <w:t>产品名称</w:t>
            </w:r>
          </w:p>
        </w:tc>
        <w:tc>
          <w:tcPr>
            <w:tcW w:w="1303" w:type="pct"/>
            <w:vMerge w:val="restart"/>
            <w:vAlign w:val="center"/>
          </w:tcPr>
          <w:p w14:paraId="08C66693">
            <w:pPr>
              <w:widowControl/>
              <w:jc w:val="center"/>
              <w:rPr>
                <w:color w:val="auto"/>
                <w:kern w:val="0"/>
                <w:sz w:val="18"/>
                <w:szCs w:val="18"/>
              </w:rPr>
            </w:pPr>
            <w:r>
              <w:rPr>
                <w:rFonts w:hint="eastAsia"/>
                <w:color w:val="auto"/>
                <w:kern w:val="0"/>
                <w:sz w:val="18"/>
                <w:szCs w:val="18"/>
              </w:rPr>
              <w:t>单位</w:t>
            </w:r>
          </w:p>
        </w:tc>
        <w:tc>
          <w:tcPr>
            <w:tcW w:w="2039" w:type="pct"/>
            <w:vAlign w:val="center"/>
          </w:tcPr>
          <w:p w14:paraId="3E59CAAD">
            <w:pPr>
              <w:widowControl/>
              <w:jc w:val="center"/>
              <w:rPr>
                <w:color w:val="auto"/>
                <w:kern w:val="0"/>
                <w:sz w:val="18"/>
                <w:szCs w:val="18"/>
              </w:rPr>
            </w:pPr>
            <w:r>
              <w:rPr>
                <w:rFonts w:hint="eastAsia"/>
                <w:color w:val="auto"/>
                <w:kern w:val="0"/>
                <w:sz w:val="18"/>
                <w:szCs w:val="18"/>
              </w:rPr>
              <w:t>年产量</w:t>
            </w:r>
          </w:p>
        </w:tc>
      </w:tr>
      <w:tr w14:paraId="68A5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Merge w:val="continue"/>
            <w:vAlign w:val="center"/>
          </w:tcPr>
          <w:p w14:paraId="2F1A4FE9">
            <w:pPr>
              <w:widowControl/>
              <w:jc w:val="center"/>
              <w:rPr>
                <w:color w:val="auto"/>
                <w:kern w:val="0"/>
                <w:sz w:val="18"/>
                <w:szCs w:val="18"/>
              </w:rPr>
            </w:pPr>
          </w:p>
        </w:tc>
        <w:tc>
          <w:tcPr>
            <w:tcW w:w="1214" w:type="pct"/>
            <w:vMerge w:val="continue"/>
            <w:vAlign w:val="center"/>
          </w:tcPr>
          <w:p w14:paraId="1F7874DD">
            <w:pPr>
              <w:widowControl/>
              <w:jc w:val="center"/>
              <w:rPr>
                <w:color w:val="auto"/>
                <w:kern w:val="0"/>
                <w:sz w:val="18"/>
                <w:szCs w:val="18"/>
              </w:rPr>
            </w:pPr>
          </w:p>
        </w:tc>
        <w:tc>
          <w:tcPr>
            <w:tcW w:w="1303" w:type="pct"/>
            <w:vMerge w:val="continue"/>
            <w:vAlign w:val="center"/>
          </w:tcPr>
          <w:p w14:paraId="6B28063E">
            <w:pPr>
              <w:widowControl/>
              <w:jc w:val="center"/>
              <w:rPr>
                <w:color w:val="auto"/>
                <w:kern w:val="0"/>
                <w:sz w:val="18"/>
                <w:szCs w:val="18"/>
              </w:rPr>
            </w:pPr>
          </w:p>
        </w:tc>
        <w:tc>
          <w:tcPr>
            <w:tcW w:w="2039" w:type="pct"/>
            <w:vAlign w:val="center"/>
          </w:tcPr>
          <w:p w14:paraId="79846F0F">
            <w:pPr>
              <w:widowControl/>
              <w:jc w:val="center"/>
              <w:rPr>
                <w:color w:val="auto"/>
                <w:kern w:val="0"/>
                <w:sz w:val="18"/>
                <w:szCs w:val="18"/>
              </w:rPr>
            </w:pPr>
            <w:r>
              <w:rPr>
                <w:rFonts w:hint="eastAsia"/>
                <w:color w:val="auto"/>
                <w:kern w:val="0"/>
                <w:sz w:val="18"/>
                <w:szCs w:val="18"/>
              </w:rPr>
              <w:t>已批/已验项目产能</w:t>
            </w:r>
          </w:p>
        </w:tc>
      </w:tr>
      <w:tr w14:paraId="2E74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Align w:val="center"/>
          </w:tcPr>
          <w:p w14:paraId="2F490CD6">
            <w:pPr>
              <w:widowControl/>
              <w:jc w:val="center"/>
              <w:rPr>
                <w:color w:val="auto"/>
                <w:kern w:val="0"/>
                <w:sz w:val="18"/>
                <w:szCs w:val="18"/>
              </w:rPr>
            </w:pPr>
            <w:r>
              <w:rPr>
                <w:rFonts w:hint="eastAsia"/>
                <w:color w:val="auto"/>
                <w:kern w:val="0"/>
                <w:sz w:val="18"/>
                <w:szCs w:val="18"/>
              </w:rPr>
              <w:t>1</w:t>
            </w:r>
          </w:p>
        </w:tc>
        <w:tc>
          <w:tcPr>
            <w:tcW w:w="1214" w:type="pct"/>
            <w:vAlign w:val="center"/>
          </w:tcPr>
          <w:p w14:paraId="207E30BB">
            <w:pPr>
              <w:widowControl/>
              <w:jc w:val="center"/>
              <w:rPr>
                <w:rFonts w:hint="eastAsia" w:hAnsi="宋体" w:eastAsia="宋体"/>
                <w:color w:val="auto"/>
                <w:sz w:val="18"/>
                <w:szCs w:val="18"/>
                <w:lang w:eastAsia="zh-CN"/>
              </w:rPr>
            </w:pPr>
            <w:r>
              <w:rPr>
                <w:rFonts w:hint="eastAsia" w:hAnsi="宋体"/>
                <w:color w:val="auto"/>
                <w:sz w:val="18"/>
                <w:szCs w:val="18"/>
                <w:lang w:val="en-US" w:eastAsia="zh-CN"/>
              </w:rPr>
              <w:t>锯片</w:t>
            </w:r>
          </w:p>
        </w:tc>
        <w:tc>
          <w:tcPr>
            <w:tcW w:w="1303" w:type="pct"/>
            <w:vAlign w:val="center"/>
          </w:tcPr>
          <w:p w14:paraId="2420383F">
            <w:pPr>
              <w:widowControl/>
              <w:jc w:val="center"/>
              <w:rPr>
                <w:rFonts w:hint="eastAsia" w:hAnsi="宋体"/>
                <w:color w:val="auto"/>
                <w:sz w:val="18"/>
                <w:szCs w:val="18"/>
              </w:rPr>
            </w:pPr>
            <w:r>
              <w:rPr>
                <w:rFonts w:hint="eastAsia" w:hAnsi="宋体"/>
                <w:color w:val="auto"/>
                <w:sz w:val="18"/>
                <w:szCs w:val="18"/>
              </w:rPr>
              <w:t>万</w:t>
            </w:r>
            <w:r>
              <w:rPr>
                <w:rFonts w:hint="eastAsia" w:hAnsi="宋体"/>
                <w:color w:val="auto"/>
                <w:sz w:val="18"/>
                <w:szCs w:val="18"/>
                <w:lang w:val="en-US" w:eastAsia="zh-CN"/>
              </w:rPr>
              <w:t>片</w:t>
            </w:r>
            <w:r>
              <w:rPr>
                <w:rFonts w:hint="eastAsia" w:hAnsi="宋体"/>
                <w:color w:val="auto"/>
                <w:sz w:val="18"/>
                <w:szCs w:val="18"/>
              </w:rPr>
              <w:t>/年</w:t>
            </w:r>
          </w:p>
        </w:tc>
        <w:tc>
          <w:tcPr>
            <w:tcW w:w="2039" w:type="pct"/>
            <w:vAlign w:val="center"/>
          </w:tcPr>
          <w:p w14:paraId="031A9937">
            <w:pPr>
              <w:widowControl/>
              <w:jc w:val="center"/>
              <w:rPr>
                <w:rFonts w:hint="default" w:hAnsi="宋体" w:eastAsia="宋体"/>
                <w:color w:val="auto"/>
                <w:sz w:val="18"/>
                <w:szCs w:val="18"/>
                <w:lang w:val="en-US" w:eastAsia="zh-CN"/>
              </w:rPr>
            </w:pPr>
            <w:r>
              <w:rPr>
                <w:rFonts w:hint="eastAsia" w:hAnsi="宋体"/>
                <w:color w:val="auto"/>
                <w:sz w:val="18"/>
                <w:szCs w:val="18"/>
                <w:lang w:val="en-US" w:eastAsia="zh-CN"/>
              </w:rPr>
              <w:t>50</w:t>
            </w:r>
          </w:p>
        </w:tc>
      </w:tr>
      <w:bookmarkEnd w:id="43"/>
    </w:tbl>
    <w:p w14:paraId="5548670F">
      <w:pPr>
        <w:numPr>
          <w:ilvl w:val="0"/>
          <w:numId w:val="0"/>
        </w:numPr>
        <w:autoSpaceDE w:val="0"/>
        <w:autoSpaceDN w:val="0"/>
        <w:adjustRightInd w:val="0"/>
        <w:spacing w:line="360" w:lineRule="auto"/>
        <w:ind w:firstLine="420" w:firstLineChars="200"/>
        <w:rPr>
          <w:rFonts w:hint="eastAsia"/>
          <w:bCs/>
          <w:color w:val="auto"/>
          <w:lang w:val="en-US" w:eastAsia="zh-CN"/>
        </w:rPr>
      </w:pPr>
      <w:r>
        <w:rPr>
          <w:rFonts w:hint="eastAsia" w:ascii="Times New Roman" w:hAnsi="Times New Roman" w:eastAsia="宋体" w:cs="Times New Roman"/>
          <w:bCs/>
          <w:color w:val="auto"/>
          <w:kern w:val="2"/>
          <w:sz w:val="21"/>
          <w:szCs w:val="21"/>
          <w:lang w:val="en-US" w:eastAsia="zh-CN" w:bidi="ar-SA"/>
        </w:rPr>
        <w:t>2、</w:t>
      </w:r>
      <w:r>
        <w:rPr>
          <w:rFonts w:hint="eastAsia"/>
          <w:bCs/>
          <w:color w:val="auto"/>
          <w:lang w:val="en-US" w:eastAsia="zh-CN"/>
        </w:rPr>
        <w:t>已批已验项目生产设备情况</w:t>
      </w:r>
    </w:p>
    <w:p w14:paraId="4AAEFE31">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w:t>
      </w:r>
      <w:r>
        <w:rPr>
          <w:rFonts w:hint="eastAsia" w:cs="Times New Roman"/>
          <w:b/>
          <w:color w:val="auto"/>
          <w:kern w:val="2"/>
          <w:sz w:val="21"/>
          <w:szCs w:val="21"/>
          <w:lang w:val="en-US" w:eastAsia="zh-CN" w:bidi="ar-SA"/>
        </w:rPr>
        <w:t xml:space="preserve">23 </w:t>
      </w:r>
      <w:r>
        <w:rPr>
          <w:rFonts w:hint="eastAsia"/>
          <w:color w:val="auto"/>
          <w:lang w:val="en-US" w:eastAsia="zh-CN"/>
        </w:rPr>
        <w:t>已批已验</w:t>
      </w:r>
      <w:r>
        <w:rPr>
          <w:rFonts w:hint="eastAsia"/>
          <w:color w:val="auto"/>
        </w:rPr>
        <w:t>设备一览表</w:t>
      </w:r>
    </w:p>
    <w:tbl>
      <w:tblPr>
        <w:tblStyle w:val="88"/>
        <w:tblW w:w="5000" w:type="pct"/>
        <w:jc w:val="center"/>
        <w:tblLayout w:type="autofit"/>
        <w:tblCellMar>
          <w:top w:w="0" w:type="dxa"/>
          <w:left w:w="108" w:type="dxa"/>
          <w:bottom w:w="0" w:type="dxa"/>
          <w:right w:w="108" w:type="dxa"/>
        </w:tblCellMar>
      </w:tblPr>
      <w:tblGrid>
        <w:gridCol w:w="1312"/>
        <w:gridCol w:w="3362"/>
        <w:gridCol w:w="1312"/>
        <w:gridCol w:w="3772"/>
      </w:tblGrid>
      <w:tr w14:paraId="2A5D6369">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36DC1BB">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序号</w:t>
            </w:r>
          </w:p>
        </w:tc>
        <w:tc>
          <w:tcPr>
            <w:tcW w:w="172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A2C18">
            <w:pPr>
              <w:adjustRightInd w:val="0"/>
              <w:snapToGrid w:val="0"/>
              <w:jc w:val="center"/>
              <w:textAlignment w:val="baseline"/>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设备名称</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BFC3BE">
            <w:pPr>
              <w:adjustRightInd w:val="0"/>
              <w:snapToGrid w:val="0"/>
              <w:jc w:val="center"/>
              <w:textAlignment w:val="baseline"/>
              <w:rPr>
                <w:rFonts w:hint="eastAsia"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单位</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9C74BE">
            <w:pPr>
              <w:adjustRightInd w:val="0"/>
              <w:snapToGrid w:val="0"/>
              <w:jc w:val="center"/>
              <w:textAlignment w:val="baseline"/>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已批已验</w:t>
            </w:r>
            <w:r>
              <w:rPr>
                <w:rFonts w:hint="default" w:ascii="Times New Roman" w:hAnsi="Times New Roman" w:cs="Times New Roman"/>
                <w:color w:val="auto"/>
                <w:kern w:val="0"/>
                <w:sz w:val="18"/>
                <w:szCs w:val="18"/>
              </w:rPr>
              <w:t>设备数量</w:t>
            </w:r>
          </w:p>
        </w:tc>
      </w:tr>
      <w:tr w14:paraId="1D4F763D">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C97419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6F660D6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铰孔机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725F04D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293BFE1">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4</w:t>
            </w:r>
          </w:p>
        </w:tc>
      </w:tr>
      <w:tr w14:paraId="06320F9D">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DD7E32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067A9CF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磨床</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517B098">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55058C9F">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18</w:t>
            </w:r>
          </w:p>
        </w:tc>
      </w:tr>
      <w:tr w14:paraId="02B8F78B">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1E008A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6109880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激光打标机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137479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2CCF09B">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3</w:t>
            </w:r>
          </w:p>
        </w:tc>
      </w:tr>
      <w:tr w14:paraId="75A352E4">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F0EECE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4</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2DCDD50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开齿机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78F7D5A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0B20C12">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15</w:t>
            </w:r>
          </w:p>
        </w:tc>
      </w:tr>
      <w:tr w14:paraId="46D224E3">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503749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5</w:t>
            </w:r>
          </w:p>
        </w:tc>
        <w:tc>
          <w:tcPr>
            <w:tcW w:w="172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962DD4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自动焊机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5694DBB">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1F77E91B">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33</w:t>
            </w:r>
          </w:p>
        </w:tc>
      </w:tr>
      <w:tr w14:paraId="2A545806">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639D25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6</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43233A0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手动焊机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0E2136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829BEDB">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6</w:t>
            </w:r>
          </w:p>
        </w:tc>
      </w:tr>
      <w:tr w14:paraId="773ADCAF">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3096DA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7</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54BA7DE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洗齿机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C4D906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7014B42B">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2</w:t>
            </w:r>
          </w:p>
        </w:tc>
      </w:tr>
      <w:tr w14:paraId="22A2E443">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3485FE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8</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1A0F9FC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磨齿机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178A5CA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4ADFA46C">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30</w:t>
            </w:r>
          </w:p>
        </w:tc>
      </w:tr>
      <w:tr w14:paraId="7E6A5762">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97EA15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9</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3CE8EEF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回火炉</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D33E7A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4A16D9A">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2</w:t>
            </w:r>
          </w:p>
        </w:tc>
      </w:tr>
      <w:tr w14:paraId="58336FA8">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20BD44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10</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52EFA38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洗片机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BEA1DA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09DCA3A">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4</w:t>
            </w:r>
          </w:p>
        </w:tc>
      </w:tr>
      <w:tr w14:paraId="4A65AB02">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2E770C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11</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4776B4B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抛光机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F1222F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2B46AE3">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4</w:t>
            </w:r>
          </w:p>
        </w:tc>
      </w:tr>
      <w:tr w14:paraId="6A75D597">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DAE872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12</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19FD6D6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线切割</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7E88EF7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4FFCB0E0">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18</w:t>
            </w:r>
          </w:p>
        </w:tc>
      </w:tr>
      <w:tr w14:paraId="6F36CCB6">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111F02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13</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3F7E78B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冷水机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2BDF898F">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46539791">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5</w:t>
            </w:r>
          </w:p>
        </w:tc>
      </w:tr>
      <w:tr w14:paraId="1678C196">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F3FF37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14</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04308815">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空压机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22DBCE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1F9A3CDC">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7</w:t>
            </w:r>
          </w:p>
        </w:tc>
      </w:tr>
      <w:tr w14:paraId="2154C4B7">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2B8E58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15</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512795B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激光切割机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7B8A42A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1017587">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2</w:t>
            </w:r>
          </w:p>
        </w:tc>
      </w:tr>
      <w:tr w14:paraId="64432386">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F0A26E2">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16</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73F8703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密封式喷砂机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6C0FAA4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78AD85C9">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2</w:t>
            </w:r>
          </w:p>
        </w:tc>
      </w:tr>
      <w:tr w14:paraId="1A6ED67C">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01AB1F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17</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7839BDF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锯片刮刀焊接机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4B8B4E5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41FFC71F">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w:t>
            </w:r>
          </w:p>
        </w:tc>
      </w:tr>
      <w:tr w14:paraId="4E43B419">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474E413">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18</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590D5A1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研磨机</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38F7377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台</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5073251D">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6</w:t>
            </w:r>
          </w:p>
        </w:tc>
      </w:tr>
      <w:tr w14:paraId="0D9B8705">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342007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19</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14E2BF9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机械手</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4721163D">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只</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2DF6C8AF">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6</w:t>
            </w:r>
          </w:p>
        </w:tc>
      </w:tr>
      <w:tr w14:paraId="3392274C">
        <w:tblPrEx>
          <w:tblCellMar>
            <w:top w:w="0" w:type="dxa"/>
            <w:left w:w="108" w:type="dxa"/>
            <w:bottom w:w="0" w:type="dxa"/>
            <w:right w:w="108" w:type="dxa"/>
          </w:tblCellMar>
        </w:tblPrEx>
        <w:trPr>
          <w:jc w:val="center"/>
        </w:trPr>
        <w:tc>
          <w:tcPr>
            <w:tcW w:w="67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5DBDA2A">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20</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top"/>
          </w:tcPr>
          <w:p w14:paraId="04E34947">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冷却塔</w:t>
            </w:r>
          </w:p>
        </w:tc>
        <w:tc>
          <w:tcPr>
            <w:tcW w:w="6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0242A8E9">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座</w:t>
            </w:r>
          </w:p>
        </w:tc>
        <w:tc>
          <w:tcPr>
            <w:tcW w:w="1932" w:type="pct"/>
            <w:tcBorders>
              <w:top w:val="single" w:color="000000" w:sz="4" w:space="0"/>
              <w:left w:val="single" w:color="000000" w:sz="4" w:space="0"/>
              <w:bottom w:val="single" w:color="000000" w:sz="4" w:space="0"/>
              <w:right w:val="single" w:color="000000" w:sz="4" w:space="0"/>
            </w:tcBorders>
            <w:shd w:val="clear" w:color="auto" w:fill="FFFFFF" w:themeFill="background1"/>
            <w:vAlign w:val="top"/>
          </w:tcPr>
          <w:p w14:paraId="5865E7DD">
            <w:pPr>
              <w:adjustRightInd w:val="0"/>
              <w:snapToGrid w:val="0"/>
              <w:jc w:val="center"/>
              <w:textAlignment w:val="baseline"/>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1</w:t>
            </w:r>
          </w:p>
        </w:tc>
      </w:tr>
    </w:tbl>
    <w:p w14:paraId="47B14911">
      <w:pPr>
        <w:numPr>
          <w:ilvl w:val="0"/>
          <w:numId w:val="0"/>
        </w:numPr>
        <w:autoSpaceDE w:val="0"/>
        <w:autoSpaceDN w:val="0"/>
        <w:adjustRightInd w:val="0"/>
        <w:spacing w:line="360" w:lineRule="auto"/>
        <w:ind w:firstLine="420" w:firstLineChars="200"/>
        <w:rPr>
          <w:rFonts w:hint="default"/>
          <w:bCs/>
          <w:color w:val="auto"/>
          <w:lang w:val="en-US" w:eastAsia="zh-CN"/>
        </w:rPr>
      </w:pPr>
      <w:r>
        <w:rPr>
          <w:rFonts w:hint="eastAsia" w:cs="Times New Roman"/>
          <w:bCs/>
          <w:color w:val="auto"/>
          <w:kern w:val="2"/>
          <w:sz w:val="21"/>
          <w:szCs w:val="21"/>
          <w:lang w:val="en-US" w:eastAsia="zh-CN" w:bidi="ar-SA"/>
        </w:rPr>
        <w:t>3</w:t>
      </w:r>
      <w:r>
        <w:rPr>
          <w:rFonts w:hint="default" w:ascii="Times New Roman" w:hAnsi="Times New Roman" w:eastAsia="宋体" w:cs="Times New Roman"/>
          <w:bCs/>
          <w:color w:val="auto"/>
          <w:kern w:val="2"/>
          <w:sz w:val="21"/>
          <w:szCs w:val="21"/>
          <w:lang w:val="en-US" w:eastAsia="zh-CN" w:bidi="ar-SA"/>
        </w:rPr>
        <w:t>、</w:t>
      </w:r>
      <w:r>
        <w:rPr>
          <w:rFonts w:hint="eastAsia"/>
          <w:bCs/>
          <w:color w:val="auto"/>
          <w:lang w:val="en-US" w:eastAsia="zh-CN"/>
        </w:rPr>
        <w:t>已批已验项目原辅料消耗情况</w:t>
      </w:r>
    </w:p>
    <w:p w14:paraId="3D4E16C4">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w:t>
      </w:r>
      <w:r>
        <w:rPr>
          <w:rFonts w:hint="eastAsia" w:cs="Times New Roman"/>
          <w:b/>
          <w:color w:val="auto"/>
          <w:kern w:val="2"/>
          <w:sz w:val="21"/>
          <w:szCs w:val="21"/>
          <w:lang w:val="en-US" w:eastAsia="zh-CN" w:bidi="ar-SA"/>
        </w:rPr>
        <w:t>24</w:t>
      </w:r>
      <w:r>
        <w:rPr>
          <w:rFonts w:hint="eastAsia"/>
          <w:color w:val="auto"/>
          <w:lang w:val="en-US" w:eastAsia="zh-CN"/>
        </w:rPr>
        <w:t>已批已验</w:t>
      </w:r>
      <w:r>
        <w:rPr>
          <w:color w:val="auto"/>
        </w:rPr>
        <w:t>原辅材料</w:t>
      </w:r>
      <w:r>
        <w:rPr>
          <w:rFonts w:hint="eastAsia"/>
          <w:color w:val="auto"/>
        </w:rPr>
        <w:t xml:space="preserve">消耗汇总表 </w:t>
      </w:r>
      <w:r>
        <w:rPr>
          <w:color w:val="auto"/>
        </w:rPr>
        <w:t xml:space="preserve"> </w:t>
      </w:r>
    </w:p>
    <w:tbl>
      <w:tblPr>
        <w:tblStyle w:val="1905"/>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51"/>
        <w:gridCol w:w="2283"/>
        <w:gridCol w:w="1560"/>
        <w:gridCol w:w="4550"/>
      </w:tblGrid>
      <w:tr w14:paraId="5AAEC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603" w:type="pct"/>
            <w:vAlign w:val="center"/>
          </w:tcPr>
          <w:p w14:paraId="530EF540">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序号</w:t>
            </w:r>
          </w:p>
        </w:tc>
        <w:tc>
          <w:tcPr>
            <w:tcW w:w="1196" w:type="pct"/>
            <w:vAlign w:val="center"/>
          </w:tcPr>
          <w:p w14:paraId="0EF52101">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原辅材料</w:t>
            </w:r>
          </w:p>
        </w:tc>
        <w:tc>
          <w:tcPr>
            <w:tcW w:w="817" w:type="pct"/>
            <w:vAlign w:val="center"/>
          </w:tcPr>
          <w:p w14:paraId="31E61D2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单位</w:t>
            </w:r>
          </w:p>
        </w:tc>
        <w:tc>
          <w:tcPr>
            <w:tcW w:w="2383" w:type="pct"/>
            <w:vAlign w:val="center"/>
          </w:tcPr>
          <w:p w14:paraId="7E39F04C">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已批已验年消耗量</w:t>
            </w:r>
          </w:p>
        </w:tc>
      </w:tr>
      <w:tr w14:paraId="7AD98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vAlign w:val="center"/>
          </w:tcPr>
          <w:p w14:paraId="273C3F16">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1</w:t>
            </w:r>
          </w:p>
        </w:tc>
        <w:tc>
          <w:tcPr>
            <w:tcW w:w="1196" w:type="pct"/>
            <w:shd w:val="clear" w:color="auto" w:fill="auto"/>
            <w:vAlign w:val="center"/>
          </w:tcPr>
          <w:p w14:paraId="4A1C53F8">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钢板</w:t>
            </w:r>
          </w:p>
        </w:tc>
        <w:tc>
          <w:tcPr>
            <w:tcW w:w="817" w:type="pct"/>
            <w:vAlign w:val="center"/>
          </w:tcPr>
          <w:p w14:paraId="7D68386D">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79084E0F">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115</w:t>
            </w:r>
          </w:p>
        </w:tc>
      </w:tr>
      <w:tr w14:paraId="399E5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vAlign w:val="center"/>
          </w:tcPr>
          <w:p w14:paraId="0F7FD612">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2</w:t>
            </w:r>
          </w:p>
        </w:tc>
        <w:tc>
          <w:tcPr>
            <w:tcW w:w="1196" w:type="pct"/>
            <w:shd w:val="clear" w:color="auto" w:fill="auto"/>
            <w:vAlign w:val="center"/>
          </w:tcPr>
          <w:p w14:paraId="0F6B26AA">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合金刀头</w:t>
            </w:r>
          </w:p>
        </w:tc>
        <w:tc>
          <w:tcPr>
            <w:tcW w:w="817" w:type="pct"/>
            <w:vAlign w:val="center"/>
          </w:tcPr>
          <w:p w14:paraId="5890BA9D">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649FC611">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5.5</w:t>
            </w:r>
          </w:p>
        </w:tc>
      </w:tr>
      <w:tr w14:paraId="3FB1B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vAlign w:val="center"/>
          </w:tcPr>
          <w:p w14:paraId="0620620E">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3</w:t>
            </w:r>
          </w:p>
        </w:tc>
        <w:tc>
          <w:tcPr>
            <w:tcW w:w="1196" w:type="pct"/>
            <w:shd w:val="clear" w:color="auto" w:fill="auto"/>
            <w:vAlign w:val="center"/>
          </w:tcPr>
          <w:p w14:paraId="2259EDB3">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刮刀</w:t>
            </w:r>
          </w:p>
        </w:tc>
        <w:tc>
          <w:tcPr>
            <w:tcW w:w="817" w:type="pct"/>
            <w:vAlign w:val="center"/>
          </w:tcPr>
          <w:p w14:paraId="435FD081">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00D963C8">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4</w:t>
            </w:r>
          </w:p>
        </w:tc>
      </w:tr>
      <w:tr w14:paraId="41700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vAlign w:val="center"/>
          </w:tcPr>
          <w:p w14:paraId="241E4CC1">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4</w:t>
            </w:r>
          </w:p>
        </w:tc>
        <w:tc>
          <w:tcPr>
            <w:tcW w:w="1196" w:type="pct"/>
            <w:shd w:val="clear" w:color="auto" w:fill="auto"/>
            <w:vAlign w:val="center"/>
          </w:tcPr>
          <w:p w14:paraId="30F63A8B">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银焊丝</w:t>
            </w:r>
          </w:p>
        </w:tc>
        <w:tc>
          <w:tcPr>
            <w:tcW w:w="817" w:type="pct"/>
            <w:vAlign w:val="center"/>
          </w:tcPr>
          <w:p w14:paraId="5046597C">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2CB13C4B">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0.175</w:t>
            </w:r>
          </w:p>
        </w:tc>
      </w:tr>
      <w:tr w14:paraId="595B6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shd w:val="clear" w:color="auto" w:fill="auto"/>
            <w:vAlign w:val="center"/>
          </w:tcPr>
          <w:p w14:paraId="6F52F7DD">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5</w:t>
            </w:r>
          </w:p>
        </w:tc>
        <w:tc>
          <w:tcPr>
            <w:tcW w:w="1196" w:type="pct"/>
            <w:shd w:val="clear" w:color="auto" w:fill="auto"/>
            <w:vAlign w:val="center"/>
          </w:tcPr>
          <w:p w14:paraId="1D1919D9">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防锈油</w:t>
            </w:r>
          </w:p>
        </w:tc>
        <w:tc>
          <w:tcPr>
            <w:tcW w:w="817" w:type="pct"/>
            <w:shd w:val="clear" w:color="auto" w:fill="auto"/>
            <w:vAlign w:val="center"/>
          </w:tcPr>
          <w:p w14:paraId="65F7A2DF">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633D9061">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0.71</w:t>
            </w:r>
          </w:p>
        </w:tc>
      </w:tr>
      <w:tr w14:paraId="5EFB9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shd w:val="clear" w:color="auto" w:fill="auto"/>
            <w:vAlign w:val="center"/>
          </w:tcPr>
          <w:p w14:paraId="6295ED3B">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6</w:t>
            </w:r>
          </w:p>
        </w:tc>
        <w:tc>
          <w:tcPr>
            <w:tcW w:w="1196" w:type="pct"/>
            <w:shd w:val="clear" w:color="auto" w:fill="auto"/>
            <w:vAlign w:val="center"/>
          </w:tcPr>
          <w:p w14:paraId="600CF365">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水基清洗</w:t>
            </w:r>
          </w:p>
          <w:p w14:paraId="442D77A3">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剂</w:t>
            </w:r>
          </w:p>
        </w:tc>
        <w:tc>
          <w:tcPr>
            <w:tcW w:w="817" w:type="pct"/>
            <w:shd w:val="clear" w:color="auto" w:fill="auto"/>
            <w:vAlign w:val="center"/>
          </w:tcPr>
          <w:p w14:paraId="27396B62">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531C2A54">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0.57</w:t>
            </w:r>
          </w:p>
        </w:tc>
      </w:tr>
      <w:tr w14:paraId="58684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shd w:val="clear" w:color="auto" w:fill="auto"/>
            <w:vAlign w:val="center"/>
          </w:tcPr>
          <w:p w14:paraId="148EB56F">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7</w:t>
            </w:r>
          </w:p>
        </w:tc>
        <w:tc>
          <w:tcPr>
            <w:tcW w:w="1196" w:type="pct"/>
            <w:shd w:val="clear" w:color="auto" w:fill="auto"/>
            <w:vAlign w:val="center"/>
          </w:tcPr>
          <w:p w14:paraId="241674B7">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切削液</w:t>
            </w:r>
          </w:p>
        </w:tc>
        <w:tc>
          <w:tcPr>
            <w:tcW w:w="817" w:type="pct"/>
            <w:shd w:val="clear" w:color="auto" w:fill="auto"/>
            <w:vAlign w:val="center"/>
          </w:tcPr>
          <w:p w14:paraId="34FFF932">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06368999">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0.75</w:t>
            </w:r>
          </w:p>
        </w:tc>
      </w:tr>
      <w:tr w14:paraId="0A92E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shd w:val="clear" w:color="auto" w:fill="auto"/>
            <w:vAlign w:val="center"/>
          </w:tcPr>
          <w:p w14:paraId="44ED0E88">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8</w:t>
            </w:r>
          </w:p>
        </w:tc>
        <w:tc>
          <w:tcPr>
            <w:tcW w:w="1196" w:type="pct"/>
            <w:shd w:val="clear" w:color="auto" w:fill="auto"/>
            <w:vAlign w:val="center"/>
          </w:tcPr>
          <w:p w14:paraId="06DE8D6F">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机械润滑</w:t>
            </w:r>
          </w:p>
          <w:p w14:paraId="0C140FDB">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油</w:t>
            </w:r>
          </w:p>
        </w:tc>
        <w:tc>
          <w:tcPr>
            <w:tcW w:w="817" w:type="pct"/>
            <w:shd w:val="clear" w:color="auto" w:fill="auto"/>
            <w:vAlign w:val="center"/>
          </w:tcPr>
          <w:p w14:paraId="1787CFBD">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4AC82AD4">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0.72</w:t>
            </w:r>
          </w:p>
        </w:tc>
      </w:tr>
      <w:tr w14:paraId="76707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603" w:type="pct"/>
            <w:shd w:val="clear" w:color="auto" w:fill="auto"/>
            <w:vAlign w:val="center"/>
          </w:tcPr>
          <w:p w14:paraId="44468DDD">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9</w:t>
            </w:r>
          </w:p>
        </w:tc>
        <w:tc>
          <w:tcPr>
            <w:tcW w:w="1196" w:type="pct"/>
            <w:shd w:val="clear" w:color="auto" w:fill="auto"/>
            <w:vAlign w:val="center"/>
          </w:tcPr>
          <w:p w14:paraId="60A5CB20">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软管</w:t>
            </w:r>
          </w:p>
        </w:tc>
        <w:tc>
          <w:tcPr>
            <w:tcW w:w="817" w:type="pct"/>
            <w:shd w:val="clear" w:color="auto" w:fill="auto"/>
            <w:vAlign w:val="center"/>
          </w:tcPr>
          <w:p w14:paraId="39AFFAAC">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万米/a</w:t>
            </w:r>
          </w:p>
        </w:tc>
        <w:tc>
          <w:tcPr>
            <w:tcW w:w="2383" w:type="pct"/>
            <w:shd w:val="clear" w:color="auto" w:fill="auto"/>
            <w:vAlign w:val="center"/>
          </w:tcPr>
          <w:p w14:paraId="74112D5F">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50</w:t>
            </w:r>
          </w:p>
        </w:tc>
      </w:tr>
      <w:tr w14:paraId="6AF00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603" w:type="pct"/>
            <w:shd w:val="clear" w:color="auto" w:fill="auto"/>
            <w:vAlign w:val="center"/>
          </w:tcPr>
          <w:p w14:paraId="55252FFB">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10</w:t>
            </w:r>
          </w:p>
        </w:tc>
        <w:tc>
          <w:tcPr>
            <w:tcW w:w="1196" w:type="pct"/>
            <w:shd w:val="clear" w:color="auto" w:fill="auto"/>
            <w:vAlign w:val="center"/>
          </w:tcPr>
          <w:p w14:paraId="6F99DCB6">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无铅焊料</w:t>
            </w:r>
          </w:p>
        </w:tc>
        <w:tc>
          <w:tcPr>
            <w:tcW w:w="817" w:type="pct"/>
            <w:shd w:val="clear" w:color="auto" w:fill="auto"/>
            <w:vAlign w:val="center"/>
          </w:tcPr>
          <w:p w14:paraId="6E95E56D">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6A3F0238">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0.05</w:t>
            </w:r>
          </w:p>
        </w:tc>
      </w:tr>
      <w:tr w14:paraId="6434A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603" w:type="pct"/>
            <w:shd w:val="clear" w:color="auto" w:fill="auto"/>
            <w:vAlign w:val="center"/>
          </w:tcPr>
          <w:p w14:paraId="5BE09C81">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11</w:t>
            </w:r>
          </w:p>
        </w:tc>
        <w:tc>
          <w:tcPr>
            <w:tcW w:w="1196" w:type="pct"/>
            <w:shd w:val="clear" w:color="auto" w:fill="auto"/>
            <w:vAlign w:val="center"/>
          </w:tcPr>
          <w:p w14:paraId="527BA380">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金刚砂</w:t>
            </w:r>
          </w:p>
        </w:tc>
        <w:tc>
          <w:tcPr>
            <w:tcW w:w="817" w:type="pct"/>
            <w:shd w:val="clear" w:color="auto" w:fill="auto"/>
            <w:vAlign w:val="center"/>
          </w:tcPr>
          <w:p w14:paraId="421BBA44">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156E8F8B">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0.5</w:t>
            </w:r>
          </w:p>
        </w:tc>
      </w:tr>
      <w:tr w14:paraId="594E7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603" w:type="pct"/>
            <w:shd w:val="clear" w:color="auto" w:fill="auto"/>
            <w:vAlign w:val="center"/>
          </w:tcPr>
          <w:p w14:paraId="2B56AB35">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12</w:t>
            </w:r>
          </w:p>
        </w:tc>
        <w:tc>
          <w:tcPr>
            <w:tcW w:w="1196" w:type="pct"/>
            <w:shd w:val="clear" w:color="auto" w:fill="auto"/>
            <w:vAlign w:val="center"/>
          </w:tcPr>
          <w:p w14:paraId="10D77D0A">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抹布</w:t>
            </w:r>
          </w:p>
        </w:tc>
        <w:tc>
          <w:tcPr>
            <w:tcW w:w="817" w:type="pct"/>
            <w:shd w:val="clear" w:color="auto" w:fill="auto"/>
            <w:vAlign w:val="center"/>
          </w:tcPr>
          <w:p w14:paraId="3D8A7940">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06A3C731">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0.05</w:t>
            </w:r>
          </w:p>
        </w:tc>
      </w:tr>
      <w:tr w14:paraId="0AE96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603" w:type="pct"/>
            <w:shd w:val="clear" w:color="auto" w:fill="auto"/>
            <w:vAlign w:val="center"/>
          </w:tcPr>
          <w:p w14:paraId="732501FE">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rPr>
              <w:t>13</w:t>
            </w:r>
          </w:p>
        </w:tc>
        <w:tc>
          <w:tcPr>
            <w:tcW w:w="1196" w:type="pct"/>
            <w:shd w:val="clear" w:color="auto" w:fill="auto"/>
            <w:vAlign w:val="center"/>
          </w:tcPr>
          <w:p w14:paraId="380D369C">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eastAsia" w:ascii="Times New Roman" w:hAnsi="Times New Roman" w:eastAsia="宋体" w:cs="Times New Roman"/>
                <w:color w:val="auto"/>
                <w:kern w:val="0"/>
                <w:sz w:val="18"/>
                <w:szCs w:val="18"/>
                <w:lang w:val="en-US" w:eastAsia="en-US"/>
              </w:rPr>
              <w:t>手套</w:t>
            </w:r>
          </w:p>
        </w:tc>
        <w:tc>
          <w:tcPr>
            <w:tcW w:w="817" w:type="pct"/>
            <w:shd w:val="clear" w:color="auto" w:fill="auto"/>
            <w:vAlign w:val="center"/>
          </w:tcPr>
          <w:p w14:paraId="3F7277F8">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t/a</w:t>
            </w:r>
          </w:p>
        </w:tc>
        <w:tc>
          <w:tcPr>
            <w:tcW w:w="2383" w:type="pct"/>
            <w:shd w:val="clear" w:color="auto" w:fill="auto"/>
            <w:vAlign w:val="center"/>
          </w:tcPr>
          <w:p w14:paraId="082853FC">
            <w:pPr>
              <w:adjustRightInd w:val="0"/>
              <w:snapToGrid w:val="0"/>
              <w:jc w:val="center"/>
              <w:textAlignment w:val="baseline"/>
              <w:rPr>
                <w:rFonts w:hint="eastAsia" w:ascii="Times New Roman" w:hAnsi="Times New Roman" w:eastAsia="宋体" w:cs="Times New Roman"/>
                <w:color w:val="auto"/>
                <w:kern w:val="0"/>
                <w:sz w:val="18"/>
                <w:szCs w:val="18"/>
                <w:lang w:val="en-US" w:eastAsia="en-US"/>
              </w:rPr>
            </w:pPr>
            <w:r>
              <w:rPr>
                <w:rFonts w:hint="default" w:ascii="Times New Roman" w:hAnsi="Times New Roman" w:eastAsia="宋体" w:cs="Times New Roman"/>
                <w:color w:val="auto"/>
                <w:kern w:val="0"/>
                <w:sz w:val="18"/>
                <w:szCs w:val="18"/>
                <w:lang w:val="en-US" w:eastAsia="zh-CN"/>
              </w:rPr>
              <w:t>0.05</w:t>
            </w:r>
          </w:p>
        </w:tc>
      </w:tr>
    </w:tbl>
    <w:p w14:paraId="1B3B6087">
      <w:pPr>
        <w:autoSpaceDE w:val="0"/>
        <w:autoSpaceDN w:val="0"/>
        <w:adjustRightInd w:val="0"/>
        <w:spacing w:line="360" w:lineRule="auto"/>
        <w:ind w:firstLine="420" w:firstLineChars="200"/>
        <w:rPr>
          <w:color w:val="auto"/>
        </w:rPr>
      </w:pPr>
      <w:r>
        <w:rPr>
          <w:rFonts w:hint="eastAsia"/>
          <w:bCs/>
          <w:color w:val="auto"/>
          <w:lang w:val="en-US" w:eastAsia="zh-CN"/>
        </w:rPr>
        <w:t>4</w:t>
      </w:r>
      <w:r>
        <w:rPr>
          <w:rFonts w:hint="eastAsia"/>
          <w:bCs/>
          <w:color w:val="auto"/>
        </w:rPr>
        <w:t>、</w:t>
      </w:r>
      <w:r>
        <w:rPr>
          <w:rFonts w:hint="eastAsia"/>
          <w:color w:val="auto"/>
        </w:rPr>
        <w:t>企业现有项目污染物总量控制</w:t>
      </w:r>
    </w:p>
    <w:p w14:paraId="4FF2D3D7">
      <w:pPr>
        <w:autoSpaceDE w:val="0"/>
        <w:autoSpaceDN w:val="0"/>
        <w:adjustRightInd w:val="0"/>
        <w:spacing w:line="360" w:lineRule="auto"/>
        <w:ind w:firstLine="420" w:firstLineChars="200"/>
        <w:rPr>
          <w:color w:val="auto"/>
        </w:rPr>
      </w:pPr>
      <w:r>
        <w:rPr>
          <w:rFonts w:hint="eastAsia"/>
          <w:color w:val="auto"/>
        </w:rPr>
        <w:t>纳入总量控制的污染物CODcr、氨氮、二氧化硫、氮氧化物、VOCs、烟粉尘，由于企业</w:t>
      </w:r>
      <w:r>
        <w:rPr>
          <w:rFonts w:hint="eastAsia"/>
          <w:color w:val="auto"/>
          <w:lang w:val="en-US" w:eastAsia="zh-CN"/>
        </w:rPr>
        <w:t>现状</w:t>
      </w:r>
      <w:r>
        <w:rPr>
          <w:rFonts w:hint="eastAsia"/>
          <w:color w:val="auto"/>
        </w:rPr>
        <w:t>已停产</w:t>
      </w:r>
      <w:r>
        <w:rPr>
          <w:rFonts w:hint="eastAsia"/>
          <w:color w:val="auto"/>
          <w:lang w:val="en-US" w:eastAsia="zh-CN"/>
        </w:rPr>
        <w:t>准备搬迁</w:t>
      </w:r>
      <w:r>
        <w:rPr>
          <w:rFonts w:hint="eastAsia"/>
          <w:color w:val="auto"/>
        </w:rPr>
        <w:t>，本次评价只列出现有企业环评审批和验收时总量情况</w:t>
      </w:r>
      <w:r>
        <w:rPr>
          <w:rFonts w:hint="eastAsia"/>
          <w:color w:val="auto"/>
          <w:lang w:eastAsia="zh-CN"/>
        </w:rPr>
        <w:t>，</w:t>
      </w:r>
      <w:r>
        <w:rPr>
          <w:rFonts w:hint="eastAsia"/>
          <w:color w:val="auto"/>
        </w:rPr>
        <w:t>根据原环评总量计算，企业现有已批复排放量具体见下表。</w:t>
      </w:r>
    </w:p>
    <w:p w14:paraId="31B5ACCF">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w:t>
      </w:r>
      <w:r>
        <w:rPr>
          <w:rFonts w:hint="eastAsia" w:cs="Times New Roman"/>
          <w:b/>
          <w:color w:val="auto"/>
          <w:kern w:val="2"/>
          <w:sz w:val="21"/>
          <w:szCs w:val="21"/>
          <w:lang w:val="en-US" w:eastAsia="zh-CN" w:bidi="ar-SA"/>
        </w:rPr>
        <w:t xml:space="preserve">25 </w:t>
      </w:r>
      <w:r>
        <w:rPr>
          <w:rFonts w:hint="eastAsia"/>
          <w:color w:val="auto"/>
        </w:rPr>
        <w:t>企业现有项目</w:t>
      </w:r>
      <w:r>
        <w:rPr>
          <w:rFonts w:hint="eastAsia"/>
          <w:color w:val="auto"/>
          <w:lang w:val="en-US"/>
        </w:rPr>
        <w:t>总量控制情况</w:t>
      </w:r>
      <w:r>
        <w:rPr>
          <w:rFonts w:hint="eastAsia"/>
          <w:color w:val="auto"/>
        </w:rPr>
        <w:t xml:space="preserve"> </w:t>
      </w:r>
      <w:r>
        <w:rPr>
          <w:color w:val="auto"/>
        </w:rPr>
        <w:t xml:space="preserve"> </w:t>
      </w:r>
      <w:r>
        <w:rPr>
          <w:rFonts w:hint="eastAsia"/>
          <w:color w:val="auto"/>
        </w:rPr>
        <w:t>单位：t/a</w:t>
      </w:r>
    </w:p>
    <w:tbl>
      <w:tblPr>
        <w:tblStyle w:val="88"/>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22"/>
        <w:gridCol w:w="2623"/>
        <w:gridCol w:w="3472"/>
        <w:gridCol w:w="2468"/>
      </w:tblGrid>
      <w:tr w14:paraId="31DE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533" w:type="pct"/>
            <w:vAlign w:val="center"/>
          </w:tcPr>
          <w:p w14:paraId="21B3428A">
            <w:pPr>
              <w:adjustRightInd w:val="0"/>
              <w:snapToGrid w:val="0"/>
              <w:jc w:val="center"/>
              <w:rPr>
                <w:color w:val="auto"/>
                <w:sz w:val="18"/>
                <w:szCs w:val="18"/>
              </w:rPr>
            </w:pPr>
            <w:r>
              <w:rPr>
                <w:color w:val="auto"/>
                <w:sz w:val="18"/>
                <w:szCs w:val="18"/>
              </w:rPr>
              <w:t>内容</w:t>
            </w:r>
          </w:p>
          <w:p w14:paraId="750C6A97">
            <w:pPr>
              <w:adjustRightInd w:val="0"/>
              <w:snapToGrid w:val="0"/>
              <w:jc w:val="center"/>
              <w:rPr>
                <w:color w:val="auto"/>
                <w:sz w:val="18"/>
                <w:szCs w:val="18"/>
              </w:rPr>
            </w:pPr>
            <w:r>
              <w:rPr>
                <w:color w:val="auto"/>
                <w:sz w:val="18"/>
                <w:szCs w:val="18"/>
              </w:rPr>
              <w:t>类型</w:t>
            </w:r>
          </w:p>
        </w:tc>
        <w:tc>
          <w:tcPr>
            <w:tcW w:w="1368" w:type="pct"/>
            <w:vAlign w:val="center"/>
          </w:tcPr>
          <w:p w14:paraId="7862277A">
            <w:pPr>
              <w:adjustRightInd w:val="0"/>
              <w:snapToGrid w:val="0"/>
              <w:jc w:val="center"/>
              <w:rPr>
                <w:color w:val="auto"/>
                <w:sz w:val="18"/>
                <w:szCs w:val="18"/>
              </w:rPr>
            </w:pPr>
            <w:r>
              <w:rPr>
                <w:color w:val="auto"/>
                <w:sz w:val="18"/>
                <w:szCs w:val="18"/>
              </w:rPr>
              <w:t>排放源</w:t>
            </w:r>
          </w:p>
          <w:p w14:paraId="689160A3">
            <w:pPr>
              <w:adjustRightInd w:val="0"/>
              <w:snapToGrid w:val="0"/>
              <w:jc w:val="center"/>
              <w:rPr>
                <w:color w:val="auto"/>
                <w:sz w:val="18"/>
                <w:szCs w:val="18"/>
              </w:rPr>
            </w:pPr>
            <w:r>
              <w:rPr>
                <w:color w:val="auto"/>
                <w:sz w:val="18"/>
                <w:szCs w:val="18"/>
              </w:rPr>
              <w:t>（</w:t>
            </w:r>
            <w:r>
              <w:rPr>
                <w:rFonts w:hint="eastAsia"/>
                <w:color w:val="auto"/>
                <w:sz w:val="18"/>
                <w:szCs w:val="18"/>
              </w:rPr>
              <w:t>编</w:t>
            </w:r>
            <w:r>
              <w:rPr>
                <w:color w:val="auto"/>
                <w:sz w:val="18"/>
                <w:szCs w:val="18"/>
              </w:rPr>
              <w:t>号）</w:t>
            </w:r>
          </w:p>
        </w:tc>
        <w:tc>
          <w:tcPr>
            <w:tcW w:w="1811" w:type="pct"/>
            <w:vAlign w:val="center"/>
          </w:tcPr>
          <w:p w14:paraId="2C354E05">
            <w:pPr>
              <w:adjustRightInd w:val="0"/>
              <w:snapToGrid w:val="0"/>
              <w:jc w:val="center"/>
              <w:rPr>
                <w:color w:val="auto"/>
                <w:sz w:val="18"/>
                <w:szCs w:val="18"/>
              </w:rPr>
            </w:pPr>
            <w:r>
              <w:rPr>
                <w:color w:val="auto"/>
                <w:sz w:val="18"/>
                <w:szCs w:val="18"/>
              </w:rPr>
              <w:t>原有审批污染物</w:t>
            </w:r>
            <w:r>
              <w:rPr>
                <w:rFonts w:hint="eastAsia"/>
                <w:color w:val="auto"/>
                <w:sz w:val="18"/>
                <w:szCs w:val="18"/>
              </w:rPr>
              <w:t>名称</w:t>
            </w:r>
          </w:p>
        </w:tc>
        <w:tc>
          <w:tcPr>
            <w:tcW w:w="1287" w:type="pct"/>
            <w:vAlign w:val="center"/>
          </w:tcPr>
          <w:p w14:paraId="13FED283">
            <w:pPr>
              <w:adjustRightInd w:val="0"/>
              <w:snapToGrid w:val="0"/>
              <w:jc w:val="center"/>
              <w:rPr>
                <w:color w:val="auto"/>
                <w:sz w:val="18"/>
                <w:szCs w:val="18"/>
              </w:rPr>
            </w:pPr>
            <w:r>
              <w:rPr>
                <w:rFonts w:hint="eastAsia"/>
                <w:color w:val="auto"/>
                <w:sz w:val="18"/>
                <w:szCs w:val="18"/>
              </w:rPr>
              <w:t>原有审批</w:t>
            </w:r>
            <w:r>
              <w:rPr>
                <w:color w:val="auto"/>
                <w:sz w:val="18"/>
                <w:szCs w:val="18"/>
              </w:rPr>
              <w:t>核定总量</w:t>
            </w:r>
          </w:p>
        </w:tc>
      </w:tr>
      <w:tr w14:paraId="56FF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restart"/>
            <w:vAlign w:val="center"/>
          </w:tcPr>
          <w:p w14:paraId="4546D850">
            <w:pPr>
              <w:adjustRightInd w:val="0"/>
              <w:snapToGrid w:val="0"/>
              <w:jc w:val="center"/>
              <w:rPr>
                <w:bCs/>
                <w:color w:val="auto"/>
                <w:sz w:val="18"/>
                <w:szCs w:val="18"/>
              </w:rPr>
            </w:pPr>
            <w:r>
              <w:rPr>
                <w:bCs/>
                <w:color w:val="auto"/>
                <w:sz w:val="18"/>
                <w:szCs w:val="18"/>
              </w:rPr>
              <w:t>废水</w:t>
            </w:r>
          </w:p>
          <w:p w14:paraId="49E54B01">
            <w:pPr>
              <w:adjustRightInd w:val="0"/>
              <w:snapToGrid w:val="0"/>
              <w:jc w:val="center"/>
              <w:rPr>
                <w:bCs/>
                <w:color w:val="auto"/>
                <w:sz w:val="18"/>
                <w:szCs w:val="18"/>
              </w:rPr>
            </w:pPr>
            <w:r>
              <w:rPr>
                <w:bCs/>
                <w:color w:val="auto"/>
                <w:sz w:val="18"/>
                <w:szCs w:val="18"/>
              </w:rPr>
              <w:t>污染物</w:t>
            </w:r>
          </w:p>
        </w:tc>
        <w:tc>
          <w:tcPr>
            <w:tcW w:w="1368" w:type="pct"/>
            <w:vMerge w:val="restart"/>
            <w:vAlign w:val="center"/>
          </w:tcPr>
          <w:p w14:paraId="7C7B4C50">
            <w:pPr>
              <w:adjustRightInd w:val="0"/>
              <w:snapToGrid w:val="0"/>
              <w:jc w:val="center"/>
              <w:rPr>
                <w:color w:val="auto"/>
                <w:sz w:val="18"/>
                <w:szCs w:val="18"/>
              </w:rPr>
            </w:pPr>
            <w:r>
              <w:rPr>
                <w:rFonts w:hint="eastAsia"/>
                <w:color w:val="auto"/>
                <w:sz w:val="18"/>
                <w:szCs w:val="18"/>
              </w:rPr>
              <w:t>废水</w:t>
            </w:r>
          </w:p>
        </w:tc>
        <w:tc>
          <w:tcPr>
            <w:tcW w:w="1811" w:type="pct"/>
            <w:vAlign w:val="center"/>
          </w:tcPr>
          <w:p w14:paraId="212B88EF">
            <w:pPr>
              <w:adjustRightInd w:val="0"/>
              <w:snapToGrid w:val="0"/>
              <w:jc w:val="center"/>
              <w:rPr>
                <w:color w:val="auto"/>
                <w:spacing w:val="-10"/>
                <w:sz w:val="18"/>
                <w:szCs w:val="18"/>
              </w:rPr>
            </w:pPr>
            <w:r>
              <w:rPr>
                <w:color w:val="auto"/>
                <w:spacing w:val="-10"/>
                <w:sz w:val="18"/>
                <w:szCs w:val="18"/>
              </w:rPr>
              <w:t>水量</w:t>
            </w:r>
          </w:p>
        </w:tc>
        <w:tc>
          <w:tcPr>
            <w:tcW w:w="1287" w:type="pct"/>
            <w:vAlign w:val="center"/>
          </w:tcPr>
          <w:p w14:paraId="1E30F3A5">
            <w:pPr>
              <w:jc w:val="center"/>
              <w:rPr>
                <w:color w:val="auto"/>
                <w:sz w:val="18"/>
                <w:szCs w:val="18"/>
              </w:rPr>
            </w:pPr>
            <w:r>
              <w:rPr>
                <w:rFonts w:hint="eastAsia"/>
                <w:color w:val="auto"/>
                <w:sz w:val="18"/>
                <w:szCs w:val="18"/>
                <w:lang w:val="en-US" w:eastAsia="zh-CN"/>
              </w:rPr>
              <w:t>225</w:t>
            </w:r>
            <w:r>
              <w:rPr>
                <w:rFonts w:hint="eastAsia"/>
                <w:color w:val="auto"/>
                <w:sz w:val="18"/>
                <w:szCs w:val="18"/>
              </w:rPr>
              <w:t>t/a</w:t>
            </w:r>
          </w:p>
        </w:tc>
      </w:tr>
      <w:tr w14:paraId="1C8B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2E1A779E">
            <w:pPr>
              <w:adjustRightInd w:val="0"/>
              <w:snapToGrid w:val="0"/>
              <w:jc w:val="center"/>
              <w:rPr>
                <w:bCs/>
                <w:color w:val="auto"/>
                <w:sz w:val="18"/>
                <w:szCs w:val="18"/>
              </w:rPr>
            </w:pPr>
          </w:p>
        </w:tc>
        <w:tc>
          <w:tcPr>
            <w:tcW w:w="1368" w:type="pct"/>
            <w:vMerge w:val="continue"/>
            <w:vAlign w:val="center"/>
          </w:tcPr>
          <w:p w14:paraId="486BB4FA">
            <w:pPr>
              <w:adjustRightInd w:val="0"/>
              <w:snapToGrid w:val="0"/>
              <w:jc w:val="center"/>
              <w:rPr>
                <w:color w:val="auto"/>
                <w:sz w:val="18"/>
                <w:szCs w:val="18"/>
              </w:rPr>
            </w:pPr>
          </w:p>
        </w:tc>
        <w:tc>
          <w:tcPr>
            <w:tcW w:w="1811" w:type="pct"/>
            <w:vAlign w:val="center"/>
          </w:tcPr>
          <w:p w14:paraId="670AA6B8">
            <w:pPr>
              <w:adjustRightInd w:val="0"/>
              <w:snapToGrid w:val="0"/>
              <w:jc w:val="center"/>
              <w:rPr>
                <w:color w:val="auto"/>
                <w:spacing w:val="-10"/>
                <w:sz w:val="18"/>
                <w:szCs w:val="18"/>
              </w:rPr>
            </w:pPr>
            <w:r>
              <w:rPr>
                <w:color w:val="auto"/>
                <w:sz w:val="18"/>
                <w:szCs w:val="18"/>
              </w:rPr>
              <w:t>COD</w:t>
            </w:r>
            <w:r>
              <w:rPr>
                <w:color w:val="auto"/>
                <w:sz w:val="18"/>
                <w:szCs w:val="18"/>
                <w:vertAlign w:val="subscript"/>
              </w:rPr>
              <w:t>Cr</w:t>
            </w:r>
          </w:p>
        </w:tc>
        <w:tc>
          <w:tcPr>
            <w:tcW w:w="1287" w:type="pct"/>
            <w:vAlign w:val="center"/>
          </w:tcPr>
          <w:p w14:paraId="1EAAE120">
            <w:pPr>
              <w:jc w:val="center"/>
              <w:rPr>
                <w:color w:val="auto"/>
                <w:sz w:val="18"/>
                <w:szCs w:val="18"/>
              </w:rPr>
            </w:pPr>
            <w:r>
              <w:rPr>
                <w:rFonts w:hint="eastAsia"/>
                <w:color w:val="auto"/>
                <w:sz w:val="18"/>
                <w:szCs w:val="18"/>
              </w:rPr>
              <w:t>0.01t/a</w:t>
            </w:r>
          </w:p>
        </w:tc>
      </w:tr>
      <w:tr w14:paraId="77AD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245F8530">
            <w:pPr>
              <w:adjustRightInd w:val="0"/>
              <w:snapToGrid w:val="0"/>
              <w:jc w:val="center"/>
              <w:rPr>
                <w:bCs/>
                <w:color w:val="auto"/>
                <w:sz w:val="18"/>
                <w:szCs w:val="18"/>
              </w:rPr>
            </w:pPr>
          </w:p>
        </w:tc>
        <w:tc>
          <w:tcPr>
            <w:tcW w:w="1368" w:type="pct"/>
            <w:vMerge w:val="continue"/>
            <w:vAlign w:val="center"/>
          </w:tcPr>
          <w:p w14:paraId="7F855109">
            <w:pPr>
              <w:adjustRightInd w:val="0"/>
              <w:snapToGrid w:val="0"/>
              <w:jc w:val="center"/>
              <w:rPr>
                <w:color w:val="auto"/>
                <w:sz w:val="18"/>
                <w:szCs w:val="18"/>
              </w:rPr>
            </w:pPr>
          </w:p>
        </w:tc>
        <w:tc>
          <w:tcPr>
            <w:tcW w:w="1811" w:type="pct"/>
            <w:vAlign w:val="center"/>
          </w:tcPr>
          <w:p w14:paraId="3882B4DD">
            <w:pPr>
              <w:adjustRightInd w:val="0"/>
              <w:snapToGrid w:val="0"/>
              <w:jc w:val="center"/>
              <w:rPr>
                <w:color w:val="auto"/>
                <w:spacing w:val="-10"/>
                <w:sz w:val="18"/>
                <w:szCs w:val="18"/>
              </w:rPr>
            </w:pPr>
            <w:r>
              <w:rPr>
                <w:color w:val="auto"/>
                <w:sz w:val="18"/>
                <w:szCs w:val="18"/>
              </w:rPr>
              <w:t>氨氮</w:t>
            </w:r>
          </w:p>
        </w:tc>
        <w:tc>
          <w:tcPr>
            <w:tcW w:w="1287" w:type="pct"/>
            <w:vAlign w:val="center"/>
          </w:tcPr>
          <w:p w14:paraId="09616006">
            <w:pPr>
              <w:jc w:val="center"/>
              <w:rPr>
                <w:color w:val="auto"/>
                <w:sz w:val="18"/>
                <w:szCs w:val="18"/>
              </w:rPr>
            </w:pPr>
            <w:r>
              <w:rPr>
                <w:rFonts w:hint="eastAsia"/>
                <w:color w:val="auto"/>
                <w:sz w:val="18"/>
                <w:szCs w:val="18"/>
              </w:rPr>
              <w:t>0.001t/a</w:t>
            </w:r>
          </w:p>
        </w:tc>
      </w:tr>
      <w:tr w14:paraId="202A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Align w:val="center"/>
          </w:tcPr>
          <w:p w14:paraId="56770450">
            <w:pPr>
              <w:adjustRightInd w:val="0"/>
              <w:snapToGrid w:val="0"/>
              <w:jc w:val="center"/>
              <w:rPr>
                <w:bCs/>
                <w:color w:val="auto"/>
                <w:sz w:val="18"/>
                <w:szCs w:val="18"/>
              </w:rPr>
            </w:pPr>
            <w:r>
              <w:rPr>
                <w:bCs/>
                <w:color w:val="auto"/>
                <w:sz w:val="18"/>
                <w:szCs w:val="18"/>
              </w:rPr>
              <w:t>废气</w:t>
            </w:r>
          </w:p>
          <w:p w14:paraId="2EED52D8">
            <w:pPr>
              <w:adjustRightInd w:val="0"/>
              <w:snapToGrid w:val="0"/>
              <w:jc w:val="center"/>
              <w:rPr>
                <w:bCs/>
                <w:color w:val="auto"/>
                <w:sz w:val="18"/>
                <w:szCs w:val="18"/>
              </w:rPr>
            </w:pPr>
            <w:r>
              <w:rPr>
                <w:bCs/>
                <w:color w:val="auto"/>
                <w:sz w:val="18"/>
                <w:szCs w:val="18"/>
              </w:rPr>
              <w:t>污染物</w:t>
            </w:r>
          </w:p>
        </w:tc>
        <w:tc>
          <w:tcPr>
            <w:tcW w:w="1368" w:type="pct"/>
            <w:vAlign w:val="center"/>
          </w:tcPr>
          <w:p w14:paraId="619003E1">
            <w:pPr>
              <w:adjustRightInd w:val="0"/>
              <w:snapToGrid w:val="0"/>
              <w:jc w:val="center"/>
              <w:rPr>
                <w:color w:val="auto"/>
                <w:sz w:val="18"/>
                <w:szCs w:val="18"/>
              </w:rPr>
            </w:pPr>
            <w:r>
              <w:rPr>
                <w:rFonts w:hint="eastAsia"/>
                <w:color w:val="auto"/>
                <w:sz w:val="18"/>
                <w:szCs w:val="18"/>
              </w:rPr>
              <w:t>废气</w:t>
            </w:r>
          </w:p>
        </w:tc>
        <w:tc>
          <w:tcPr>
            <w:tcW w:w="1811" w:type="pct"/>
            <w:shd w:val="clear" w:color="auto" w:fill="auto"/>
            <w:vAlign w:val="center"/>
          </w:tcPr>
          <w:p w14:paraId="6CF1BFA7">
            <w:pPr>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rPr>
              <w:t>颗粒物</w:t>
            </w:r>
          </w:p>
        </w:tc>
        <w:tc>
          <w:tcPr>
            <w:tcW w:w="1287" w:type="pct"/>
            <w:shd w:val="clear" w:color="auto" w:fill="auto"/>
            <w:vAlign w:val="center"/>
          </w:tcPr>
          <w:p w14:paraId="11525F9C">
            <w:pPr>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0.024</w:t>
            </w:r>
            <w:r>
              <w:rPr>
                <w:rFonts w:hint="eastAsia"/>
                <w:color w:val="auto"/>
                <w:sz w:val="18"/>
                <w:szCs w:val="18"/>
              </w:rPr>
              <w:t>t/a</w:t>
            </w:r>
          </w:p>
        </w:tc>
      </w:tr>
    </w:tbl>
    <w:p w14:paraId="0AF89559">
      <w:pPr>
        <w:pStyle w:val="122"/>
        <w:ind w:firstLine="0" w:firstLineChars="0"/>
        <w:outlineLvl w:val="1"/>
        <w:rPr>
          <w:b/>
          <w:color w:val="auto"/>
        </w:rPr>
      </w:pPr>
      <w:bookmarkStart w:id="44" w:name="_Toc17619"/>
      <w:bookmarkStart w:id="45" w:name="_Toc28580"/>
      <w:r>
        <w:rPr>
          <w:b/>
          <w:color w:val="auto"/>
        </w:rPr>
        <w:t>3</w:t>
      </w:r>
      <w:r>
        <w:rPr>
          <w:rFonts w:hint="eastAsia"/>
          <w:b/>
          <w:color w:val="auto"/>
        </w:rPr>
        <w:t>、总量控制指标</w:t>
      </w:r>
      <w:bookmarkEnd w:id="44"/>
      <w:bookmarkEnd w:id="45"/>
    </w:p>
    <w:p w14:paraId="7D86246F">
      <w:pPr>
        <w:adjustRightInd w:val="0"/>
        <w:snapToGrid w:val="0"/>
        <w:spacing w:line="360" w:lineRule="auto"/>
        <w:ind w:firstLine="480" w:firstLineChars="200"/>
        <w:rPr>
          <w:b/>
          <w:color w:val="auto"/>
          <w:sz w:val="24"/>
          <w:szCs w:val="24"/>
        </w:rPr>
      </w:pPr>
      <w:r>
        <w:rPr>
          <w:b/>
          <w:color w:val="auto"/>
          <w:sz w:val="24"/>
          <w:szCs w:val="24"/>
        </w:rPr>
        <w:t>3.1</w:t>
      </w:r>
      <w:r>
        <w:rPr>
          <w:rFonts w:hint="eastAsia"/>
          <w:b/>
          <w:color w:val="auto"/>
          <w:sz w:val="24"/>
          <w:szCs w:val="24"/>
        </w:rPr>
        <w:t>污染物总量控制指标</w:t>
      </w:r>
    </w:p>
    <w:p w14:paraId="1E30C3DE">
      <w:pPr>
        <w:adjustRightInd w:val="0"/>
        <w:snapToGrid w:val="0"/>
        <w:spacing w:line="360" w:lineRule="auto"/>
        <w:ind w:firstLine="480" w:firstLineChars="200"/>
        <w:rPr>
          <w:color w:val="auto"/>
          <w:sz w:val="24"/>
          <w:szCs w:val="24"/>
        </w:rPr>
      </w:pPr>
      <w:r>
        <w:rPr>
          <w:color w:val="auto"/>
          <w:sz w:val="24"/>
          <w:szCs w:val="24"/>
        </w:rPr>
        <w:t>根据现行的环保管理要求，污染物排放总量控制仍是我国现阶段强有力的环保管理措施，主要总量控制指标为：二氧化硫（SO</w:t>
      </w:r>
      <w:r>
        <w:rPr>
          <w:color w:val="auto"/>
          <w:sz w:val="24"/>
          <w:szCs w:val="24"/>
          <w:vertAlign w:val="subscript"/>
        </w:rPr>
        <w:t>2</w:t>
      </w:r>
      <w:r>
        <w:rPr>
          <w:color w:val="auto"/>
          <w:sz w:val="24"/>
          <w:szCs w:val="24"/>
        </w:rPr>
        <w:t>）、化学需氧量（COD）、氨氮（NH</w:t>
      </w:r>
      <w:r>
        <w:rPr>
          <w:color w:val="auto"/>
          <w:sz w:val="24"/>
          <w:szCs w:val="24"/>
          <w:vertAlign w:val="subscript"/>
        </w:rPr>
        <w:t>3</w:t>
      </w:r>
      <w:r>
        <w:rPr>
          <w:color w:val="auto"/>
          <w:sz w:val="24"/>
          <w:szCs w:val="24"/>
        </w:rPr>
        <w:t>-N）和氮氧化物（NO</w:t>
      </w:r>
      <w:r>
        <w:rPr>
          <w:color w:val="auto"/>
          <w:sz w:val="24"/>
          <w:szCs w:val="24"/>
          <w:vertAlign w:val="subscript"/>
        </w:rPr>
        <w:t>x</w:t>
      </w:r>
      <w:r>
        <w:rPr>
          <w:color w:val="auto"/>
          <w:sz w:val="24"/>
          <w:szCs w:val="24"/>
        </w:rPr>
        <w:t>）及工业烟粉尘、重金属、挥发性有机物（VOCs）。</w:t>
      </w:r>
    </w:p>
    <w:p w14:paraId="4FD6D3C5">
      <w:pPr>
        <w:adjustRightInd w:val="0"/>
        <w:snapToGrid w:val="0"/>
        <w:spacing w:line="360" w:lineRule="auto"/>
        <w:ind w:firstLine="480" w:firstLineChars="200"/>
        <w:rPr>
          <w:color w:val="auto"/>
          <w:sz w:val="24"/>
          <w:szCs w:val="24"/>
        </w:rPr>
      </w:pPr>
      <w:r>
        <w:rPr>
          <w:color w:val="auto"/>
          <w:sz w:val="24"/>
          <w:szCs w:val="24"/>
        </w:rPr>
        <w:t>结合本项目的实际情况分析，本项目</w:t>
      </w:r>
      <w:r>
        <w:rPr>
          <w:rFonts w:hint="eastAsia"/>
          <w:color w:val="auto"/>
          <w:sz w:val="24"/>
          <w:szCs w:val="24"/>
        </w:rPr>
        <w:t>涉及</w:t>
      </w:r>
      <w:r>
        <w:rPr>
          <w:color w:val="auto"/>
          <w:sz w:val="24"/>
          <w:szCs w:val="24"/>
        </w:rPr>
        <w:t>被纳入总量控制指标的有化学需氧量（COD）、氨氮（NH</w:t>
      </w:r>
      <w:r>
        <w:rPr>
          <w:color w:val="auto"/>
          <w:sz w:val="24"/>
          <w:szCs w:val="24"/>
          <w:vertAlign w:val="subscript"/>
        </w:rPr>
        <w:t>3</w:t>
      </w:r>
      <w:r>
        <w:rPr>
          <w:color w:val="auto"/>
          <w:sz w:val="24"/>
          <w:szCs w:val="24"/>
        </w:rPr>
        <w:t>-N）</w:t>
      </w:r>
      <w:r>
        <w:rPr>
          <w:rFonts w:hint="eastAsia"/>
          <w:color w:val="auto"/>
          <w:sz w:val="24"/>
          <w:szCs w:val="24"/>
          <w:lang w:eastAsia="zh-CN"/>
        </w:rPr>
        <w:t>、</w:t>
      </w:r>
      <w:r>
        <w:rPr>
          <w:color w:val="auto"/>
          <w:sz w:val="24"/>
          <w:szCs w:val="24"/>
        </w:rPr>
        <w:t>工业烟粉尘</w:t>
      </w:r>
      <w:r>
        <w:rPr>
          <w:rFonts w:hint="eastAsia"/>
          <w:color w:val="auto"/>
          <w:sz w:val="24"/>
          <w:szCs w:val="24"/>
          <w:lang w:eastAsia="zh-CN"/>
        </w:rPr>
        <w:t>（</w:t>
      </w:r>
      <w:r>
        <w:rPr>
          <w:rFonts w:hint="eastAsia"/>
          <w:color w:val="auto"/>
          <w:sz w:val="24"/>
          <w:szCs w:val="24"/>
          <w:lang w:val="en-US" w:eastAsia="zh-CN"/>
        </w:rPr>
        <w:t>颗粒物</w:t>
      </w:r>
      <w:r>
        <w:rPr>
          <w:rFonts w:hint="eastAsia"/>
          <w:color w:val="auto"/>
          <w:sz w:val="24"/>
          <w:szCs w:val="24"/>
          <w:lang w:eastAsia="zh-CN"/>
        </w:rPr>
        <w:t>）</w:t>
      </w:r>
      <w:r>
        <w:rPr>
          <w:rFonts w:hint="eastAsia"/>
          <w:color w:val="auto"/>
          <w:sz w:val="24"/>
          <w:szCs w:val="24"/>
        </w:rPr>
        <w:t>和</w:t>
      </w:r>
      <w:r>
        <w:rPr>
          <w:color w:val="auto"/>
          <w:sz w:val="24"/>
          <w:szCs w:val="24"/>
        </w:rPr>
        <w:t>挥发性有机物</w:t>
      </w:r>
      <w:r>
        <w:rPr>
          <w:rFonts w:hint="eastAsia"/>
          <w:color w:val="auto"/>
          <w:sz w:val="24"/>
          <w:szCs w:val="24"/>
        </w:rPr>
        <w:t>（</w:t>
      </w:r>
      <w:r>
        <w:rPr>
          <w:color w:val="auto"/>
          <w:sz w:val="24"/>
          <w:szCs w:val="24"/>
        </w:rPr>
        <w:t>VOCs</w:t>
      </w:r>
      <w:r>
        <w:rPr>
          <w:rFonts w:hint="eastAsia"/>
          <w:color w:val="auto"/>
          <w:sz w:val="24"/>
          <w:szCs w:val="24"/>
        </w:rPr>
        <w:t>）</w:t>
      </w:r>
      <w:r>
        <w:rPr>
          <w:color w:val="auto"/>
          <w:sz w:val="24"/>
          <w:szCs w:val="24"/>
        </w:rPr>
        <w:t>。</w:t>
      </w:r>
    </w:p>
    <w:p w14:paraId="7F870846">
      <w:pPr>
        <w:pStyle w:val="116"/>
        <w:numPr>
          <w:ilvl w:val="0"/>
          <w:numId w:val="0"/>
        </w:numPr>
        <w:spacing w:before="0" w:beforeLines="0"/>
        <w:ind w:left="0" w:leftChars="0" w:hanging="420" w:firstLineChars="0"/>
        <w:rPr>
          <w:color w:val="auto"/>
        </w:rPr>
      </w:pPr>
      <w:r>
        <w:rPr>
          <w:rFonts w:hint="eastAsia" w:ascii="Times New Roman" w:hAnsi="Times New Roman" w:eastAsia="宋体" w:cs="Times New Roman"/>
          <w:b/>
          <w:color w:val="auto"/>
          <w:kern w:val="2"/>
          <w:sz w:val="21"/>
          <w:szCs w:val="21"/>
          <w:lang w:val="zh-CN" w:eastAsia="zh-CN" w:bidi="ar-SA"/>
        </w:rPr>
        <w:t>表</w:t>
      </w:r>
      <w:r>
        <w:rPr>
          <w:rFonts w:hint="eastAsia" w:cs="Times New Roman"/>
          <w:b/>
          <w:color w:val="auto"/>
          <w:kern w:val="2"/>
          <w:sz w:val="21"/>
          <w:szCs w:val="21"/>
          <w:lang w:val="en-US" w:eastAsia="zh-CN" w:bidi="ar-SA"/>
        </w:rPr>
        <w:t>26</w:t>
      </w:r>
      <w:r>
        <w:rPr>
          <w:rFonts w:hint="eastAsia"/>
          <w:color w:val="auto"/>
          <w:lang w:val="en-US"/>
        </w:rPr>
        <w:t>本项目新增</w:t>
      </w:r>
      <w:r>
        <w:rPr>
          <w:color w:val="auto"/>
        </w:rPr>
        <w:t>污染物排放产排情况</w:t>
      </w:r>
      <w:r>
        <w:rPr>
          <w:rFonts w:hint="eastAsia"/>
          <w:color w:val="auto"/>
        </w:rPr>
        <w:t xml:space="preserve">   </w:t>
      </w:r>
      <w:r>
        <w:rPr>
          <w:color w:val="auto"/>
        </w:rP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4"/>
        <w:gridCol w:w="1785"/>
        <w:gridCol w:w="1316"/>
        <w:gridCol w:w="1704"/>
      </w:tblGrid>
      <w:tr w14:paraId="1833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7A557237">
            <w:pPr>
              <w:widowControl/>
              <w:adjustRightInd w:val="0"/>
              <w:snapToGrid w:val="0"/>
              <w:jc w:val="center"/>
              <w:rPr>
                <w:color w:val="auto"/>
                <w:kern w:val="0"/>
                <w:sz w:val="18"/>
              </w:rPr>
            </w:pPr>
            <w:r>
              <w:rPr>
                <w:color w:val="auto"/>
                <w:kern w:val="0"/>
                <w:sz w:val="18"/>
              </w:rPr>
              <w:t>项目</w:t>
            </w:r>
          </w:p>
        </w:tc>
        <w:tc>
          <w:tcPr>
            <w:tcW w:w="1674" w:type="pct"/>
            <w:noWrap/>
            <w:tcMar>
              <w:top w:w="0" w:type="dxa"/>
              <w:left w:w="57" w:type="dxa"/>
              <w:bottom w:w="0" w:type="dxa"/>
              <w:right w:w="57" w:type="dxa"/>
            </w:tcMar>
            <w:vAlign w:val="center"/>
          </w:tcPr>
          <w:p w14:paraId="3B0BB3DF">
            <w:pPr>
              <w:widowControl/>
              <w:jc w:val="center"/>
              <w:rPr>
                <w:color w:val="auto"/>
                <w:sz w:val="18"/>
              </w:rPr>
            </w:pPr>
            <w:r>
              <w:rPr>
                <w:color w:val="auto"/>
                <w:kern w:val="0"/>
                <w:sz w:val="18"/>
              </w:rPr>
              <w:t>污染物</w:t>
            </w:r>
          </w:p>
        </w:tc>
        <w:tc>
          <w:tcPr>
            <w:tcW w:w="924" w:type="pct"/>
            <w:vAlign w:val="center"/>
          </w:tcPr>
          <w:p w14:paraId="4B0050A5">
            <w:pPr>
              <w:jc w:val="center"/>
              <w:rPr>
                <w:color w:val="auto"/>
                <w:sz w:val="18"/>
              </w:rPr>
            </w:pPr>
            <w:r>
              <w:rPr>
                <w:color w:val="auto"/>
                <w:sz w:val="18"/>
              </w:rPr>
              <w:t>产生量</w:t>
            </w:r>
          </w:p>
        </w:tc>
        <w:tc>
          <w:tcPr>
            <w:tcW w:w="681" w:type="pct"/>
            <w:vAlign w:val="center"/>
          </w:tcPr>
          <w:p w14:paraId="6622B397">
            <w:pPr>
              <w:jc w:val="center"/>
              <w:rPr>
                <w:color w:val="auto"/>
                <w:sz w:val="18"/>
              </w:rPr>
            </w:pPr>
            <w:r>
              <w:rPr>
                <w:color w:val="auto"/>
                <w:sz w:val="18"/>
              </w:rPr>
              <w:t>削减量</w:t>
            </w:r>
          </w:p>
        </w:tc>
        <w:tc>
          <w:tcPr>
            <w:tcW w:w="882" w:type="pct"/>
            <w:tcMar>
              <w:top w:w="0" w:type="dxa"/>
              <w:left w:w="57" w:type="dxa"/>
              <w:bottom w:w="0" w:type="dxa"/>
              <w:right w:w="57" w:type="dxa"/>
            </w:tcMar>
            <w:vAlign w:val="center"/>
          </w:tcPr>
          <w:p w14:paraId="5C50860A">
            <w:pPr>
              <w:jc w:val="center"/>
              <w:rPr>
                <w:color w:val="auto"/>
                <w:sz w:val="18"/>
              </w:rPr>
            </w:pPr>
            <w:r>
              <w:rPr>
                <w:color w:val="auto"/>
                <w:sz w:val="18"/>
              </w:rPr>
              <w:t>排放量</w:t>
            </w:r>
          </w:p>
        </w:tc>
      </w:tr>
      <w:tr w14:paraId="27B6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restart"/>
            <w:tcMar>
              <w:top w:w="0" w:type="dxa"/>
              <w:left w:w="57" w:type="dxa"/>
              <w:bottom w:w="0" w:type="dxa"/>
              <w:right w:w="57" w:type="dxa"/>
            </w:tcMar>
            <w:vAlign w:val="center"/>
          </w:tcPr>
          <w:p w14:paraId="7A8CC949">
            <w:pPr>
              <w:widowControl/>
              <w:adjustRightInd w:val="0"/>
              <w:snapToGrid w:val="0"/>
              <w:jc w:val="center"/>
              <w:rPr>
                <w:color w:val="auto"/>
                <w:kern w:val="0"/>
                <w:sz w:val="18"/>
              </w:rPr>
            </w:pPr>
            <w:r>
              <w:rPr>
                <w:color w:val="auto"/>
                <w:kern w:val="0"/>
                <w:sz w:val="18"/>
              </w:rPr>
              <w:t>废气</w:t>
            </w:r>
          </w:p>
        </w:tc>
        <w:tc>
          <w:tcPr>
            <w:tcW w:w="1674" w:type="pct"/>
            <w:shd w:val="clear" w:color="auto" w:fill="auto"/>
            <w:tcMar>
              <w:top w:w="0" w:type="dxa"/>
              <w:left w:w="57" w:type="dxa"/>
              <w:bottom w:w="0" w:type="dxa"/>
              <w:right w:w="57" w:type="dxa"/>
            </w:tcMar>
            <w:vAlign w:val="center"/>
          </w:tcPr>
          <w:p w14:paraId="0612FFD7">
            <w:pPr>
              <w:jc w:val="center"/>
              <w:rPr>
                <w:color w:val="auto"/>
                <w:sz w:val="18"/>
              </w:rPr>
            </w:pPr>
            <w:r>
              <w:rPr>
                <w:color w:val="auto"/>
                <w:sz w:val="18"/>
              </w:rPr>
              <w:t>VOCs</w:t>
            </w:r>
          </w:p>
        </w:tc>
        <w:tc>
          <w:tcPr>
            <w:tcW w:w="924" w:type="pct"/>
            <w:shd w:val="clear" w:color="auto" w:fill="auto"/>
            <w:vAlign w:val="center"/>
          </w:tcPr>
          <w:p w14:paraId="21ED9A92">
            <w:pPr>
              <w:jc w:val="center"/>
              <w:rPr>
                <w:rFonts w:hint="default" w:eastAsia="宋体"/>
                <w:color w:val="auto"/>
                <w:sz w:val="18"/>
                <w:lang w:val="en-US" w:eastAsia="zh-CN"/>
              </w:rPr>
            </w:pPr>
            <w:r>
              <w:rPr>
                <w:rFonts w:hint="eastAsia"/>
                <w:color w:val="auto"/>
                <w:sz w:val="18"/>
                <w:lang w:val="en-US" w:eastAsia="zh-CN"/>
              </w:rPr>
              <w:t>0.195</w:t>
            </w:r>
          </w:p>
        </w:tc>
        <w:tc>
          <w:tcPr>
            <w:tcW w:w="681" w:type="pct"/>
            <w:shd w:val="clear" w:color="auto" w:fill="auto"/>
            <w:vAlign w:val="center"/>
          </w:tcPr>
          <w:p w14:paraId="334FA71C">
            <w:pPr>
              <w:widowControl/>
              <w:jc w:val="center"/>
              <w:rPr>
                <w:rFonts w:hint="default" w:eastAsia="宋体"/>
                <w:color w:val="auto"/>
                <w:sz w:val="18"/>
                <w:lang w:val="en-US" w:eastAsia="zh-CN"/>
              </w:rPr>
            </w:pPr>
            <w:r>
              <w:rPr>
                <w:rFonts w:hint="eastAsia"/>
                <w:color w:val="auto"/>
                <w:sz w:val="18"/>
                <w:lang w:val="en-US" w:eastAsia="zh-CN"/>
              </w:rPr>
              <w:t>0.148</w:t>
            </w:r>
          </w:p>
        </w:tc>
        <w:tc>
          <w:tcPr>
            <w:tcW w:w="882" w:type="pct"/>
            <w:shd w:val="clear" w:color="auto" w:fill="auto"/>
            <w:noWrap/>
            <w:tcMar>
              <w:top w:w="0" w:type="dxa"/>
              <w:left w:w="57" w:type="dxa"/>
              <w:bottom w:w="0" w:type="dxa"/>
              <w:right w:w="57" w:type="dxa"/>
            </w:tcMar>
            <w:vAlign w:val="center"/>
          </w:tcPr>
          <w:p w14:paraId="11CAAF5F">
            <w:pPr>
              <w:jc w:val="center"/>
              <w:rPr>
                <w:rFonts w:hint="default" w:eastAsia="宋体"/>
                <w:color w:val="auto"/>
                <w:sz w:val="18"/>
                <w:lang w:val="en-US" w:eastAsia="zh-CN"/>
              </w:rPr>
            </w:pPr>
            <w:r>
              <w:rPr>
                <w:rFonts w:hint="eastAsia"/>
                <w:color w:val="auto"/>
                <w:sz w:val="18"/>
                <w:lang w:val="en-US" w:eastAsia="zh-CN"/>
              </w:rPr>
              <w:t>0.047</w:t>
            </w:r>
          </w:p>
        </w:tc>
      </w:tr>
      <w:tr w14:paraId="6D8E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3BE2B21D">
            <w:pPr>
              <w:widowControl/>
              <w:adjustRightInd w:val="0"/>
              <w:snapToGrid w:val="0"/>
              <w:jc w:val="center"/>
              <w:rPr>
                <w:color w:val="auto"/>
                <w:kern w:val="0"/>
                <w:sz w:val="18"/>
              </w:rPr>
            </w:pPr>
          </w:p>
        </w:tc>
        <w:tc>
          <w:tcPr>
            <w:tcW w:w="1674" w:type="pct"/>
            <w:shd w:val="clear" w:color="auto" w:fill="auto"/>
            <w:tcMar>
              <w:top w:w="0" w:type="dxa"/>
              <w:left w:w="57" w:type="dxa"/>
              <w:bottom w:w="0" w:type="dxa"/>
              <w:right w:w="57" w:type="dxa"/>
            </w:tcMar>
            <w:vAlign w:val="center"/>
          </w:tcPr>
          <w:p w14:paraId="29658954">
            <w:pPr>
              <w:jc w:val="center"/>
              <w:rPr>
                <w:rFonts w:hint="eastAsia" w:eastAsia="宋体"/>
                <w:color w:val="auto"/>
                <w:sz w:val="18"/>
                <w:lang w:val="en-US" w:eastAsia="zh-CN"/>
              </w:rPr>
            </w:pPr>
            <w:r>
              <w:rPr>
                <w:rFonts w:hint="eastAsia"/>
                <w:color w:val="auto"/>
                <w:sz w:val="18"/>
                <w:lang w:val="en-US" w:eastAsia="zh-CN"/>
              </w:rPr>
              <w:t>颗粒物</w:t>
            </w:r>
          </w:p>
        </w:tc>
        <w:tc>
          <w:tcPr>
            <w:tcW w:w="924" w:type="pct"/>
            <w:shd w:val="clear" w:color="auto" w:fill="auto"/>
            <w:vAlign w:val="center"/>
          </w:tcPr>
          <w:p w14:paraId="14FBEA96">
            <w:pPr>
              <w:jc w:val="center"/>
              <w:rPr>
                <w:rFonts w:hint="default" w:eastAsia="宋体"/>
                <w:color w:val="auto"/>
                <w:sz w:val="18"/>
                <w:lang w:val="en-US" w:eastAsia="zh-CN"/>
              </w:rPr>
            </w:pPr>
            <w:r>
              <w:rPr>
                <w:rFonts w:hint="eastAsia"/>
                <w:color w:val="auto"/>
                <w:sz w:val="18"/>
                <w:lang w:val="en-US" w:eastAsia="zh-CN"/>
              </w:rPr>
              <w:t>0.002</w:t>
            </w:r>
          </w:p>
        </w:tc>
        <w:tc>
          <w:tcPr>
            <w:tcW w:w="681" w:type="pct"/>
            <w:shd w:val="clear" w:color="auto" w:fill="auto"/>
            <w:vAlign w:val="center"/>
          </w:tcPr>
          <w:p w14:paraId="4E708411">
            <w:pPr>
              <w:widowControl/>
              <w:jc w:val="center"/>
              <w:rPr>
                <w:rFonts w:hint="default" w:eastAsia="宋体"/>
                <w:color w:val="auto"/>
                <w:sz w:val="18"/>
                <w:lang w:val="en-US" w:eastAsia="zh-CN"/>
              </w:rPr>
            </w:pPr>
            <w:r>
              <w:rPr>
                <w:rFonts w:hint="eastAsia"/>
                <w:color w:val="auto"/>
                <w:sz w:val="18"/>
                <w:lang w:val="en-US" w:eastAsia="zh-CN"/>
              </w:rPr>
              <w:t>0.001</w:t>
            </w:r>
          </w:p>
        </w:tc>
        <w:tc>
          <w:tcPr>
            <w:tcW w:w="882" w:type="pct"/>
            <w:shd w:val="clear" w:color="auto" w:fill="auto"/>
            <w:noWrap/>
            <w:tcMar>
              <w:top w:w="0" w:type="dxa"/>
              <w:left w:w="57" w:type="dxa"/>
              <w:bottom w:w="0" w:type="dxa"/>
              <w:right w:w="57" w:type="dxa"/>
            </w:tcMar>
            <w:vAlign w:val="center"/>
          </w:tcPr>
          <w:p w14:paraId="33905904">
            <w:pPr>
              <w:jc w:val="center"/>
              <w:rPr>
                <w:rFonts w:hint="default" w:eastAsia="宋体"/>
                <w:color w:val="auto"/>
                <w:sz w:val="18"/>
                <w:lang w:val="en-US" w:eastAsia="zh-CN"/>
              </w:rPr>
            </w:pPr>
            <w:r>
              <w:rPr>
                <w:rFonts w:hint="eastAsia"/>
                <w:color w:val="auto"/>
                <w:sz w:val="18"/>
                <w:lang w:val="en-US" w:eastAsia="zh-CN"/>
              </w:rPr>
              <w:t>0.001</w:t>
            </w:r>
          </w:p>
        </w:tc>
      </w:tr>
      <w:tr w14:paraId="724C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restart"/>
            <w:tcMar>
              <w:top w:w="0" w:type="dxa"/>
              <w:left w:w="57" w:type="dxa"/>
              <w:bottom w:w="0" w:type="dxa"/>
              <w:right w:w="57" w:type="dxa"/>
            </w:tcMar>
            <w:vAlign w:val="center"/>
          </w:tcPr>
          <w:p w14:paraId="214A4462">
            <w:pPr>
              <w:widowControl/>
              <w:adjustRightInd w:val="0"/>
              <w:snapToGrid w:val="0"/>
              <w:jc w:val="center"/>
              <w:rPr>
                <w:color w:val="auto"/>
                <w:kern w:val="0"/>
                <w:sz w:val="18"/>
              </w:rPr>
            </w:pPr>
            <w:r>
              <w:rPr>
                <w:rFonts w:hint="eastAsia"/>
                <w:color w:val="auto"/>
                <w:kern w:val="0"/>
                <w:sz w:val="18"/>
              </w:rPr>
              <w:t>废水</w:t>
            </w:r>
          </w:p>
        </w:tc>
        <w:tc>
          <w:tcPr>
            <w:tcW w:w="1674" w:type="pct"/>
            <w:shd w:val="clear" w:color="auto" w:fill="auto"/>
            <w:tcMar>
              <w:top w:w="0" w:type="dxa"/>
              <w:left w:w="57" w:type="dxa"/>
              <w:bottom w:w="0" w:type="dxa"/>
              <w:right w:w="57" w:type="dxa"/>
            </w:tcMar>
            <w:vAlign w:val="center"/>
          </w:tcPr>
          <w:p w14:paraId="392E31FA">
            <w:pPr>
              <w:jc w:val="center"/>
              <w:rPr>
                <w:color w:val="auto"/>
                <w:sz w:val="18"/>
              </w:rPr>
            </w:pPr>
            <w:r>
              <w:rPr>
                <w:rFonts w:hint="eastAsia"/>
                <w:color w:val="auto"/>
                <w:sz w:val="18"/>
              </w:rPr>
              <w:t>废水量</w:t>
            </w:r>
          </w:p>
        </w:tc>
        <w:tc>
          <w:tcPr>
            <w:tcW w:w="924" w:type="pct"/>
            <w:shd w:val="clear" w:color="auto" w:fill="auto"/>
            <w:vAlign w:val="center"/>
          </w:tcPr>
          <w:p w14:paraId="3C401D83">
            <w:pPr>
              <w:jc w:val="center"/>
              <w:rPr>
                <w:rFonts w:hint="default" w:eastAsia="宋体"/>
                <w:color w:val="auto"/>
                <w:sz w:val="18"/>
                <w:lang w:val="en-US" w:eastAsia="zh-CN"/>
              </w:rPr>
            </w:pPr>
            <w:r>
              <w:rPr>
                <w:rFonts w:hint="eastAsia"/>
                <w:color w:val="auto"/>
                <w:sz w:val="18"/>
                <w:lang w:val="en-US" w:eastAsia="zh-CN"/>
              </w:rPr>
              <w:t>2856</w:t>
            </w:r>
          </w:p>
        </w:tc>
        <w:tc>
          <w:tcPr>
            <w:tcW w:w="681" w:type="pct"/>
            <w:shd w:val="clear" w:color="auto" w:fill="auto"/>
            <w:vAlign w:val="center"/>
          </w:tcPr>
          <w:p w14:paraId="02B8EE54">
            <w:pPr>
              <w:widowControl/>
              <w:jc w:val="center"/>
              <w:rPr>
                <w:color w:val="auto"/>
                <w:sz w:val="18"/>
              </w:rPr>
            </w:pPr>
            <w:r>
              <w:rPr>
                <w:rFonts w:hint="eastAsia"/>
                <w:color w:val="auto"/>
                <w:sz w:val="18"/>
              </w:rPr>
              <w:t>0</w:t>
            </w:r>
          </w:p>
        </w:tc>
        <w:tc>
          <w:tcPr>
            <w:tcW w:w="882" w:type="pct"/>
            <w:shd w:val="clear" w:color="auto" w:fill="auto"/>
            <w:noWrap/>
            <w:tcMar>
              <w:top w:w="0" w:type="dxa"/>
              <w:left w:w="57" w:type="dxa"/>
              <w:bottom w:w="0" w:type="dxa"/>
              <w:right w:w="57" w:type="dxa"/>
            </w:tcMar>
            <w:vAlign w:val="center"/>
          </w:tcPr>
          <w:p w14:paraId="0B9BC7CA">
            <w:pPr>
              <w:jc w:val="center"/>
              <w:rPr>
                <w:rFonts w:hint="default" w:eastAsia="宋体"/>
                <w:color w:val="auto"/>
                <w:sz w:val="18"/>
                <w:lang w:val="en-US" w:eastAsia="zh-CN"/>
              </w:rPr>
            </w:pPr>
            <w:r>
              <w:rPr>
                <w:rFonts w:hint="eastAsia"/>
                <w:color w:val="auto"/>
                <w:sz w:val="18"/>
                <w:lang w:val="en-US" w:eastAsia="zh-CN"/>
              </w:rPr>
              <w:t>2856</w:t>
            </w:r>
          </w:p>
        </w:tc>
      </w:tr>
      <w:tr w14:paraId="20FB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70F9ECEC">
            <w:pPr>
              <w:widowControl/>
              <w:adjustRightInd w:val="0"/>
              <w:snapToGrid w:val="0"/>
              <w:jc w:val="center"/>
              <w:rPr>
                <w:color w:val="auto"/>
                <w:kern w:val="0"/>
                <w:sz w:val="18"/>
              </w:rPr>
            </w:pPr>
          </w:p>
        </w:tc>
        <w:tc>
          <w:tcPr>
            <w:tcW w:w="1674" w:type="pct"/>
            <w:shd w:val="clear" w:color="auto" w:fill="auto"/>
            <w:tcMar>
              <w:top w:w="0" w:type="dxa"/>
              <w:left w:w="57" w:type="dxa"/>
              <w:bottom w:w="0" w:type="dxa"/>
              <w:right w:w="57" w:type="dxa"/>
            </w:tcMar>
            <w:vAlign w:val="center"/>
          </w:tcPr>
          <w:p w14:paraId="3F031D16">
            <w:pPr>
              <w:jc w:val="center"/>
              <w:rPr>
                <w:color w:val="auto"/>
                <w:sz w:val="18"/>
              </w:rPr>
            </w:pPr>
            <w:r>
              <w:rPr>
                <w:rFonts w:hint="eastAsia"/>
                <w:color w:val="auto"/>
                <w:sz w:val="18"/>
              </w:rPr>
              <w:t>COD</w:t>
            </w:r>
          </w:p>
        </w:tc>
        <w:tc>
          <w:tcPr>
            <w:tcW w:w="924" w:type="pct"/>
            <w:shd w:val="clear" w:color="auto" w:fill="auto"/>
            <w:vAlign w:val="center"/>
          </w:tcPr>
          <w:p w14:paraId="757F9880">
            <w:pPr>
              <w:jc w:val="center"/>
              <w:rPr>
                <w:rFonts w:hint="default" w:eastAsia="宋体"/>
                <w:color w:val="auto"/>
                <w:sz w:val="18"/>
                <w:lang w:val="en-US" w:eastAsia="zh-CN"/>
              </w:rPr>
            </w:pPr>
            <w:r>
              <w:rPr>
                <w:rFonts w:hint="eastAsia"/>
                <w:color w:val="auto"/>
                <w:sz w:val="18"/>
                <w:lang w:val="en-US" w:eastAsia="zh-CN"/>
              </w:rPr>
              <w:t>0.959</w:t>
            </w:r>
          </w:p>
        </w:tc>
        <w:tc>
          <w:tcPr>
            <w:tcW w:w="681" w:type="pct"/>
            <w:shd w:val="clear" w:color="auto" w:fill="auto"/>
            <w:vAlign w:val="center"/>
          </w:tcPr>
          <w:p w14:paraId="3B0A5997">
            <w:pPr>
              <w:widowControl/>
              <w:jc w:val="center"/>
              <w:rPr>
                <w:rFonts w:hint="default" w:eastAsia="宋体"/>
                <w:color w:val="auto"/>
                <w:sz w:val="18"/>
                <w:lang w:val="en-US" w:eastAsia="zh-CN"/>
              </w:rPr>
            </w:pPr>
            <w:r>
              <w:rPr>
                <w:rFonts w:hint="eastAsia"/>
                <w:color w:val="auto"/>
                <w:sz w:val="18"/>
                <w:lang w:val="en-US" w:eastAsia="zh-CN"/>
              </w:rPr>
              <w:t>0.844</w:t>
            </w:r>
          </w:p>
        </w:tc>
        <w:tc>
          <w:tcPr>
            <w:tcW w:w="882" w:type="pct"/>
            <w:shd w:val="clear" w:color="auto" w:fill="auto"/>
            <w:noWrap/>
            <w:tcMar>
              <w:top w:w="0" w:type="dxa"/>
              <w:left w:w="57" w:type="dxa"/>
              <w:bottom w:w="0" w:type="dxa"/>
              <w:right w:w="57" w:type="dxa"/>
            </w:tcMar>
            <w:vAlign w:val="center"/>
          </w:tcPr>
          <w:p w14:paraId="171BCFB3">
            <w:pPr>
              <w:jc w:val="center"/>
              <w:rPr>
                <w:rFonts w:hint="default" w:eastAsia="宋体"/>
                <w:color w:val="auto"/>
                <w:sz w:val="18"/>
                <w:lang w:val="en-US" w:eastAsia="zh-CN"/>
              </w:rPr>
            </w:pPr>
            <w:r>
              <w:rPr>
                <w:rFonts w:hint="eastAsia"/>
                <w:color w:val="auto"/>
                <w:sz w:val="18"/>
                <w:lang w:val="en-US" w:eastAsia="zh-CN"/>
              </w:rPr>
              <w:t>0.115</w:t>
            </w:r>
          </w:p>
        </w:tc>
      </w:tr>
      <w:tr w14:paraId="2F50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72CF09A1">
            <w:pPr>
              <w:widowControl/>
              <w:adjustRightInd w:val="0"/>
              <w:snapToGrid w:val="0"/>
              <w:jc w:val="center"/>
              <w:rPr>
                <w:color w:val="auto"/>
                <w:kern w:val="0"/>
                <w:sz w:val="18"/>
              </w:rPr>
            </w:pPr>
          </w:p>
        </w:tc>
        <w:tc>
          <w:tcPr>
            <w:tcW w:w="1674" w:type="pct"/>
            <w:shd w:val="clear" w:color="auto" w:fill="auto"/>
            <w:tcMar>
              <w:top w:w="0" w:type="dxa"/>
              <w:left w:w="57" w:type="dxa"/>
              <w:bottom w:w="0" w:type="dxa"/>
              <w:right w:w="57" w:type="dxa"/>
            </w:tcMar>
            <w:vAlign w:val="center"/>
          </w:tcPr>
          <w:p w14:paraId="0BB15A15">
            <w:pPr>
              <w:jc w:val="center"/>
              <w:rPr>
                <w:color w:val="auto"/>
                <w:sz w:val="18"/>
              </w:rPr>
            </w:pPr>
            <w:r>
              <w:rPr>
                <w:rFonts w:hint="eastAsia"/>
                <w:color w:val="auto"/>
                <w:sz w:val="18"/>
              </w:rPr>
              <w:t>NH</w:t>
            </w:r>
            <w:r>
              <w:rPr>
                <w:rFonts w:hint="eastAsia"/>
                <w:color w:val="auto"/>
                <w:sz w:val="18"/>
                <w:vertAlign w:val="subscript"/>
              </w:rPr>
              <w:t>3</w:t>
            </w:r>
            <w:r>
              <w:rPr>
                <w:rFonts w:hint="eastAsia"/>
                <w:color w:val="auto"/>
                <w:sz w:val="18"/>
              </w:rPr>
              <w:t>-N</w:t>
            </w:r>
          </w:p>
        </w:tc>
        <w:tc>
          <w:tcPr>
            <w:tcW w:w="924" w:type="pct"/>
            <w:shd w:val="clear" w:color="auto" w:fill="auto"/>
            <w:vAlign w:val="center"/>
          </w:tcPr>
          <w:p w14:paraId="2DD97D05">
            <w:pPr>
              <w:jc w:val="center"/>
              <w:rPr>
                <w:rFonts w:hint="default" w:eastAsia="宋体"/>
                <w:color w:val="auto"/>
                <w:sz w:val="18"/>
                <w:lang w:val="en-US" w:eastAsia="zh-CN"/>
              </w:rPr>
            </w:pPr>
            <w:r>
              <w:rPr>
                <w:rFonts w:hint="eastAsia"/>
                <w:color w:val="auto"/>
                <w:sz w:val="18"/>
                <w:lang w:val="en-US" w:eastAsia="zh-CN"/>
              </w:rPr>
              <w:t>0.1</w:t>
            </w:r>
          </w:p>
        </w:tc>
        <w:tc>
          <w:tcPr>
            <w:tcW w:w="681" w:type="pct"/>
            <w:shd w:val="clear" w:color="auto" w:fill="auto"/>
            <w:vAlign w:val="center"/>
          </w:tcPr>
          <w:p w14:paraId="0B9DF4CC">
            <w:pPr>
              <w:widowControl/>
              <w:jc w:val="center"/>
              <w:rPr>
                <w:rFonts w:hint="default" w:eastAsia="宋体"/>
                <w:color w:val="auto"/>
                <w:sz w:val="18"/>
                <w:lang w:val="en-US" w:eastAsia="zh-CN"/>
              </w:rPr>
            </w:pPr>
            <w:r>
              <w:rPr>
                <w:rFonts w:hint="eastAsia"/>
                <w:color w:val="auto"/>
                <w:sz w:val="18"/>
                <w:lang w:val="en-US" w:eastAsia="zh-CN"/>
              </w:rPr>
              <w:t>0.094</w:t>
            </w:r>
          </w:p>
        </w:tc>
        <w:tc>
          <w:tcPr>
            <w:tcW w:w="882" w:type="pct"/>
            <w:shd w:val="clear" w:color="auto" w:fill="auto"/>
            <w:noWrap/>
            <w:tcMar>
              <w:top w:w="0" w:type="dxa"/>
              <w:left w:w="57" w:type="dxa"/>
              <w:bottom w:w="0" w:type="dxa"/>
              <w:right w:w="57" w:type="dxa"/>
            </w:tcMar>
            <w:vAlign w:val="center"/>
          </w:tcPr>
          <w:p w14:paraId="45C4F0A1">
            <w:pPr>
              <w:jc w:val="center"/>
              <w:rPr>
                <w:rFonts w:hint="default" w:eastAsia="宋体"/>
                <w:color w:val="auto"/>
                <w:sz w:val="18"/>
                <w:lang w:val="en-US" w:eastAsia="zh-CN"/>
              </w:rPr>
            </w:pPr>
            <w:r>
              <w:rPr>
                <w:rFonts w:hint="eastAsia"/>
                <w:color w:val="auto"/>
                <w:sz w:val="18"/>
                <w:lang w:val="en-US" w:eastAsia="zh-CN"/>
              </w:rPr>
              <w:t>0.006</w:t>
            </w:r>
          </w:p>
        </w:tc>
      </w:tr>
    </w:tbl>
    <w:p w14:paraId="30A8935F">
      <w:pPr>
        <w:adjustRightInd w:val="0"/>
        <w:snapToGrid w:val="0"/>
        <w:spacing w:line="360" w:lineRule="auto"/>
        <w:ind w:firstLine="480" w:firstLineChars="200"/>
        <w:rPr>
          <w:color w:val="auto"/>
          <w:sz w:val="24"/>
          <w:szCs w:val="24"/>
        </w:rPr>
      </w:pPr>
      <w:r>
        <w:rPr>
          <w:color w:val="auto"/>
          <w:sz w:val="24"/>
          <w:szCs w:val="24"/>
        </w:rPr>
        <w:t>本项目实施后，</w:t>
      </w:r>
      <w:r>
        <w:rPr>
          <w:rFonts w:hint="eastAsia"/>
          <w:color w:val="auto"/>
          <w:sz w:val="24"/>
          <w:szCs w:val="24"/>
        </w:rPr>
        <w:t>全厂污染物COD排放量0.</w:t>
      </w:r>
      <w:r>
        <w:rPr>
          <w:rFonts w:hint="eastAsia"/>
          <w:color w:val="auto"/>
          <w:sz w:val="24"/>
          <w:szCs w:val="24"/>
          <w:lang w:val="en-US" w:eastAsia="zh-CN"/>
        </w:rPr>
        <w:t>115</w:t>
      </w:r>
      <w:r>
        <w:rPr>
          <w:rFonts w:hint="eastAsia"/>
          <w:color w:val="auto"/>
          <w:sz w:val="24"/>
          <w:szCs w:val="24"/>
        </w:rPr>
        <w:t>t/a，氨氮（NH</w:t>
      </w:r>
      <w:r>
        <w:rPr>
          <w:rFonts w:hint="eastAsia"/>
          <w:color w:val="auto"/>
          <w:sz w:val="24"/>
          <w:szCs w:val="24"/>
          <w:vertAlign w:val="subscript"/>
        </w:rPr>
        <w:t>3</w:t>
      </w:r>
      <w:r>
        <w:rPr>
          <w:rFonts w:hint="eastAsia"/>
          <w:color w:val="auto"/>
          <w:sz w:val="24"/>
          <w:szCs w:val="24"/>
        </w:rPr>
        <w:t>-N）排放量0.00</w:t>
      </w:r>
      <w:r>
        <w:rPr>
          <w:rFonts w:hint="eastAsia"/>
          <w:color w:val="auto"/>
          <w:sz w:val="24"/>
          <w:szCs w:val="24"/>
          <w:lang w:val="en-US" w:eastAsia="zh-CN"/>
        </w:rPr>
        <w:t>6</w:t>
      </w:r>
      <w:r>
        <w:rPr>
          <w:rFonts w:hint="eastAsia"/>
          <w:color w:val="auto"/>
          <w:sz w:val="24"/>
          <w:szCs w:val="24"/>
        </w:rPr>
        <w:t>t/a，</w:t>
      </w:r>
      <w:r>
        <w:rPr>
          <w:rFonts w:hint="eastAsia"/>
          <w:color w:val="auto"/>
          <w:sz w:val="24"/>
          <w:szCs w:val="24"/>
          <w:lang w:val="en-US" w:eastAsia="zh-CN"/>
        </w:rPr>
        <w:t>工业烟粉尘（颗粒物）排放量0.001t/a，</w:t>
      </w:r>
      <w:r>
        <w:rPr>
          <w:rFonts w:hint="eastAsia"/>
          <w:color w:val="auto"/>
          <w:sz w:val="24"/>
          <w:szCs w:val="24"/>
        </w:rPr>
        <w:t>挥发性有机物（</w:t>
      </w:r>
      <w:r>
        <w:rPr>
          <w:color w:val="auto"/>
          <w:sz w:val="24"/>
          <w:szCs w:val="24"/>
        </w:rPr>
        <w:t>VOCs</w:t>
      </w:r>
      <w:r>
        <w:rPr>
          <w:rFonts w:hint="eastAsia"/>
          <w:color w:val="auto"/>
          <w:sz w:val="24"/>
          <w:szCs w:val="24"/>
        </w:rPr>
        <w:t>）</w:t>
      </w:r>
      <w:r>
        <w:rPr>
          <w:color w:val="auto"/>
          <w:sz w:val="24"/>
          <w:szCs w:val="24"/>
        </w:rPr>
        <w:t>排放量</w:t>
      </w:r>
      <w:r>
        <w:rPr>
          <w:rFonts w:hint="eastAsia"/>
          <w:color w:val="auto"/>
          <w:sz w:val="24"/>
          <w:szCs w:val="24"/>
        </w:rPr>
        <w:t>0.</w:t>
      </w:r>
      <w:r>
        <w:rPr>
          <w:rFonts w:hint="eastAsia"/>
          <w:color w:val="auto"/>
          <w:sz w:val="24"/>
          <w:szCs w:val="24"/>
          <w:lang w:val="en-US" w:eastAsia="zh-CN"/>
        </w:rPr>
        <w:t>047</w:t>
      </w:r>
      <w:r>
        <w:rPr>
          <w:color w:val="auto"/>
          <w:sz w:val="24"/>
          <w:szCs w:val="24"/>
        </w:rPr>
        <w:t>t/a。</w:t>
      </w:r>
    </w:p>
    <w:p w14:paraId="4E2A6E97">
      <w:pPr>
        <w:adjustRightInd w:val="0"/>
        <w:snapToGrid w:val="0"/>
        <w:spacing w:line="360" w:lineRule="auto"/>
        <w:ind w:firstLine="480" w:firstLineChars="200"/>
        <w:rPr>
          <w:b/>
          <w:color w:val="auto"/>
          <w:sz w:val="24"/>
          <w:szCs w:val="24"/>
        </w:rPr>
      </w:pPr>
      <w:r>
        <w:rPr>
          <w:b/>
          <w:color w:val="auto"/>
          <w:sz w:val="24"/>
          <w:szCs w:val="24"/>
        </w:rPr>
        <w:t>3.2总量平衡方案</w:t>
      </w:r>
    </w:p>
    <w:p w14:paraId="5586EA20">
      <w:pPr>
        <w:adjustRightInd w:val="0"/>
        <w:snapToGrid w:val="0"/>
        <w:spacing w:line="360" w:lineRule="auto"/>
        <w:ind w:firstLine="480" w:firstLineChars="200"/>
        <w:rPr>
          <w:bCs/>
          <w:color w:val="auto"/>
          <w:sz w:val="24"/>
          <w:szCs w:val="24"/>
        </w:rPr>
      </w:pPr>
      <w:r>
        <w:rPr>
          <w:rFonts w:hint="eastAsia"/>
          <w:bCs/>
          <w:color w:val="auto"/>
          <w:sz w:val="24"/>
          <w:szCs w:val="24"/>
        </w:rPr>
        <w:t>根据《建设项目主要污染物排放总量指标审核及管理暂行办法》（环发〔2014〕197号）、《关于印发杭州市2021年环境空气质量巩固提升实施计划的通知》(杭大气办[2021]3号)等文件相关规定，结合临平区202</w:t>
      </w:r>
      <w:r>
        <w:rPr>
          <w:rFonts w:hint="eastAsia"/>
          <w:bCs/>
          <w:color w:val="auto"/>
          <w:sz w:val="24"/>
          <w:szCs w:val="24"/>
          <w:lang w:val="en-US" w:eastAsia="zh-CN"/>
        </w:rPr>
        <w:t>4</w:t>
      </w:r>
      <w:r>
        <w:rPr>
          <w:rFonts w:hint="eastAsia"/>
          <w:bCs/>
          <w:color w:val="auto"/>
          <w:sz w:val="24"/>
          <w:szCs w:val="24"/>
        </w:rPr>
        <w:t>年环境质量（地表水达标、环境空气为不达标区）。新增CODcr、氨氮按1:1进行区域替代削减，工业</w:t>
      </w:r>
      <w:r>
        <w:rPr>
          <w:bCs/>
          <w:color w:val="auto"/>
          <w:sz w:val="24"/>
          <w:szCs w:val="24"/>
        </w:rPr>
        <w:t>烟粉尘</w:t>
      </w:r>
      <w:r>
        <w:rPr>
          <w:rFonts w:hint="eastAsia"/>
          <w:bCs/>
          <w:color w:val="auto"/>
          <w:sz w:val="24"/>
          <w:szCs w:val="24"/>
        </w:rPr>
        <w:t>、</w:t>
      </w:r>
      <w:bookmarkStart w:id="46" w:name="OLE_LINK94"/>
      <w:r>
        <w:rPr>
          <w:rFonts w:hint="eastAsia"/>
          <w:bCs/>
          <w:color w:val="auto"/>
          <w:sz w:val="24"/>
          <w:szCs w:val="24"/>
        </w:rPr>
        <w:t>SO</w:t>
      </w:r>
      <w:r>
        <w:rPr>
          <w:rFonts w:hint="eastAsia"/>
          <w:bCs/>
          <w:color w:val="auto"/>
          <w:sz w:val="24"/>
          <w:szCs w:val="24"/>
          <w:vertAlign w:val="subscript"/>
        </w:rPr>
        <w:t>2</w:t>
      </w:r>
      <w:r>
        <w:rPr>
          <w:rFonts w:hint="eastAsia"/>
          <w:bCs/>
          <w:color w:val="auto"/>
          <w:sz w:val="24"/>
          <w:szCs w:val="24"/>
        </w:rPr>
        <w:t>、NOx、</w:t>
      </w:r>
      <w:bookmarkEnd w:id="46"/>
      <w:r>
        <w:rPr>
          <w:rFonts w:hint="eastAsia"/>
          <w:bCs/>
          <w:color w:val="auto"/>
          <w:sz w:val="24"/>
          <w:szCs w:val="24"/>
          <w:lang w:eastAsia="zh-CN"/>
        </w:rPr>
        <w:t>VOC</w:t>
      </w:r>
      <w:r>
        <w:rPr>
          <w:rFonts w:hint="eastAsia"/>
          <w:bCs/>
          <w:color w:val="auto"/>
          <w:sz w:val="24"/>
          <w:szCs w:val="24"/>
          <w:lang w:val="en-US" w:eastAsia="zh-CN"/>
        </w:rPr>
        <w:t>s</w:t>
      </w:r>
      <w:r>
        <w:rPr>
          <w:rFonts w:hint="eastAsia"/>
          <w:bCs/>
          <w:color w:val="auto"/>
          <w:sz w:val="24"/>
          <w:szCs w:val="24"/>
        </w:rPr>
        <w:t>按1:2进行区域替代削减</w:t>
      </w:r>
      <w:r>
        <w:rPr>
          <w:bCs/>
          <w:color w:val="auto"/>
          <w:sz w:val="24"/>
          <w:szCs w:val="24"/>
        </w:rPr>
        <w:t>。</w:t>
      </w:r>
    </w:p>
    <w:p w14:paraId="4CE170D8">
      <w:pPr>
        <w:adjustRightInd w:val="0"/>
        <w:snapToGrid w:val="0"/>
        <w:spacing w:line="360" w:lineRule="auto"/>
        <w:ind w:firstLine="480" w:firstLineChars="200"/>
        <w:rPr>
          <w:color w:val="auto"/>
          <w:sz w:val="24"/>
          <w:szCs w:val="24"/>
        </w:rPr>
      </w:pPr>
      <w:r>
        <w:rPr>
          <w:color w:val="auto"/>
          <w:sz w:val="24"/>
          <w:szCs w:val="24"/>
        </w:rPr>
        <w:t>本项目实施后，企业全厂污染物排放总量详见下表</w:t>
      </w:r>
      <w:r>
        <w:rPr>
          <w:rFonts w:hint="eastAsia" w:cs="宋体"/>
          <w:color w:val="auto"/>
          <w:sz w:val="24"/>
          <w:szCs w:val="24"/>
          <w:lang w:bidi="ar"/>
        </w:rPr>
        <w:t>。</w:t>
      </w:r>
    </w:p>
    <w:p w14:paraId="7FB2EE13">
      <w:pPr>
        <w:pStyle w:val="81"/>
        <w:widowControl w:val="0"/>
        <w:tabs>
          <w:tab w:val="left" w:pos="0"/>
        </w:tabs>
        <w:adjustRightInd w:val="0"/>
        <w:snapToGrid w:val="0"/>
        <w:spacing w:before="156" w:beforeLines="50" w:beforeAutospacing="0" w:after="0" w:afterAutospacing="0"/>
        <w:ind w:left="420"/>
        <w:jc w:val="center"/>
        <w:rPr>
          <w:rFonts w:hint="eastAsia"/>
          <w:color w:val="auto"/>
          <w:szCs w:val="24"/>
        </w:rPr>
      </w:pPr>
      <w:r>
        <w:rPr>
          <w:rFonts w:hint="eastAsia" w:ascii="Times New Roman" w:hAnsi="Times New Roman" w:cs="宋体"/>
          <w:b/>
          <w:color w:val="auto"/>
          <w:kern w:val="2"/>
          <w:szCs w:val="24"/>
          <w:lang w:bidi="ar"/>
        </w:rPr>
        <w:t>表</w:t>
      </w:r>
      <w:r>
        <w:rPr>
          <w:rFonts w:ascii="Times New Roman" w:hAnsi="Times New Roman"/>
          <w:b/>
          <w:color w:val="auto"/>
          <w:kern w:val="2"/>
          <w:szCs w:val="24"/>
          <w:lang w:bidi="ar"/>
        </w:rPr>
        <w:t xml:space="preserve">27  </w:t>
      </w:r>
      <w:r>
        <w:rPr>
          <w:rFonts w:hint="eastAsia" w:ascii="Times New Roman" w:hAnsi="Times New Roman" w:cs="宋体"/>
          <w:b/>
          <w:color w:val="auto"/>
          <w:kern w:val="2"/>
          <w:szCs w:val="24"/>
          <w:lang w:bidi="ar"/>
        </w:rPr>
        <w:t>全厂污染物排放产排情况</w:t>
      </w:r>
      <w:r>
        <w:rPr>
          <w:rFonts w:ascii="Times New Roman" w:hAnsi="Times New Roman"/>
          <w:b/>
          <w:color w:val="auto"/>
          <w:kern w:val="2"/>
          <w:szCs w:val="24"/>
          <w:lang w:bidi="ar"/>
        </w:rPr>
        <w:t xml:space="preserve">    </w:t>
      </w:r>
      <w:r>
        <w:rPr>
          <w:rFonts w:hint="eastAsia" w:ascii="Times New Roman" w:hAnsi="Times New Roman" w:cs="宋体"/>
          <w:b/>
          <w:color w:val="auto"/>
          <w:kern w:val="2"/>
          <w:szCs w:val="24"/>
          <w:lang w:bidi="ar"/>
        </w:rPr>
        <w:t>单位：</w:t>
      </w:r>
      <w:r>
        <w:rPr>
          <w:rFonts w:ascii="Times New Roman" w:hAnsi="Times New Roman"/>
          <w:b/>
          <w:color w:val="auto"/>
          <w:kern w:val="2"/>
          <w:szCs w:val="24"/>
          <w:lang w:bidi="ar"/>
        </w:rPr>
        <w:t>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47"/>
        <w:gridCol w:w="1149"/>
        <w:gridCol w:w="1103"/>
        <w:gridCol w:w="1201"/>
        <w:gridCol w:w="945"/>
        <w:gridCol w:w="943"/>
        <w:gridCol w:w="1110"/>
        <w:gridCol w:w="865"/>
        <w:gridCol w:w="865"/>
        <w:gridCol w:w="970"/>
      </w:tblGrid>
      <w:tr w14:paraId="4F2D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tblHeader/>
          <w:jc w:val="center"/>
        </w:trPr>
        <w:tc>
          <w:tcPr>
            <w:tcW w:w="233" w:type="pct"/>
            <w:vAlign w:val="center"/>
          </w:tcPr>
          <w:p w14:paraId="5FDBF4DA">
            <w:pPr>
              <w:jc w:val="center"/>
              <w:rPr>
                <w:color w:val="auto"/>
                <w:sz w:val="18"/>
                <w:szCs w:val="18"/>
              </w:rPr>
            </w:pPr>
            <w:r>
              <w:rPr>
                <w:color w:val="auto"/>
                <w:sz w:val="18"/>
                <w:szCs w:val="18"/>
              </w:rPr>
              <w:t>类别</w:t>
            </w:r>
          </w:p>
        </w:tc>
        <w:tc>
          <w:tcPr>
            <w:tcW w:w="598" w:type="pct"/>
            <w:vAlign w:val="center"/>
          </w:tcPr>
          <w:p w14:paraId="0D2BEDCB">
            <w:pPr>
              <w:jc w:val="center"/>
              <w:rPr>
                <w:color w:val="auto"/>
                <w:sz w:val="18"/>
                <w:szCs w:val="18"/>
              </w:rPr>
            </w:pPr>
            <w:r>
              <w:rPr>
                <w:color w:val="auto"/>
                <w:sz w:val="18"/>
                <w:szCs w:val="18"/>
              </w:rPr>
              <w:t>污染物</w:t>
            </w:r>
          </w:p>
        </w:tc>
        <w:tc>
          <w:tcPr>
            <w:tcW w:w="574" w:type="pct"/>
            <w:vAlign w:val="center"/>
          </w:tcPr>
          <w:p w14:paraId="422D5260">
            <w:pPr>
              <w:jc w:val="center"/>
              <w:rPr>
                <w:color w:val="auto"/>
                <w:sz w:val="18"/>
                <w:szCs w:val="18"/>
              </w:rPr>
            </w:pPr>
            <w:r>
              <w:rPr>
                <w:color w:val="auto"/>
                <w:sz w:val="18"/>
                <w:szCs w:val="18"/>
              </w:rPr>
              <w:t>现有项目核定量</w:t>
            </w:r>
          </w:p>
        </w:tc>
        <w:tc>
          <w:tcPr>
            <w:tcW w:w="625" w:type="pct"/>
            <w:vAlign w:val="center"/>
          </w:tcPr>
          <w:p w14:paraId="380E99DC">
            <w:pPr>
              <w:jc w:val="center"/>
              <w:rPr>
                <w:color w:val="auto"/>
                <w:sz w:val="18"/>
                <w:szCs w:val="18"/>
              </w:rPr>
            </w:pPr>
            <w:r>
              <w:rPr>
                <w:color w:val="auto"/>
                <w:sz w:val="18"/>
                <w:szCs w:val="18"/>
              </w:rPr>
              <w:t>本项目排放量</w:t>
            </w:r>
          </w:p>
        </w:tc>
        <w:tc>
          <w:tcPr>
            <w:tcW w:w="492" w:type="pct"/>
            <w:vAlign w:val="center"/>
          </w:tcPr>
          <w:p w14:paraId="327402B6">
            <w:pPr>
              <w:jc w:val="center"/>
              <w:rPr>
                <w:color w:val="auto"/>
                <w:sz w:val="18"/>
                <w:szCs w:val="18"/>
              </w:rPr>
            </w:pPr>
            <w:r>
              <w:rPr>
                <w:color w:val="auto"/>
                <w:sz w:val="18"/>
                <w:szCs w:val="18"/>
              </w:rPr>
              <w:t>以新带老削减量</w:t>
            </w:r>
          </w:p>
        </w:tc>
        <w:tc>
          <w:tcPr>
            <w:tcW w:w="491" w:type="pct"/>
            <w:vAlign w:val="center"/>
          </w:tcPr>
          <w:p w14:paraId="35F39DDE">
            <w:pPr>
              <w:jc w:val="center"/>
              <w:rPr>
                <w:color w:val="auto"/>
                <w:sz w:val="18"/>
                <w:szCs w:val="18"/>
              </w:rPr>
            </w:pPr>
            <w:r>
              <w:rPr>
                <w:color w:val="auto"/>
                <w:sz w:val="18"/>
                <w:szCs w:val="18"/>
              </w:rPr>
              <w:t>本项目建成后全厂排放量</w:t>
            </w:r>
          </w:p>
        </w:tc>
        <w:tc>
          <w:tcPr>
            <w:tcW w:w="578" w:type="pct"/>
            <w:vAlign w:val="center"/>
          </w:tcPr>
          <w:p w14:paraId="74C1EB41">
            <w:pPr>
              <w:jc w:val="center"/>
              <w:rPr>
                <w:color w:val="auto"/>
                <w:sz w:val="18"/>
                <w:szCs w:val="18"/>
              </w:rPr>
            </w:pPr>
            <w:r>
              <w:rPr>
                <w:color w:val="auto"/>
                <w:sz w:val="18"/>
                <w:szCs w:val="18"/>
              </w:rPr>
              <w:t>与原审批排放量对比增减量</w:t>
            </w:r>
          </w:p>
        </w:tc>
        <w:tc>
          <w:tcPr>
            <w:tcW w:w="450" w:type="pct"/>
            <w:vAlign w:val="center"/>
          </w:tcPr>
          <w:p w14:paraId="352925D6">
            <w:pPr>
              <w:jc w:val="center"/>
              <w:rPr>
                <w:color w:val="auto"/>
                <w:sz w:val="18"/>
                <w:szCs w:val="18"/>
              </w:rPr>
            </w:pPr>
            <w:r>
              <w:rPr>
                <w:color w:val="auto"/>
                <w:sz w:val="18"/>
                <w:szCs w:val="18"/>
              </w:rPr>
              <w:t>区域削减替代比例</w:t>
            </w:r>
          </w:p>
        </w:tc>
        <w:tc>
          <w:tcPr>
            <w:tcW w:w="450" w:type="pct"/>
            <w:vAlign w:val="center"/>
          </w:tcPr>
          <w:p w14:paraId="30364153">
            <w:pPr>
              <w:jc w:val="center"/>
              <w:rPr>
                <w:color w:val="auto"/>
                <w:sz w:val="18"/>
                <w:szCs w:val="18"/>
              </w:rPr>
            </w:pPr>
            <w:r>
              <w:rPr>
                <w:color w:val="auto"/>
                <w:sz w:val="18"/>
                <w:szCs w:val="18"/>
              </w:rPr>
              <w:t>区域削减替代总量</w:t>
            </w:r>
          </w:p>
        </w:tc>
        <w:tc>
          <w:tcPr>
            <w:tcW w:w="505" w:type="pct"/>
            <w:vAlign w:val="center"/>
          </w:tcPr>
          <w:p w14:paraId="0E65557A">
            <w:pPr>
              <w:jc w:val="center"/>
              <w:rPr>
                <w:color w:val="auto"/>
                <w:sz w:val="18"/>
                <w:szCs w:val="18"/>
              </w:rPr>
            </w:pPr>
            <w:r>
              <w:rPr>
                <w:color w:val="auto"/>
                <w:sz w:val="18"/>
                <w:szCs w:val="18"/>
              </w:rPr>
              <w:t>全厂总量控制建议值</w:t>
            </w:r>
          </w:p>
        </w:tc>
      </w:tr>
      <w:tr w14:paraId="3A87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restart"/>
            <w:vAlign w:val="center"/>
          </w:tcPr>
          <w:p w14:paraId="0CA017FC">
            <w:pPr>
              <w:jc w:val="center"/>
              <w:rPr>
                <w:color w:val="auto"/>
                <w:sz w:val="18"/>
                <w:szCs w:val="18"/>
              </w:rPr>
            </w:pPr>
            <w:r>
              <w:rPr>
                <w:color w:val="auto"/>
                <w:sz w:val="18"/>
                <w:szCs w:val="18"/>
              </w:rPr>
              <w:t>废水</w:t>
            </w:r>
          </w:p>
        </w:tc>
        <w:tc>
          <w:tcPr>
            <w:tcW w:w="598" w:type="pct"/>
            <w:vAlign w:val="center"/>
          </w:tcPr>
          <w:p w14:paraId="48244DCB">
            <w:pPr>
              <w:jc w:val="center"/>
              <w:rPr>
                <w:color w:val="auto"/>
                <w:sz w:val="18"/>
                <w:szCs w:val="18"/>
              </w:rPr>
            </w:pPr>
            <w:r>
              <w:rPr>
                <w:color w:val="auto"/>
                <w:sz w:val="18"/>
                <w:szCs w:val="18"/>
              </w:rPr>
              <w:t>废水量</w:t>
            </w:r>
          </w:p>
        </w:tc>
        <w:tc>
          <w:tcPr>
            <w:tcW w:w="574" w:type="pct"/>
            <w:vAlign w:val="center"/>
          </w:tcPr>
          <w:p w14:paraId="2263E5FB">
            <w:pPr>
              <w:widowControl/>
              <w:jc w:val="center"/>
              <w:rPr>
                <w:rFonts w:hint="default" w:eastAsia="宋体"/>
                <w:color w:val="auto"/>
                <w:sz w:val="18"/>
                <w:szCs w:val="18"/>
                <w:lang w:val="en-US" w:eastAsia="zh-CN"/>
              </w:rPr>
            </w:pPr>
            <w:r>
              <w:rPr>
                <w:rFonts w:hint="eastAsia"/>
                <w:color w:val="auto"/>
                <w:sz w:val="18"/>
                <w:szCs w:val="18"/>
                <w:lang w:val="en-US" w:eastAsia="zh-CN"/>
              </w:rPr>
              <w:t>255</w:t>
            </w:r>
          </w:p>
        </w:tc>
        <w:tc>
          <w:tcPr>
            <w:tcW w:w="625" w:type="pct"/>
            <w:vAlign w:val="center"/>
          </w:tcPr>
          <w:p w14:paraId="1CF99AAB">
            <w:pPr>
              <w:widowControl/>
              <w:jc w:val="center"/>
              <w:rPr>
                <w:rFonts w:hint="default" w:eastAsia="宋体"/>
                <w:color w:val="auto"/>
                <w:sz w:val="18"/>
                <w:szCs w:val="18"/>
                <w:lang w:val="en-US" w:eastAsia="zh-CN"/>
              </w:rPr>
            </w:pPr>
            <w:r>
              <w:rPr>
                <w:rFonts w:hint="eastAsia"/>
                <w:color w:val="auto"/>
                <w:kern w:val="0"/>
                <w:sz w:val="18"/>
                <w:szCs w:val="18"/>
                <w:lang w:val="en-US" w:eastAsia="zh-CN"/>
              </w:rPr>
              <w:t>2856</w:t>
            </w:r>
          </w:p>
        </w:tc>
        <w:tc>
          <w:tcPr>
            <w:tcW w:w="492" w:type="pct"/>
            <w:vAlign w:val="center"/>
          </w:tcPr>
          <w:p w14:paraId="1EC178F5">
            <w:pPr>
              <w:jc w:val="center"/>
              <w:rPr>
                <w:rFonts w:hint="eastAsia" w:eastAsia="宋体"/>
                <w:color w:val="auto"/>
                <w:sz w:val="18"/>
                <w:szCs w:val="18"/>
                <w:lang w:val="en-US" w:eastAsia="zh-CN"/>
              </w:rPr>
            </w:pPr>
            <w:r>
              <w:rPr>
                <w:rFonts w:hint="eastAsia"/>
                <w:color w:val="auto"/>
                <w:sz w:val="18"/>
                <w:szCs w:val="18"/>
                <w:lang w:val="en-US" w:eastAsia="zh-CN"/>
              </w:rPr>
              <w:t>/</w:t>
            </w:r>
          </w:p>
        </w:tc>
        <w:tc>
          <w:tcPr>
            <w:tcW w:w="491" w:type="pct"/>
            <w:vAlign w:val="center"/>
          </w:tcPr>
          <w:p w14:paraId="5DA956D0">
            <w:pPr>
              <w:widowControl/>
              <w:jc w:val="center"/>
              <w:rPr>
                <w:rFonts w:hint="default" w:eastAsia="宋体"/>
                <w:color w:val="auto"/>
                <w:sz w:val="18"/>
                <w:szCs w:val="18"/>
                <w:lang w:val="en-US" w:eastAsia="zh-CN"/>
              </w:rPr>
            </w:pPr>
            <w:r>
              <w:rPr>
                <w:rFonts w:hint="eastAsia"/>
                <w:color w:val="auto"/>
                <w:kern w:val="0"/>
                <w:sz w:val="18"/>
                <w:szCs w:val="18"/>
                <w:lang w:val="en-US" w:eastAsia="zh-CN"/>
              </w:rPr>
              <w:t>2856</w:t>
            </w:r>
          </w:p>
        </w:tc>
        <w:tc>
          <w:tcPr>
            <w:tcW w:w="578" w:type="pct"/>
            <w:vAlign w:val="center"/>
          </w:tcPr>
          <w:p w14:paraId="2499821A">
            <w:pPr>
              <w:widowControl/>
              <w:jc w:val="center"/>
              <w:rPr>
                <w:rFonts w:hint="default"/>
                <w:color w:val="auto"/>
                <w:sz w:val="18"/>
                <w:szCs w:val="18"/>
                <w:lang w:val="en-US"/>
              </w:rPr>
            </w:pPr>
            <w:r>
              <w:rPr>
                <w:rFonts w:hint="eastAsia"/>
                <w:color w:val="auto"/>
                <w:sz w:val="18"/>
                <w:lang w:val="en-US" w:eastAsia="zh-CN"/>
              </w:rPr>
              <w:t>+2601</w:t>
            </w:r>
          </w:p>
        </w:tc>
        <w:tc>
          <w:tcPr>
            <w:tcW w:w="450" w:type="pct"/>
            <w:vAlign w:val="center"/>
          </w:tcPr>
          <w:p w14:paraId="250DFAA5">
            <w:pPr>
              <w:jc w:val="center"/>
              <w:rPr>
                <w:color w:val="auto"/>
                <w:sz w:val="18"/>
                <w:szCs w:val="18"/>
              </w:rPr>
            </w:pPr>
            <w:r>
              <w:rPr>
                <w:color w:val="auto"/>
                <w:sz w:val="18"/>
                <w:szCs w:val="18"/>
              </w:rPr>
              <w:t>/</w:t>
            </w:r>
          </w:p>
        </w:tc>
        <w:tc>
          <w:tcPr>
            <w:tcW w:w="450" w:type="pct"/>
            <w:vAlign w:val="center"/>
          </w:tcPr>
          <w:p w14:paraId="6FF1EF2F">
            <w:pPr>
              <w:jc w:val="center"/>
              <w:rPr>
                <w:color w:val="auto"/>
                <w:sz w:val="18"/>
                <w:szCs w:val="18"/>
              </w:rPr>
            </w:pPr>
            <w:r>
              <w:rPr>
                <w:rFonts w:hint="eastAsia"/>
                <w:color w:val="auto"/>
                <w:sz w:val="18"/>
                <w:szCs w:val="18"/>
              </w:rPr>
              <w:t>/</w:t>
            </w:r>
          </w:p>
        </w:tc>
        <w:tc>
          <w:tcPr>
            <w:tcW w:w="505" w:type="pct"/>
            <w:vAlign w:val="center"/>
          </w:tcPr>
          <w:p w14:paraId="1DAA0E39">
            <w:pPr>
              <w:widowControl/>
              <w:jc w:val="center"/>
              <w:rPr>
                <w:rFonts w:hint="default" w:eastAsia="宋体"/>
                <w:color w:val="auto"/>
                <w:sz w:val="18"/>
                <w:szCs w:val="18"/>
                <w:lang w:val="en-US" w:eastAsia="zh-CN"/>
              </w:rPr>
            </w:pPr>
            <w:r>
              <w:rPr>
                <w:rFonts w:hint="eastAsia"/>
                <w:color w:val="auto"/>
                <w:kern w:val="0"/>
                <w:sz w:val="18"/>
                <w:szCs w:val="18"/>
                <w:lang w:val="en-US" w:eastAsia="zh-CN"/>
              </w:rPr>
              <w:t>2856</w:t>
            </w:r>
          </w:p>
        </w:tc>
      </w:tr>
      <w:tr w14:paraId="4B5B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7799F101">
            <w:pPr>
              <w:jc w:val="center"/>
              <w:rPr>
                <w:color w:val="auto"/>
                <w:sz w:val="18"/>
                <w:szCs w:val="18"/>
              </w:rPr>
            </w:pPr>
          </w:p>
        </w:tc>
        <w:tc>
          <w:tcPr>
            <w:tcW w:w="598" w:type="pct"/>
            <w:vAlign w:val="center"/>
          </w:tcPr>
          <w:p w14:paraId="6D881ACF">
            <w:pPr>
              <w:jc w:val="center"/>
              <w:rPr>
                <w:color w:val="auto"/>
                <w:sz w:val="18"/>
                <w:szCs w:val="18"/>
              </w:rPr>
            </w:pPr>
            <w:r>
              <w:rPr>
                <w:color w:val="auto"/>
                <w:sz w:val="18"/>
                <w:szCs w:val="18"/>
              </w:rPr>
              <w:t>COD</w:t>
            </w:r>
            <w:r>
              <w:rPr>
                <w:color w:val="auto"/>
                <w:sz w:val="18"/>
                <w:szCs w:val="18"/>
                <w:vertAlign w:val="subscript"/>
              </w:rPr>
              <w:t>Cr</w:t>
            </w:r>
          </w:p>
        </w:tc>
        <w:tc>
          <w:tcPr>
            <w:tcW w:w="574" w:type="pct"/>
            <w:vAlign w:val="center"/>
          </w:tcPr>
          <w:p w14:paraId="4A48FB79">
            <w:pPr>
              <w:widowControl/>
              <w:jc w:val="center"/>
              <w:rPr>
                <w:rFonts w:hint="default" w:eastAsia="宋体"/>
                <w:color w:val="auto"/>
                <w:sz w:val="18"/>
                <w:szCs w:val="18"/>
                <w:lang w:val="en-US" w:eastAsia="zh-CN"/>
              </w:rPr>
            </w:pPr>
            <w:r>
              <w:rPr>
                <w:rFonts w:hint="eastAsia"/>
                <w:color w:val="auto"/>
                <w:sz w:val="18"/>
                <w:szCs w:val="18"/>
                <w:lang w:val="en-US" w:eastAsia="zh-CN"/>
              </w:rPr>
              <w:t>0.01</w:t>
            </w:r>
          </w:p>
        </w:tc>
        <w:tc>
          <w:tcPr>
            <w:tcW w:w="625" w:type="pct"/>
            <w:vAlign w:val="center"/>
          </w:tcPr>
          <w:p w14:paraId="3148C3E3">
            <w:pPr>
              <w:jc w:val="center"/>
              <w:rPr>
                <w:rFonts w:hint="default"/>
                <w:color w:val="auto"/>
                <w:sz w:val="18"/>
                <w:szCs w:val="18"/>
                <w:lang w:val="en-US"/>
              </w:rPr>
            </w:pPr>
            <w:r>
              <w:rPr>
                <w:rFonts w:hint="eastAsia"/>
                <w:color w:val="auto"/>
                <w:sz w:val="18"/>
                <w:szCs w:val="18"/>
                <w:lang w:val="en-US" w:eastAsia="zh-CN"/>
              </w:rPr>
              <w:t>0.115</w:t>
            </w:r>
          </w:p>
        </w:tc>
        <w:tc>
          <w:tcPr>
            <w:tcW w:w="492" w:type="pct"/>
            <w:vAlign w:val="center"/>
          </w:tcPr>
          <w:p w14:paraId="46130DB2">
            <w:pPr>
              <w:pStyle w:val="1156"/>
              <w:adjustRightInd w:val="0"/>
              <w:snapToGrid w:val="0"/>
              <w:textAlignment w:val="baseline"/>
              <w:rPr>
                <w:rFonts w:hint="eastAsia" w:ascii="Times New Roman" w:hAnsi="Times New Roman" w:eastAsia="宋体"/>
                <w:color w:val="auto"/>
                <w:sz w:val="18"/>
                <w:szCs w:val="18"/>
                <w:lang w:val="en-US" w:eastAsia="zh-CN"/>
              </w:rPr>
            </w:pPr>
            <w:r>
              <w:rPr>
                <w:rFonts w:hint="eastAsia" w:ascii="Times New Roman" w:hAnsi="Times New Roman"/>
                <w:color w:val="auto"/>
                <w:sz w:val="18"/>
                <w:szCs w:val="18"/>
                <w:lang w:val="en-US" w:eastAsia="zh-CN"/>
              </w:rPr>
              <w:t>/</w:t>
            </w:r>
          </w:p>
        </w:tc>
        <w:tc>
          <w:tcPr>
            <w:tcW w:w="491" w:type="pct"/>
            <w:vAlign w:val="center"/>
          </w:tcPr>
          <w:p w14:paraId="6F730BA3">
            <w:pPr>
              <w:jc w:val="center"/>
              <w:rPr>
                <w:rFonts w:hint="default"/>
                <w:color w:val="auto"/>
                <w:sz w:val="18"/>
                <w:szCs w:val="18"/>
                <w:lang w:val="en-US"/>
              </w:rPr>
            </w:pPr>
            <w:r>
              <w:rPr>
                <w:rFonts w:hint="eastAsia"/>
                <w:color w:val="auto"/>
                <w:sz w:val="18"/>
                <w:szCs w:val="18"/>
                <w:lang w:val="en-US" w:eastAsia="zh-CN"/>
              </w:rPr>
              <w:t>0.115</w:t>
            </w:r>
          </w:p>
        </w:tc>
        <w:tc>
          <w:tcPr>
            <w:tcW w:w="578" w:type="pct"/>
            <w:vAlign w:val="center"/>
          </w:tcPr>
          <w:p w14:paraId="39F193E0">
            <w:pPr>
              <w:jc w:val="center"/>
              <w:rPr>
                <w:rFonts w:hint="default"/>
                <w:color w:val="auto"/>
                <w:sz w:val="18"/>
                <w:szCs w:val="18"/>
                <w:lang w:val="en-US"/>
              </w:rPr>
            </w:pPr>
            <w:r>
              <w:rPr>
                <w:rFonts w:hint="eastAsia"/>
                <w:color w:val="auto"/>
                <w:sz w:val="18"/>
                <w:lang w:val="en-US" w:eastAsia="zh-CN"/>
              </w:rPr>
              <w:t>+0.105</w:t>
            </w:r>
          </w:p>
        </w:tc>
        <w:tc>
          <w:tcPr>
            <w:tcW w:w="450" w:type="pct"/>
            <w:vAlign w:val="center"/>
          </w:tcPr>
          <w:p w14:paraId="38488BDE">
            <w:pPr>
              <w:jc w:val="center"/>
              <w:rPr>
                <w:color w:val="auto"/>
                <w:sz w:val="18"/>
                <w:szCs w:val="18"/>
              </w:rPr>
            </w:pPr>
            <w:r>
              <w:rPr>
                <w:color w:val="auto"/>
                <w:sz w:val="18"/>
                <w:szCs w:val="18"/>
              </w:rPr>
              <w:t>1:1</w:t>
            </w:r>
          </w:p>
        </w:tc>
        <w:tc>
          <w:tcPr>
            <w:tcW w:w="865" w:type="dxa"/>
            <w:vAlign w:val="center"/>
          </w:tcPr>
          <w:p w14:paraId="02591DA6">
            <w:pPr>
              <w:jc w:val="center"/>
              <w:rPr>
                <w:rFonts w:hint="default" w:eastAsia="宋体"/>
                <w:color w:val="auto"/>
                <w:sz w:val="18"/>
                <w:szCs w:val="18"/>
                <w:lang w:val="en-US" w:eastAsia="zh-CN"/>
              </w:rPr>
            </w:pPr>
            <w:r>
              <w:rPr>
                <w:rFonts w:hint="eastAsia"/>
                <w:color w:val="auto"/>
                <w:sz w:val="18"/>
                <w:szCs w:val="18"/>
                <w:lang w:val="en-US" w:eastAsia="zh-CN"/>
              </w:rPr>
              <w:t>0.105</w:t>
            </w:r>
          </w:p>
        </w:tc>
        <w:tc>
          <w:tcPr>
            <w:tcW w:w="970" w:type="dxa"/>
            <w:vAlign w:val="center"/>
          </w:tcPr>
          <w:p w14:paraId="72BD7917">
            <w:pPr>
              <w:jc w:val="center"/>
              <w:rPr>
                <w:color w:val="auto"/>
                <w:sz w:val="18"/>
                <w:szCs w:val="18"/>
              </w:rPr>
            </w:pPr>
            <w:r>
              <w:rPr>
                <w:rFonts w:hint="eastAsia"/>
                <w:color w:val="auto"/>
                <w:sz w:val="18"/>
                <w:szCs w:val="18"/>
                <w:lang w:val="en-US" w:eastAsia="zh-CN"/>
              </w:rPr>
              <w:t>0.115</w:t>
            </w:r>
          </w:p>
        </w:tc>
      </w:tr>
      <w:tr w14:paraId="10BB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65B96E26">
            <w:pPr>
              <w:jc w:val="center"/>
              <w:rPr>
                <w:color w:val="auto"/>
                <w:sz w:val="18"/>
                <w:szCs w:val="18"/>
              </w:rPr>
            </w:pPr>
          </w:p>
        </w:tc>
        <w:tc>
          <w:tcPr>
            <w:tcW w:w="598" w:type="pct"/>
            <w:vAlign w:val="center"/>
          </w:tcPr>
          <w:p w14:paraId="4EE35975">
            <w:pPr>
              <w:jc w:val="center"/>
              <w:rPr>
                <w:color w:val="auto"/>
                <w:sz w:val="18"/>
                <w:szCs w:val="18"/>
              </w:rPr>
            </w:pPr>
            <w:r>
              <w:rPr>
                <w:color w:val="auto"/>
                <w:sz w:val="18"/>
                <w:szCs w:val="18"/>
              </w:rPr>
              <w:t>NH</w:t>
            </w:r>
            <w:r>
              <w:rPr>
                <w:color w:val="auto"/>
                <w:sz w:val="18"/>
                <w:szCs w:val="18"/>
                <w:vertAlign w:val="subscript"/>
              </w:rPr>
              <w:t>3</w:t>
            </w:r>
            <w:r>
              <w:rPr>
                <w:color w:val="auto"/>
                <w:sz w:val="18"/>
                <w:szCs w:val="18"/>
              </w:rPr>
              <w:t>-N</w:t>
            </w:r>
          </w:p>
        </w:tc>
        <w:tc>
          <w:tcPr>
            <w:tcW w:w="574" w:type="pct"/>
            <w:vAlign w:val="center"/>
          </w:tcPr>
          <w:p w14:paraId="58169FA1">
            <w:pPr>
              <w:widowControl/>
              <w:jc w:val="center"/>
              <w:rPr>
                <w:rFonts w:hint="default" w:eastAsia="宋体"/>
                <w:color w:val="auto"/>
                <w:sz w:val="18"/>
                <w:szCs w:val="18"/>
                <w:lang w:val="en-US" w:eastAsia="zh-CN"/>
              </w:rPr>
            </w:pPr>
            <w:r>
              <w:rPr>
                <w:rFonts w:hint="eastAsia"/>
                <w:color w:val="auto"/>
                <w:sz w:val="18"/>
                <w:szCs w:val="18"/>
                <w:lang w:val="en-US" w:eastAsia="zh-CN"/>
              </w:rPr>
              <w:t>0.001</w:t>
            </w:r>
          </w:p>
        </w:tc>
        <w:tc>
          <w:tcPr>
            <w:tcW w:w="625" w:type="pct"/>
            <w:vAlign w:val="center"/>
          </w:tcPr>
          <w:p w14:paraId="6184A835">
            <w:pPr>
              <w:jc w:val="center"/>
              <w:rPr>
                <w:rFonts w:hint="default"/>
                <w:color w:val="auto"/>
                <w:sz w:val="18"/>
                <w:szCs w:val="18"/>
                <w:lang w:val="en-US"/>
              </w:rPr>
            </w:pPr>
            <w:r>
              <w:rPr>
                <w:rFonts w:hint="eastAsia"/>
                <w:color w:val="auto"/>
                <w:sz w:val="18"/>
                <w:szCs w:val="18"/>
                <w:lang w:val="en-US" w:eastAsia="zh-CN"/>
              </w:rPr>
              <w:t>0.006</w:t>
            </w:r>
          </w:p>
        </w:tc>
        <w:tc>
          <w:tcPr>
            <w:tcW w:w="492" w:type="pct"/>
            <w:vAlign w:val="center"/>
          </w:tcPr>
          <w:p w14:paraId="7507CC49">
            <w:pPr>
              <w:pStyle w:val="1156"/>
              <w:adjustRightInd w:val="0"/>
              <w:snapToGrid w:val="0"/>
              <w:textAlignment w:val="baseline"/>
              <w:rPr>
                <w:rFonts w:hint="eastAsia" w:ascii="Times New Roman" w:hAnsi="Times New Roman" w:eastAsia="宋体"/>
                <w:color w:val="auto"/>
                <w:sz w:val="18"/>
                <w:szCs w:val="18"/>
                <w:lang w:val="en-US" w:eastAsia="zh-CN"/>
              </w:rPr>
            </w:pPr>
            <w:r>
              <w:rPr>
                <w:rFonts w:hint="eastAsia" w:ascii="Times New Roman" w:hAnsi="Times New Roman"/>
                <w:color w:val="auto"/>
                <w:sz w:val="18"/>
                <w:szCs w:val="18"/>
                <w:lang w:val="en-US" w:eastAsia="zh-CN"/>
              </w:rPr>
              <w:t>/</w:t>
            </w:r>
          </w:p>
        </w:tc>
        <w:tc>
          <w:tcPr>
            <w:tcW w:w="491" w:type="pct"/>
            <w:vAlign w:val="center"/>
          </w:tcPr>
          <w:p w14:paraId="23CA6B1C">
            <w:pPr>
              <w:jc w:val="center"/>
              <w:rPr>
                <w:rFonts w:hint="default"/>
                <w:color w:val="auto"/>
                <w:sz w:val="18"/>
                <w:szCs w:val="18"/>
                <w:lang w:val="en-US"/>
              </w:rPr>
            </w:pPr>
            <w:r>
              <w:rPr>
                <w:rFonts w:hint="eastAsia"/>
                <w:color w:val="auto"/>
                <w:sz w:val="18"/>
                <w:szCs w:val="18"/>
                <w:lang w:val="en-US" w:eastAsia="zh-CN"/>
              </w:rPr>
              <w:t>0.006</w:t>
            </w:r>
          </w:p>
        </w:tc>
        <w:tc>
          <w:tcPr>
            <w:tcW w:w="578" w:type="pct"/>
            <w:vAlign w:val="center"/>
          </w:tcPr>
          <w:p w14:paraId="41F9D52C">
            <w:pPr>
              <w:jc w:val="center"/>
              <w:rPr>
                <w:rFonts w:hint="default"/>
                <w:color w:val="auto"/>
                <w:sz w:val="18"/>
                <w:szCs w:val="18"/>
                <w:lang w:val="en-US"/>
              </w:rPr>
            </w:pPr>
            <w:r>
              <w:rPr>
                <w:rFonts w:hint="eastAsia"/>
                <w:color w:val="auto"/>
                <w:sz w:val="18"/>
                <w:lang w:val="en-US" w:eastAsia="zh-CN"/>
              </w:rPr>
              <w:t>+0.005</w:t>
            </w:r>
          </w:p>
        </w:tc>
        <w:tc>
          <w:tcPr>
            <w:tcW w:w="450" w:type="pct"/>
            <w:vAlign w:val="center"/>
          </w:tcPr>
          <w:p w14:paraId="0F0327F7">
            <w:pPr>
              <w:jc w:val="center"/>
              <w:rPr>
                <w:color w:val="auto"/>
                <w:sz w:val="18"/>
                <w:szCs w:val="18"/>
              </w:rPr>
            </w:pPr>
            <w:r>
              <w:rPr>
                <w:color w:val="auto"/>
                <w:sz w:val="18"/>
                <w:szCs w:val="18"/>
              </w:rPr>
              <w:t>1:1</w:t>
            </w:r>
          </w:p>
        </w:tc>
        <w:tc>
          <w:tcPr>
            <w:tcW w:w="865" w:type="dxa"/>
            <w:vAlign w:val="center"/>
          </w:tcPr>
          <w:p w14:paraId="78F9EE13">
            <w:pPr>
              <w:jc w:val="center"/>
              <w:rPr>
                <w:rFonts w:hint="default" w:eastAsia="宋体"/>
                <w:color w:val="auto"/>
                <w:sz w:val="18"/>
                <w:szCs w:val="18"/>
                <w:lang w:val="en-US" w:eastAsia="zh-CN"/>
              </w:rPr>
            </w:pPr>
            <w:r>
              <w:rPr>
                <w:rFonts w:hint="eastAsia"/>
                <w:color w:val="auto"/>
                <w:sz w:val="18"/>
                <w:szCs w:val="18"/>
                <w:lang w:val="en-US" w:eastAsia="zh-CN"/>
              </w:rPr>
              <w:t>0.005</w:t>
            </w:r>
          </w:p>
        </w:tc>
        <w:tc>
          <w:tcPr>
            <w:tcW w:w="970" w:type="dxa"/>
            <w:vAlign w:val="center"/>
          </w:tcPr>
          <w:p w14:paraId="6EE9AFAA">
            <w:pPr>
              <w:jc w:val="center"/>
              <w:rPr>
                <w:color w:val="auto"/>
                <w:sz w:val="18"/>
                <w:szCs w:val="18"/>
              </w:rPr>
            </w:pPr>
            <w:r>
              <w:rPr>
                <w:rFonts w:hint="eastAsia"/>
                <w:color w:val="auto"/>
                <w:sz w:val="18"/>
                <w:szCs w:val="18"/>
                <w:lang w:val="en-US" w:eastAsia="zh-CN"/>
              </w:rPr>
              <w:t>0.006</w:t>
            </w:r>
          </w:p>
        </w:tc>
      </w:tr>
      <w:tr w14:paraId="7EC8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restart"/>
            <w:vAlign w:val="center"/>
          </w:tcPr>
          <w:p w14:paraId="0AA5E72A">
            <w:pPr>
              <w:jc w:val="center"/>
              <w:rPr>
                <w:color w:val="auto"/>
                <w:sz w:val="18"/>
                <w:szCs w:val="18"/>
              </w:rPr>
            </w:pPr>
            <w:r>
              <w:rPr>
                <w:color w:val="auto"/>
                <w:sz w:val="18"/>
                <w:szCs w:val="18"/>
              </w:rPr>
              <w:t>废气</w:t>
            </w:r>
          </w:p>
        </w:tc>
        <w:tc>
          <w:tcPr>
            <w:tcW w:w="598" w:type="pct"/>
            <w:shd w:val="clear" w:color="auto" w:fill="auto"/>
            <w:vAlign w:val="center"/>
          </w:tcPr>
          <w:p w14:paraId="6267B427">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eastAsia="zh-CN"/>
              </w:rPr>
              <w:t>VOC</w:t>
            </w:r>
            <w:r>
              <w:rPr>
                <w:rFonts w:hint="eastAsia"/>
                <w:color w:val="auto"/>
                <w:sz w:val="18"/>
                <w:szCs w:val="18"/>
                <w:lang w:val="en-US" w:eastAsia="zh-CN"/>
              </w:rPr>
              <w:t>s</w:t>
            </w:r>
          </w:p>
        </w:tc>
        <w:tc>
          <w:tcPr>
            <w:tcW w:w="574" w:type="pct"/>
            <w:shd w:val="clear" w:color="auto" w:fill="auto"/>
            <w:vAlign w:val="center"/>
          </w:tcPr>
          <w:p w14:paraId="4CD26580">
            <w:pPr>
              <w:widowControl/>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0</w:t>
            </w:r>
          </w:p>
        </w:tc>
        <w:tc>
          <w:tcPr>
            <w:tcW w:w="625" w:type="pct"/>
            <w:shd w:val="clear" w:color="auto" w:fill="auto"/>
            <w:vAlign w:val="center"/>
          </w:tcPr>
          <w:p w14:paraId="5E275D2C">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lang w:val="en-US" w:eastAsia="zh-CN"/>
              </w:rPr>
              <w:t>0.047</w:t>
            </w:r>
          </w:p>
        </w:tc>
        <w:tc>
          <w:tcPr>
            <w:tcW w:w="492" w:type="pct"/>
            <w:shd w:val="clear" w:color="auto" w:fill="auto"/>
            <w:vAlign w:val="center"/>
          </w:tcPr>
          <w:p w14:paraId="22F75E15">
            <w:pPr>
              <w:widowControl/>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491" w:type="pct"/>
            <w:shd w:val="clear" w:color="auto" w:fill="auto"/>
            <w:vAlign w:val="center"/>
          </w:tcPr>
          <w:p w14:paraId="4A831314">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lang w:val="en-US" w:eastAsia="zh-CN"/>
              </w:rPr>
              <w:t>0.047</w:t>
            </w:r>
          </w:p>
        </w:tc>
        <w:tc>
          <w:tcPr>
            <w:tcW w:w="578" w:type="pct"/>
            <w:shd w:val="clear" w:color="auto" w:fill="auto"/>
            <w:vAlign w:val="center"/>
          </w:tcPr>
          <w:p w14:paraId="56F12D1C">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lang w:val="en-US" w:eastAsia="zh-CN"/>
              </w:rPr>
              <w:t>+0.047</w:t>
            </w:r>
          </w:p>
        </w:tc>
        <w:tc>
          <w:tcPr>
            <w:tcW w:w="450" w:type="pct"/>
            <w:shd w:val="clear" w:color="auto" w:fill="auto"/>
            <w:vAlign w:val="center"/>
          </w:tcPr>
          <w:p w14:paraId="651997DD">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w:t>
            </w:r>
          </w:p>
        </w:tc>
        <w:tc>
          <w:tcPr>
            <w:tcW w:w="450" w:type="pct"/>
            <w:shd w:val="clear" w:color="auto" w:fill="auto"/>
            <w:vAlign w:val="center"/>
          </w:tcPr>
          <w:p w14:paraId="1E936EBF">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0.094</w:t>
            </w:r>
          </w:p>
        </w:tc>
        <w:tc>
          <w:tcPr>
            <w:tcW w:w="505" w:type="pct"/>
            <w:shd w:val="clear" w:color="auto" w:fill="auto"/>
            <w:vAlign w:val="center"/>
          </w:tcPr>
          <w:p w14:paraId="53A1EC84">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lang w:val="en-US" w:eastAsia="zh-CN"/>
              </w:rPr>
              <w:t>0.047</w:t>
            </w:r>
          </w:p>
        </w:tc>
      </w:tr>
      <w:tr w14:paraId="61F5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191B5605">
            <w:pPr>
              <w:jc w:val="center"/>
              <w:rPr>
                <w:color w:val="auto"/>
                <w:sz w:val="18"/>
                <w:szCs w:val="18"/>
              </w:rPr>
            </w:pPr>
          </w:p>
        </w:tc>
        <w:tc>
          <w:tcPr>
            <w:tcW w:w="598" w:type="pct"/>
            <w:shd w:val="clear" w:color="auto" w:fill="auto"/>
            <w:vAlign w:val="center"/>
          </w:tcPr>
          <w:p w14:paraId="4E07D3C2">
            <w:pPr>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颗粒物</w:t>
            </w:r>
          </w:p>
        </w:tc>
        <w:tc>
          <w:tcPr>
            <w:tcW w:w="574" w:type="pct"/>
            <w:shd w:val="clear" w:color="auto" w:fill="auto"/>
            <w:vAlign w:val="center"/>
          </w:tcPr>
          <w:p w14:paraId="4772F361">
            <w:pPr>
              <w:widowControl/>
              <w:jc w:val="center"/>
              <w:rPr>
                <w:rFonts w:hint="default"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0.024</w:t>
            </w:r>
          </w:p>
        </w:tc>
        <w:tc>
          <w:tcPr>
            <w:tcW w:w="625" w:type="pct"/>
            <w:shd w:val="clear" w:color="auto" w:fill="auto"/>
            <w:vAlign w:val="center"/>
          </w:tcPr>
          <w:p w14:paraId="66E6C99B">
            <w:pPr>
              <w:jc w:val="center"/>
              <w:rPr>
                <w:rFonts w:hint="default"/>
                <w:color w:val="auto"/>
                <w:sz w:val="18"/>
                <w:highlight w:val="none"/>
                <w:lang w:val="en-US" w:eastAsia="zh-CN"/>
              </w:rPr>
            </w:pPr>
            <w:r>
              <w:rPr>
                <w:rFonts w:hint="eastAsia"/>
                <w:color w:val="auto"/>
                <w:sz w:val="18"/>
                <w:highlight w:val="none"/>
                <w:lang w:val="en-US" w:eastAsia="zh-CN"/>
              </w:rPr>
              <w:t>0.001</w:t>
            </w:r>
          </w:p>
        </w:tc>
        <w:tc>
          <w:tcPr>
            <w:tcW w:w="492" w:type="pct"/>
            <w:shd w:val="clear" w:color="auto" w:fill="auto"/>
            <w:vAlign w:val="center"/>
          </w:tcPr>
          <w:p w14:paraId="6CFAA442">
            <w:pPr>
              <w:widowControl/>
              <w:jc w:val="center"/>
              <w:rPr>
                <w:rFonts w:hint="default"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-0.023</w:t>
            </w:r>
          </w:p>
        </w:tc>
        <w:tc>
          <w:tcPr>
            <w:tcW w:w="491" w:type="pct"/>
            <w:shd w:val="clear" w:color="auto" w:fill="auto"/>
            <w:vAlign w:val="center"/>
          </w:tcPr>
          <w:p w14:paraId="1238F5A7">
            <w:pPr>
              <w:jc w:val="center"/>
              <w:rPr>
                <w:rFonts w:hint="default"/>
                <w:color w:val="auto"/>
                <w:sz w:val="18"/>
                <w:highlight w:val="none"/>
                <w:lang w:val="en-US" w:eastAsia="zh-CN"/>
              </w:rPr>
            </w:pPr>
            <w:r>
              <w:rPr>
                <w:rFonts w:hint="eastAsia"/>
                <w:color w:val="auto"/>
                <w:sz w:val="18"/>
                <w:highlight w:val="none"/>
                <w:lang w:val="en-US" w:eastAsia="zh-CN"/>
              </w:rPr>
              <w:t>0.001</w:t>
            </w:r>
          </w:p>
        </w:tc>
        <w:tc>
          <w:tcPr>
            <w:tcW w:w="578" w:type="pct"/>
            <w:shd w:val="clear" w:color="auto" w:fill="auto"/>
            <w:vAlign w:val="center"/>
          </w:tcPr>
          <w:p w14:paraId="0EA91E2B">
            <w:pPr>
              <w:jc w:val="center"/>
              <w:rPr>
                <w:rFonts w:hint="default"/>
                <w:color w:val="auto"/>
                <w:sz w:val="18"/>
                <w:highlight w:val="none"/>
                <w:lang w:val="en-US" w:eastAsia="zh-CN"/>
              </w:rPr>
            </w:pPr>
            <w:r>
              <w:rPr>
                <w:rFonts w:hint="eastAsia"/>
                <w:color w:val="auto"/>
                <w:sz w:val="18"/>
                <w:highlight w:val="none"/>
                <w:lang w:val="en-US" w:eastAsia="zh-CN"/>
              </w:rPr>
              <w:t>-0.023</w:t>
            </w:r>
          </w:p>
        </w:tc>
        <w:tc>
          <w:tcPr>
            <w:tcW w:w="450" w:type="pct"/>
            <w:shd w:val="clear" w:color="auto" w:fill="auto"/>
            <w:vAlign w:val="center"/>
          </w:tcPr>
          <w:p w14:paraId="2189673E">
            <w:pPr>
              <w:jc w:val="center"/>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50" w:type="pct"/>
            <w:shd w:val="clear" w:color="auto" w:fill="auto"/>
            <w:vAlign w:val="center"/>
          </w:tcPr>
          <w:p w14:paraId="49488D6F">
            <w:pPr>
              <w:jc w:val="center"/>
              <w:rPr>
                <w:rFonts w:hint="default"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w:t>
            </w:r>
          </w:p>
        </w:tc>
        <w:tc>
          <w:tcPr>
            <w:tcW w:w="505" w:type="pct"/>
            <w:shd w:val="clear" w:color="auto" w:fill="auto"/>
            <w:vAlign w:val="center"/>
          </w:tcPr>
          <w:p w14:paraId="61542437">
            <w:pPr>
              <w:jc w:val="center"/>
              <w:rPr>
                <w:rFonts w:hint="default"/>
                <w:color w:val="auto"/>
                <w:sz w:val="18"/>
                <w:highlight w:val="none"/>
                <w:lang w:val="en-US" w:eastAsia="zh-CN"/>
              </w:rPr>
            </w:pPr>
            <w:r>
              <w:rPr>
                <w:rFonts w:hint="eastAsia"/>
                <w:color w:val="auto"/>
                <w:sz w:val="18"/>
                <w:highlight w:val="none"/>
                <w:lang w:val="en-US" w:eastAsia="zh-CN"/>
              </w:rPr>
              <w:t>0.001</w:t>
            </w:r>
          </w:p>
        </w:tc>
      </w:tr>
    </w:tbl>
    <w:p w14:paraId="252DB829">
      <w:pPr>
        <w:adjustRightInd w:val="0"/>
        <w:snapToGrid w:val="0"/>
        <w:spacing w:line="360" w:lineRule="auto"/>
        <w:ind w:firstLine="480" w:firstLineChars="200"/>
        <w:rPr>
          <w:rFonts w:hint="default"/>
          <w:color w:val="auto"/>
          <w:sz w:val="24"/>
          <w:szCs w:val="24"/>
          <w:lang w:val="en-US" w:eastAsia="zh-CN"/>
        </w:rPr>
      </w:pPr>
      <w:r>
        <w:rPr>
          <w:rFonts w:hint="eastAsia" w:cs="宋体"/>
          <w:bCs/>
          <w:color w:val="auto"/>
          <w:sz w:val="24"/>
          <w:szCs w:val="24"/>
          <w:lang w:bidi="ar"/>
        </w:rPr>
        <w:t>本项目总量由杭州市生态环境局临平分局总量调剂同意后方可投入生产</w:t>
      </w:r>
      <w:r>
        <w:rPr>
          <w:rFonts w:hint="default"/>
          <w:color w:val="auto"/>
          <w:sz w:val="24"/>
          <w:szCs w:val="24"/>
          <w:lang w:val="en-US" w:eastAsia="zh-CN"/>
        </w:rPr>
        <w:t>。</w:t>
      </w:r>
    </w:p>
    <w:p w14:paraId="2D07150D">
      <w:pPr>
        <w:pStyle w:val="122"/>
        <w:ind w:firstLine="0" w:firstLineChars="0"/>
        <w:outlineLvl w:val="1"/>
        <w:rPr>
          <w:b/>
          <w:color w:val="auto"/>
        </w:rPr>
      </w:pPr>
      <w:bookmarkStart w:id="47" w:name="_Toc8961"/>
      <w:bookmarkStart w:id="48" w:name="_Toc14195"/>
      <w:r>
        <w:rPr>
          <w:b/>
          <w:color w:val="auto"/>
        </w:rPr>
        <w:t>4</w:t>
      </w:r>
      <w:r>
        <w:rPr>
          <w:rFonts w:hint="eastAsia"/>
          <w:b/>
          <w:color w:val="auto"/>
        </w:rPr>
        <w:t>、环保措施监督检查清单</w:t>
      </w:r>
      <w:bookmarkEnd w:id="47"/>
      <w:bookmarkEnd w:id="48"/>
    </w:p>
    <w:p w14:paraId="03BF5CA2">
      <w:pPr>
        <w:adjustRightInd w:val="0"/>
        <w:snapToGrid w:val="0"/>
        <w:spacing w:line="360" w:lineRule="auto"/>
        <w:ind w:firstLine="480" w:firstLineChars="200"/>
        <w:rPr>
          <w:color w:val="auto"/>
          <w:sz w:val="24"/>
          <w:szCs w:val="24"/>
        </w:rPr>
      </w:pPr>
      <w:r>
        <w:rPr>
          <w:color w:val="auto"/>
          <w:sz w:val="24"/>
          <w:szCs w:val="24"/>
        </w:rPr>
        <w:t>本项目</w:t>
      </w:r>
      <w:r>
        <w:rPr>
          <w:rFonts w:hint="eastAsia"/>
          <w:color w:val="auto"/>
          <w:sz w:val="24"/>
          <w:szCs w:val="24"/>
        </w:rPr>
        <w:t>环保措施监督检查清单如下表所示：</w:t>
      </w:r>
    </w:p>
    <w:p w14:paraId="5F515C36">
      <w:pPr>
        <w:pStyle w:val="116"/>
        <w:numPr>
          <w:ilvl w:val="0"/>
          <w:numId w:val="0"/>
        </w:numPr>
        <w:spacing w:before="0" w:beforeLines="0"/>
        <w:ind w:left="0" w:leftChars="0" w:hanging="420" w:firstLineChars="0"/>
        <w:rPr>
          <w:color w:val="auto"/>
        </w:rPr>
      </w:pPr>
      <w:bookmarkStart w:id="49" w:name="_Hlk54167917"/>
      <w:r>
        <w:rPr>
          <w:rFonts w:hint="eastAsia" w:ascii="Times New Roman" w:hAnsi="Times New Roman" w:eastAsia="宋体" w:cs="Times New Roman"/>
          <w:b/>
          <w:color w:val="auto"/>
          <w:kern w:val="2"/>
          <w:sz w:val="21"/>
          <w:szCs w:val="21"/>
          <w:lang w:val="zh-CN" w:eastAsia="zh-CN" w:bidi="ar-SA"/>
        </w:rPr>
        <w:t>表2</w:t>
      </w:r>
      <w:r>
        <w:rPr>
          <w:rFonts w:hint="eastAsia" w:cs="Times New Roman"/>
          <w:b/>
          <w:color w:val="auto"/>
          <w:kern w:val="2"/>
          <w:sz w:val="21"/>
          <w:szCs w:val="21"/>
          <w:lang w:val="en-US" w:eastAsia="zh-CN" w:bidi="ar-SA"/>
        </w:rPr>
        <w:t>9</w:t>
      </w:r>
      <w:r>
        <w:rPr>
          <w:color w:val="auto"/>
        </w:rPr>
        <w:t>环境保护措施监督检查清单</w:t>
      </w:r>
      <w:bookmarkEnd w:id="49"/>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85"/>
        <w:gridCol w:w="1402"/>
        <w:gridCol w:w="918"/>
        <w:gridCol w:w="3610"/>
        <w:gridCol w:w="2183"/>
      </w:tblGrid>
      <w:tr w14:paraId="52ED4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tcBorders>
              <w:tl2br w:val="single" w:color="auto" w:sz="4" w:space="0"/>
            </w:tcBorders>
          </w:tcPr>
          <w:p w14:paraId="4F4B67A5">
            <w:pPr>
              <w:adjustRightInd w:val="0"/>
              <w:snapToGrid w:val="0"/>
              <w:ind w:firstLine="840" w:firstLineChars="400"/>
              <w:rPr>
                <w:color w:val="auto"/>
              </w:rPr>
            </w:pPr>
            <w:r>
              <w:rPr>
                <w:color w:val="auto"/>
              </w:rPr>
              <w:t>内容</w:t>
            </w:r>
          </w:p>
          <w:p w14:paraId="1AD41197">
            <w:pPr>
              <w:adjustRightInd w:val="0"/>
              <w:snapToGrid w:val="0"/>
              <w:rPr>
                <w:color w:val="auto"/>
              </w:rPr>
            </w:pPr>
            <w:r>
              <w:rPr>
                <w:color w:val="auto"/>
              </w:rPr>
              <w:t>要素</w:t>
            </w:r>
          </w:p>
        </w:tc>
        <w:tc>
          <w:tcPr>
            <w:tcW w:w="730" w:type="pct"/>
            <w:vAlign w:val="center"/>
          </w:tcPr>
          <w:p w14:paraId="54B38FDE">
            <w:pPr>
              <w:adjustRightInd w:val="0"/>
              <w:snapToGrid w:val="0"/>
              <w:jc w:val="center"/>
              <w:rPr>
                <w:color w:val="auto"/>
              </w:rPr>
            </w:pPr>
            <w:r>
              <w:rPr>
                <w:color w:val="auto"/>
              </w:rPr>
              <w:t>排放口(编号、名称)/污染源</w:t>
            </w:r>
          </w:p>
        </w:tc>
        <w:tc>
          <w:tcPr>
            <w:tcW w:w="478" w:type="pct"/>
            <w:vAlign w:val="center"/>
          </w:tcPr>
          <w:p w14:paraId="07A31277">
            <w:pPr>
              <w:adjustRightInd w:val="0"/>
              <w:snapToGrid w:val="0"/>
              <w:jc w:val="center"/>
              <w:rPr>
                <w:color w:val="auto"/>
              </w:rPr>
            </w:pPr>
            <w:r>
              <w:rPr>
                <w:color w:val="auto"/>
              </w:rPr>
              <w:t>污染物项目</w:t>
            </w:r>
          </w:p>
        </w:tc>
        <w:tc>
          <w:tcPr>
            <w:tcW w:w="1880" w:type="pct"/>
            <w:vAlign w:val="center"/>
          </w:tcPr>
          <w:p w14:paraId="16081867">
            <w:pPr>
              <w:adjustRightInd w:val="0"/>
              <w:snapToGrid w:val="0"/>
              <w:jc w:val="center"/>
              <w:rPr>
                <w:color w:val="auto"/>
              </w:rPr>
            </w:pPr>
            <w:r>
              <w:rPr>
                <w:color w:val="auto"/>
              </w:rPr>
              <w:t>环境保护措施</w:t>
            </w:r>
          </w:p>
        </w:tc>
        <w:tc>
          <w:tcPr>
            <w:tcW w:w="1136" w:type="pct"/>
            <w:vAlign w:val="center"/>
          </w:tcPr>
          <w:p w14:paraId="4F9CF199">
            <w:pPr>
              <w:adjustRightInd w:val="0"/>
              <w:snapToGrid w:val="0"/>
              <w:jc w:val="center"/>
              <w:rPr>
                <w:color w:val="auto"/>
              </w:rPr>
            </w:pPr>
            <w:r>
              <w:rPr>
                <w:color w:val="auto"/>
              </w:rPr>
              <w:t>执行标准</w:t>
            </w:r>
          </w:p>
        </w:tc>
      </w:tr>
      <w:tr w14:paraId="31FB32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restart"/>
            <w:vAlign w:val="center"/>
          </w:tcPr>
          <w:p w14:paraId="74C9D08B">
            <w:pPr>
              <w:adjustRightInd w:val="0"/>
              <w:snapToGrid w:val="0"/>
              <w:jc w:val="center"/>
              <w:rPr>
                <w:color w:val="auto"/>
              </w:rPr>
            </w:pPr>
            <w:r>
              <w:rPr>
                <w:color w:val="auto"/>
              </w:rPr>
              <w:t>大气环境</w:t>
            </w:r>
          </w:p>
        </w:tc>
        <w:tc>
          <w:tcPr>
            <w:tcW w:w="730" w:type="pct"/>
            <w:vAlign w:val="center"/>
          </w:tcPr>
          <w:p w14:paraId="7D525782">
            <w:pPr>
              <w:adjustRightInd w:val="0"/>
              <w:snapToGrid w:val="0"/>
              <w:jc w:val="center"/>
              <w:rPr>
                <w:color w:val="auto"/>
              </w:rPr>
            </w:pPr>
            <w:r>
              <w:rPr>
                <w:rFonts w:hint="eastAsia"/>
                <w:color w:val="auto"/>
              </w:rPr>
              <w:t>DA001</w:t>
            </w:r>
          </w:p>
        </w:tc>
        <w:tc>
          <w:tcPr>
            <w:tcW w:w="478" w:type="pct"/>
            <w:vAlign w:val="center"/>
          </w:tcPr>
          <w:p w14:paraId="5AF40F89">
            <w:pPr>
              <w:adjustRightInd w:val="0"/>
              <w:snapToGrid w:val="0"/>
              <w:jc w:val="center"/>
              <w:rPr>
                <w:rFonts w:hint="default" w:eastAsia="宋体"/>
                <w:color w:val="auto"/>
                <w:lang w:val="en-US" w:eastAsia="zh-CN"/>
              </w:rPr>
            </w:pPr>
            <w:r>
              <w:rPr>
                <w:rFonts w:hint="eastAsia"/>
                <w:color w:val="auto"/>
              </w:rPr>
              <w:t>TVOC</w:t>
            </w:r>
            <w:r>
              <w:rPr>
                <w:rFonts w:hint="eastAsia"/>
                <w:color w:val="auto"/>
                <w:lang w:eastAsia="zh-CN"/>
              </w:rPr>
              <w:t>、</w:t>
            </w:r>
            <w:r>
              <w:rPr>
                <w:rFonts w:hint="eastAsia"/>
                <w:color w:val="auto"/>
                <w:lang w:val="en-US" w:eastAsia="zh-CN"/>
              </w:rPr>
              <w:t>臭气浓度</w:t>
            </w:r>
          </w:p>
        </w:tc>
        <w:tc>
          <w:tcPr>
            <w:tcW w:w="1880" w:type="pct"/>
            <w:vAlign w:val="center"/>
          </w:tcPr>
          <w:p w14:paraId="6004D79B">
            <w:pPr>
              <w:adjustRightInd w:val="0"/>
              <w:snapToGrid w:val="0"/>
              <w:jc w:val="center"/>
              <w:rPr>
                <w:color w:val="auto"/>
              </w:rPr>
            </w:pPr>
            <w:r>
              <w:rPr>
                <w:rFonts w:hint="eastAsia"/>
                <w:color w:val="auto"/>
              </w:rPr>
              <w:t>新建一套“</w:t>
            </w:r>
            <w:r>
              <w:rPr>
                <w:rFonts w:hint="eastAsia"/>
                <w:color w:val="auto"/>
                <w:lang w:val="en-US" w:eastAsia="zh-CN"/>
              </w:rPr>
              <w:t>活性炭吸附+脱附催化燃烧</w:t>
            </w:r>
            <w:r>
              <w:rPr>
                <w:rFonts w:hint="eastAsia"/>
                <w:color w:val="auto"/>
              </w:rPr>
              <w:t>”装置+</w:t>
            </w:r>
            <w:r>
              <w:rPr>
                <w:rFonts w:hint="eastAsia"/>
                <w:color w:val="auto"/>
                <w:lang w:val="en-US" w:eastAsia="zh-CN"/>
              </w:rPr>
              <w:t>1</w:t>
            </w:r>
            <w:r>
              <w:rPr>
                <w:rFonts w:hint="eastAsia"/>
                <w:color w:val="auto"/>
              </w:rPr>
              <w:t>5m高排气筒</w:t>
            </w:r>
          </w:p>
        </w:tc>
        <w:tc>
          <w:tcPr>
            <w:tcW w:w="1136" w:type="pct"/>
            <w:vMerge w:val="restart"/>
            <w:vAlign w:val="center"/>
          </w:tcPr>
          <w:p w14:paraId="34D0312C">
            <w:pPr>
              <w:adjustRightInd w:val="0"/>
              <w:snapToGrid w:val="0"/>
              <w:jc w:val="center"/>
              <w:rPr>
                <w:color w:val="auto"/>
                <w:highlight w:val="yellow"/>
              </w:rPr>
            </w:pPr>
            <w:r>
              <w:rPr>
                <w:color w:val="auto"/>
              </w:rPr>
              <w:t>《工业涂装工序大气污染物排放标准》（DB33/2146-2018）</w:t>
            </w:r>
          </w:p>
        </w:tc>
      </w:tr>
      <w:tr w14:paraId="02EFC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continue"/>
            <w:vAlign w:val="center"/>
          </w:tcPr>
          <w:p w14:paraId="0CDFCAC3">
            <w:pPr>
              <w:adjustRightInd w:val="0"/>
              <w:snapToGrid w:val="0"/>
              <w:jc w:val="center"/>
              <w:rPr>
                <w:color w:val="auto"/>
              </w:rPr>
            </w:pPr>
          </w:p>
        </w:tc>
        <w:tc>
          <w:tcPr>
            <w:tcW w:w="730" w:type="pct"/>
            <w:vAlign w:val="center"/>
          </w:tcPr>
          <w:p w14:paraId="00724CD2">
            <w:pPr>
              <w:adjustRightInd w:val="0"/>
              <w:snapToGrid w:val="0"/>
              <w:jc w:val="center"/>
              <w:rPr>
                <w:color w:val="auto"/>
              </w:rPr>
            </w:pPr>
            <w:r>
              <w:rPr>
                <w:rFonts w:hint="eastAsia"/>
                <w:color w:val="auto"/>
              </w:rPr>
              <w:t>厂区内</w:t>
            </w:r>
          </w:p>
        </w:tc>
        <w:tc>
          <w:tcPr>
            <w:tcW w:w="478" w:type="pct"/>
            <w:vAlign w:val="center"/>
          </w:tcPr>
          <w:p w14:paraId="3BF9CDAF">
            <w:pPr>
              <w:adjustRightInd w:val="0"/>
              <w:snapToGrid w:val="0"/>
              <w:jc w:val="center"/>
              <w:rPr>
                <w:color w:val="auto"/>
              </w:rPr>
            </w:pPr>
            <w:r>
              <w:rPr>
                <w:rFonts w:hint="eastAsia"/>
                <w:color w:val="auto"/>
              </w:rPr>
              <w:t>NMHC</w:t>
            </w:r>
          </w:p>
        </w:tc>
        <w:tc>
          <w:tcPr>
            <w:tcW w:w="1880" w:type="pct"/>
            <w:vAlign w:val="center"/>
          </w:tcPr>
          <w:p w14:paraId="795491A8">
            <w:pPr>
              <w:adjustRightInd w:val="0"/>
              <w:snapToGrid w:val="0"/>
              <w:jc w:val="center"/>
              <w:rPr>
                <w:color w:val="auto"/>
              </w:rPr>
            </w:pPr>
            <w:r>
              <w:rPr>
                <w:rFonts w:hint="eastAsia"/>
                <w:color w:val="auto"/>
              </w:rPr>
              <w:t>/</w:t>
            </w:r>
          </w:p>
        </w:tc>
        <w:tc>
          <w:tcPr>
            <w:tcW w:w="1136" w:type="pct"/>
            <w:vMerge w:val="continue"/>
            <w:vAlign w:val="center"/>
          </w:tcPr>
          <w:p w14:paraId="3C64D297">
            <w:pPr>
              <w:adjustRightInd w:val="0"/>
              <w:snapToGrid w:val="0"/>
              <w:jc w:val="center"/>
              <w:rPr>
                <w:color w:val="auto"/>
                <w:highlight w:val="yellow"/>
              </w:rPr>
            </w:pPr>
          </w:p>
        </w:tc>
      </w:tr>
      <w:tr w14:paraId="2EE8A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continue"/>
            <w:vAlign w:val="center"/>
          </w:tcPr>
          <w:p w14:paraId="44DAE102">
            <w:pPr>
              <w:adjustRightInd w:val="0"/>
              <w:snapToGrid w:val="0"/>
              <w:jc w:val="center"/>
              <w:rPr>
                <w:color w:val="auto"/>
              </w:rPr>
            </w:pPr>
          </w:p>
        </w:tc>
        <w:tc>
          <w:tcPr>
            <w:tcW w:w="730" w:type="pct"/>
            <w:vMerge w:val="restart"/>
            <w:vAlign w:val="center"/>
          </w:tcPr>
          <w:p w14:paraId="1BF6D3FC">
            <w:pPr>
              <w:adjustRightInd w:val="0"/>
              <w:snapToGrid w:val="0"/>
              <w:jc w:val="center"/>
              <w:rPr>
                <w:color w:val="auto"/>
              </w:rPr>
            </w:pPr>
            <w:r>
              <w:rPr>
                <w:rFonts w:hint="eastAsia"/>
                <w:color w:val="auto"/>
              </w:rPr>
              <w:t>厂界</w:t>
            </w:r>
          </w:p>
        </w:tc>
        <w:tc>
          <w:tcPr>
            <w:tcW w:w="478" w:type="pct"/>
            <w:vAlign w:val="center"/>
          </w:tcPr>
          <w:p w14:paraId="672F3540">
            <w:pPr>
              <w:adjustRightInd w:val="0"/>
              <w:snapToGrid w:val="0"/>
              <w:jc w:val="center"/>
              <w:rPr>
                <w:color w:val="auto"/>
              </w:rPr>
            </w:pPr>
            <w:r>
              <w:rPr>
                <w:rFonts w:hint="eastAsia"/>
                <w:color w:val="auto"/>
              </w:rPr>
              <w:t>颗粒物</w:t>
            </w:r>
          </w:p>
        </w:tc>
        <w:tc>
          <w:tcPr>
            <w:tcW w:w="1880" w:type="pct"/>
            <w:vAlign w:val="center"/>
          </w:tcPr>
          <w:p w14:paraId="191AB5C3">
            <w:pPr>
              <w:adjustRightInd w:val="0"/>
              <w:snapToGrid w:val="0"/>
              <w:jc w:val="center"/>
              <w:rPr>
                <w:color w:val="auto"/>
              </w:rPr>
            </w:pPr>
            <w:r>
              <w:rPr>
                <w:rFonts w:hint="eastAsia"/>
                <w:color w:val="auto"/>
              </w:rPr>
              <w:t>各类</w:t>
            </w:r>
            <w:r>
              <w:rPr>
                <w:rFonts w:hint="eastAsia"/>
                <w:color w:val="auto"/>
                <w:lang w:val="en-US" w:eastAsia="zh-CN"/>
              </w:rPr>
              <w:t>金属</w:t>
            </w:r>
            <w:r>
              <w:rPr>
                <w:rFonts w:hint="eastAsia"/>
                <w:color w:val="auto"/>
              </w:rPr>
              <w:t>粉尘</w:t>
            </w:r>
            <w:r>
              <w:rPr>
                <w:rFonts w:hint="eastAsia"/>
                <w:color w:val="auto"/>
                <w:lang w:val="en-US" w:eastAsia="zh-CN"/>
              </w:rPr>
              <w:t>车间内自然沉降，焊接烟气</w:t>
            </w:r>
            <w:r>
              <w:rPr>
                <w:rFonts w:hint="eastAsia"/>
                <w:color w:val="auto"/>
              </w:rPr>
              <w:t>经“</w:t>
            </w:r>
            <w:r>
              <w:rPr>
                <w:rFonts w:hint="eastAsia"/>
                <w:color w:val="auto"/>
                <w:lang w:val="en-US" w:eastAsia="zh-CN"/>
              </w:rPr>
              <w:t>移动式焊接烟尘净化装置</w:t>
            </w:r>
            <w:r>
              <w:rPr>
                <w:rFonts w:hint="eastAsia"/>
                <w:color w:val="auto"/>
              </w:rPr>
              <w:t>”处理后无组织排放</w:t>
            </w:r>
          </w:p>
        </w:tc>
        <w:tc>
          <w:tcPr>
            <w:tcW w:w="1136" w:type="pct"/>
            <w:vAlign w:val="center"/>
          </w:tcPr>
          <w:p w14:paraId="30BBC7B1">
            <w:pPr>
              <w:adjustRightInd w:val="0"/>
              <w:snapToGrid w:val="0"/>
              <w:jc w:val="center"/>
              <w:rPr>
                <w:color w:val="auto"/>
                <w:highlight w:val="yellow"/>
              </w:rPr>
            </w:pPr>
            <w:r>
              <w:rPr>
                <w:rFonts w:hint="eastAsia"/>
                <w:color w:val="auto"/>
              </w:rPr>
              <w:t>《大气污染物综合排放标准》（GB16297-1996）</w:t>
            </w:r>
          </w:p>
        </w:tc>
      </w:tr>
      <w:tr w14:paraId="1AE4E8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continue"/>
            <w:vAlign w:val="center"/>
          </w:tcPr>
          <w:p w14:paraId="2D6507FD">
            <w:pPr>
              <w:adjustRightInd w:val="0"/>
              <w:snapToGrid w:val="0"/>
              <w:jc w:val="center"/>
              <w:rPr>
                <w:color w:val="auto"/>
              </w:rPr>
            </w:pPr>
          </w:p>
        </w:tc>
        <w:tc>
          <w:tcPr>
            <w:tcW w:w="730" w:type="pct"/>
            <w:vMerge w:val="continue"/>
            <w:vAlign w:val="center"/>
          </w:tcPr>
          <w:p w14:paraId="17F02D8F">
            <w:pPr>
              <w:adjustRightInd w:val="0"/>
              <w:snapToGrid w:val="0"/>
              <w:jc w:val="center"/>
              <w:rPr>
                <w:color w:val="auto"/>
              </w:rPr>
            </w:pPr>
          </w:p>
        </w:tc>
        <w:tc>
          <w:tcPr>
            <w:tcW w:w="478" w:type="pct"/>
            <w:vAlign w:val="center"/>
          </w:tcPr>
          <w:p w14:paraId="741086B6">
            <w:pPr>
              <w:adjustRightInd w:val="0"/>
              <w:snapToGrid w:val="0"/>
              <w:jc w:val="center"/>
              <w:rPr>
                <w:rFonts w:hint="default" w:eastAsia="宋体"/>
                <w:color w:val="auto"/>
                <w:lang w:val="en-US" w:eastAsia="zh-CN"/>
              </w:rPr>
            </w:pPr>
            <w:r>
              <w:rPr>
                <w:rFonts w:hint="eastAsia"/>
                <w:color w:val="auto"/>
              </w:rPr>
              <w:t>NMHC</w:t>
            </w:r>
            <w:r>
              <w:rPr>
                <w:rFonts w:hint="eastAsia"/>
                <w:color w:val="auto"/>
                <w:lang w:eastAsia="zh-CN"/>
              </w:rPr>
              <w:t>、</w:t>
            </w:r>
            <w:r>
              <w:rPr>
                <w:rFonts w:hint="eastAsia"/>
                <w:color w:val="auto"/>
                <w:lang w:val="en-US" w:eastAsia="zh-CN"/>
              </w:rPr>
              <w:t>臭气浓度</w:t>
            </w:r>
          </w:p>
        </w:tc>
        <w:tc>
          <w:tcPr>
            <w:tcW w:w="1880" w:type="pct"/>
            <w:vAlign w:val="center"/>
          </w:tcPr>
          <w:p w14:paraId="390CE410">
            <w:pPr>
              <w:adjustRightInd w:val="0"/>
              <w:snapToGrid w:val="0"/>
              <w:jc w:val="center"/>
              <w:rPr>
                <w:color w:val="auto"/>
              </w:rPr>
            </w:pPr>
            <w:r>
              <w:rPr>
                <w:rFonts w:hint="eastAsia"/>
                <w:color w:val="auto"/>
              </w:rPr>
              <w:t>/</w:t>
            </w:r>
          </w:p>
        </w:tc>
        <w:tc>
          <w:tcPr>
            <w:tcW w:w="1136" w:type="pct"/>
            <w:vAlign w:val="center"/>
          </w:tcPr>
          <w:p w14:paraId="3E95FBAD">
            <w:pPr>
              <w:adjustRightInd w:val="0"/>
              <w:snapToGrid w:val="0"/>
              <w:jc w:val="center"/>
              <w:rPr>
                <w:color w:val="auto"/>
              </w:rPr>
            </w:pPr>
            <w:r>
              <w:rPr>
                <w:color w:val="auto"/>
              </w:rPr>
              <w:t>《工业涂装工序大气污染物排放标准》（DB33/2146-2018）</w:t>
            </w:r>
          </w:p>
        </w:tc>
      </w:tr>
      <w:tr w14:paraId="0B382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Align w:val="center"/>
          </w:tcPr>
          <w:p w14:paraId="5AC0E8FB">
            <w:pPr>
              <w:adjustRightInd w:val="0"/>
              <w:snapToGrid w:val="0"/>
              <w:jc w:val="center"/>
              <w:rPr>
                <w:color w:val="auto"/>
              </w:rPr>
            </w:pPr>
            <w:r>
              <w:rPr>
                <w:rFonts w:hint="eastAsia"/>
                <w:color w:val="auto"/>
              </w:rPr>
              <w:t>水环境</w:t>
            </w:r>
          </w:p>
        </w:tc>
        <w:tc>
          <w:tcPr>
            <w:tcW w:w="730" w:type="pct"/>
            <w:vAlign w:val="center"/>
          </w:tcPr>
          <w:p w14:paraId="35B6D4FA">
            <w:pPr>
              <w:adjustRightInd w:val="0"/>
              <w:snapToGrid w:val="0"/>
              <w:jc w:val="center"/>
              <w:rPr>
                <w:color w:val="auto"/>
              </w:rPr>
            </w:pPr>
            <w:r>
              <w:rPr>
                <w:rFonts w:hint="eastAsia"/>
                <w:color w:val="auto"/>
              </w:rPr>
              <w:t>DW001</w:t>
            </w:r>
          </w:p>
        </w:tc>
        <w:tc>
          <w:tcPr>
            <w:tcW w:w="478" w:type="pct"/>
            <w:vAlign w:val="center"/>
          </w:tcPr>
          <w:p w14:paraId="421554F6">
            <w:pPr>
              <w:adjustRightInd w:val="0"/>
              <w:snapToGrid w:val="0"/>
              <w:jc w:val="center"/>
              <w:rPr>
                <w:color w:val="auto"/>
              </w:rPr>
            </w:pPr>
            <w:r>
              <w:rPr>
                <w:rFonts w:hint="eastAsia"/>
                <w:color w:val="auto"/>
              </w:rPr>
              <w:t>COD、NH</w:t>
            </w:r>
            <w:r>
              <w:rPr>
                <w:rFonts w:hint="eastAsia"/>
                <w:color w:val="auto"/>
                <w:vertAlign w:val="subscript"/>
              </w:rPr>
              <w:t>3</w:t>
            </w:r>
            <w:r>
              <w:rPr>
                <w:rFonts w:hint="eastAsia"/>
                <w:color w:val="auto"/>
              </w:rPr>
              <w:t>-N</w:t>
            </w:r>
          </w:p>
        </w:tc>
        <w:tc>
          <w:tcPr>
            <w:tcW w:w="1880" w:type="pct"/>
            <w:vAlign w:val="center"/>
          </w:tcPr>
          <w:p w14:paraId="4769288D">
            <w:pPr>
              <w:adjustRightInd w:val="0"/>
              <w:snapToGrid w:val="0"/>
              <w:jc w:val="center"/>
              <w:rPr>
                <w:rFonts w:hint="default" w:eastAsia="宋体"/>
                <w:color w:val="auto"/>
                <w:lang w:val="en-US" w:eastAsia="zh-CN"/>
              </w:rPr>
            </w:pPr>
            <w:r>
              <w:rPr>
                <w:color w:val="auto"/>
              </w:rPr>
              <w:t>水帘废水经絮凝沉淀、打捞沉渣后</w:t>
            </w:r>
            <w:r>
              <w:rPr>
                <w:rFonts w:hint="eastAsia"/>
                <w:color w:val="auto"/>
                <w:lang w:val="en-US" w:eastAsia="zh-CN"/>
              </w:rPr>
              <w:t>与清洗废水一同进入自建污水处理设施，采用“絮凝沉淀+中和+A/O”工艺处理后纳管排放，</w:t>
            </w:r>
            <w:r>
              <w:rPr>
                <w:rFonts w:hint="eastAsia"/>
                <w:color w:val="auto"/>
              </w:rPr>
              <w:t>生活污水经园区内现有化粪池、隔油池预处理后纳管排放</w:t>
            </w:r>
            <w:r>
              <w:rPr>
                <w:rFonts w:hint="eastAsia"/>
                <w:color w:val="auto"/>
                <w:lang w:eastAsia="zh-CN"/>
              </w:rPr>
              <w:t>，</w:t>
            </w:r>
            <w:r>
              <w:rPr>
                <w:rFonts w:hint="eastAsia"/>
                <w:color w:val="auto"/>
                <w:lang w:val="en-US" w:eastAsia="zh-CN"/>
              </w:rPr>
              <w:t>全厂设置1个标准排放口</w:t>
            </w:r>
          </w:p>
        </w:tc>
        <w:tc>
          <w:tcPr>
            <w:tcW w:w="1136" w:type="pct"/>
            <w:shd w:val="clear" w:color="auto" w:fill="auto"/>
            <w:vAlign w:val="center"/>
          </w:tcPr>
          <w:p w14:paraId="28457221">
            <w:pPr>
              <w:adjustRightInd w:val="0"/>
              <w:snapToGrid w:val="0"/>
              <w:jc w:val="center"/>
              <w:rPr>
                <w:color w:val="auto"/>
                <w:highlight w:val="yellow"/>
              </w:rPr>
            </w:pPr>
            <w:r>
              <w:rPr>
                <w:rFonts w:hint="eastAsia"/>
                <w:color w:val="auto"/>
              </w:rPr>
              <w:t>GB8978-1996《污水综合排放标准》三级标准、《工业企业废水氮、磷污染物间接排放限值》（DB33_887-2013 ）</w:t>
            </w:r>
          </w:p>
        </w:tc>
      </w:tr>
      <w:tr w14:paraId="0AC35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Align w:val="center"/>
          </w:tcPr>
          <w:p w14:paraId="04F1C926">
            <w:pPr>
              <w:adjustRightInd w:val="0"/>
              <w:snapToGrid w:val="0"/>
              <w:jc w:val="center"/>
              <w:rPr>
                <w:color w:val="auto"/>
              </w:rPr>
            </w:pPr>
            <w:r>
              <w:rPr>
                <w:color w:val="auto"/>
              </w:rPr>
              <w:t>声环境</w:t>
            </w:r>
          </w:p>
        </w:tc>
        <w:tc>
          <w:tcPr>
            <w:tcW w:w="730" w:type="pct"/>
            <w:vAlign w:val="center"/>
          </w:tcPr>
          <w:p w14:paraId="4ABE7D16">
            <w:pPr>
              <w:adjustRightInd w:val="0"/>
              <w:snapToGrid w:val="0"/>
              <w:jc w:val="center"/>
              <w:rPr>
                <w:color w:val="auto"/>
              </w:rPr>
            </w:pPr>
            <w:r>
              <w:rPr>
                <w:color w:val="auto"/>
              </w:rPr>
              <w:t>噪声</w:t>
            </w:r>
          </w:p>
        </w:tc>
        <w:tc>
          <w:tcPr>
            <w:tcW w:w="478" w:type="pct"/>
            <w:vAlign w:val="center"/>
          </w:tcPr>
          <w:p w14:paraId="08D19D5F">
            <w:pPr>
              <w:adjustRightInd w:val="0"/>
              <w:snapToGrid w:val="0"/>
              <w:jc w:val="center"/>
              <w:rPr>
                <w:color w:val="auto"/>
              </w:rPr>
            </w:pPr>
            <w:r>
              <w:rPr>
                <w:color w:val="auto"/>
              </w:rPr>
              <w:t>Leq（A）</w:t>
            </w:r>
          </w:p>
        </w:tc>
        <w:tc>
          <w:tcPr>
            <w:tcW w:w="1880" w:type="pct"/>
            <w:vAlign w:val="center"/>
          </w:tcPr>
          <w:p w14:paraId="6C8EF9F6">
            <w:pPr>
              <w:adjustRightInd w:val="0"/>
              <w:snapToGrid w:val="0"/>
              <w:rPr>
                <w:color w:val="auto"/>
              </w:rPr>
            </w:pPr>
            <w:r>
              <w:rPr>
                <w:rFonts w:hint="eastAsia"/>
                <w:color w:val="auto"/>
              </w:rPr>
              <w:t>（1）</w:t>
            </w:r>
            <w:r>
              <w:rPr>
                <w:rFonts w:hint="eastAsia"/>
                <w:color w:val="auto"/>
                <w:lang w:val="en-US" w:eastAsia="zh-CN"/>
              </w:rPr>
              <w:t>磨床、磨齿机、喷砂机</w:t>
            </w:r>
            <w:r>
              <w:rPr>
                <w:rFonts w:hint="eastAsia"/>
                <w:color w:val="auto"/>
              </w:rPr>
              <w:t>等</w:t>
            </w:r>
            <w:r>
              <w:rPr>
                <w:rFonts w:hint="eastAsia"/>
                <w:color w:val="auto"/>
                <w:lang w:val="en-US" w:eastAsia="zh-CN"/>
              </w:rPr>
              <w:t>高噪声设备选型时</w:t>
            </w:r>
            <w:r>
              <w:rPr>
                <w:rFonts w:hint="eastAsia"/>
                <w:color w:val="auto"/>
              </w:rPr>
              <w:t>选用噪声低、振动小的设备。</w:t>
            </w:r>
          </w:p>
          <w:p w14:paraId="441831E7">
            <w:pPr>
              <w:adjustRightInd w:val="0"/>
              <w:snapToGrid w:val="0"/>
              <w:rPr>
                <w:color w:val="auto"/>
              </w:rPr>
            </w:pPr>
            <w:r>
              <w:rPr>
                <w:rFonts w:hint="eastAsia"/>
                <w:color w:val="auto"/>
              </w:rPr>
              <w:t>（2）生产车间安装隔声门窗，生产时尽可能保持门窗关闭状态。</w:t>
            </w:r>
          </w:p>
          <w:p w14:paraId="6F3F352B">
            <w:pPr>
              <w:adjustRightInd w:val="0"/>
              <w:snapToGrid w:val="0"/>
              <w:rPr>
                <w:color w:val="auto"/>
              </w:rPr>
            </w:pPr>
            <w:r>
              <w:rPr>
                <w:rFonts w:hint="eastAsia"/>
                <w:color w:val="auto"/>
              </w:rPr>
              <w:t>（3）针对放置于室外的污染治理设施风机，要求在风机外设置隔声罩，污染处理设施安装时，底部需配置阻尼减震设施。</w:t>
            </w:r>
          </w:p>
          <w:p w14:paraId="66E7B30C">
            <w:pPr>
              <w:adjustRightInd w:val="0"/>
              <w:snapToGrid w:val="0"/>
              <w:rPr>
                <w:color w:val="auto"/>
              </w:rPr>
            </w:pPr>
            <w:r>
              <w:rPr>
                <w:rFonts w:hint="eastAsia"/>
                <w:color w:val="auto"/>
              </w:rPr>
              <w:t>（4）加强设备日常检修和维护，确保设备处于良好的运转状态，杜绝因设备不正常运转时产生的高噪声现象。</w:t>
            </w:r>
          </w:p>
          <w:p w14:paraId="61CCBA16">
            <w:pPr>
              <w:adjustRightInd w:val="0"/>
              <w:snapToGrid w:val="0"/>
              <w:rPr>
                <w:color w:val="auto"/>
              </w:rPr>
            </w:pPr>
            <w:r>
              <w:rPr>
                <w:rFonts w:hint="eastAsia"/>
                <w:color w:val="auto"/>
              </w:rPr>
              <w:t>（5）加强工人的生产操作管理，减少或降低人为噪声的产生</w:t>
            </w:r>
            <w:r>
              <w:rPr>
                <w:color w:val="auto"/>
              </w:rPr>
              <w:t>。</w:t>
            </w:r>
          </w:p>
        </w:tc>
        <w:tc>
          <w:tcPr>
            <w:tcW w:w="1136" w:type="pct"/>
            <w:vAlign w:val="center"/>
          </w:tcPr>
          <w:p w14:paraId="060BB8F6">
            <w:pPr>
              <w:adjustRightInd w:val="0"/>
              <w:snapToGrid w:val="0"/>
              <w:jc w:val="center"/>
              <w:rPr>
                <w:rFonts w:hint="default" w:eastAsia="宋体"/>
                <w:color w:val="auto"/>
                <w:lang w:val="en-US" w:eastAsia="zh-CN"/>
              </w:rPr>
            </w:pPr>
            <w:r>
              <w:rPr>
                <w:rFonts w:hint="eastAsia"/>
                <w:color w:val="auto"/>
                <w:lang w:val="en-US" w:eastAsia="zh-CN"/>
              </w:rPr>
              <w:t>厂界执行</w:t>
            </w:r>
            <w:r>
              <w:rPr>
                <w:color w:val="auto"/>
              </w:rPr>
              <w:t>GB12348-2008《工业企业厂界环境噪声排放标准》</w:t>
            </w:r>
            <w:r>
              <w:rPr>
                <w:rFonts w:hint="eastAsia"/>
                <w:color w:val="auto"/>
              </w:rPr>
              <w:t>3类声</w:t>
            </w:r>
            <w:r>
              <w:rPr>
                <w:color w:val="auto"/>
              </w:rPr>
              <w:t>功能区标准</w:t>
            </w:r>
            <w:r>
              <w:rPr>
                <w:rFonts w:hint="eastAsia"/>
                <w:color w:val="auto"/>
                <w:lang w:val="en-US" w:eastAsia="zh-CN"/>
              </w:rPr>
              <w:t>；</w:t>
            </w:r>
          </w:p>
        </w:tc>
      </w:tr>
      <w:tr w14:paraId="56F99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4" w:type="pct"/>
            <w:vAlign w:val="center"/>
          </w:tcPr>
          <w:p w14:paraId="02CB587A">
            <w:pPr>
              <w:adjustRightInd w:val="0"/>
              <w:snapToGrid w:val="0"/>
              <w:jc w:val="center"/>
              <w:rPr>
                <w:color w:val="auto"/>
              </w:rPr>
            </w:pPr>
            <w:r>
              <w:rPr>
                <w:color w:val="auto"/>
              </w:rPr>
              <w:t>固体废物</w:t>
            </w:r>
          </w:p>
        </w:tc>
        <w:tc>
          <w:tcPr>
            <w:tcW w:w="4225" w:type="pct"/>
            <w:gridSpan w:val="4"/>
            <w:vAlign w:val="center"/>
          </w:tcPr>
          <w:p w14:paraId="4E0DEDCD">
            <w:pPr>
              <w:adjustRightInd w:val="0"/>
              <w:snapToGrid w:val="0"/>
              <w:spacing w:line="360" w:lineRule="auto"/>
              <w:rPr>
                <w:color w:val="auto"/>
              </w:rPr>
            </w:pPr>
            <w:r>
              <w:rPr>
                <w:color w:val="auto"/>
              </w:rPr>
              <w:t>1、</w:t>
            </w:r>
            <w:r>
              <w:rPr>
                <w:rFonts w:hint="eastAsia"/>
                <w:color w:val="auto"/>
                <w:lang w:val="en-US" w:eastAsia="zh-CN"/>
              </w:rPr>
              <w:t>废金属屑、废砂</w:t>
            </w:r>
            <w:r>
              <w:rPr>
                <w:rFonts w:hint="eastAsia"/>
                <w:color w:val="auto"/>
              </w:rPr>
              <w:t>等一般工业固废收集后</w:t>
            </w:r>
            <w:r>
              <w:rPr>
                <w:color w:val="auto"/>
                <w:kern w:val="0"/>
              </w:rPr>
              <w:t>委托有关单位综合利用或处置</w:t>
            </w:r>
            <w:r>
              <w:rPr>
                <w:rFonts w:hint="eastAsia"/>
                <w:color w:val="auto"/>
              </w:rPr>
              <w:t>；废油漆桶</w:t>
            </w:r>
            <w:r>
              <w:rPr>
                <w:rFonts w:hint="eastAsia"/>
                <w:color w:val="auto"/>
                <w:lang w:eastAsia="zh-CN"/>
              </w:rPr>
              <w:t>、</w:t>
            </w:r>
            <w:r>
              <w:rPr>
                <w:rFonts w:hint="eastAsia"/>
                <w:color w:val="auto"/>
                <w:lang w:val="en-US" w:eastAsia="zh-CN"/>
              </w:rPr>
              <w:t>废切削液、漆渣、废活性炭、废催化剂</w:t>
            </w:r>
            <w:r>
              <w:rPr>
                <w:rFonts w:hint="eastAsia"/>
                <w:color w:val="auto"/>
              </w:rPr>
              <w:t>等危险废物委托有资质单位无害化处置；生活垃圾由环卫部门统一清运。废硝盐实际产生后需经危废鉴定，鉴定后按鉴定结果处理。(危废鉴定前先按照《危险废物贮存污染控制标准》(GB18597-2023)中的相关要求暂时存放于危险废物仓内。实际产生经危废鉴定确定属性后，若废硝盐鉴定为危险废物，则按照危险废物处置要求进行委外处理；若鉴定为不属于危险废物，则产生的废硝盐属于一般工业固废，需按照一般工业固废处置要求进行委外处置。)</w:t>
            </w:r>
          </w:p>
          <w:p w14:paraId="0768B522">
            <w:pPr>
              <w:adjustRightInd w:val="0"/>
              <w:snapToGrid w:val="0"/>
              <w:spacing w:line="360" w:lineRule="auto"/>
              <w:rPr>
                <w:color w:val="auto"/>
              </w:rPr>
            </w:pPr>
            <w:r>
              <w:rPr>
                <w:color w:val="auto"/>
              </w:rPr>
              <w:t>2、危废厂内暂存期间，企业在厂区内按危废贮存要求妥善保管、封存，并做好相应场所的防渗、防漏工作。</w:t>
            </w:r>
          </w:p>
        </w:tc>
      </w:tr>
    </w:tbl>
    <w:p w14:paraId="3FA7C6A9">
      <w:pPr>
        <w:pStyle w:val="34"/>
        <w:rPr>
          <w:color w:val="auto"/>
        </w:rPr>
        <w:sectPr>
          <w:pgSz w:w="11906" w:h="16838"/>
          <w:pgMar w:top="1418" w:right="1230" w:bottom="1418" w:left="1134" w:header="851" w:footer="992" w:gutter="0"/>
          <w:pgNumType w:fmt="decimal"/>
          <w:cols w:space="425" w:num="1"/>
          <w:docGrid w:type="linesAndChars" w:linePitch="312" w:charSpace="0"/>
        </w:sectPr>
      </w:pPr>
    </w:p>
    <w:p w14:paraId="7689F2A8">
      <w:pPr>
        <w:pStyle w:val="3"/>
        <w:spacing w:line="360" w:lineRule="auto"/>
        <w:jc w:val="left"/>
        <w:rPr>
          <w:rFonts w:hint="default" w:eastAsia="宋体"/>
          <w:color w:val="auto"/>
          <w:lang w:val="en-US" w:eastAsia="zh-CN"/>
        </w:rPr>
      </w:pPr>
      <w:bookmarkStart w:id="50" w:name="_Toc20543"/>
      <w:r>
        <w:rPr>
          <w:rFonts w:hint="eastAsia"/>
          <w:color w:val="auto"/>
          <w:lang w:val="en-US" w:eastAsia="zh-CN"/>
        </w:rPr>
        <w:t>附件2 溶剂型油漆VOCs检测报告</w:t>
      </w:r>
      <w:bookmarkEnd w:id="50"/>
    </w:p>
    <w:p w14:paraId="108268A9">
      <w:pPr>
        <w:tabs>
          <w:tab w:val="left" w:pos="960"/>
        </w:tabs>
        <w:spacing w:line="360" w:lineRule="auto"/>
        <w:jc w:val="left"/>
        <w:outlineLvl w:val="9"/>
        <w:rPr>
          <w:rFonts w:hint="eastAsia" w:eastAsia="宋体"/>
          <w:color w:val="auto"/>
          <w:lang w:eastAsia="zh-CN"/>
        </w:rPr>
      </w:pPr>
      <w:r>
        <w:rPr>
          <w:rFonts w:hint="eastAsia" w:eastAsia="宋体"/>
          <w:color w:val="auto"/>
          <w:lang w:eastAsia="zh-CN"/>
        </w:rPr>
        <w:drawing>
          <wp:inline distT="0" distB="0" distL="114300" distR="114300">
            <wp:extent cx="5654040" cy="7999730"/>
            <wp:effectExtent l="0" t="0" r="0" b="1270"/>
            <wp:docPr id="42" name="图片 42" descr="cTỈ华测检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TỈ华测检测_01"/>
                    <pic:cNvPicPr>
                      <a:picLocks noChangeAspect="1"/>
                    </pic:cNvPicPr>
                  </pic:nvPicPr>
                  <pic:blipFill>
                    <a:blip r:embed="rId18"/>
                    <a:stretch>
                      <a:fillRect/>
                    </a:stretch>
                  </pic:blipFill>
                  <pic:spPr>
                    <a:xfrm>
                      <a:off x="0" y="0"/>
                      <a:ext cx="5654040" cy="7999730"/>
                    </a:xfrm>
                    <a:prstGeom prst="rect">
                      <a:avLst/>
                    </a:prstGeom>
                  </pic:spPr>
                </pic:pic>
              </a:graphicData>
            </a:graphic>
          </wp:inline>
        </w:drawing>
      </w:r>
      <w:r>
        <w:rPr>
          <w:rFonts w:hint="eastAsia" w:eastAsia="宋体"/>
          <w:color w:val="auto"/>
          <w:lang w:eastAsia="zh-CN"/>
        </w:rPr>
        <w:drawing>
          <wp:inline distT="0" distB="0" distL="114300" distR="114300">
            <wp:extent cx="6055360" cy="8567420"/>
            <wp:effectExtent l="0" t="0" r="10160" b="12700"/>
            <wp:docPr id="41" name="图片 41" descr="cTỈ华测检测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TỈ华测检测_02"/>
                    <pic:cNvPicPr>
                      <a:picLocks noChangeAspect="1"/>
                    </pic:cNvPicPr>
                  </pic:nvPicPr>
                  <pic:blipFill>
                    <a:blip r:embed="rId19"/>
                    <a:stretch>
                      <a:fillRect/>
                    </a:stretch>
                  </pic:blipFill>
                  <pic:spPr>
                    <a:xfrm>
                      <a:off x="0" y="0"/>
                      <a:ext cx="6055360" cy="8567420"/>
                    </a:xfrm>
                    <a:prstGeom prst="rect">
                      <a:avLst/>
                    </a:prstGeom>
                  </pic:spPr>
                </pic:pic>
              </a:graphicData>
            </a:graphic>
          </wp:inline>
        </w:drawing>
      </w:r>
      <w:r>
        <w:rPr>
          <w:rFonts w:hint="eastAsia" w:eastAsia="宋体"/>
          <w:color w:val="auto"/>
          <w:lang w:eastAsia="zh-CN"/>
        </w:rPr>
        <w:drawing>
          <wp:inline distT="0" distB="0" distL="114300" distR="114300">
            <wp:extent cx="6055360" cy="8567420"/>
            <wp:effectExtent l="0" t="0" r="10160" b="12700"/>
            <wp:docPr id="25" name="图片 25" descr="cTỈ华测检测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TỈ华测检测_03"/>
                    <pic:cNvPicPr>
                      <a:picLocks noChangeAspect="1"/>
                    </pic:cNvPicPr>
                  </pic:nvPicPr>
                  <pic:blipFill>
                    <a:blip r:embed="rId20"/>
                    <a:stretch>
                      <a:fillRect/>
                    </a:stretch>
                  </pic:blipFill>
                  <pic:spPr>
                    <a:xfrm>
                      <a:off x="0" y="0"/>
                      <a:ext cx="6055360" cy="8567420"/>
                    </a:xfrm>
                    <a:prstGeom prst="rect">
                      <a:avLst/>
                    </a:prstGeom>
                  </pic:spPr>
                </pic:pic>
              </a:graphicData>
            </a:graphic>
          </wp:inline>
        </w:drawing>
      </w:r>
      <w:r>
        <w:rPr>
          <w:rFonts w:hint="eastAsia" w:eastAsia="宋体"/>
          <w:color w:val="auto"/>
          <w:lang w:eastAsia="zh-CN"/>
        </w:rPr>
        <w:drawing>
          <wp:inline distT="0" distB="0" distL="114300" distR="114300">
            <wp:extent cx="6055360" cy="8567420"/>
            <wp:effectExtent l="0" t="0" r="10160" b="12700"/>
            <wp:docPr id="21" name="图片 21" descr="cTỈ华测检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TỈ华测检测_04"/>
                    <pic:cNvPicPr>
                      <a:picLocks noChangeAspect="1"/>
                    </pic:cNvPicPr>
                  </pic:nvPicPr>
                  <pic:blipFill>
                    <a:blip r:embed="rId21"/>
                    <a:stretch>
                      <a:fillRect/>
                    </a:stretch>
                  </pic:blipFill>
                  <pic:spPr>
                    <a:xfrm>
                      <a:off x="0" y="0"/>
                      <a:ext cx="6055360" cy="8567420"/>
                    </a:xfrm>
                    <a:prstGeom prst="rect">
                      <a:avLst/>
                    </a:prstGeom>
                  </pic:spPr>
                </pic:pic>
              </a:graphicData>
            </a:graphic>
          </wp:inline>
        </w:drawing>
      </w:r>
    </w:p>
    <w:p w14:paraId="227D1B29">
      <w:pPr>
        <w:pStyle w:val="3"/>
        <w:spacing w:line="360" w:lineRule="auto"/>
        <w:jc w:val="left"/>
        <w:rPr>
          <w:color w:val="auto"/>
        </w:rPr>
      </w:pPr>
      <w:bookmarkStart w:id="51" w:name="_Toc13473"/>
      <w:r>
        <w:rPr>
          <w:rFonts w:hint="eastAsia"/>
          <w:color w:val="auto"/>
        </w:rPr>
        <w:t>附件</w:t>
      </w:r>
      <w:r>
        <w:rPr>
          <w:rFonts w:hint="eastAsia"/>
          <w:color w:val="auto"/>
          <w:lang w:val="en-US" w:eastAsia="zh-CN"/>
        </w:rPr>
        <w:t>3</w:t>
      </w:r>
      <w:r>
        <w:rPr>
          <w:rFonts w:hint="eastAsia"/>
          <w:color w:val="auto"/>
        </w:rPr>
        <w:t xml:space="preserve"> 水性漆VOCs检测报告</w:t>
      </w:r>
      <w:bookmarkEnd w:id="51"/>
    </w:p>
    <w:p w14:paraId="3487BE99">
      <w:pPr>
        <w:rPr>
          <w:color w:val="auto"/>
        </w:rPr>
      </w:pPr>
      <w:r>
        <w:rPr>
          <w:color w:val="auto"/>
        </w:rPr>
        <w:drawing>
          <wp:inline distT="0" distB="0" distL="114300" distR="114300">
            <wp:extent cx="5647055" cy="7986395"/>
            <wp:effectExtent l="0" t="0" r="6985" b="14605"/>
            <wp:docPr id="20" name="图片 20" descr="检测报告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检测报告_00"/>
                    <pic:cNvPicPr>
                      <a:picLocks noChangeAspect="1"/>
                    </pic:cNvPicPr>
                  </pic:nvPicPr>
                  <pic:blipFill>
                    <a:blip r:embed="rId22"/>
                    <a:stretch>
                      <a:fillRect/>
                    </a:stretch>
                  </pic:blipFill>
                  <pic:spPr>
                    <a:xfrm>
                      <a:off x="0" y="0"/>
                      <a:ext cx="5647055" cy="7986395"/>
                    </a:xfrm>
                    <a:prstGeom prst="rect">
                      <a:avLst/>
                    </a:prstGeom>
                  </pic:spPr>
                </pic:pic>
              </a:graphicData>
            </a:graphic>
          </wp:inline>
        </w:drawing>
      </w:r>
      <w:r>
        <w:rPr>
          <w:color w:val="auto"/>
        </w:rPr>
        <w:drawing>
          <wp:inline distT="0" distB="0" distL="114300" distR="114300">
            <wp:extent cx="6056630" cy="8564880"/>
            <wp:effectExtent l="0" t="0" r="8890" b="0"/>
            <wp:docPr id="19" name="图片 19" descr="检测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检测报告_01"/>
                    <pic:cNvPicPr>
                      <a:picLocks noChangeAspect="1"/>
                    </pic:cNvPicPr>
                  </pic:nvPicPr>
                  <pic:blipFill>
                    <a:blip r:embed="rId23"/>
                    <a:stretch>
                      <a:fillRect/>
                    </a:stretch>
                  </pic:blipFill>
                  <pic:spPr>
                    <a:xfrm>
                      <a:off x="0" y="0"/>
                      <a:ext cx="6056630" cy="8564880"/>
                    </a:xfrm>
                    <a:prstGeom prst="rect">
                      <a:avLst/>
                    </a:prstGeom>
                  </pic:spPr>
                </pic:pic>
              </a:graphicData>
            </a:graphic>
          </wp:inline>
        </w:drawing>
      </w:r>
      <w:r>
        <w:rPr>
          <w:color w:val="auto"/>
        </w:rPr>
        <w:drawing>
          <wp:inline distT="0" distB="0" distL="114300" distR="114300">
            <wp:extent cx="6056630" cy="8564880"/>
            <wp:effectExtent l="0" t="0" r="8890" b="0"/>
            <wp:docPr id="18" name="图片 18" descr="检测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检测报告_02"/>
                    <pic:cNvPicPr>
                      <a:picLocks noChangeAspect="1"/>
                    </pic:cNvPicPr>
                  </pic:nvPicPr>
                  <pic:blipFill>
                    <a:blip r:embed="rId24"/>
                    <a:stretch>
                      <a:fillRect/>
                    </a:stretch>
                  </pic:blipFill>
                  <pic:spPr>
                    <a:xfrm>
                      <a:off x="0" y="0"/>
                      <a:ext cx="6056630" cy="8564880"/>
                    </a:xfrm>
                    <a:prstGeom prst="rect">
                      <a:avLst/>
                    </a:prstGeom>
                  </pic:spPr>
                </pic:pic>
              </a:graphicData>
            </a:graphic>
          </wp:inline>
        </w:drawing>
      </w:r>
      <w:r>
        <w:rPr>
          <w:color w:val="auto"/>
        </w:rPr>
        <w:drawing>
          <wp:inline distT="0" distB="0" distL="114300" distR="114300">
            <wp:extent cx="6056630" cy="8564880"/>
            <wp:effectExtent l="0" t="0" r="8890" b="0"/>
            <wp:docPr id="5" name="图片 5" descr="检测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检测报告_03"/>
                    <pic:cNvPicPr>
                      <a:picLocks noChangeAspect="1"/>
                    </pic:cNvPicPr>
                  </pic:nvPicPr>
                  <pic:blipFill>
                    <a:blip r:embed="rId25"/>
                    <a:stretch>
                      <a:fillRect/>
                    </a:stretch>
                  </pic:blipFill>
                  <pic:spPr>
                    <a:xfrm>
                      <a:off x="0" y="0"/>
                      <a:ext cx="6056630" cy="8564880"/>
                    </a:xfrm>
                    <a:prstGeom prst="rect">
                      <a:avLst/>
                    </a:prstGeom>
                  </pic:spPr>
                </pic:pic>
              </a:graphicData>
            </a:graphic>
          </wp:inline>
        </w:drawing>
      </w:r>
      <w:r>
        <w:rPr>
          <w:color w:val="auto"/>
        </w:rPr>
        <w:drawing>
          <wp:inline distT="0" distB="0" distL="114300" distR="114300">
            <wp:extent cx="6056630" cy="8564880"/>
            <wp:effectExtent l="0" t="0" r="8890" b="0"/>
            <wp:docPr id="1" name="图片 1" descr="检测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检测报告_04"/>
                    <pic:cNvPicPr>
                      <a:picLocks noChangeAspect="1"/>
                    </pic:cNvPicPr>
                  </pic:nvPicPr>
                  <pic:blipFill>
                    <a:blip r:embed="rId26"/>
                    <a:stretch>
                      <a:fillRect/>
                    </a:stretch>
                  </pic:blipFill>
                  <pic:spPr>
                    <a:xfrm>
                      <a:off x="0" y="0"/>
                      <a:ext cx="6056630" cy="8564880"/>
                    </a:xfrm>
                    <a:prstGeom prst="rect">
                      <a:avLst/>
                    </a:prstGeom>
                  </pic:spPr>
                </pic:pic>
              </a:graphicData>
            </a:graphic>
          </wp:inline>
        </w:drawing>
      </w:r>
    </w:p>
    <w:p w14:paraId="26EBB9A8">
      <w:pPr>
        <w:pStyle w:val="3"/>
        <w:spacing w:line="360" w:lineRule="auto"/>
        <w:jc w:val="left"/>
        <w:rPr>
          <w:rFonts w:hint="default" w:eastAsia="宋体"/>
          <w:color w:val="auto"/>
          <w:lang w:val="en-US" w:eastAsia="zh-CN"/>
        </w:rPr>
      </w:pPr>
      <w:bookmarkStart w:id="52" w:name="_Toc15582"/>
      <w:r>
        <w:rPr>
          <w:rFonts w:hint="eastAsia"/>
          <w:color w:val="auto"/>
        </w:rPr>
        <w:t>附件</w:t>
      </w:r>
      <w:r>
        <w:rPr>
          <w:rFonts w:hint="eastAsia"/>
          <w:color w:val="auto"/>
          <w:lang w:val="en-US" w:eastAsia="zh-CN"/>
        </w:rPr>
        <w:t>4</w:t>
      </w:r>
      <w:r>
        <w:rPr>
          <w:rFonts w:hint="eastAsia"/>
          <w:color w:val="auto"/>
        </w:rPr>
        <w:t xml:space="preserve"> 水性漆</w:t>
      </w:r>
      <w:r>
        <w:rPr>
          <w:rFonts w:hint="eastAsia"/>
          <w:color w:val="auto"/>
          <w:lang w:val="en-US" w:eastAsia="zh-CN"/>
        </w:rPr>
        <w:t>安全技术说明书（MSDS）</w:t>
      </w:r>
      <w:bookmarkEnd w:id="52"/>
    </w:p>
    <w:p w14:paraId="3918FEB6">
      <w:pPr>
        <w:rPr>
          <w:rFonts w:hint="eastAsia" w:eastAsia="宋体"/>
          <w:color w:val="auto"/>
          <w:lang w:eastAsia="zh-CN"/>
        </w:rPr>
        <w:sectPr>
          <w:pgSz w:w="11906" w:h="16838"/>
          <w:pgMar w:top="1418" w:right="1230" w:bottom="1418" w:left="1134" w:header="851" w:footer="992" w:gutter="0"/>
          <w:pgNumType w:fmt="decimal"/>
          <w:cols w:space="425" w:num="1"/>
          <w:docGrid w:type="linesAndChars" w:linePitch="312" w:charSpace="0"/>
        </w:sectPr>
      </w:pPr>
      <w:r>
        <w:rPr>
          <w:rFonts w:hint="eastAsia" w:eastAsia="宋体"/>
          <w:color w:val="auto"/>
          <w:lang w:eastAsia="zh-CN"/>
        </w:rPr>
        <w:drawing>
          <wp:inline distT="0" distB="0" distL="114300" distR="114300">
            <wp:extent cx="6054725" cy="7835265"/>
            <wp:effectExtent l="0" t="0" r="10795" b="13335"/>
            <wp:docPr id="31" name="图片 31" descr="WAD9023S-2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WAD9023S-20_00"/>
                    <pic:cNvPicPr>
                      <a:picLocks noChangeAspect="1"/>
                    </pic:cNvPicPr>
                  </pic:nvPicPr>
                  <pic:blipFill>
                    <a:blip r:embed="rId27"/>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30" name="图片 30" descr="WAD9023S-2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WAD9023S-20_01"/>
                    <pic:cNvPicPr>
                      <a:picLocks noChangeAspect="1"/>
                    </pic:cNvPicPr>
                  </pic:nvPicPr>
                  <pic:blipFill>
                    <a:blip r:embed="rId28"/>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29" name="图片 29" descr="WAD9023S-20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WAD9023S-20_02"/>
                    <pic:cNvPicPr>
                      <a:picLocks noChangeAspect="1"/>
                    </pic:cNvPicPr>
                  </pic:nvPicPr>
                  <pic:blipFill>
                    <a:blip r:embed="rId29"/>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28" name="图片 28" descr="WAD9023S-20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WAD9023S-20_03"/>
                    <pic:cNvPicPr>
                      <a:picLocks noChangeAspect="1"/>
                    </pic:cNvPicPr>
                  </pic:nvPicPr>
                  <pic:blipFill>
                    <a:blip r:embed="rId30"/>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27" name="图片 27" descr="WAD9023S-20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WAD9023S-20_04"/>
                    <pic:cNvPicPr>
                      <a:picLocks noChangeAspect="1"/>
                    </pic:cNvPicPr>
                  </pic:nvPicPr>
                  <pic:blipFill>
                    <a:blip r:embed="rId31"/>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26" name="图片 26" descr="WAD9023S-20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WAD9023S-20_05"/>
                    <pic:cNvPicPr>
                      <a:picLocks noChangeAspect="1"/>
                    </pic:cNvPicPr>
                  </pic:nvPicPr>
                  <pic:blipFill>
                    <a:blip r:embed="rId32"/>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24" name="图片 24" descr="WAD9023S-20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WAD9023S-20_06"/>
                    <pic:cNvPicPr>
                      <a:picLocks noChangeAspect="1"/>
                    </pic:cNvPicPr>
                  </pic:nvPicPr>
                  <pic:blipFill>
                    <a:blip r:embed="rId33"/>
                    <a:stretch>
                      <a:fillRect/>
                    </a:stretch>
                  </pic:blipFill>
                  <pic:spPr>
                    <a:xfrm>
                      <a:off x="0" y="0"/>
                      <a:ext cx="6054725" cy="7835265"/>
                    </a:xfrm>
                    <a:prstGeom prst="rect">
                      <a:avLst/>
                    </a:prstGeom>
                  </pic:spPr>
                </pic:pic>
              </a:graphicData>
            </a:graphic>
          </wp:inline>
        </w:drawing>
      </w:r>
      <w:r>
        <w:rPr>
          <w:rFonts w:hint="eastAsia" w:eastAsia="宋体"/>
          <w:color w:val="auto"/>
          <w:lang w:eastAsia="zh-CN"/>
        </w:rPr>
        <w:drawing>
          <wp:inline distT="0" distB="0" distL="114300" distR="114300">
            <wp:extent cx="6054725" cy="7835265"/>
            <wp:effectExtent l="0" t="0" r="10795" b="13335"/>
            <wp:docPr id="23" name="图片 23" descr="WAD9023S-20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AD9023S-20_07"/>
                    <pic:cNvPicPr>
                      <a:picLocks noChangeAspect="1"/>
                    </pic:cNvPicPr>
                  </pic:nvPicPr>
                  <pic:blipFill>
                    <a:blip r:embed="rId34"/>
                    <a:stretch>
                      <a:fillRect/>
                    </a:stretch>
                  </pic:blipFill>
                  <pic:spPr>
                    <a:xfrm>
                      <a:off x="0" y="0"/>
                      <a:ext cx="6054725" cy="7835265"/>
                    </a:xfrm>
                    <a:prstGeom prst="rect">
                      <a:avLst/>
                    </a:prstGeom>
                  </pic:spPr>
                </pic:pic>
              </a:graphicData>
            </a:graphic>
          </wp:inline>
        </w:drawing>
      </w:r>
    </w:p>
    <w:p w14:paraId="5D06D82A">
      <w:pPr>
        <w:pStyle w:val="3"/>
        <w:spacing w:line="360" w:lineRule="auto"/>
        <w:jc w:val="left"/>
        <w:rPr>
          <w:rFonts w:hint="default" w:eastAsia="宋体"/>
          <w:color w:val="auto"/>
          <w:lang w:val="en-US" w:eastAsia="zh-CN"/>
        </w:rPr>
      </w:pPr>
      <w:bookmarkStart w:id="53" w:name="_Toc32496"/>
      <w:r>
        <w:rPr>
          <w:rFonts w:hint="eastAsia"/>
          <w:color w:val="auto"/>
        </w:rPr>
        <w:t>附件</w:t>
      </w:r>
      <w:r>
        <w:rPr>
          <w:rFonts w:hint="eastAsia"/>
          <w:color w:val="auto"/>
          <w:lang w:val="en-US" w:eastAsia="zh-CN"/>
        </w:rPr>
        <w:t>5</w:t>
      </w:r>
      <w:r>
        <w:rPr>
          <w:rFonts w:hint="eastAsia"/>
          <w:color w:val="auto"/>
        </w:rPr>
        <w:t xml:space="preserve"> </w:t>
      </w:r>
      <w:r>
        <w:rPr>
          <w:rFonts w:hint="eastAsia"/>
          <w:color w:val="auto"/>
          <w:lang w:val="en-US" w:eastAsia="zh-CN"/>
        </w:rPr>
        <w:t>溶剂型</w:t>
      </w:r>
      <w:r>
        <w:rPr>
          <w:rFonts w:hint="eastAsia"/>
          <w:color w:val="auto"/>
        </w:rPr>
        <w:t>漆</w:t>
      </w:r>
      <w:r>
        <w:rPr>
          <w:rFonts w:hint="eastAsia"/>
          <w:color w:val="auto"/>
          <w:lang w:val="en-US" w:eastAsia="zh-CN"/>
        </w:rPr>
        <w:t>安全技术说明书（MSDS）</w:t>
      </w:r>
      <w:bookmarkEnd w:id="53"/>
    </w:p>
    <w:p w14:paraId="2BBF1B57">
      <w:pPr>
        <w:spacing w:line="360" w:lineRule="auto"/>
        <w:jc w:val="left"/>
        <w:outlineLvl w:val="9"/>
        <w:rPr>
          <w:rFonts w:hint="eastAsia" w:eastAsia="宋体"/>
          <w:color w:val="auto"/>
          <w:lang w:eastAsia="zh-CN"/>
        </w:rPr>
      </w:pP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56" name="图片 1" descr="附件2油性漆M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descr="附件2油性漆MSDS_01"/>
                    <pic:cNvPicPr>
                      <a:picLocks noChangeAspect="1"/>
                    </pic:cNvPicPr>
                  </pic:nvPicPr>
                  <pic:blipFill>
                    <a:blip r:embed="rId35"/>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63" name="图片 2" descr="附件2油性漆M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 descr="附件2油性漆MSDS_02"/>
                    <pic:cNvPicPr>
                      <a:picLocks noChangeAspect="1"/>
                    </pic:cNvPicPr>
                  </pic:nvPicPr>
                  <pic:blipFill>
                    <a:blip r:embed="rId36"/>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58" name="图片 3" descr="附件2油性漆MSDS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 descr="附件2油性漆MSDS_03"/>
                    <pic:cNvPicPr>
                      <a:picLocks noChangeAspect="1"/>
                    </pic:cNvPicPr>
                  </pic:nvPicPr>
                  <pic:blipFill>
                    <a:blip r:embed="rId37"/>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44" name="图片 4" descr="附件2油性漆MSDS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descr="附件2油性漆MSDS_04"/>
                    <pic:cNvPicPr>
                      <a:picLocks noChangeAspect="1"/>
                    </pic:cNvPicPr>
                  </pic:nvPicPr>
                  <pic:blipFill>
                    <a:blip r:embed="rId38"/>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69" name="图片 5" descr="附件2油性漆MSDS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descr="附件2油性漆MSDS_05"/>
                    <pic:cNvPicPr>
                      <a:picLocks noChangeAspect="1"/>
                    </pic:cNvPicPr>
                  </pic:nvPicPr>
                  <pic:blipFill>
                    <a:blip r:embed="rId39"/>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65" name="图片 6" descr="附件2油性漆MSDS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 descr="附件2油性漆MSDS_06"/>
                    <pic:cNvPicPr>
                      <a:picLocks noChangeAspect="1"/>
                    </pic:cNvPicPr>
                  </pic:nvPicPr>
                  <pic:blipFill>
                    <a:blip r:embed="rId40"/>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68" name="图片 7" descr="附件2油性漆MSDS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7" descr="附件2油性漆MSDS_07"/>
                    <pic:cNvPicPr>
                      <a:picLocks noChangeAspect="1"/>
                    </pic:cNvPicPr>
                  </pic:nvPicPr>
                  <pic:blipFill>
                    <a:blip r:embed="rId41"/>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43" name="图片 8" descr="附件2油性漆MSDS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descr="附件2油性漆MSDS_08"/>
                    <pic:cNvPicPr>
                      <a:picLocks noChangeAspect="1"/>
                    </pic:cNvPicPr>
                  </pic:nvPicPr>
                  <pic:blipFill>
                    <a:blip r:embed="rId42"/>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70" name="图片 9" descr="附件2油性漆MSDS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9" descr="附件2油性漆MSDS_09"/>
                    <pic:cNvPicPr>
                      <a:picLocks noChangeAspect="1"/>
                    </pic:cNvPicPr>
                  </pic:nvPicPr>
                  <pic:blipFill>
                    <a:blip r:embed="rId43"/>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62" name="图片 10" descr="附件2油性漆MSDS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0" descr="附件2油性漆MSDS_10"/>
                    <pic:cNvPicPr>
                      <a:picLocks noChangeAspect="1"/>
                    </pic:cNvPicPr>
                  </pic:nvPicPr>
                  <pic:blipFill>
                    <a:blip r:embed="rId44"/>
                    <a:stretch>
                      <a:fillRect/>
                    </a:stretch>
                  </pic:blipFill>
                  <pic:spPr>
                    <a:xfrm>
                      <a:off x="0" y="0"/>
                      <a:ext cx="5507990" cy="7790815"/>
                    </a:xfrm>
                    <a:prstGeom prst="rect">
                      <a:avLst/>
                    </a:prstGeom>
                    <a:noFill/>
                    <a:ln>
                      <a:noFill/>
                    </a:ln>
                  </pic:spPr>
                </pic:pic>
              </a:graphicData>
            </a:graphic>
          </wp:inline>
        </w:drawing>
      </w:r>
      <w:r>
        <w:rPr>
          <w:rFonts w:hint="default" w:ascii="Times New Roman" w:hAnsi="Times New Roman" w:eastAsia="宋体" w:cs="Times New Roman"/>
          <w:b/>
          <w:color w:val="auto"/>
          <w:kern w:val="2"/>
          <w:sz w:val="24"/>
          <w:szCs w:val="24"/>
          <w:lang w:val="en-US" w:eastAsia="zh-CN"/>
        </w:rPr>
        <w:drawing>
          <wp:inline distT="0" distB="0" distL="114300" distR="114300">
            <wp:extent cx="5507990" cy="7790815"/>
            <wp:effectExtent l="0" t="0" r="8890" b="12065"/>
            <wp:docPr id="55" name="图片 11" descr="附件2油性漆MSDS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descr="附件2油性漆MSDS_11"/>
                    <pic:cNvPicPr>
                      <a:picLocks noChangeAspect="1"/>
                    </pic:cNvPicPr>
                  </pic:nvPicPr>
                  <pic:blipFill>
                    <a:blip r:embed="rId45"/>
                    <a:stretch>
                      <a:fillRect/>
                    </a:stretch>
                  </pic:blipFill>
                  <pic:spPr>
                    <a:xfrm>
                      <a:off x="0" y="0"/>
                      <a:ext cx="5507990" cy="7790815"/>
                    </a:xfrm>
                    <a:prstGeom prst="rect">
                      <a:avLst/>
                    </a:prstGeom>
                    <a:noFill/>
                    <a:ln>
                      <a:noFill/>
                    </a:ln>
                  </pic:spPr>
                </pic:pic>
              </a:graphicData>
            </a:graphic>
          </wp:inline>
        </w:drawing>
      </w:r>
    </w:p>
    <w:sectPr>
      <w:pgSz w:w="11906" w:h="16838"/>
      <w:pgMar w:top="1418" w:right="1230" w:bottom="1418" w:left="1134"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Verdana"/>
    <w:panose1 w:val="02010601000101010101"/>
    <w:charset w:val="00"/>
    <w:family w:val="auto"/>
    <w:pitch w:val="default"/>
    <w:sig w:usb0="00000000" w:usb1="00000000" w:usb2="00000000" w:usb3="00000000" w:csb0="00000000"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7F" w:usb3="00000000" w:csb0="203F01FF" w:csb1="DFFF0000"/>
  </w:font>
  <w:font w:name="华文宋体">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0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DEAF2">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2479C">
                          <w:pPr>
                            <w:pStyle w:val="5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5952479C">
                    <w:pPr>
                      <w:pStyle w:val="5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BBAF5">
    <w:pPr>
      <w:pStyle w:val="55"/>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FC640">
                          <w:pPr>
                            <w:pStyle w:val="5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F7FC640">
                    <w:pPr>
                      <w:pStyle w:val="5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A5E45">
    <w:pPr>
      <w:pStyle w:val="57"/>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1">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2">
    <w:nsid w:val="0630048A"/>
    <w:multiLevelType w:val="multilevel"/>
    <w:tmpl w:val="0630048A"/>
    <w:lvl w:ilvl="0" w:tentative="0">
      <w:start w:val="1"/>
      <w:numFmt w:val="decimal"/>
      <w:pStyle w:val="117"/>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1"/>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4">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8"/>
      <w:lvlText w:val="%5)"/>
      <w:lvlJc w:val="left"/>
      <w:pPr>
        <w:tabs>
          <w:tab w:val="left" w:pos="2660"/>
        </w:tabs>
        <w:ind w:left="2660" w:hanging="420"/>
      </w:pPr>
    </w:lvl>
    <w:lvl w:ilvl="5" w:tentative="0">
      <w:start w:val="1"/>
      <w:numFmt w:val="lowerRoman"/>
      <w:pStyle w:val="1163"/>
      <w:lvlText w:val="%6."/>
      <w:lvlJc w:val="right"/>
      <w:pPr>
        <w:tabs>
          <w:tab w:val="left" w:pos="3080"/>
        </w:tabs>
        <w:ind w:left="3080" w:hanging="420"/>
      </w:pPr>
    </w:lvl>
    <w:lvl w:ilvl="6" w:tentative="0">
      <w:start w:val="1"/>
      <w:numFmt w:val="decimal"/>
      <w:pStyle w:val="1151"/>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5">
    <w:nsid w:val="1EA721A3"/>
    <w:multiLevelType w:val="multilevel"/>
    <w:tmpl w:val="1EA721A3"/>
    <w:lvl w:ilvl="0" w:tentative="0">
      <w:start w:val="1"/>
      <w:numFmt w:val="decimal"/>
      <w:pStyle w:val="1158"/>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6">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7">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3"/>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8">
    <w:nsid w:val="3AB32C38"/>
    <w:multiLevelType w:val="multilevel"/>
    <w:tmpl w:val="3AB32C38"/>
    <w:lvl w:ilvl="0" w:tentative="0">
      <w:start w:val="1"/>
      <w:numFmt w:val="decimal"/>
      <w:pStyle w:val="116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3B3A52CE"/>
    <w:multiLevelType w:val="multilevel"/>
    <w:tmpl w:val="3B3A52CE"/>
    <w:lvl w:ilvl="0" w:tentative="0">
      <w:start w:val="1"/>
      <w:numFmt w:val="bullet"/>
      <w:pStyle w:val="1157"/>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0">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0B76BFD"/>
    <w:multiLevelType w:val="multilevel"/>
    <w:tmpl w:val="40B76BFD"/>
    <w:lvl w:ilvl="0" w:tentative="0">
      <w:start w:val="1"/>
      <w:numFmt w:val="decimal"/>
      <w:pStyle w:val="118"/>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67F0389"/>
    <w:multiLevelType w:val="multilevel"/>
    <w:tmpl w:val="567F0389"/>
    <w:lvl w:ilvl="0" w:tentative="0">
      <w:start w:val="1"/>
      <w:numFmt w:val="decimal"/>
      <w:pStyle w:val="88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BCC636C"/>
    <w:multiLevelType w:val="singleLevel"/>
    <w:tmpl w:val="5BCC636C"/>
    <w:lvl w:ilvl="0" w:tentative="0">
      <w:start w:val="2"/>
      <w:numFmt w:val="decimal"/>
      <w:pStyle w:val="1152"/>
      <w:lvlText w:val="%1"/>
      <w:lvlJc w:val="left"/>
      <w:pPr>
        <w:tabs>
          <w:tab w:val="left" w:pos="360"/>
        </w:tabs>
        <w:ind w:left="360" w:hanging="360"/>
      </w:pPr>
      <w:rPr>
        <w:rFonts w:hint="default"/>
      </w:rPr>
    </w:lvl>
  </w:abstractNum>
  <w:abstractNum w:abstractNumId="14">
    <w:nsid w:val="608358C3"/>
    <w:multiLevelType w:val="multilevel"/>
    <w:tmpl w:val="608358C3"/>
    <w:lvl w:ilvl="0" w:tentative="0">
      <w:start w:val="1"/>
      <w:numFmt w:val="decimal"/>
      <w:pStyle w:val="116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64113904"/>
    <w:multiLevelType w:val="multilevel"/>
    <w:tmpl w:val="64113904"/>
    <w:lvl w:ilvl="0" w:tentative="0">
      <w:start w:val="7"/>
      <w:numFmt w:val="decimal"/>
      <w:pStyle w:val="872"/>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6">
    <w:nsid w:val="6830566F"/>
    <w:multiLevelType w:val="multilevel"/>
    <w:tmpl w:val="6830566F"/>
    <w:lvl w:ilvl="0" w:tentative="0">
      <w:start w:val="1"/>
      <w:numFmt w:val="decimal"/>
      <w:pStyle w:val="127"/>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692869EC"/>
    <w:multiLevelType w:val="multilevel"/>
    <w:tmpl w:val="692869EC"/>
    <w:lvl w:ilvl="0" w:tentative="0">
      <w:start w:val="1"/>
      <w:numFmt w:val="decimal"/>
      <w:pStyle w:val="125"/>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6933334"/>
    <w:multiLevelType w:val="multilevel"/>
    <w:tmpl w:val="76933334"/>
    <w:lvl w:ilvl="0" w:tentative="0">
      <w:start w:val="1"/>
      <w:numFmt w:val="none"/>
      <w:pStyle w:val="1160"/>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F954494"/>
    <w:multiLevelType w:val="multilevel"/>
    <w:tmpl w:val="7F954494"/>
    <w:lvl w:ilvl="0" w:tentative="0">
      <w:start w:val="1"/>
      <w:numFmt w:val="decimalEnclosedCircle"/>
      <w:pStyle w:val="989"/>
      <w:lvlText w:val="%1"/>
      <w:lvlJc w:val="left"/>
      <w:pPr>
        <w:tabs>
          <w:tab w:val="left" w:pos="836"/>
        </w:tabs>
        <w:ind w:left="836" w:hanging="360"/>
      </w:pPr>
      <w:rPr>
        <w:rFonts w:hint="default"/>
      </w:rPr>
    </w:lvl>
    <w:lvl w:ilvl="1" w:tentative="0">
      <w:start w:val="1"/>
      <w:numFmt w:val="lowerLetter"/>
      <w:pStyle w:val="988"/>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0"/>
  </w:num>
  <w:num w:numId="2">
    <w:abstractNumId w:val="1"/>
  </w:num>
  <w:num w:numId="3">
    <w:abstractNumId w:val="2"/>
  </w:num>
  <w:num w:numId="4">
    <w:abstractNumId w:val="11"/>
  </w:num>
  <w:num w:numId="5">
    <w:abstractNumId w:val="17"/>
  </w:num>
  <w:num w:numId="6">
    <w:abstractNumId w:val="16"/>
  </w:num>
  <w:num w:numId="7">
    <w:abstractNumId w:val="10"/>
  </w:num>
  <w:num w:numId="8">
    <w:abstractNumId w:val="7"/>
  </w:num>
  <w:num w:numId="9">
    <w:abstractNumId w:val="15"/>
  </w:num>
  <w:num w:numId="10">
    <w:abstractNumId w:val="12"/>
  </w:num>
  <w:num w:numId="11">
    <w:abstractNumId w:val="4"/>
  </w:num>
  <w:num w:numId="12">
    <w:abstractNumId w:val="3"/>
  </w:num>
  <w:num w:numId="13">
    <w:abstractNumId w:val="19"/>
  </w:num>
  <w:num w:numId="14">
    <w:abstractNumId w:val="6"/>
  </w:num>
  <w:num w:numId="15">
    <w:abstractNumId w:val="13"/>
  </w:num>
  <w:num w:numId="16">
    <w:abstractNumId w:val="9"/>
  </w:num>
  <w:num w:numId="17">
    <w:abstractNumId w:val="5"/>
  </w:num>
  <w:num w:numId="18">
    <w:abstractNumId w:val="18"/>
  </w:num>
  <w:num w:numId="19">
    <w:abstractNumId w:val="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51462C"/>
    <w:rsid w:val="0000028F"/>
    <w:rsid w:val="00004114"/>
    <w:rsid w:val="00006237"/>
    <w:rsid w:val="0002133A"/>
    <w:rsid w:val="000316D7"/>
    <w:rsid w:val="00036418"/>
    <w:rsid w:val="000405DC"/>
    <w:rsid w:val="0004438F"/>
    <w:rsid w:val="00046E5C"/>
    <w:rsid w:val="00047016"/>
    <w:rsid w:val="00050A61"/>
    <w:rsid w:val="00053EA3"/>
    <w:rsid w:val="0005500D"/>
    <w:rsid w:val="00074A3E"/>
    <w:rsid w:val="00082F88"/>
    <w:rsid w:val="00085F2C"/>
    <w:rsid w:val="00097FA2"/>
    <w:rsid w:val="000A3428"/>
    <w:rsid w:val="000B0E52"/>
    <w:rsid w:val="000B3AF5"/>
    <w:rsid w:val="000D0CD2"/>
    <w:rsid w:val="000D3583"/>
    <w:rsid w:val="000D4496"/>
    <w:rsid w:val="000D6454"/>
    <w:rsid w:val="000E1E93"/>
    <w:rsid w:val="000E4926"/>
    <w:rsid w:val="000E58D0"/>
    <w:rsid w:val="000E6D32"/>
    <w:rsid w:val="000E7B9C"/>
    <w:rsid w:val="000F0389"/>
    <w:rsid w:val="000F2480"/>
    <w:rsid w:val="000F7D8E"/>
    <w:rsid w:val="001023F0"/>
    <w:rsid w:val="00112DEB"/>
    <w:rsid w:val="00113656"/>
    <w:rsid w:val="0011671D"/>
    <w:rsid w:val="0012111C"/>
    <w:rsid w:val="00131369"/>
    <w:rsid w:val="00131A37"/>
    <w:rsid w:val="0013412B"/>
    <w:rsid w:val="001404FE"/>
    <w:rsid w:val="001470EE"/>
    <w:rsid w:val="001564E3"/>
    <w:rsid w:val="00157D39"/>
    <w:rsid w:val="0016116F"/>
    <w:rsid w:val="00166521"/>
    <w:rsid w:val="001665FB"/>
    <w:rsid w:val="00167919"/>
    <w:rsid w:val="001707C7"/>
    <w:rsid w:val="00171FBD"/>
    <w:rsid w:val="00177F33"/>
    <w:rsid w:val="0018029A"/>
    <w:rsid w:val="00182F72"/>
    <w:rsid w:val="00183717"/>
    <w:rsid w:val="001869CA"/>
    <w:rsid w:val="00190850"/>
    <w:rsid w:val="00191F79"/>
    <w:rsid w:val="001A3257"/>
    <w:rsid w:val="001B2B2C"/>
    <w:rsid w:val="001B3D6E"/>
    <w:rsid w:val="001B564E"/>
    <w:rsid w:val="001B658B"/>
    <w:rsid w:val="002004CC"/>
    <w:rsid w:val="0020072B"/>
    <w:rsid w:val="002013C6"/>
    <w:rsid w:val="00213292"/>
    <w:rsid w:val="00213530"/>
    <w:rsid w:val="00214076"/>
    <w:rsid w:val="00214765"/>
    <w:rsid w:val="0021572B"/>
    <w:rsid w:val="00224E17"/>
    <w:rsid w:val="002257A0"/>
    <w:rsid w:val="002353F4"/>
    <w:rsid w:val="00241478"/>
    <w:rsid w:val="00245696"/>
    <w:rsid w:val="00251FB0"/>
    <w:rsid w:val="00252352"/>
    <w:rsid w:val="002617F9"/>
    <w:rsid w:val="00270AE5"/>
    <w:rsid w:val="00276D24"/>
    <w:rsid w:val="002804D8"/>
    <w:rsid w:val="00282EA5"/>
    <w:rsid w:val="002972FB"/>
    <w:rsid w:val="002B6776"/>
    <w:rsid w:val="002C464A"/>
    <w:rsid w:val="002C593D"/>
    <w:rsid w:val="002C7BEE"/>
    <w:rsid w:val="002D4D68"/>
    <w:rsid w:val="002E6B82"/>
    <w:rsid w:val="002E745B"/>
    <w:rsid w:val="002E7513"/>
    <w:rsid w:val="00301BB1"/>
    <w:rsid w:val="00302D91"/>
    <w:rsid w:val="003054DB"/>
    <w:rsid w:val="00315C44"/>
    <w:rsid w:val="003172B5"/>
    <w:rsid w:val="003178DC"/>
    <w:rsid w:val="003236E9"/>
    <w:rsid w:val="00333CF5"/>
    <w:rsid w:val="003379CC"/>
    <w:rsid w:val="00340E63"/>
    <w:rsid w:val="0034104C"/>
    <w:rsid w:val="003461CE"/>
    <w:rsid w:val="00363CCB"/>
    <w:rsid w:val="00373B78"/>
    <w:rsid w:val="003776E6"/>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F148F"/>
    <w:rsid w:val="003F2C61"/>
    <w:rsid w:val="0040448C"/>
    <w:rsid w:val="00410882"/>
    <w:rsid w:val="00411810"/>
    <w:rsid w:val="00414311"/>
    <w:rsid w:val="0041510A"/>
    <w:rsid w:val="00415594"/>
    <w:rsid w:val="0042049D"/>
    <w:rsid w:val="00420C98"/>
    <w:rsid w:val="00422A4D"/>
    <w:rsid w:val="00424706"/>
    <w:rsid w:val="004263A4"/>
    <w:rsid w:val="00435EAE"/>
    <w:rsid w:val="00440E39"/>
    <w:rsid w:val="00447255"/>
    <w:rsid w:val="00462C12"/>
    <w:rsid w:val="00482EC1"/>
    <w:rsid w:val="004859EA"/>
    <w:rsid w:val="0048777D"/>
    <w:rsid w:val="004908D7"/>
    <w:rsid w:val="00491BB2"/>
    <w:rsid w:val="00492E10"/>
    <w:rsid w:val="0049770F"/>
    <w:rsid w:val="00497DC8"/>
    <w:rsid w:val="004A1CAF"/>
    <w:rsid w:val="004A2857"/>
    <w:rsid w:val="004A4AF0"/>
    <w:rsid w:val="004B0286"/>
    <w:rsid w:val="004B2C88"/>
    <w:rsid w:val="004B3B32"/>
    <w:rsid w:val="004C3D6D"/>
    <w:rsid w:val="004C4BD0"/>
    <w:rsid w:val="004C7161"/>
    <w:rsid w:val="004D3279"/>
    <w:rsid w:val="004D5527"/>
    <w:rsid w:val="004E32F2"/>
    <w:rsid w:val="004E36ED"/>
    <w:rsid w:val="004E752A"/>
    <w:rsid w:val="00501829"/>
    <w:rsid w:val="00501870"/>
    <w:rsid w:val="005056B9"/>
    <w:rsid w:val="0051462C"/>
    <w:rsid w:val="00515722"/>
    <w:rsid w:val="00517A02"/>
    <w:rsid w:val="0052175D"/>
    <w:rsid w:val="00540ABA"/>
    <w:rsid w:val="005469FA"/>
    <w:rsid w:val="0054726B"/>
    <w:rsid w:val="005502B7"/>
    <w:rsid w:val="005503EC"/>
    <w:rsid w:val="0055151B"/>
    <w:rsid w:val="00551C41"/>
    <w:rsid w:val="005541A7"/>
    <w:rsid w:val="00575EDF"/>
    <w:rsid w:val="0057788B"/>
    <w:rsid w:val="00581C08"/>
    <w:rsid w:val="0059355E"/>
    <w:rsid w:val="005A2621"/>
    <w:rsid w:val="005A3ECC"/>
    <w:rsid w:val="005A424F"/>
    <w:rsid w:val="005A5639"/>
    <w:rsid w:val="005B32F3"/>
    <w:rsid w:val="005B3B9C"/>
    <w:rsid w:val="005B6578"/>
    <w:rsid w:val="005C17E1"/>
    <w:rsid w:val="005D1E23"/>
    <w:rsid w:val="005D50F8"/>
    <w:rsid w:val="005E031D"/>
    <w:rsid w:val="005E6196"/>
    <w:rsid w:val="005F0A11"/>
    <w:rsid w:val="005F3497"/>
    <w:rsid w:val="005F7D30"/>
    <w:rsid w:val="00612A88"/>
    <w:rsid w:val="00616C62"/>
    <w:rsid w:val="00622D77"/>
    <w:rsid w:val="00624258"/>
    <w:rsid w:val="00625A70"/>
    <w:rsid w:val="006332E3"/>
    <w:rsid w:val="006416D4"/>
    <w:rsid w:val="00643C45"/>
    <w:rsid w:val="006504AB"/>
    <w:rsid w:val="006538E1"/>
    <w:rsid w:val="006571BD"/>
    <w:rsid w:val="00662A2C"/>
    <w:rsid w:val="00666485"/>
    <w:rsid w:val="006665BF"/>
    <w:rsid w:val="00671F3A"/>
    <w:rsid w:val="00674264"/>
    <w:rsid w:val="00685943"/>
    <w:rsid w:val="00687812"/>
    <w:rsid w:val="0069595A"/>
    <w:rsid w:val="006B10A2"/>
    <w:rsid w:val="006B139D"/>
    <w:rsid w:val="006B4A53"/>
    <w:rsid w:val="006B54D2"/>
    <w:rsid w:val="006B7EDA"/>
    <w:rsid w:val="006C496F"/>
    <w:rsid w:val="006C6D2A"/>
    <w:rsid w:val="006C7F99"/>
    <w:rsid w:val="006E2248"/>
    <w:rsid w:val="006E3211"/>
    <w:rsid w:val="006E3DD9"/>
    <w:rsid w:val="006F0187"/>
    <w:rsid w:val="006F1A65"/>
    <w:rsid w:val="006F497C"/>
    <w:rsid w:val="006F5F46"/>
    <w:rsid w:val="00701A63"/>
    <w:rsid w:val="007023E1"/>
    <w:rsid w:val="0070549B"/>
    <w:rsid w:val="00707761"/>
    <w:rsid w:val="00716F5F"/>
    <w:rsid w:val="00717139"/>
    <w:rsid w:val="00721D43"/>
    <w:rsid w:val="00722131"/>
    <w:rsid w:val="007242C7"/>
    <w:rsid w:val="00733699"/>
    <w:rsid w:val="00733F7E"/>
    <w:rsid w:val="007378A8"/>
    <w:rsid w:val="007414E7"/>
    <w:rsid w:val="00741546"/>
    <w:rsid w:val="00743E76"/>
    <w:rsid w:val="0075162F"/>
    <w:rsid w:val="00753193"/>
    <w:rsid w:val="007569D8"/>
    <w:rsid w:val="0076763B"/>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4823"/>
    <w:rsid w:val="007F5A90"/>
    <w:rsid w:val="00801A06"/>
    <w:rsid w:val="008034D7"/>
    <w:rsid w:val="00812110"/>
    <w:rsid w:val="00813388"/>
    <w:rsid w:val="008218B7"/>
    <w:rsid w:val="008227A0"/>
    <w:rsid w:val="00824A46"/>
    <w:rsid w:val="00826B37"/>
    <w:rsid w:val="00832B97"/>
    <w:rsid w:val="008348ED"/>
    <w:rsid w:val="00835C83"/>
    <w:rsid w:val="00851AE7"/>
    <w:rsid w:val="00854BD9"/>
    <w:rsid w:val="00856798"/>
    <w:rsid w:val="00857EC6"/>
    <w:rsid w:val="00883A83"/>
    <w:rsid w:val="00891494"/>
    <w:rsid w:val="0089345C"/>
    <w:rsid w:val="00897257"/>
    <w:rsid w:val="008A10BB"/>
    <w:rsid w:val="008A415D"/>
    <w:rsid w:val="008A44DA"/>
    <w:rsid w:val="008B0DE9"/>
    <w:rsid w:val="008B2B47"/>
    <w:rsid w:val="008C3E1E"/>
    <w:rsid w:val="008C7164"/>
    <w:rsid w:val="008D66B6"/>
    <w:rsid w:val="008E6492"/>
    <w:rsid w:val="008E75A5"/>
    <w:rsid w:val="008F3F17"/>
    <w:rsid w:val="00903320"/>
    <w:rsid w:val="00907DAE"/>
    <w:rsid w:val="009171EA"/>
    <w:rsid w:val="00946953"/>
    <w:rsid w:val="00946BBD"/>
    <w:rsid w:val="00952BF8"/>
    <w:rsid w:val="00953A59"/>
    <w:rsid w:val="0095633A"/>
    <w:rsid w:val="00957C14"/>
    <w:rsid w:val="00964A03"/>
    <w:rsid w:val="00967758"/>
    <w:rsid w:val="00972642"/>
    <w:rsid w:val="0098060F"/>
    <w:rsid w:val="009842F5"/>
    <w:rsid w:val="009859DB"/>
    <w:rsid w:val="00990146"/>
    <w:rsid w:val="00991A85"/>
    <w:rsid w:val="00992656"/>
    <w:rsid w:val="00995B21"/>
    <w:rsid w:val="009961C4"/>
    <w:rsid w:val="00996323"/>
    <w:rsid w:val="009973F3"/>
    <w:rsid w:val="009A02A1"/>
    <w:rsid w:val="009A27D1"/>
    <w:rsid w:val="009A3312"/>
    <w:rsid w:val="009A33E5"/>
    <w:rsid w:val="009A3ABC"/>
    <w:rsid w:val="009A3E04"/>
    <w:rsid w:val="009A788B"/>
    <w:rsid w:val="009C0D80"/>
    <w:rsid w:val="009C6715"/>
    <w:rsid w:val="009C7860"/>
    <w:rsid w:val="009D0FDC"/>
    <w:rsid w:val="009D2465"/>
    <w:rsid w:val="009D6EB5"/>
    <w:rsid w:val="009E0085"/>
    <w:rsid w:val="009E0E86"/>
    <w:rsid w:val="009E2EE3"/>
    <w:rsid w:val="009F4A2D"/>
    <w:rsid w:val="009F508D"/>
    <w:rsid w:val="009F6523"/>
    <w:rsid w:val="009F6CD0"/>
    <w:rsid w:val="009F6E2C"/>
    <w:rsid w:val="009F7F17"/>
    <w:rsid w:val="00A05D7C"/>
    <w:rsid w:val="00A1116A"/>
    <w:rsid w:val="00A1359E"/>
    <w:rsid w:val="00A1425E"/>
    <w:rsid w:val="00A1508C"/>
    <w:rsid w:val="00A17EAC"/>
    <w:rsid w:val="00A303DA"/>
    <w:rsid w:val="00A32E3D"/>
    <w:rsid w:val="00A50F29"/>
    <w:rsid w:val="00A513D4"/>
    <w:rsid w:val="00A66F04"/>
    <w:rsid w:val="00A70AB7"/>
    <w:rsid w:val="00A70CE8"/>
    <w:rsid w:val="00A94784"/>
    <w:rsid w:val="00AA4E5A"/>
    <w:rsid w:val="00AB22B0"/>
    <w:rsid w:val="00AB33EB"/>
    <w:rsid w:val="00AC0007"/>
    <w:rsid w:val="00AD192E"/>
    <w:rsid w:val="00AE3333"/>
    <w:rsid w:val="00AE5137"/>
    <w:rsid w:val="00AF5FEB"/>
    <w:rsid w:val="00B03465"/>
    <w:rsid w:val="00B11612"/>
    <w:rsid w:val="00B13F92"/>
    <w:rsid w:val="00B24A3A"/>
    <w:rsid w:val="00B36BBF"/>
    <w:rsid w:val="00B4569C"/>
    <w:rsid w:val="00B4636A"/>
    <w:rsid w:val="00B60831"/>
    <w:rsid w:val="00B62C2E"/>
    <w:rsid w:val="00B70788"/>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F17E5"/>
    <w:rsid w:val="00BF31B9"/>
    <w:rsid w:val="00BF61B4"/>
    <w:rsid w:val="00C00087"/>
    <w:rsid w:val="00C032B9"/>
    <w:rsid w:val="00C0413A"/>
    <w:rsid w:val="00C05826"/>
    <w:rsid w:val="00C07B58"/>
    <w:rsid w:val="00C07C1F"/>
    <w:rsid w:val="00C1491F"/>
    <w:rsid w:val="00C246C0"/>
    <w:rsid w:val="00C25315"/>
    <w:rsid w:val="00C270C2"/>
    <w:rsid w:val="00C304D9"/>
    <w:rsid w:val="00C50204"/>
    <w:rsid w:val="00C5051A"/>
    <w:rsid w:val="00C51D91"/>
    <w:rsid w:val="00C636F3"/>
    <w:rsid w:val="00C6395C"/>
    <w:rsid w:val="00C67C57"/>
    <w:rsid w:val="00C70D15"/>
    <w:rsid w:val="00C76F3C"/>
    <w:rsid w:val="00C8611D"/>
    <w:rsid w:val="00C8688D"/>
    <w:rsid w:val="00C868E0"/>
    <w:rsid w:val="00C90488"/>
    <w:rsid w:val="00C90F70"/>
    <w:rsid w:val="00C97392"/>
    <w:rsid w:val="00C97580"/>
    <w:rsid w:val="00C97C27"/>
    <w:rsid w:val="00CA1273"/>
    <w:rsid w:val="00CA36B6"/>
    <w:rsid w:val="00CA649A"/>
    <w:rsid w:val="00CB1B6A"/>
    <w:rsid w:val="00CB36EC"/>
    <w:rsid w:val="00CB653A"/>
    <w:rsid w:val="00CB7FB2"/>
    <w:rsid w:val="00CC1F33"/>
    <w:rsid w:val="00CC2082"/>
    <w:rsid w:val="00CC705A"/>
    <w:rsid w:val="00CD011F"/>
    <w:rsid w:val="00CD29B0"/>
    <w:rsid w:val="00CD4532"/>
    <w:rsid w:val="00CE23AC"/>
    <w:rsid w:val="00CF04A2"/>
    <w:rsid w:val="00CF35D9"/>
    <w:rsid w:val="00D042E4"/>
    <w:rsid w:val="00D05E7B"/>
    <w:rsid w:val="00D06620"/>
    <w:rsid w:val="00D07CD7"/>
    <w:rsid w:val="00D100C6"/>
    <w:rsid w:val="00D103A7"/>
    <w:rsid w:val="00D12C5D"/>
    <w:rsid w:val="00D156F8"/>
    <w:rsid w:val="00D174B3"/>
    <w:rsid w:val="00D20287"/>
    <w:rsid w:val="00D3000C"/>
    <w:rsid w:val="00D30C4D"/>
    <w:rsid w:val="00D419AC"/>
    <w:rsid w:val="00D43F67"/>
    <w:rsid w:val="00D4452B"/>
    <w:rsid w:val="00D45077"/>
    <w:rsid w:val="00D550CF"/>
    <w:rsid w:val="00D606B6"/>
    <w:rsid w:val="00D611F0"/>
    <w:rsid w:val="00D64F21"/>
    <w:rsid w:val="00D675CA"/>
    <w:rsid w:val="00D67F38"/>
    <w:rsid w:val="00D77F92"/>
    <w:rsid w:val="00D85341"/>
    <w:rsid w:val="00D85A29"/>
    <w:rsid w:val="00D95D0A"/>
    <w:rsid w:val="00DA2727"/>
    <w:rsid w:val="00DA3682"/>
    <w:rsid w:val="00DB126D"/>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2078B"/>
    <w:rsid w:val="00E25885"/>
    <w:rsid w:val="00E32859"/>
    <w:rsid w:val="00E4416D"/>
    <w:rsid w:val="00E4496B"/>
    <w:rsid w:val="00E45FFD"/>
    <w:rsid w:val="00E55A7B"/>
    <w:rsid w:val="00E6143B"/>
    <w:rsid w:val="00E64C4F"/>
    <w:rsid w:val="00E651CE"/>
    <w:rsid w:val="00E84080"/>
    <w:rsid w:val="00E8461B"/>
    <w:rsid w:val="00E87E7D"/>
    <w:rsid w:val="00E92038"/>
    <w:rsid w:val="00E921AD"/>
    <w:rsid w:val="00E956BA"/>
    <w:rsid w:val="00EB698E"/>
    <w:rsid w:val="00EC1A52"/>
    <w:rsid w:val="00EC3B4C"/>
    <w:rsid w:val="00ED0FEE"/>
    <w:rsid w:val="00ED3537"/>
    <w:rsid w:val="00ED5854"/>
    <w:rsid w:val="00ED5B4A"/>
    <w:rsid w:val="00EE7094"/>
    <w:rsid w:val="00EE758A"/>
    <w:rsid w:val="00EF3795"/>
    <w:rsid w:val="00EF37D5"/>
    <w:rsid w:val="00EF3DFC"/>
    <w:rsid w:val="00F04094"/>
    <w:rsid w:val="00F07073"/>
    <w:rsid w:val="00F07391"/>
    <w:rsid w:val="00F1048C"/>
    <w:rsid w:val="00F154C8"/>
    <w:rsid w:val="00F17BA5"/>
    <w:rsid w:val="00F17E86"/>
    <w:rsid w:val="00F213D3"/>
    <w:rsid w:val="00F21E8E"/>
    <w:rsid w:val="00F22789"/>
    <w:rsid w:val="00F3116D"/>
    <w:rsid w:val="00F409EB"/>
    <w:rsid w:val="00F45B61"/>
    <w:rsid w:val="00F55788"/>
    <w:rsid w:val="00F62C99"/>
    <w:rsid w:val="00F71A78"/>
    <w:rsid w:val="00F777CD"/>
    <w:rsid w:val="00FA09ED"/>
    <w:rsid w:val="00FA46E2"/>
    <w:rsid w:val="00FB4E6A"/>
    <w:rsid w:val="00FC737C"/>
    <w:rsid w:val="00FC7772"/>
    <w:rsid w:val="00FD3A95"/>
    <w:rsid w:val="00FE2231"/>
    <w:rsid w:val="00FE43D6"/>
    <w:rsid w:val="00FF16A6"/>
    <w:rsid w:val="00FF539A"/>
    <w:rsid w:val="016D24B0"/>
    <w:rsid w:val="024A3E4D"/>
    <w:rsid w:val="027553FF"/>
    <w:rsid w:val="028D7FFB"/>
    <w:rsid w:val="03307DFB"/>
    <w:rsid w:val="03AF1619"/>
    <w:rsid w:val="03DC0B28"/>
    <w:rsid w:val="045D5BC2"/>
    <w:rsid w:val="047A13D2"/>
    <w:rsid w:val="048821DC"/>
    <w:rsid w:val="04AF1D45"/>
    <w:rsid w:val="04FB7BB5"/>
    <w:rsid w:val="06D64B9B"/>
    <w:rsid w:val="071B7801"/>
    <w:rsid w:val="071D4B6E"/>
    <w:rsid w:val="07B55AC5"/>
    <w:rsid w:val="08261092"/>
    <w:rsid w:val="08DA3A30"/>
    <w:rsid w:val="094E4C76"/>
    <w:rsid w:val="09E319A6"/>
    <w:rsid w:val="0A390202"/>
    <w:rsid w:val="0A8E6594"/>
    <w:rsid w:val="0AF0694B"/>
    <w:rsid w:val="0B872B0C"/>
    <w:rsid w:val="0D000FC1"/>
    <w:rsid w:val="0D2D49C5"/>
    <w:rsid w:val="0D3774F5"/>
    <w:rsid w:val="0DC31E81"/>
    <w:rsid w:val="0DCE079A"/>
    <w:rsid w:val="0DD17753"/>
    <w:rsid w:val="0DDB4125"/>
    <w:rsid w:val="0E5377B4"/>
    <w:rsid w:val="0F515F54"/>
    <w:rsid w:val="0FF42B65"/>
    <w:rsid w:val="100C1655"/>
    <w:rsid w:val="104D6442"/>
    <w:rsid w:val="123D7FFC"/>
    <w:rsid w:val="12C527A4"/>
    <w:rsid w:val="13DD5D2E"/>
    <w:rsid w:val="1573347F"/>
    <w:rsid w:val="15D43F3A"/>
    <w:rsid w:val="162A27D6"/>
    <w:rsid w:val="16414353"/>
    <w:rsid w:val="166517B9"/>
    <w:rsid w:val="16D66416"/>
    <w:rsid w:val="17186779"/>
    <w:rsid w:val="180127AB"/>
    <w:rsid w:val="182268C1"/>
    <w:rsid w:val="18BA6567"/>
    <w:rsid w:val="19276786"/>
    <w:rsid w:val="1932065B"/>
    <w:rsid w:val="19BF7295"/>
    <w:rsid w:val="1A4140A7"/>
    <w:rsid w:val="1ACD4DAA"/>
    <w:rsid w:val="1B705134"/>
    <w:rsid w:val="1D7D0117"/>
    <w:rsid w:val="1EDC4BF7"/>
    <w:rsid w:val="1F27272F"/>
    <w:rsid w:val="1FD74173"/>
    <w:rsid w:val="1FED61D1"/>
    <w:rsid w:val="216F2527"/>
    <w:rsid w:val="23F3095D"/>
    <w:rsid w:val="248D34F0"/>
    <w:rsid w:val="24AE591F"/>
    <w:rsid w:val="24BE476D"/>
    <w:rsid w:val="251C6382"/>
    <w:rsid w:val="26AD4C86"/>
    <w:rsid w:val="28E236BB"/>
    <w:rsid w:val="29D11A3A"/>
    <w:rsid w:val="2B396E46"/>
    <w:rsid w:val="2C0765D0"/>
    <w:rsid w:val="2C3F40DB"/>
    <w:rsid w:val="2CAB03A4"/>
    <w:rsid w:val="2D3E5E8F"/>
    <w:rsid w:val="2E10643C"/>
    <w:rsid w:val="2E117910"/>
    <w:rsid w:val="2EBD1A55"/>
    <w:rsid w:val="2F1107BF"/>
    <w:rsid w:val="2F990904"/>
    <w:rsid w:val="307D77BF"/>
    <w:rsid w:val="3255570C"/>
    <w:rsid w:val="32C959A4"/>
    <w:rsid w:val="33505B52"/>
    <w:rsid w:val="336B4F0F"/>
    <w:rsid w:val="345C725A"/>
    <w:rsid w:val="34B5451C"/>
    <w:rsid w:val="35C2069F"/>
    <w:rsid w:val="36160F42"/>
    <w:rsid w:val="367570B7"/>
    <w:rsid w:val="36842583"/>
    <w:rsid w:val="36D17E03"/>
    <w:rsid w:val="36E20DE2"/>
    <w:rsid w:val="375E7384"/>
    <w:rsid w:val="37B67330"/>
    <w:rsid w:val="38F20A2A"/>
    <w:rsid w:val="39E62CF0"/>
    <w:rsid w:val="3A1B5AF3"/>
    <w:rsid w:val="3C751F72"/>
    <w:rsid w:val="3D4D2EC2"/>
    <w:rsid w:val="3E9C6B44"/>
    <w:rsid w:val="3F286127"/>
    <w:rsid w:val="417246F3"/>
    <w:rsid w:val="41F456D7"/>
    <w:rsid w:val="44ED7EEE"/>
    <w:rsid w:val="459D6F30"/>
    <w:rsid w:val="4652023B"/>
    <w:rsid w:val="46632865"/>
    <w:rsid w:val="469F4AE5"/>
    <w:rsid w:val="47514302"/>
    <w:rsid w:val="47B82705"/>
    <w:rsid w:val="48E979EF"/>
    <w:rsid w:val="4968768A"/>
    <w:rsid w:val="49694FE8"/>
    <w:rsid w:val="49B01B03"/>
    <w:rsid w:val="4B2322EC"/>
    <w:rsid w:val="4B3E553B"/>
    <w:rsid w:val="4BF51559"/>
    <w:rsid w:val="4BFB49C8"/>
    <w:rsid w:val="4C74334C"/>
    <w:rsid w:val="4C930D16"/>
    <w:rsid w:val="4DE34ED2"/>
    <w:rsid w:val="4F607759"/>
    <w:rsid w:val="4FE152E0"/>
    <w:rsid w:val="50691568"/>
    <w:rsid w:val="509F4E0D"/>
    <w:rsid w:val="51C767AF"/>
    <w:rsid w:val="52C73D8B"/>
    <w:rsid w:val="534C4133"/>
    <w:rsid w:val="53770E5F"/>
    <w:rsid w:val="53D36928"/>
    <w:rsid w:val="540841E9"/>
    <w:rsid w:val="545011EB"/>
    <w:rsid w:val="54CA14CF"/>
    <w:rsid w:val="55D574D1"/>
    <w:rsid w:val="569A0C70"/>
    <w:rsid w:val="56E24A3D"/>
    <w:rsid w:val="580B6B89"/>
    <w:rsid w:val="58F37560"/>
    <w:rsid w:val="594900D9"/>
    <w:rsid w:val="59E64E79"/>
    <w:rsid w:val="59E65C18"/>
    <w:rsid w:val="5AED6451"/>
    <w:rsid w:val="5BC02B57"/>
    <w:rsid w:val="5C705BE8"/>
    <w:rsid w:val="5D7874FB"/>
    <w:rsid w:val="5D8A795A"/>
    <w:rsid w:val="5D990568"/>
    <w:rsid w:val="5DC20804"/>
    <w:rsid w:val="5F5C006D"/>
    <w:rsid w:val="5F6538BF"/>
    <w:rsid w:val="5FEB344E"/>
    <w:rsid w:val="60D35ADB"/>
    <w:rsid w:val="6129645F"/>
    <w:rsid w:val="612D44EE"/>
    <w:rsid w:val="613018F9"/>
    <w:rsid w:val="61A04433"/>
    <w:rsid w:val="62EB7886"/>
    <w:rsid w:val="632359A3"/>
    <w:rsid w:val="633C6226"/>
    <w:rsid w:val="638F7399"/>
    <w:rsid w:val="653B4C00"/>
    <w:rsid w:val="65B260E9"/>
    <w:rsid w:val="65DA6FA5"/>
    <w:rsid w:val="65F468A7"/>
    <w:rsid w:val="679C50B6"/>
    <w:rsid w:val="68201851"/>
    <w:rsid w:val="6A1D5F90"/>
    <w:rsid w:val="6B8E1260"/>
    <w:rsid w:val="6BDD7A11"/>
    <w:rsid w:val="6C607CC3"/>
    <w:rsid w:val="6C7B61C5"/>
    <w:rsid w:val="6D5B59AA"/>
    <w:rsid w:val="6E196C63"/>
    <w:rsid w:val="6ED547AD"/>
    <w:rsid w:val="6EF667ED"/>
    <w:rsid w:val="6F35531B"/>
    <w:rsid w:val="6F7C5A5F"/>
    <w:rsid w:val="721061E5"/>
    <w:rsid w:val="7249105D"/>
    <w:rsid w:val="725C3A15"/>
    <w:rsid w:val="72FD0776"/>
    <w:rsid w:val="740F5ADE"/>
    <w:rsid w:val="751354B8"/>
    <w:rsid w:val="77CE6273"/>
    <w:rsid w:val="781A0EFF"/>
    <w:rsid w:val="78BC76B6"/>
    <w:rsid w:val="79312976"/>
    <w:rsid w:val="7962237D"/>
    <w:rsid w:val="7A5F2593"/>
    <w:rsid w:val="7A7E219D"/>
    <w:rsid w:val="7AAE4081"/>
    <w:rsid w:val="7C2B754B"/>
    <w:rsid w:val="7C860F48"/>
    <w:rsid w:val="7E525E1A"/>
    <w:rsid w:val="7E5A4CCF"/>
    <w:rsid w:val="7EC23592"/>
    <w:rsid w:val="7F4F733C"/>
    <w:rsid w:val="7FB61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9"/>
    <w:qFormat/>
    <w:uiPriority w:val="0"/>
    <w:pPr>
      <w:keepLines/>
      <w:tabs>
        <w:tab w:val="left" w:pos="960"/>
      </w:tabs>
      <w:jc w:val="center"/>
      <w:outlineLvl w:val="0"/>
    </w:pPr>
    <w:rPr>
      <w:b/>
      <w:bCs/>
      <w:kern w:val="44"/>
      <w:sz w:val="24"/>
      <w:szCs w:val="44"/>
    </w:rPr>
  </w:style>
  <w:style w:type="paragraph" w:styleId="4">
    <w:name w:val="heading 2"/>
    <w:basedOn w:val="1"/>
    <w:next w:val="1"/>
    <w:link w:val="178"/>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79"/>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0"/>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8"/>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9"/>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0"/>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1"/>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2"/>
    <w:autoRedefine/>
    <w:qFormat/>
    <w:uiPriority w:val="99"/>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3"/>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4"/>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autoRedefine/>
    <w:qFormat/>
    <w:uiPriority w:val="0"/>
    <w:pPr>
      <w:widowControl/>
      <w:spacing w:line="360" w:lineRule="auto"/>
      <w:ind w:firstLine="480" w:firstLineChars="200"/>
    </w:pPr>
    <w:rPr>
      <w:szCs w:val="20"/>
    </w:rPr>
  </w:style>
  <w:style w:type="paragraph" w:styleId="22">
    <w:name w:val="caption"/>
    <w:basedOn w:val="1"/>
    <w:next w:val="1"/>
    <w:link w:val="186"/>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56"/>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autoRedefine/>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57"/>
    <w:autoRedefine/>
    <w:qFormat/>
    <w:uiPriority w:val="0"/>
    <w:rPr>
      <w:sz w:val="28"/>
      <w:szCs w:val="24"/>
      <w:lang w:val="zh-CN"/>
    </w:rPr>
  </w:style>
  <w:style w:type="paragraph" w:styleId="31">
    <w:name w:val="Body Text 3"/>
    <w:basedOn w:val="1"/>
    <w:link w:val="158"/>
    <w:qFormat/>
    <w:uiPriority w:val="0"/>
    <w:pPr>
      <w:spacing w:after="120"/>
    </w:pPr>
    <w:rPr>
      <w:rFonts w:ascii="Arial" w:hAnsi="Arial"/>
      <w:sz w:val="16"/>
      <w:szCs w:val="16"/>
      <w:lang w:val="zh-CN"/>
    </w:rPr>
  </w:style>
  <w:style w:type="paragraph" w:styleId="32">
    <w:name w:val="Closing"/>
    <w:basedOn w:val="1"/>
    <w:link w:val="188"/>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0"/>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61"/>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89"/>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link w:val="130"/>
    <w:autoRedefine/>
    <w:qFormat/>
    <w:uiPriority w:val="99"/>
    <w:pPr>
      <w:jc w:val="center"/>
    </w:pPr>
    <w:rPr>
      <w:rFonts w:ascii="宋体" w:hAnsi="Courier New"/>
      <w:sz w:val="20"/>
      <w:szCs w:val="20"/>
    </w:rPr>
  </w:style>
  <w:style w:type="paragraph" w:styleId="46">
    <w:name w:val="List Bullet 5"/>
    <w:basedOn w:val="1"/>
    <w:qFormat/>
    <w:uiPriority w:val="0"/>
    <w:pPr>
      <w:ind w:left="2160" w:hanging="360"/>
    </w:pPr>
    <w:rPr>
      <w:szCs w:val="20"/>
      <w:lang w:bidi="he-IL"/>
    </w:rPr>
  </w:style>
  <w:style w:type="paragraph" w:styleId="47">
    <w:name w:val="List Number 4"/>
    <w:basedOn w:val="1"/>
    <w:qFormat/>
    <w:uiPriority w:val="0"/>
    <w:pPr>
      <w:ind w:left="720" w:hanging="360"/>
    </w:pPr>
    <w:rPr>
      <w:szCs w:val="20"/>
      <w:lang w:bidi="he-IL"/>
    </w:rPr>
  </w:style>
  <w:style w:type="paragraph" w:styleId="48">
    <w:name w:val="toc 8"/>
    <w:basedOn w:val="1"/>
    <w:next w:val="1"/>
    <w:qFormat/>
    <w:uiPriority w:val="0"/>
    <w:pPr>
      <w:ind w:left="1680"/>
      <w:jc w:val="left"/>
    </w:pPr>
    <w:rPr>
      <w:rFonts w:ascii="Arial" w:hAnsi="Arial"/>
      <w:sz w:val="18"/>
      <w:szCs w:val="18"/>
    </w:rPr>
  </w:style>
  <w:style w:type="paragraph" w:styleId="49">
    <w:name w:val="index 3"/>
    <w:basedOn w:val="1"/>
    <w:next w:val="1"/>
    <w:qFormat/>
    <w:uiPriority w:val="0"/>
    <w:pPr>
      <w:spacing w:line="360" w:lineRule="auto"/>
      <w:ind w:left="720" w:hanging="240"/>
      <w:jc w:val="left"/>
    </w:pPr>
    <w:rPr>
      <w:sz w:val="18"/>
      <w:szCs w:val="18"/>
    </w:rPr>
  </w:style>
  <w:style w:type="paragraph" w:styleId="50">
    <w:name w:val="Date"/>
    <w:basedOn w:val="1"/>
    <w:next w:val="1"/>
    <w:link w:val="191"/>
    <w:autoRedefine/>
    <w:qFormat/>
    <w:uiPriority w:val="0"/>
    <w:pPr>
      <w:ind w:left="100" w:leftChars="2500"/>
    </w:pPr>
    <w:rPr>
      <w:kern w:val="0"/>
      <w:sz w:val="24"/>
      <w:szCs w:val="20"/>
    </w:rPr>
  </w:style>
  <w:style w:type="paragraph" w:styleId="51">
    <w:name w:val="Body Text Indent 2"/>
    <w:basedOn w:val="1"/>
    <w:link w:val="164"/>
    <w:qFormat/>
    <w:uiPriority w:val="0"/>
    <w:pPr>
      <w:spacing w:after="120" w:line="480" w:lineRule="auto"/>
      <w:ind w:left="420" w:leftChars="200"/>
    </w:pPr>
    <w:rPr>
      <w:rFonts w:ascii="Arial" w:hAnsi="Arial"/>
      <w:sz w:val="24"/>
      <w:szCs w:val="24"/>
      <w:lang w:val="zh-CN"/>
    </w:rPr>
  </w:style>
  <w:style w:type="paragraph" w:styleId="52">
    <w:name w:val="endnote text"/>
    <w:basedOn w:val="1"/>
    <w:link w:val="192"/>
    <w:qFormat/>
    <w:uiPriority w:val="0"/>
    <w:pPr>
      <w:adjustRightInd w:val="0"/>
      <w:snapToGrid w:val="0"/>
      <w:spacing w:before="60"/>
      <w:jc w:val="left"/>
      <w:textAlignment w:val="baseline"/>
    </w:pPr>
    <w:rPr>
      <w:sz w:val="24"/>
      <w:szCs w:val="20"/>
      <w:lang w:val="zh-CN"/>
    </w:rPr>
  </w:style>
  <w:style w:type="paragraph" w:styleId="53">
    <w:name w:val="List Continue 5"/>
    <w:basedOn w:val="1"/>
    <w:autoRedefine/>
    <w:qFormat/>
    <w:uiPriority w:val="0"/>
    <w:pPr>
      <w:spacing w:after="120"/>
      <w:ind w:left="2100" w:leftChars="1000"/>
    </w:pPr>
    <w:rPr>
      <w:szCs w:val="20"/>
      <w:lang w:bidi="he-IL"/>
    </w:rPr>
  </w:style>
  <w:style w:type="paragraph" w:styleId="54">
    <w:name w:val="Balloon Text"/>
    <w:basedOn w:val="1"/>
    <w:link w:val="144"/>
    <w:autoRedefine/>
    <w:unhideWhenUsed/>
    <w:qFormat/>
    <w:uiPriority w:val="0"/>
    <w:rPr>
      <w:sz w:val="18"/>
      <w:szCs w:val="18"/>
    </w:rPr>
  </w:style>
  <w:style w:type="paragraph" w:styleId="55">
    <w:name w:val="footer"/>
    <w:basedOn w:val="1"/>
    <w:link w:val="131"/>
    <w:autoRedefine/>
    <w:qFormat/>
    <w:uiPriority w:val="99"/>
    <w:pPr>
      <w:tabs>
        <w:tab w:val="center" w:pos="4153"/>
        <w:tab w:val="right" w:pos="8306"/>
      </w:tabs>
      <w:snapToGrid w:val="0"/>
      <w:jc w:val="left"/>
    </w:pPr>
    <w:rPr>
      <w:rFonts w:ascii="Arial" w:hAnsi="Arial"/>
      <w:sz w:val="18"/>
      <w:szCs w:val="18"/>
    </w:rPr>
  </w:style>
  <w:style w:type="paragraph" w:styleId="56">
    <w:name w:val="envelope return"/>
    <w:basedOn w:val="1"/>
    <w:autoRedefine/>
    <w:qFormat/>
    <w:uiPriority w:val="0"/>
    <w:pPr>
      <w:snapToGrid w:val="0"/>
    </w:pPr>
    <w:rPr>
      <w:rFonts w:ascii="Arial" w:hAnsi="Arial" w:cs="Arial"/>
      <w:szCs w:val="20"/>
      <w:lang w:bidi="he-IL"/>
    </w:rPr>
  </w:style>
  <w:style w:type="paragraph" w:styleId="57">
    <w:name w:val="header"/>
    <w:basedOn w:val="1"/>
    <w:link w:val="132"/>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8">
    <w:name w:val="Signature"/>
    <w:basedOn w:val="1"/>
    <w:link w:val="194"/>
    <w:qFormat/>
    <w:uiPriority w:val="0"/>
    <w:pPr>
      <w:ind w:left="100" w:leftChars="2100"/>
    </w:pPr>
    <w:rPr>
      <w:szCs w:val="20"/>
      <w:lang w:val="zh-CN" w:bidi="he-IL"/>
    </w:rPr>
  </w:style>
  <w:style w:type="paragraph" w:styleId="59">
    <w:name w:val="toc 1"/>
    <w:basedOn w:val="1"/>
    <w:next w:val="1"/>
    <w:autoRedefine/>
    <w:unhideWhenUsed/>
    <w:qFormat/>
    <w:uiPriority w:val="39"/>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5"/>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6"/>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69"/>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97"/>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0"/>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198"/>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99"/>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3"/>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autoRedefine/>
    <w:unhideWhenUsed/>
    <w:qFormat/>
    <w:uiPriority w:val="0"/>
    <w:rPr>
      <w:b/>
      <w:bCs/>
    </w:rPr>
  </w:style>
  <w:style w:type="paragraph" w:styleId="86">
    <w:name w:val="Body Text First Indent"/>
    <w:basedOn w:val="34"/>
    <w:link w:val="174"/>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5"/>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autoRedefine/>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17"/>
    <w:link w:val="119"/>
    <w:autoRedefine/>
    <w:qFormat/>
    <w:uiPriority w:val="0"/>
    <w:pPr>
      <w:tabs>
        <w:tab w:val="left" w:pos="0"/>
      </w:tabs>
    </w:pPr>
  </w:style>
  <w:style w:type="paragraph" w:customStyle="1" w:styleId="117">
    <w:name w:val="⑧c表头"/>
    <w:basedOn w:val="118"/>
    <w:qFormat/>
    <w:uiPriority w:val="0"/>
    <w:pPr>
      <w:numPr>
        <w:numId w:val="3"/>
      </w:numPr>
      <w:tabs>
        <w:tab w:val="left" w:pos="0"/>
      </w:tabs>
    </w:pPr>
  </w:style>
  <w:style w:type="paragraph" w:customStyle="1" w:styleId="118">
    <w:name w:val="⑥b表头"/>
    <w:basedOn w:val="1"/>
    <w:link w:val="123"/>
    <w:autoRedefine/>
    <w:qFormat/>
    <w:uiPriority w:val="0"/>
    <w:pPr>
      <w:numPr>
        <w:ilvl w:val="0"/>
        <w:numId w:val="4"/>
      </w:numPr>
      <w:tabs>
        <w:tab w:val="left" w:pos="0"/>
      </w:tabs>
      <w:adjustRightInd w:val="0"/>
      <w:snapToGrid w:val="0"/>
      <w:spacing w:before="50" w:beforeLines="50"/>
      <w:jc w:val="center"/>
    </w:pPr>
    <w:rPr>
      <w:b/>
      <w:lang w:val="zh-CN"/>
    </w:rPr>
  </w:style>
  <w:style w:type="character" w:customStyle="1" w:styleId="119">
    <w:name w:val="⑩d表头 字符"/>
    <w:link w:val="116"/>
    <w:autoRedefine/>
    <w:qFormat/>
    <w:uiPriority w:val="0"/>
    <w:rPr>
      <w:rFonts w:ascii="Times New Roman" w:hAnsi="Times New Roman" w:eastAsia="宋体" w:cs="Times New Roman"/>
      <w:b/>
      <w:szCs w:val="21"/>
      <w:lang w:val="zh-CN"/>
    </w:rPr>
  </w:style>
  <w:style w:type="paragraph" w:customStyle="1" w:styleId="120">
    <w:name w:val="正文首行缩进2个字 Char"/>
    <w:basedOn w:val="1"/>
    <w:link w:val="121"/>
    <w:autoRedefine/>
    <w:qFormat/>
    <w:uiPriority w:val="0"/>
    <w:pPr>
      <w:ind w:firstLine="480" w:firstLineChars="200"/>
    </w:pPr>
    <w:rPr>
      <w:rFonts w:ascii="Calibri" w:hAnsi="Calibri" w:eastAsia="楷体"/>
      <w:sz w:val="24"/>
      <w:szCs w:val="24"/>
    </w:rPr>
  </w:style>
  <w:style w:type="character" w:customStyle="1" w:styleId="121">
    <w:name w:val="正文首行缩进2个字 Char Char"/>
    <w:link w:val="120"/>
    <w:autoRedefine/>
    <w:qFormat/>
    <w:uiPriority w:val="0"/>
    <w:rPr>
      <w:rFonts w:ascii="Calibri" w:hAnsi="Calibri" w:eastAsia="楷体" w:cs="Times New Roman"/>
      <w:sz w:val="24"/>
      <w:szCs w:val="24"/>
    </w:rPr>
  </w:style>
  <w:style w:type="paragraph" w:customStyle="1" w:styleId="122">
    <w:name w:val="①报告表正文"/>
    <w:basedOn w:val="1"/>
    <w:autoRedefine/>
    <w:qFormat/>
    <w:uiPriority w:val="0"/>
    <w:pPr>
      <w:spacing w:line="360" w:lineRule="auto"/>
      <w:ind w:firstLine="200" w:firstLineChars="200"/>
    </w:pPr>
    <w:rPr>
      <w:sz w:val="24"/>
      <w:szCs w:val="24"/>
    </w:rPr>
  </w:style>
  <w:style w:type="character" w:customStyle="1" w:styleId="123">
    <w:name w:val="⑥b表头 字符"/>
    <w:link w:val="118"/>
    <w:autoRedefine/>
    <w:qFormat/>
    <w:uiPriority w:val="0"/>
    <w:rPr>
      <w:rFonts w:ascii="Times New Roman" w:hAnsi="Times New Roman" w:eastAsia="宋体" w:cs="Times New Roman"/>
      <w:b/>
      <w:kern w:val="2"/>
      <w:sz w:val="21"/>
      <w:szCs w:val="21"/>
      <w:lang w:val="zh-CN"/>
    </w:rPr>
  </w:style>
  <w:style w:type="paragraph" w:customStyle="1" w:styleId="124">
    <w:name w:val="④表格内容"/>
    <w:basedOn w:val="1"/>
    <w:autoRedefine/>
    <w:qFormat/>
    <w:uiPriority w:val="0"/>
    <w:pPr>
      <w:widowControl/>
      <w:jc w:val="center"/>
    </w:pPr>
    <w:rPr>
      <w:kern w:val="0"/>
      <w:sz w:val="18"/>
    </w:rPr>
  </w:style>
  <w:style w:type="paragraph" w:customStyle="1" w:styleId="125">
    <w:name w:val="②表头"/>
    <w:basedOn w:val="1"/>
    <w:link w:val="126"/>
    <w:autoRedefine/>
    <w:qFormat/>
    <w:uiPriority w:val="0"/>
    <w:pPr>
      <w:numPr>
        <w:ilvl w:val="0"/>
        <w:numId w:val="5"/>
      </w:numPr>
      <w:tabs>
        <w:tab w:val="left" w:pos="0"/>
      </w:tabs>
      <w:adjustRightInd w:val="0"/>
      <w:snapToGrid w:val="0"/>
      <w:spacing w:before="50" w:beforeLines="50"/>
      <w:jc w:val="center"/>
    </w:pPr>
    <w:rPr>
      <w:b/>
      <w:lang w:val="zh-CN"/>
    </w:rPr>
  </w:style>
  <w:style w:type="character" w:customStyle="1" w:styleId="126">
    <w:name w:val="②表头 字符"/>
    <w:link w:val="125"/>
    <w:autoRedefine/>
    <w:qFormat/>
    <w:uiPriority w:val="0"/>
    <w:rPr>
      <w:rFonts w:ascii="Times New Roman" w:hAnsi="Times New Roman" w:eastAsia="宋体" w:cs="Times New Roman"/>
      <w:b/>
      <w:kern w:val="2"/>
      <w:sz w:val="21"/>
      <w:szCs w:val="21"/>
      <w:lang w:val="zh-CN"/>
    </w:rPr>
  </w:style>
  <w:style w:type="paragraph" w:customStyle="1" w:styleId="127">
    <w:name w:val="③a小标题"/>
    <w:basedOn w:val="1"/>
    <w:link w:val="128"/>
    <w:autoRedefine/>
    <w:qFormat/>
    <w:uiPriority w:val="0"/>
    <w:pPr>
      <w:numPr>
        <w:ilvl w:val="0"/>
        <w:numId w:val="6"/>
      </w:numPr>
      <w:adjustRightInd w:val="0"/>
      <w:snapToGrid w:val="0"/>
      <w:spacing w:line="360" w:lineRule="auto"/>
    </w:pPr>
    <w:rPr>
      <w:b/>
      <w:sz w:val="24"/>
      <w:szCs w:val="24"/>
    </w:rPr>
  </w:style>
  <w:style w:type="character" w:customStyle="1" w:styleId="128">
    <w:name w:val="③a小标题 字符"/>
    <w:link w:val="127"/>
    <w:autoRedefine/>
    <w:qFormat/>
    <w:uiPriority w:val="0"/>
    <w:rPr>
      <w:rFonts w:ascii="Times New Roman" w:hAnsi="Times New Roman" w:eastAsia="宋体" w:cs="Times New Roman"/>
      <w:b/>
      <w:kern w:val="2"/>
      <w:sz w:val="24"/>
      <w:szCs w:val="24"/>
    </w:rPr>
  </w:style>
  <w:style w:type="character" w:customStyle="1" w:styleId="129">
    <w:name w:val="标题 1 字符"/>
    <w:basedOn w:val="98"/>
    <w:link w:val="3"/>
    <w:autoRedefine/>
    <w:qFormat/>
    <w:uiPriority w:val="0"/>
    <w:rPr>
      <w:rFonts w:ascii="Times New Roman" w:hAnsi="Times New Roman" w:eastAsia="宋体" w:cs="Times New Roman"/>
      <w:b/>
      <w:bCs/>
      <w:kern w:val="44"/>
      <w:sz w:val="24"/>
      <w:szCs w:val="44"/>
    </w:rPr>
  </w:style>
  <w:style w:type="character" w:customStyle="1" w:styleId="130">
    <w:name w:val="纯文本 字符"/>
    <w:basedOn w:val="98"/>
    <w:link w:val="45"/>
    <w:autoRedefine/>
    <w:qFormat/>
    <w:uiPriority w:val="0"/>
    <w:rPr>
      <w:rFonts w:ascii="宋体" w:hAnsi="Courier New" w:eastAsia="宋体" w:cs="Times New Roman"/>
      <w:sz w:val="20"/>
      <w:szCs w:val="20"/>
    </w:rPr>
  </w:style>
  <w:style w:type="character" w:customStyle="1" w:styleId="131">
    <w:name w:val="页脚 字符"/>
    <w:basedOn w:val="98"/>
    <w:link w:val="55"/>
    <w:autoRedefine/>
    <w:qFormat/>
    <w:uiPriority w:val="99"/>
    <w:rPr>
      <w:rFonts w:ascii="Arial" w:hAnsi="Arial" w:eastAsia="宋体" w:cs="Times New Roman"/>
      <w:sz w:val="18"/>
      <w:szCs w:val="18"/>
    </w:rPr>
  </w:style>
  <w:style w:type="character" w:customStyle="1" w:styleId="132">
    <w:name w:val="页眉 字符"/>
    <w:basedOn w:val="98"/>
    <w:link w:val="57"/>
    <w:autoRedefine/>
    <w:qFormat/>
    <w:uiPriority w:val="99"/>
    <w:rPr>
      <w:rFonts w:ascii="Arial" w:hAnsi="Arial" w:eastAsia="宋体" w:cs="Times New Roman"/>
      <w:sz w:val="18"/>
      <w:szCs w:val="18"/>
    </w:rPr>
  </w:style>
  <w:style w:type="paragraph" w:customStyle="1" w:styleId="133">
    <w:name w:val="表格"/>
    <w:basedOn w:val="45"/>
    <w:next w:val="1"/>
    <w:link w:val="233"/>
    <w:qFormat/>
    <w:uiPriority w:val="0"/>
    <w:rPr>
      <w:rFonts w:ascii="Times New Roman" w:hAnsi="Times New Roman"/>
      <w:sz w:val="21"/>
    </w:rPr>
  </w:style>
  <w:style w:type="paragraph" w:customStyle="1" w:styleId="134">
    <w:name w:val="正文01"/>
    <w:basedOn w:val="1"/>
    <w:link w:val="135"/>
    <w:autoRedefine/>
    <w:qFormat/>
    <w:uiPriority w:val="0"/>
    <w:pPr>
      <w:spacing w:before="60" w:line="460" w:lineRule="exact"/>
      <w:jc w:val="center"/>
    </w:pPr>
    <w:rPr>
      <w:rFonts w:ascii="Arial" w:hAnsi="Arial"/>
      <w:sz w:val="24"/>
      <w:szCs w:val="24"/>
    </w:rPr>
  </w:style>
  <w:style w:type="character" w:customStyle="1" w:styleId="135">
    <w:name w:val="正文01 Char2"/>
    <w:link w:val="134"/>
    <w:autoRedefine/>
    <w:qFormat/>
    <w:uiPriority w:val="0"/>
    <w:rPr>
      <w:rFonts w:ascii="Arial" w:hAnsi="Arial" w:eastAsia="宋体" w:cs="Times New Roman"/>
      <w:sz w:val="24"/>
      <w:szCs w:val="24"/>
    </w:rPr>
  </w:style>
  <w:style w:type="paragraph" w:styleId="136">
    <w:name w:val="List Paragraph"/>
    <w:basedOn w:val="1"/>
    <w:link w:val="137"/>
    <w:autoRedefine/>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7"/>
    <w:link w:val="139"/>
    <w:qFormat/>
    <w:uiPriority w:val="0"/>
    <w:pPr>
      <w:numPr>
        <w:numId w:val="7"/>
      </w:numPr>
    </w:pPr>
  </w:style>
  <w:style w:type="character" w:customStyle="1" w:styleId="139">
    <w:name w:val="⑤b小标题 字符"/>
    <w:link w:val="138"/>
    <w:autoRedefine/>
    <w:qFormat/>
    <w:uiPriority w:val="0"/>
    <w:rPr>
      <w:rFonts w:ascii="Times New Roman" w:hAnsi="Times New Roman" w:eastAsia="宋体" w:cs="Times New Roman"/>
      <w:b/>
      <w:kern w:val="2"/>
      <w:sz w:val="24"/>
      <w:szCs w:val="24"/>
    </w:rPr>
  </w:style>
  <w:style w:type="paragraph" w:customStyle="1" w:styleId="140">
    <w:name w:val="xl26"/>
    <w:basedOn w:val="1"/>
    <w:link w:val="270"/>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autoRedefine/>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4"/>
    <w:autoRedefine/>
    <w:qFormat/>
    <w:uiPriority w:val="0"/>
    <w:rPr>
      <w:rFonts w:ascii="Times New Roman" w:hAnsi="Times New Roman" w:eastAsia="宋体" w:cs="Times New Roman"/>
      <w:kern w:val="2"/>
      <w:sz w:val="18"/>
      <w:szCs w:val="18"/>
    </w:rPr>
  </w:style>
  <w:style w:type="character" w:customStyle="1" w:styleId="145">
    <w:name w:val="标题 2 字符"/>
    <w:basedOn w:val="98"/>
    <w:qFormat/>
    <w:uiPriority w:val="0"/>
    <w:rPr>
      <w:rFonts w:asciiTheme="majorHAnsi" w:hAnsiTheme="majorHAnsi" w:eastAsiaTheme="majorEastAsia" w:cstheme="majorBidi"/>
      <w:b/>
      <w:bCs/>
      <w:kern w:val="2"/>
      <w:sz w:val="32"/>
      <w:szCs w:val="32"/>
    </w:rPr>
  </w:style>
  <w:style w:type="character" w:customStyle="1" w:styleId="146">
    <w:name w:val="标题 3 字符"/>
    <w:basedOn w:val="98"/>
    <w:autoRedefine/>
    <w:qFormat/>
    <w:uiPriority w:val="9"/>
    <w:rPr>
      <w:rFonts w:ascii="Times New Roman" w:hAnsi="Times New Roman" w:eastAsia="宋体" w:cs="Times New Roman"/>
      <w:b/>
      <w:bCs/>
      <w:kern w:val="2"/>
      <w:sz w:val="32"/>
      <w:szCs w:val="32"/>
    </w:rPr>
  </w:style>
  <w:style w:type="character" w:customStyle="1" w:styleId="147">
    <w:name w:val="标题 4 字符"/>
    <w:basedOn w:val="98"/>
    <w:qFormat/>
    <w:uiPriority w:val="0"/>
    <w:rPr>
      <w:rFonts w:asciiTheme="majorHAnsi" w:hAnsiTheme="majorHAnsi" w:eastAsiaTheme="majorEastAsia" w:cstheme="majorBidi"/>
      <w:b/>
      <w:bCs/>
      <w:kern w:val="2"/>
      <w:sz w:val="28"/>
      <w:szCs w:val="28"/>
    </w:rPr>
  </w:style>
  <w:style w:type="character" w:customStyle="1" w:styleId="148">
    <w:name w:val="标题 5 字符"/>
    <w:basedOn w:val="98"/>
    <w:link w:val="7"/>
    <w:autoRedefine/>
    <w:qFormat/>
    <w:uiPriority w:val="0"/>
    <w:rPr>
      <w:rFonts w:ascii="Arial" w:hAnsi="Arial" w:eastAsia="仿宋_GB2312" w:cs="Times New Roman"/>
      <w:b/>
      <w:bCs/>
      <w:kern w:val="2"/>
      <w:sz w:val="21"/>
      <w:szCs w:val="28"/>
      <w:lang w:val="zh-CN"/>
    </w:rPr>
  </w:style>
  <w:style w:type="character" w:customStyle="1" w:styleId="149">
    <w:name w:val="标题 6 字符"/>
    <w:basedOn w:val="98"/>
    <w:link w:val="8"/>
    <w:autoRedefine/>
    <w:qFormat/>
    <w:uiPriority w:val="0"/>
    <w:rPr>
      <w:rFonts w:ascii="Arial" w:hAnsi="Arial" w:eastAsia="黑体" w:cs="Times New Roman"/>
      <w:b/>
      <w:bCs/>
      <w:color w:val="000000"/>
      <w:kern w:val="2"/>
      <w:sz w:val="24"/>
      <w:szCs w:val="24"/>
      <w:lang w:val="zh-CN"/>
    </w:rPr>
  </w:style>
  <w:style w:type="character" w:customStyle="1" w:styleId="150">
    <w:name w:val="标题 7 字符"/>
    <w:basedOn w:val="98"/>
    <w:link w:val="9"/>
    <w:autoRedefine/>
    <w:qFormat/>
    <w:uiPriority w:val="0"/>
    <w:rPr>
      <w:rFonts w:ascii="Arial" w:hAnsi="Arial" w:eastAsia="宋体" w:cs="Times New Roman"/>
      <w:b/>
      <w:bCs/>
      <w:color w:val="000000"/>
      <w:kern w:val="2"/>
      <w:sz w:val="24"/>
      <w:szCs w:val="24"/>
      <w:lang w:val="zh-CN"/>
    </w:rPr>
  </w:style>
  <w:style w:type="character" w:customStyle="1" w:styleId="151">
    <w:name w:val="标题 8 字符"/>
    <w:basedOn w:val="98"/>
    <w:link w:val="10"/>
    <w:autoRedefine/>
    <w:qFormat/>
    <w:uiPriority w:val="0"/>
    <w:rPr>
      <w:rFonts w:ascii="Arial" w:hAnsi="Arial" w:eastAsia="黑体" w:cs="Times New Roman"/>
      <w:color w:val="000000"/>
      <w:kern w:val="2"/>
      <w:sz w:val="24"/>
      <w:szCs w:val="24"/>
      <w:lang w:val="zh-CN"/>
    </w:rPr>
  </w:style>
  <w:style w:type="character" w:customStyle="1" w:styleId="152">
    <w:name w:val="标题 9 字符"/>
    <w:basedOn w:val="98"/>
    <w:qFormat/>
    <w:uiPriority w:val="0"/>
    <w:rPr>
      <w:rFonts w:asciiTheme="majorHAnsi" w:hAnsiTheme="majorHAnsi" w:eastAsiaTheme="majorEastAsia" w:cstheme="majorBidi"/>
      <w:kern w:val="2"/>
      <w:sz w:val="21"/>
      <w:szCs w:val="21"/>
    </w:rPr>
  </w:style>
  <w:style w:type="character" w:customStyle="1" w:styleId="153">
    <w:name w:val="宏文本 字符"/>
    <w:basedOn w:val="98"/>
    <w:qFormat/>
    <w:uiPriority w:val="0"/>
    <w:rPr>
      <w:rFonts w:ascii="Courier New" w:hAnsi="Courier New" w:eastAsia="宋体" w:cs="Courier New"/>
      <w:kern w:val="2"/>
      <w:sz w:val="24"/>
      <w:szCs w:val="24"/>
    </w:rPr>
  </w:style>
  <w:style w:type="character" w:customStyle="1" w:styleId="154">
    <w:name w:val="注释标题 字符"/>
    <w:basedOn w:val="98"/>
    <w:autoRedefine/>
    <w:qFormat/>
    <w:uiPriority w:val="0"/>
    <w:rPr>
      <w:rFonts w:ascii="Times New Roman" w:hAnsi="Times New Roman" w:eastAsia="宋体" w:cs="Times New Roman"/>
      <w:kern w:val="2"/>
      <w:sz w:val="21"/>
      <w:szCs w:val="21"/>
    </w:rPr>
  </w:style>
  <w:style w:type="character" w:customStyle="1" w:styleId="155">
    <w:name w:val="电子邮件签名 字符"/>
    <w:basedOn w:val="98"/>
    <w:qFormat/>
    <w:uiPriority w:val="0"/>
    <w:rPr>
      <w:rFonts w:ascii="Times New Roman" w:hAnsi="Times New Roman" w:eastAsia="宋体" w:cs="Times New Roman"/>
      <w:kern w:val="2"/>
      <w:sz w:val="21"/>
      <w:szCs w:val="21"/>
    </w:rPr>
  </w:style>
  <w:style w:type="character" w:customStyle="1" w:styleId="156">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57">
    <w:name w:val="称呼 字符"/>
    <w:basedOn w:val="98"/>
    <w:link w:val="30"/>
    <w:autoRedefine/>
    <w:qFormat/>
    <w:uiPriority w:val="0"/>
    <w:rPr>
      <w:rFonts w:ascii="Times New Roman" w:hAnsi="Times New Roman" w:eastAsia="宋体" w:cs="Times New Roman"/>
      <w:kern w:val="2"/>
      <w:sz w:val="28"/>
      <w:szCs w:val="24"/>
      <w:lang w:val="zh-CN"/>
    </w:rPr>
  </w:style>
  <w:style w:type="character" w:customStyle="1" w:styleId="158">
    <w:name w:val="正文文本 3 字符"/>
    <w:basedOn w:val="98"/>
    <w:link w:val="31"/>
    <w:autoRedefine/>
    <w:qFormat/>
    <w:uiPriority w:val="0"/>
    <w:rPr>
      <w:rFonts w:ascii="Arial" w:hAnsi="Arial" w:eastAsia="宋体" w:cs="Times New Roman"/>
      <w:kern w:val="2"/>
      <w:sz w:val="16"/>
      <w:szCs w:val="16"/>
      <w:lang w:val="zh-CN"/>
    </w:rPr>
  </w:style>
  <w:style w:type="character" w:customStyle="1" w:styleId="159">
    <w:name w:val="结束语 字符"/>
    <w:basedOn w:val="98"/>
    <w:autoRedefine/>
    <w:qFormat/>
    <w:uiPriority w:val="0"/>
    <w:rPr>
      <w:rFonts w:ascii="Times New Roman" w:hAnsi="Times New Roman" w:eastAsia="宋体" w:cs="Times New Roman"/>
      <w:kern w:val="2"/>
      <w:sz w:val="21"/>
      <w:szCs w:val="21"/>
    </w:rPr>
  </w:style>
  <w:style w:type="character" w:customStyle="1" w:styleId="160">
    <w:name w:val="正文文本 字符"/>
    <w:basedOn w:val="98"/>
    <w:link w:val="34"/>
    <w:qFormat/>
    <w:uiPriority w:val="0"/>
    <w:rPr>
      <w:rFonts w:ascii="Times New Roman" w:hAnsi="Times New Roman" w:eastAsia="宋体" w:cs="Times New Roman"/>
      <w:sz w:val="18"/>
    </w:rPr>
  </w:style>
  <w:style w:type="character" w:customStyle="1" w:styleId="161">
    <w:name w:val="正文文本缩进 字符"/>
    <w:basedOn w:val="98"/>
    <w:link w:val="35"/>
    <w:qFormat/>
    <w:uiPriority w:val="0"/>
    <w:rPr>
      <w:rFonts w:ascii="Times New Roman" w:hAnsi="Times New Roman" w:eastAsia="宋体" w:cs="Times New Roman"/>
      <w:sz w:val="24"/>
    </w:rPr>
  </w:style>
  <w:style w:type="character" w:customStyle="1" w:styleId="162">
    <w:name w:val="HTML 地址 字符"/>
    <w:basedOn w:val="98"/>
    <w:autoRedefine/>
    <w:qFormat/>
    <w:uiPriority w:val="0"/>
    <w:rPr>
      <w:rFonts w:ascii="Times New Roman" w:hAnsi="Times New Roman" w:eastAsia="宋体" w:cs="Times New Roman"/>
      <w:i/>
      <w:iCs/>
      <w:kern w:val="2"/>
      <w:sz w:val="21"/>
      <w:szCs w:val="21"/>
    </w:rPr>
  </w:style>
  <w:style w:type="character" w:customStyle="1" w:styleId="163">
    <w:name w:val="日期 字符"/>
    <w:basedOn w:val="98"/>
    <w:qFormat/>
    <w:uiPriority w:val="0"/>
    <w:rPr>
      <w:rFonts w:ascii="Times New Roman" w:hAnsi="Times New Roman" w:eastAsia="宋体" w:cs="Times New Roman"/>
      <w:kern w:val="2"/>
      <w:sz w:val="21"/>
      <w:szCs w:val="21"/>
    </w:rPr>
  </w:style>
  <w:style w:type="character" w:customStyle="1" w:styleId="164">
    <w:name w:val="正文文本缩进 2 字符"/>
    <w:basedOn w:val="98"/>
    <w:link w:val="51"/>
    <w:autoRedefine/>
    <w:qFormat/>
    <w:uiPriority w:val="0"/>
    <w:rPr>
      <w:rFonts w:ascii="Arial" w:hAnsi="Arial" w:eastAsia="宋体" w:cs="Times New Roman"/>
      <w:kern w:val="2"/>
      <w:sz w:val="24"/>
      <w:szCs w:val="24"/>
      <w:lang w:val="zh-CN"/>
    </w:rPr>
  </w:style>
  <w:style w:type="character" w:customStyle="1" w:styleId="165">
    <w:name w:val="尾注文本 字符"/>
    <w:basedOn w:val="98"/>
    <w:qFormat/>
    <w:uiPriority w:val="0"/>
    <w:rPr>
      <w:rFonts w:ascii="Times New Roman" w:hAnsi="Times New Roman" w:eastAsia="宋体" w:cs="Times New Roman"/>
      <w:kern w:val="2"/>
      <w:sz w:val="21"/>
      <w:szCs w:val="21"/>
    </w:rPr>
  </w:style>
  <w:style w:type="character" w:customStyle="1" w:styleId="166">
    <w:name w:val="签名 字符"/>
    <w:basedOn w:val="98"/>
    <w:qFormat/>
    <w:uiPriority w:val="0"/>
    <w:rPr>
      <w:rFonts w:ascii="Times New Roman" w:hAnsi="Times New Roman" w:eastAsia="宋体" w:cs="Times New Roman"/>
      <w:kern w:val="2"/>
      <w:sz w:val="21"/>
      <w:szCs w:val="21"/>
    </w:rPr>
  </w:style>
  <w:style w:type="character" w:customStyle="1" w:styleId="167">
    <w:name w:val="副标题 字符"/>
    <w:basedOn w:val="98"/>
    <w:autoRedefine/>
    <w:qFormat/>
    <w:uiPriority w:val="11"/>
    <w:rPr>
      <w:b/>
      <w:bCs/>
      <w:kern w:val="28"/>
      <w:sz w:val="32"/>
      <w:szCs w:val="32"/>
    </w:rPr>
  </w:style>
  <w:style w:type="character" w:customStyle="1" w:styleId="168">
    <w:name w:val="脚注文本 字符"/>
    <w:basedOn w:val="98"/>
    <w:autoRedefine/>
    <w:qFormat/>
    <w:uiPriority w:val="0"/>
    <w:rPr>
      <w:rFonts w:ascii="Times New Roman" w:hAnsi="Times New Roman" w:eastAsia="宋体" w:cs="Times New Roman"/>
      <w:kern w:val="2"/>
      <w:sz w:val="18"/>
      <w:szCs w:val="18"/>
    </w:rPr>
  </w:style>
  <w:style w:type="character" w:customStyle="1" w:styleId="169">
    <w:name w:val="正文文本缩进 3 字符"/>
    <w:basedOn w:val="98"/>
    <w:link w:val="70"/>
    <w:qFormat/>
    <w:uiPriority w:val="0"/>
    <w:rPr>
      <w:rFonts w:ascii="Arial" w:hAnsi="Arial" w:eastAsia="宋体" w:cs="Times New Roman"/>
      <w:kern w:val="2"/>
      <w:sz w:val="16"/>
      <w:szCs w:val="16"/>
      <w:lang w:val="zh-CN"/>
    </w:rPr>
  </w:style>
  <w:style w:type="character" w:customStyle="1" w:styleId="170">
    <w:name w:val="正文文本 2 字符"/>
    <w:basedOn w:val="98"/>
    <w:link w:val="76"/>
    <w:qFormat/>
    <w:uiPriority w:val="0"/>
    <w:rPr>
      <w:rFonts w:ascii="Arial" w:hAnsi="Arial" w:eastAsia="宋体" w:cs="Times New Roman"/>
      <w:kern w:val="2"/>
      <w:sz w:val="24"/>
      <w:szCs w:val="24"/>
      <w:lang w:val="zh-CN"/>
    </w:rPr>
  </w:style>
  <w:style w:type="character" w:customStyle="1" w:styleId="171">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2">
    <w:name w:val="HTML 预设格式 字符"/>
    <w:basedOn w:val="98"/>
    <w:link w:val="80"/>
    <w:autoRedefine/>
    <w:qFormat/>
    <w:uiPriority w:val="0"/>
    <w:rPr>
      <w:rFonts w:ascii="Arial" w:hAnsi="Arial" w:eastAsia="宋体" w:cs="Times New Roman"/>
      <w:sz w:val="19"/>
      <w:szCs w:val="19"/>
      <w:lang w:val="zh-CN"/>
    </w:rPr>
  </w:style>
  <w:style w:type="character" w:customStyle="1" w:styleId="173">
    <w:name w:val="标题 字符"/>
    <w:basedOn w:val="98"/>
    <w:link w:val="84"/>
    <w:autoRedefine/>
    <w:qFormat/>
    <w:uiPriority w:val="0"/>
    <w:rPr>
      <w:rFonts w:ascii="Arial" w:hAnsi="Arial" w:eastAsia="宋体" w:cs="Times New Roman"/>
      <w:b/>
      <w:bCs/>
      <w:kern w:val="2"/>
      <w:sz w:val="32"/>
      <w:szCs w:val="32"/>
      <w:lang w:val="zh-CN"/>
    </w:rPr>
  </w:style>
  <w:style w:type="character" w:customStyle="1" w:styleId="174">
    <w:name w:val="正文文本首行缩进 字符"/>
    <w:basedOn w:val="160"/>
    <w:link w:val="86"/>
    <w:qFormat/>
    <w:uiPriority w:val="0"/>
    <w:rPr>
      <w:rFonts w:ascii="Times New Roman" w:hAnsi="Times New Roman" w:eastAsia="宋体" w:cs="Times New Roman"/>
      <w:kern w:val="2"/>
      <w:sz w:val="24"/>
      <w:szCs w:val="24"/>
    </w:rPr>
  </w:style>
  <w:style w:type="character" w:customStyle="1" w:styleId="175">
    <w:name w:val="正文文本首行缩进 2 字符"/>
    <w:basedOn w:val="161"/>
    <w:link w:val="87"/>
    <w:autoRedefine/>
    <w:qFormat/>
    <w:uiPriority w:val="0"/>
    <w:rPr>
      <w:rFonts w:ascii="Times New Roman" w:hAnsi="Times New Roman" w:eastAsia="宋体" w:cs="Times New Roman"/>
      <w:kern w:val="2"/>
      <w:sz w:val="28"/>
      <w:szCs w:val="24"/>
      <w:lang w:val="zh-CN"/>
    </w:rPr>
  </w:style>
  <w:style w:type="character" w:customStyle="1" w:styleId="176">
    <w:name w:val="宏文本 字符1"/>
    <w:link w:val="2"/>
    <w:qFormat/>
    <w:uiPriority w:val="0"/>
    <w:rPr>
      <w:rFonts w:ascii="Courier New" w:hAnsi="Courier New" w:eastAsia="宋体" w:cs="Times New Roman"/>
      <w:kern w:val="2"/>
      <w:sz w:val="24"/>
      <w:szCs w:val="24"/>
      <w:lang w:bidi="he-IL"/>
    </w:rPr>
  </w:style>
  <w:style w:type="character" w:customStyle="1" w:styleId="177">
    <w:name w:val="标题 1 字符2"/>
    <w:autoRedefine/>
    <w:qFormat/>
    <w:uiPriority w:val="0"/>
    <w:rPr>
      <w:rFonts w:eastAsia="黑体"/>
      <w:b/>
      <w:bCs/>
      <w:color w:val="000000"/>
      <w:kern w:val="44"/>
      <w:sz w:val="30"/>
      <w:szCs w:val="30"/>
    </w:rPr>
  </w:style>
  <w:style w:type="character" w:customStyle="1" w:styleId="178">
    <w:name w:val="标题 2 字符2"/>
    <w:link w:val="4"/>
    <w:qFormat/>
    <w:uiPriority w:val="0"/>
    <w:rPr>
      <w:rFonts w:ascii="Calibri Light" w:hAnsi="Calibri Light" w:eastAsia="宋体" w:cs="Times New Roman"/>
      <w:b/>
      <w:bCs/>
      <w:kern w:val="2"/>
      <w:sz w:val="32"/>
      <w:szCs w:val="32"/>
    </w:rPr>
  </w:style>
  <w:style w:type="character" w:customStyle="1" w:styleId="179">
    <w:name w:val="标题 3 字符2"/>
    <w:link w:val="5"/>
    <w:qFormat/>
    <w:uiPriority w:val="0"/>
    <w:rPr>
      <w:rFonts w:ascii="Arial" w:hAnsi="Arial" w:eastAsia="宋体" w:cs="Times New Roman"/>
      <w:b/>
      <w:bCs/>
      <w:kern w:val="2"/>
      <w:sz w:val="32"/>
      <w:szCs w:val="32"/>
      <w:lang w:val="zh-CN"/>
    </w:rPr>
  </w:style>
  <w:style w:type="character" w:customStyle="1" w:styleId="180">
    <w:name w:val="标题 4 字符2"/>
    <w:link w:val="6"/>
    <w:qFormat/>
    <w:uiPriority w:val="0"/>
    <w:rPr>
      <w:rFonts w:ascii="Arial" w:hAnsi="Arial" w:eastAsia="黑体" w:cs="Times New Roman"/>
      <w:b/>
      <w:bCs/>
      <w:kern w:val="2"/>
      <w:sz w:val="28"/>
      <w:szCs w:val="28"/>
      <w:lang w:val="zh-CN"/>
    </w:rPr>
  </w:style>
  <w:style w:type="character" w:customStyle="1" w:styleId="181">
    <w:name w:val="标题 9 字符1"/>
    <w:link w:val="11"/>
    <w:qFormat/>
    <w:uiPriority w:val="0"/>
    <w:rPr>
      <w:rFonts w:ascii="Arial" w:hAnsi="Arial" w:eastAsia="黑体" w:cs="Times New Roman"/>
      <w:color w:val="000000"/>
      <w:kern w:val="2"/>
      <w:sz w:val="24"/>
      <w:szCs w:val="21"/>
    </w:rPr>
  </w:style>
  <w:style w:type="character" w:customStyle="1" w:styleId="182">
    <w:name w:val="列表 3 字符1"/>
    <w:link w:val="12"/>
    <w:qFormat/>
    <w:uiPriority w:val="0"/>
    <w:rPr>
      <w:rFonts w:ascii="Arial" w:hAnsi="Arial" w:eastAsia="宋体" w:cs="Times New Roman"/>
      <w:kern w:val="2"/>
      <w:sz w:val="24"/>
      <w:szCs w:val="24"/>
      <w:lang w:val="zh-CN"/>
    </w:rPr>
  </w:style>
  <w:style w:type="character" w:customStyle="1" w:styleId="183">
    <w:name w:val="注释标题 字符1"/>
    <w:link w:val="16"/>
    <w:qFormat/>
    <w:uiPriority w:val="0"/>
    <w:rPr>
      <w:rFonts w:ascii="Times New Roman" w:hAnsi="Times New Roman" w:eastAsia="宋体" w:cs="Times New Roman"/>
      <w:kern w:val="2"/>
      <w:sz w:val="21"/>
      <w:lang w:val="zh-CN" w:bidi="he-IL"/>
    </w:rPr>
  </w:style>
  <w:style w:type="character" w:customStyle="1" w:styleId="184">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5">
    <w:name w:val="正文缩进 字符5"/>
    <w:qFormat/>
    <w:uiPriority w:val="0"/>
    <w:rPr>
      <w:rFonts w:ascii="Arial" w:hAnsi="Arial" w:cs="Arial"/>
      <w:spacing w:val="10"/>
      <w:kern w:val="2"/>
      <w:sz w:val="24"/>
    </w:rPr>
  </w:style>
  <w:style w:type="character" w:customStyle="1" w:styleId="186">
    <w:name w:val="题注 字符1"/>
    <w:link w:val="22"/>
    <w:autoRedefine/>
    <w:qFormat/>
    <w:uiPriority w:val="35"/>
    <w:rPr>
      <w:rFonts w:ascii="Arial" w:hAnsi="Arial" w:eastAsia="黑体" w:cs="Times New Roman"/>
      <w:kern w:val="2"/>
      <w:lang w:val="zh-CN"/>
    </w:rPr>
  </w:style>
  <w:style w:type="character" w:customStyle="1" w:styleId="187">
    <w:name w:val="批注文字 字符3"/>
    <w:autoRedefine/>
    <w:qFormat/>
    <w:locked/>
    <w:uiPriority w:val="0"/>
    <w:rPr>
      <w:rFonts w:ascii="Times New Roman" w:hAnsi="Times New Roman" w:eastAsia="宋体"/>
      <w:sz w:val="24"/>
    </w:rPr>
  </w:style>
  <w:style w:type="character" w:customStyle="1" w:styleId="188">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89">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0">
    <w:name w:val="纯文本 字符2"/>
    <w:autoRedefine/>
    <w:qFormat/>
    <w:uiPriority w:val="0"/>
    <w:rPr>
      <w:rFonts w:ascii="宋体" w:hAnsi="Courier New" w:cs="Courier New"/>
      <w:kern w:val="2"/>
      <w:sz w:val="21"/>
      <w:szCs w:val="21"/>
    </w:rPr>
  </w:style>
  <w:style w:type="character" w:customStyle="1" w:styleId="191">
    <w:name w:val="日期 字符1"/>
    <w:link w:val="50"/>
    <w:qFormat/>
    <w:locked/>
    <w:uiPriority w:val="0"/>
    <w:rPr>
      <w:rFonts w:ascii="Times New Roman" w:hAnsi="Times New Roman" w:eastAsia="宋体" w:cs="Times New Roman"/>
      <w:sz w:val="24"/>
    </w:rPr>
  </w:style>
  <w:style w:type="character" w:customStyle="1" w:styleId="192">
    <w:name w:val="尾注文本 字符1"/>
    <w:link w:val="52"/>
    <w:autoRedefine/>
    <w:qFormat/>
    <w:uiPriority w:val="0"/>
    <w:rPr>
      <w:rFonts w:ascii="Times New Roman" w:hAnsi="Times New Roman" w:eastAsia="宋体" w:cs="Times New Roman"/>
      <w:kern w:val="2"/>
      <w:sz w:val="24"/>
      <w:lang w:val="zh-CN"/>
    </w:rPr>
  </w:style>
  <w:style w:type="character" w:customStyle="1" w:styleId="193">
    <w:name w:val="页脚 字符1"/>
    <w:qFormat/>
    <w:locked/>
    <w:uiPriority w:val="99"/>
    <w:rPr>
      <w:sz w:val="18"/>
    </w:rPr>
  </w:style>
  <w:style w:type="character" w:customStyle="1" w:styleId="194">
    <w:name w:val="签名 字符1"/>
    <w:link w:val="58"/>
    <w:qFormat/>
    <w:uiPriority w:val="0"/>
    <w:rPr>
      <w:rFonts w:ascii="Times New Roman" w:hAnsi="Times New Roman" w:eastAsia="宋体" w:cs="Times New Roman"/>
      <w:kern w:val="2"/>
      <w:sz w:val="21"/>
      <w:lang w:val="zh-CN" w:bidi="he-IL"/>
    </w:rPr>
  </w:style>
  <w:style w:type="character" w:customStyle="1" w:styleId="195">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6">
    <w:name w:val="脚注文本 字符1"/>
    <w:link w:val="67"/>
    <w:qFormat/>
    <w:uiPriority w:val="0"/>
    <w:rPr>
      <w:rFonts w:ascii="Times New Roman" w:hAnsi="Times New Roman" w:eastAsia="仿宋_GB2312" w:cs="Times New Roman"/>
      <w:kern w:val="2"/>
      <w:sz w:val="18"/>
      <w:lang w:val="zh-CN"/>
    </w:rPr>
  </w:style>
  <w:style w:type="character" w:customStyle="1" w:styleId="197">
    <w:name w:val="TOC 2 字符"/>
    <w:link w:val="74"/>
    <w:autoRedefine/>
    <w:qFormat/>
    <w:uiPriority w:val="39"/>
    <w:rPr>
      <w:rFonts w:ascii="Arial" w:hAnsi="Arial" w:eastAsia="宋体" w:cs="Times New Roman"/>
      <w:smallCaps/>
      <w:kern w:val="2"/>
      <w:lang w:val="zh-CN"/>
    </w:rPr>
  </w:style>
  <w:style w:type="character" w:customStyle="1" w:styleId="198">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199">
    <w:name w:val="普通(网站) 字符1"/>
    <w:link w:val="81"/>
    <w:autoRedefine/>
    <w:qFormat/>
    <w:locked/>
    <w:uiPriority w:val="0"/>
    <w:rPr>
      <w:rFonts w:ascii="宋体" w:hAnsi="宋体" w:eastAsia="宋体" w:cs="Times New Roman"/>
      <w:sz w:val="24"/>
    </w:rPr>
  </w:style>
  <w:style w:type="character" w:customStyle="1" w:styleId="200">
    <w:name w:val="列表 3 Char"/>
    <w:autoRedefine/>
    <w:qFormat/>
    <w:uiPriority w:val="0"/>
    <w:rPr>
      <w:rFonts w:ascii="Arial" w:hAnsi="Arial"/>
      <w:sz w:val="21"/>
      <w:szCs w:val="20"/>
    </w:rPr>
  </w:style>
  <w:style w:type="character" w:customStyle="1" w:styleId="201">
    <w:name w:val="Char Char16"/>
    <w:qFormat/>
    <w:uiPriority w:val="0"/>
    <w:rPr>
      <w:rFonts w:eastAsia="宋体"/>
      <w:kern w:val="2"/>
      <w:sz w:val="27"/>
      <w:lang w:val="en-US" w:eastAsia="zh-CN" w:bidi="ar-SA"/>
    </w:rPr>
  </w:style>
  <w:style w:type="character" w:customStyle="1" w:styleId="202">
    <w:name w:val="h Char3"/>
    <w:qFormat/>
    <w:uiPriority w:val="0"/>
    <w:rPr>
      <w:rFonts w:eastAsia="宋体"/>
      <w:sz w:val="18"/>
      <w:lang w:val="en-US" w:eastAsia="zh-CN" w:bidi="ar-SA"/>
    </w:rPr>
  </w:style>
  <w:style w:type="character" w:customStyle="1" w:styleId="203">
    <w:name w:val="Char Char19"/>
    <w:autoRedefine/>
    <w:semiHidden/>
    <w:qFormat/>
    <w:uiPriority w:val="0"/>
    <w:rPr>
      <w:rFonts w:eastAsia="宋体"/>
      <w:kern w:val="2"/>
      <w:sz w:val="27"/>
      <w:lang w:val="en-US" w:eastAsia="zh-CN" w:bidi="ar-SA"/>
    </w:rPr>
  </w:style>
  <w:style w:type="character" w:customStyle="1" w:styleId="204">
    <w:name w:val="Hyperlink2"/>
    <w:autoRedefine/>
    <w:qFormat/>
    <w:uiPriority w:val="0"/>
    <w:rPr>
      <w:color w:val="0000FF"/>
      <w:u w:val="single"/>
    </w:rPr>
  </w:style>
  <w:style w:type="character" w:customStyle="1" w:styleId="205">
    <w:name w:val="Char6 Char"/>
    <w:semiHidden/>
    <w:qFormat/>
    <w:uiPriority w:val="0"/>
    <w:rPr>
      <w:rFonts w:eastAsia="宋体"/>
      <w:kern w:val="2"/>
      <w:sz w:val="18"/>
      <w:lang w:val="en-US" w:eastAsia="zh-CN" w:bidi="ar-SA"/>
    </w:rPr>
  </w:style>
  <w:style w:type="character" w:customStyle="1" w:styleId="206">
    <w:name w:val="yangshi-h41"/>
    <w:qFormat/>
    <w:uiPriority w:val="0"/>
    <w:rPr>
      <w:rFonts w:ascii="黑体" w:eastAsia="黑体"/>
      <w:b/>
      <w:bCs/>
      <w:color w:val="000000"/>
      <w:sz w:val="24"/>
      <w:szCs w:val="24"/>
    </w:rPr>
  </w:style>
  <w:style w:type="character" w:customStyle="1" w:styleId="207">
    <w:name w:val="Char Char23"/>
    <w:qFormat/>
    <w:uiPriority w:val="0"/>
    <w:rPr>
      <w:rFonts w:ascii="Arial" w:hAnsi="Arial" w:eastAsia="黑体"/>
      <w:sz w:val="24"/>
      <w:lang w:val="en-US" w:eastAsia="zh-CN" w:bidi="ar-SA"/>
    </w:rPr>
  </w:style>
  <w:style w:type="character" w:customStyle="1" w:styleId="208">
    <w:name w:val="+正文 Char2"/>
    <w:qFormat/>
    <w:uiPriority w:val="0"/>
    <w:rPr>
      <w:rFonts w:eastAsia="宋体"/>
      <w:kern w:val="2"/>
      <w:sz w:val="24"/>
      <w:szCs w:val="28"/>
      <w:lang w:val="en-US" w:eastAsia="zh-CN" w:bidi="ar-SA"/>
    </w:rPr>
  </w:style>
  <w:style w:type="character" w:customStyle="1" w:styleId="209">
    <w:name w:val="样式2 Char Char Char"/>
    <w:qFormat/>
    <w:uiPriority w:val="0"/>
    <w:rPr>
      <w:rFonts w:eastAsia="宋体"/>
      <w:sz w:val="24"/>
      <w:szCs w:val="24"/>
      <w:lang w:val="en-US" w:eastAsia="zh-CN"/>
    </w:rPr>
  </w:style>
  <w:style w:type="character" w:customStyle="1" w:styleId="210">
    <w:name w:val="fieldcontents1"/>
    <w:qFormat/>
    <w:uiPriority w:val="0"/>
    <w:rPr>
      <w:rFonts w:hint="default" w:ascii="Verdana" w:hAnsi="Verdana"/>
      <w:color w:val="000000"/>
      <w:sz w:val="24"/>
      <w:szCs w:val="24"/>
    </w:rPr>
  </w:style>
  <w:style w:type="character" w:customStyle="1" w:styleId="211">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2">
    <w:name w:val="articlecontent"/>
    <w:qFormat/>
    <w:uiPriority w:val="0"/>
  </w:style>
  <w:style w:type="character" w:customStyle="1" w:styleId="213">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4">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5">
    <w:name w:val="bigsize1"/>
    <w:qFormat/>
    <w:uiPriority w:val="0"/>
    <w:rPr>
      <w:sz w:val="23"/>
      <w:szCs w:val="23"/>
    </w:rPr>
  </w:style>
  <w:style w:type="character" w:customStyle="1" w:styleId="216">
    <w:name w:val="样式3 Char Char Char Char Char Char Char"/>
    <w:autoRedefine/>
    <w:qFormat/>
    <w:uiPriority w:val="0"/>
    <w:rPr>
      <w:rFonts w:eastAsia="宋体"/>
      <w:sz w:val="24"/>
      <w:szCs w:val="24"/>
      <w:lang w:val="en-US" w:eastAsia="zh-CN" w:bidi="ar-SA"/>
    </w:rPr>
  </w:style>
  <w:style w:type="character" w:customStyle="1" w:styleId="217">
    <w:name w:val="Char Char20"/>
    <w:autoRedefine/>
    <w:qFormat/>
    <w:uiPriority w:val="0"/>
    <w:rPr>
      <w:rFonts w:eastAsia="宋体"/>
      <w:kern w:val="2"/>
      <w:sz w:val="18"/>
      <w:szCs w:val="18"/>
      <w:lang w:val="en-US" w:eastAsia="zh-CN" w:bidi="ar-SA"/>
    </w:rPr>
  </w:style>
  <w:style w:type="character" w:customStyle="1" w:styleId="218">
    <w:name w:val="上标"/>
    <w:qFormat/>
    <w:uiPriority w:val="0"/>
    <w:rPr>
      <w:vertAlign w:val="superscript"/>
      <w:lang w:eastAsia="zh-CN"/>
    </w:rPr>
  </w:style>
  <w:style w:type="character" w:customStyle="1" w:styleId="219">
    <w:name w:val="title-text"/>
    <w:autoRedefine/>
    <w:qFormat/>
    <w:uiPriority w:val="0"/>
  </w:style>
  <w:style w:type="character" w:customStyle="1" w:styleId="220">
    <w:name w:val="Char Char Char Char3"/>
    <w:qFormat/>
    <w:uiPriority w:val="0"/>
    <w:rPr>
      <w:rFonts w:eastAsia="宋体"/>
      <w:kern w:val="2"/>
      <w:sz w:val="18"/>
      <w:szCs w:val="18"/>
      <w:lang w:val="en-US" w:eastAsia="zh-CN" w:bidi="ar-SA"/>
    </w:rPr>
  </w:style>
  <w:style w:type="character" w:customStyle="1" w:styleId="221">
    <w:name w:val="批注框文本 Char1"/>
    <w:autoRedefine/>
    <w:semiHidden/>
    <w:qFormat/>
    <w:uiPriority w:val="0"/>
    <w:rPr>
      <w:kern w:val="2"/>
      <w:sz w:val="18"/>
      <w:szCs w:val="18"/>
    </w:rPr>
  </w:style>
  <w:style w:type="character" w:customStyle="1" w:styleId="222">
    <w:name w:val="表格下方正文 Char1"/>
    <w:qFormat/>
    <w:uiPriority w:val="0"/>
    <w:rPr>
      <w:rFonts w:eastAsia="宋体"/>
      <w:snapToGrid/>
      <w:sz w:val="24"/>
      <w:szCs w:val="24"/>
      <w:lang w:val="en-US" w:eastAsia="zh-CN" w:bidi="ar-SA"/>
    </w:rPr>
  </w:style>
  <w:style w:type="character" w:customStyle="1" w:styleId="223">
    <w:name w:val="标题1.1.1.1.1.1 Char Char1"/>
    <w:qFormat/>
    <w:uiPriority w:val="0"/>
    <w:rPr>
      <w:rFonts w:ascii="Arial" w:hAnsi="Arial" w:eastAsia="黑体"/>
      <w:b/>
      <w:sz w:val="24"/>
      <w:lang w:val="en-US" w:eastAsia="zh-CN" w:bidi="ar-SA"/>
    </w:rPr>
  </w:style>
  <w:style w:type="character" w:customStyle="1" w:styleId="224">
    <w:name w:val="abstract_page_text1"/>
    <w:autoRedefine/>
    <w:qFormat/>
    <w:uiPriority w:val="0"/>
    <w:rPr>
      <w:rFonts w:hint="default" w:ascii="Arial" w:hAnsi="Arial"/>
      <w:color w:val="000000"/>
      <w:sz w:val="16"/>
    </w:rPr>
  </w:style>
  <w:style w:type="character" w:customStyle="1" w:styleId="225">
    <w:name w:val="标题 5 Char1"/>
    <w:autoRedefine/>
    <w:semiHidden/>
    <w:qFormat/>
    <w:uiPriority w:val="0"/>
    <w:rPr>
      <w:rFonts w:eastAsia="宋体"/>
      <w:b/>
      <w:bCs/>
      <w:kern w:val="2"/>
      <w:sz w:val="28"/>
      <w:szCs w:val="28"/>
    </w:rPr>
  </w:style>
  <w:style w:type="character" w:customStyle="1" w:styleId="226">
    <w:name w:val="正文文本缩进 2 Char2"/>
    <w:semiHidden/>
    <w:qFormat/>
    <w:uiPriority w:val="0"/>
  </w:style>
  <w:style w:type="character" w:customStyle="1" w:styleId="227">
    <w:name w:val="正文文本 Char1"/>
    <w:autoRedefine/>
    <w:qFormat/>
    <w:uiPriority w:val="0"/>
    <w:rPr>
      <w:rFonts w:eastAsia="宋体"/>
      <w:sz w:val="21"/>
      <w:lang w:val="en-US" w:eastAsia="zh-CN"/>
    </w:rPr>
  </w:style>
  <w:style w:type="character" w:customStyle="1" w:styleId="228">
    <w:name w:val="Char Char33"/>
    <w:autoRedefine/>
    <w:qFormat/>
    <w:uiPriority w:val="0"/>
    <w:rPr>
      <w:rFonts w:eastAsia="宋体"/>
      <w:kern w:val="2"/>
      <w:sz w:val="16"/>
      <w:szCs w:val="16"/>
      <w:lang w:val="en-US" w:eastAsia="zh-CN" w:bidi="ar-SA"/>
    </w:rPr>
  </w:style>
  <w:style w:type="character" w:customStyle="1" w:styleId="229">
    <w:name w:val="ll"/>
    <w:autoRedefine/>
    <w:qFormat/>
    <w:uiPriority w:val="0"/>
  </w:style>
  <w:style w:type="character" w:customStyle="1" w:styleId="230">
    <w:name w:val="lm1"/>
    <w:qFormat/>
    <w:uiPriority w:val="0"/>
    <w:rPr>
      <w:sz w:val="18"/>
      <w:szCs w:val="18"/>
    </w:rPr>
  </w:style>
  <w:style w:type="character" w:customStyle="1" w:styleId="231">
    <w:name w:val="正文文本 字符1"/>
    <w:qFormat/>
    <w:uiPriority w:val="0"/>
    <w:rPr>
      <w:rFonts w:ascii="Times New Roman" w:hAnsi="Times New Roman" w:eastAsia="宋体"/>
      <w:sz w:val="24"/>
    </w:rPr>
  </w:style>
  <w:style w:type="character" w:customStyle="1" w:styleId="232">
    <w:name w:val="正文首行缩进 2 字符"/>
    <w:qFormat/>
    <w:uiPriority w:val="0"/>
    <w:rPr>
      <w:rFonts w:ascii="Arial" w:hAnsi="Arial" w:eastAsia="宋体"/>
      <w:kern w:val="2"/>
      <w:sz w:val="24"/>
      <w:szCs w:val="24"/>
      <w:lang w:val="en-US" w:eastAsia="zh-CN" w:bidi="ar-SA"/>
    </w:rPr>
  </w:style>
  <w:style w:type="character" w:customStyle="1" w:styleId="233">
    <w:name w:val="表格 Char"/>
    <w:link w:val="133"/>
    <w:qFormat/>
    <w:locked/>
    <w:uiPriority w:val="0"/>
    <w:rPr>
      <w:rFonts w:ascii="Times New Roman" w:hAnsi="Times New Roman" w:eastAsia="宋体" w:cs="Times New Roman"/>
      <w:kern w:val="2"/>
      <w:sz w:val="21"/>
    </w:rPr>
  </w:style>
  <w:style w:type="character" w:customStyle="1" w:styleId="234">
    <w:name w:val="引用 字符"/>
    <w:qFormat/>
    <w:uiPriority w:val="29"/>
    <w:rPr>
      <w:rFonts w:ascii="Arial" w:hAnsi="Arial"/>
      <w:i/>
      <w:iCs/>
      <w:color w:val="404040"/>
      <w:kern w:val="2"/>
      <w:sz w:val="24"/>
      <w:szCs w:val="24"/>
    </w:rPr>
  </w:style>
  <w:style w:type="character" w:customStyle="1" w:styleId="235">
    <w:name w:val="批注文字 字符1"/>
    <w:qFormat/>
    <w:uiPriority w:val="0"/>
    <w:rPr>
      <w:rFonts w:ascii="Times New Roman" w:hAnsi="Times New Roman" w:eastAsia="宋体"/>
      <w:sz w:val="24"/>
    </w:rPr>
  </w:style>
  <w:style w:type="character" w:customStyle="1" w:styleId="236">
    <w:name w:val="H1 Char Char"/>
    <w:qFormat/>
    <w:uiPriority w:val="0"/>
    <w:rPr>
      <w:b/>
      <w:bCs/>
      <w:kern w:val="44"/>
      <w:sz w:val="44"/>
      <w:szCs w:val="44"/>
    </w:rPr>
  </w:style>
  <w:style w:type="character" w:customStyle="1" w:styleId="237">
    <w:name w:val="明显引用 字符"/>
    <w:autoRedefine/>
    <w:qFormat/>
    <w:uiPriority w:val="30"/>
    <w:rPr>
      <w:rFonts w:ascii="Arial" w:hAnsi="Arial"/>
      <w:i/>
      <w:iCs/>
      <w:color w:val="5B9BD5"/>
      <w:kern w:val="2"/>
      <w:sz w:val="24"/>
      <w:szCs w:val="24"/>
    </w:rPr>
  </w:style>
  <w:style w:type="character" w:customStyle="1" w:styleId="238">
    <w:name w:val="表格正文 Char2"/>
    <w:autoRedefine/>
    <w:qFormat/>
    <w:uiPriority w:val="0"/>
    <w:rPr>
      <w:rFonts w:eastAsia="宋体"/>
      <w:kern w:val="2"/>
      <w:sz w:val="21"/>
      <w:szCs w:val="21"/>
      <w:lang w:val="en-US" w:eastAsia="zh-CN" w:bidi="ar-SA"/>
    </w:rPr>
  </w:style>
  <w:style w:type="character" w:customStyle="1" w:styleId="239">
    <w:name w:val="宏文本 Char"/>
    <w:qFormat/>
    <w:uiPriority w:val="0"/>
    <w:rPr>
      <w:rFonts w:ascii="Courier New" w:hAnsi="Courier New" w:cs="Courier New"/>
      <w:kern w:val="2"/>
      <w:sz w:val="24"/>
      <w:szCs w:val="24"/>
    </w:rPr>
  </w:style>
  <w:style w:type="character" w:customStyle="1" w:styleId="240">
    <w:name w:val="注释标题 Char"/>
    <w:autoRedefine/>
    <w:qFormat/>
    <w:uiPriority w:val="0"/>
    <w:rPr>
      <w:kern w:val="2"/>
      <w:sz w:val="21"/>
      <w:szCs w:val="24"/>
    </w:rPr>
  </w:style>
  <w:style w:type="character" w:customStyle="1" w:styleId="241">
    <w:name w:val="电子邮件签名 Char"/>
    <w:qFormat/>
    <w:uiPriority w:val="0"/>
    <w:rPr>
      <w:kern w:val="2"/>
      <w:sz w:val="21"/>
      <w:szCs w:val="24"/>
    </w:rPr>
  </w:style>
  <w:style w:type="character" w:customStyle="1" w:styleId="242">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3">
    <w:name w:val="正文文本 3 Char1"/>
    <w:semiHidden/>
    <w:qFormat/>
    <w:uiPriority w:val="0"/>
    <w:rPr>
      <w:kern w:val="2"/>
      <w:sz w:val="16"/>
      <w:szCs w:val="16"/>
    </w:rPr>
  </w:style>
  <w:style w:type="character" w:customStyle="1" w:styleId="244">
    <w:name w:val="结束语 Char"/>
    <w:autoRedefine/>
    <w:qFormat/>
    <w:uiPriority w:val="0"/>
    <w:rPr>
      <w:kern w:val="2"/>
      <w:sz w:val="21"/>
      <w:szCs w:val="24"/>
    </w:rPr>
  </w:style>
  <w:style w:type="character" w:customStyle="1" w:styleId="245">
    <w:name w:val="hei1"/>
    <w:autoRedefine/>
    <w:qFormat/>
    <w:uiPriority w:val="0"/>
    <w:rPr>
      <w:color w:val="000000"/>
      <w:sz w:val="18"/>
      <w:szCs w:val="18"/>
      <w:u w:val="none"/>
    </w:rPr>
  </w:style>
  <w:style w:type="character" w:customStyle="1" w:styleId="246">
    <w:name w:val="9p1"/>
    <w:qFormat/>
    <w:uiPriority w:val="0"/>
    <w:rPr>
      <w:sz w:val="18"/>
      <w:szCs w:val="18"/>
    </w:rPr>
  </w:style>
  <w:style w:type="character" w:customStyle="1" w:styleId="247">
    <w:name w:val="HTML 地址 Char"/>
    <w:autoRedefine/>
    <w:qFormat/>
    <w:uiPriority w:val="0"/>
    <w:rPr>
      <w:i/>
      <w:iCs/>
      <w:kern w:val="2"/>
      <w:sz w:val="21"/>
      <w:szCs w:val="24"/>
    </w:rPr>
  </w:style>
  <w:style w:type="character" w:customStyle="1" w:styleId="248">
    <w:name w:val="脚注文本 Char1"/>
    <w:semiHidden/>
    <w:qFormat/>
    <w:uiPriority w:val="0"/>
    <w:rPr>
      <w:kern w:val="2"/>
      <w:sz w:val="18"/>
      <w:szCs w:val="18"/>
    </w:rPr>
  </w:style>
  <w:style w:type="character" w:customStyle="1" w:styleId="249">
    <w:name w:val="正文001 Char1"/>
    <w:qFormat/>
    <w:uiPriority w:val="0"/>
    <w:rPr>
      <w:rFonts w:eastAsia="宋体"/>
      <w:kern w:val="2"/>
      <w:sz w:val="24"/>
      <w:lang w:val="en-US" w:eastAsia="zh-CN" w:bidi="ar-SA"/>
    </w:rPr>
  </w:style>
  <w:style w:type="character" w:customStyle="1" w:styleId="250">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1">
    <w:name w:val="newsbody1"/>
    <w:autoRedefine/>
    <w:qFormat/>
    <w:uiPriority w:val="0"/>
    <w:rPr>
      <w:color w:val="363636"/>
      <w:sz w:val="21"/>
      <w:szCs w:val="21"/>
    </w:rPr>
  </w:style>
  <w:style w:type="character" w:customStyle="1" w:styleId="252">
    <w:name w:val="font2"/>
    <w:autoRedefine/>
    <w:qFormat/>
    <w:uiPriority w:val="0"/>
    <w:rPr>
      <w:sz w:val="21"/>
      <w:szCs w:val="21"/>
    </w:rPr>
  </w:style>
  <w:style w:type="character" w:customStyle="1" w:styleId="253">
    <w:name w:val="签名 Char"/>
    <w:qFormat/>
    <w:uiPriority w:val="0"/>
    <w:rPr>
      <w:kern w:val="2"/>
      <w:sz w:val="21"/>
      <w:szCs w:val="24"/>
    </w:rPr>
  </w:style>
  <w:style w:type="character" w:customStyle="1" w:styleId="254">
    <w:name w:val="z101"/>
    <w:autoRedefine/>
    <w:qFormat/>
    <w:uiPriority w:val="0"/>
    <w:rPr>
      <w:sz w:val="21"/>
      <w:szCs w:val="21"/>
    </w:rPr>
  </w:style>
  <w:style w:type="character" w:customStyle="1" w:styleId="255">
    <w:name w:val="style71"/>
    <w:autoRedefine/>
    <w:qFormat/>
    <w:uiPriority w:val="0"/>
    <w:rPr>
      <w:color w:val="666666"/>
    </w:rPr>
  </w:style>
  <w:style w:type="character" w:customStyle="1" w:styleId="256">
    <w:name w:val="(a正文 Char Char"/>
    <w:qFormat/>
    <w:uiPriority w:val="0"/>
    <w:rPr>
      <w:rFonts w:eastAsia="仿宋_GB2312"/>
      <w:color w:val="000000"/>
      <w:kern w:val="2"/>
      <w:sz w:val="24"/>
      <w:lang w:val="en-US" w:eastAsia="zh-CN" w:bidi="ar-SA"/>
    </w:rPr>
  </w:style>
  <w:style w:type="character" w:customStyle="1" w:styleId="257">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58">
    <w:name w:val="样式 仿宋_GB2312 (符号) 宋体 四号"/>
    <w:autoRedefine/>
    <w:qFormat/>
    <w:uiPriority w:val="0"/>
    <w:rPr>
      <w:rFonts w:ascii="仿宋_GB2312" w:hAnsi="仿宋_GB2312" w:eastAsia="仿宋_GB2312"/>
      <w:sz w:val="24"/>
    </w:rPr>
  </w:style>
  <w:style w:type="character" w:customStyle="1" w:styleId="259">
    <w:name w:val="普通文字2 Char"/>
    <w:autoRedefine/>
    <w:qFormat/>
    <w:uiPriority w:val="0"/>
    <w:rPr>
      <w:rFonts w:ascii="宋体" w:hAnsi="Courier New" w:eastAsia="宋体"/>
      <w:kern w:val="2"/>
      <w:sz w:val="21"/>
      <w:lang w:val="en-US" w:eastAsia="zh-CN" w:bidi="ar-SA"/>
    </w:rPr>
  </w:style>
  <w:style w:type="character" w:customStyle="1" w:styleId="260">
    <w:name w:val="信息标题 Char"/>
    <w:qFormat/>
    <w:uiPriority w:val="0"/>
    <w:rPr>
      <w:rFonts w:ascii="Calibri Light" w:hAnsi="Calibri Light" w:eastAsia="宋体" w:cs="Times New Roman"/>
      <w:kern w:val="2"/>
      <w:sz w:val="24"/>
      <w:szCs w:val="24"/>
      <w:shd w:val="pct20" w:color="auto" w:fill="auto"/>
    </w:rPr>
  </w:style>
  <w:style w:type="character" w:customStyle="1" w:styleId="261">
    <w:name w:val="图表名 Char Char"/>
    <w:qFormat/>
    <w:uiPriority w:val="0"/>
    <w:rPr>
      <w:rFonts w:eastAsia="黑体"/>
      <w:b/>
      <w:kern w:val="2"/>
      <w:sz w:val="21"/>
      <w:lang w:val="en-US" w:eastAsia="zh-CN" w:bidi="ar-SA"/>
    </w:rPr>
  </w:style>
  <w:style w:type="character" w:customStyle="1" w:styleId="262">
    <w:name w:val="样式 标题 1 + (中文) 黑体 Char Char"/>
    <w:qFormat/>
    <w:uiPriority w:val="0"/>
    <w:rPr>
      <w:rFonts w:eastAsia="黑体"/>
      <w:b/>
      <w:bCs/>
      <w:kern w:val="44"/>
      <w:sz w:val="36"/>
      <w:szCs w:val="44"/>
      <w:lang w:val="en-US" w:eastAsia="zh-CN" w:bidi="ar-SA"/>
    </w:rPr>
  </w:style>
  <w:style w:type="character" w:customStyle="1" w:styleId="263">
    <w:name w:val="标题4 Char"/>
    <w:autoRedefine/>
    <w:qFormat/>
    <w:locked/>
    <w:uiPriority w:val="0"/>
    <w:rPr>
      <w:rFonts w:ascii="Arial" w:hAnsi="Arial"/>
      <w:kern w:val="2"/>
      <w:sz w:val="21"/>
    </w:rPr>
  </w:style>
  <w:style w:type="character" w:customStyle="1" w:styleId="264">
    <w:name w:val="hangju"/>
    <w:qFormat/>
    <w:uiPriority w:val="0"/>
  </w:style>
  <w:style w:type="character" w:customStyle="1" w:styleId="265">
    <w:name w:val="txt1"/>
    <w:qFormat/>
    <w:uiPriority w:val="0"/>
    <w:rPr>
      <w:rFonts w:hint="default" w:ascii="ˎ̥" w:hAnsi="ˎ̥" w:eastAsia="仿宋_GB2312"/>
      <w:bCs/>
      <w:color w:val="2255BB"/>
      <w:kern w:val="2"/>
      <w:sz w:val="24"/>
      <w:szCs w:val="24"/>
      <w:lang w:val="en-US" w:eastAsia="zh-CN" w:bidi="ar-SA"/>
    </w:rPr>
  </w:style>
  <w:style w:type="character" w:customStyle="1" w:styleId="266">
    <w:name w:val="正文01 Char"/>
    <w:qFormat/>
    <w:uiPriority w:val="0"/>
    <w:rPr>
      <w:kern w:val="2"/>
      <w:sz w:val="24"/>
      <w:szCs w:val="24"/>
    </w:rPr>
  </w:style>
  <w:style w:type="character" w:customStyle="1" w:styleId="267">
    <w:name w:val="样式 正文文本正文文字 + (中文) 黑体 加粗 Char Char"/>
    <w:qFormat/>
    <w:uiPriority w:val="0"/>
    <w:rPr>
      <w:rFonts w:eastAsia="黑体"/>
      <w:b/>
      <w:bCs/>
      <w:kern w:val="2"/>
      <w:sz w:val="21"/>
      <w:szCs w:val="24"/>
      <w:lang w:val="en-US" w:eastAsia="zh-CN" w:bidi="ar-SA"/>
    </w:rPr>
  </w:style>
  <w:style w:type="character" w:customStyle="1" w:styleId="268">
    <w:name w:val="表格正文 Char"/>
    <w:link w:val="269"/>
    <w:qFormat/>
    <w:uiPriority w:val="0"/>
    <w:rPr>
      <w:kern w:val="2"/>
      <w:sz w:val="21"/>
      <w:szCs w:val="24"/>
    </w:rPr>
  </w:style>
  <w:style w:type="paragraph" w:customStyle="1" w:styleId="269">
    <w:name w:val="表格正文"/>
    <w:basedOn w:val="1"/>
    <w:link w:val="268"/>
    <w:qFormat/>
    <w:uiPriority w:val="0"/>
    <w:pPr>
      <w:spacing w:line="360" w:lineRule="exact"/>
      <w:jc w:val="center"/>
    </w:pPr>
    <w:rPr>
      <w:rFonts w:asciiTheme="minorHAnsi" w:hAnsiTheme="minorHAnsi" w:eastAsiaTheme="minorEastAsia" w:cstheme="minorBidi"/>
      <w:szCs w:val="24"/>
    </w:rPr>
  </w:style>
  <w:style w:type="character" w:customStyle="1" w:styleId="270">
    <w:name w:val="xl26 Char"/>
    <w:link w:val="140"/>
    <w:qFormat/>
    <w:uiPriority w:val="0"/>
    <w:rPr>
      <w:rFonts w:ascii="宋体" w:hAnsi="宋体" w:eastAsia="宋体" w:cs="Times New Roman"/>
      <w:sz w:val="21"/>
      <w:szCs w:val="21"/>
    </w:rPr>
  </w:style>
  <w:style w:type="character" w:customStyle="1" w:styleId="271">
    <w:name w:val="title31"/>
    <w:autoRedefine/>
    <w:qFormat/>
    <w:uiPriority w:val="0"/>
    <w:rPr>
      <w:rFonts w:hint="eastAsia" w:ascii="宋体" w:hAnsi="宋体" w:eastAsia="宋体"/>
      <w:color w:val="000000"/>
      <w:sz w:val="23"/>
      <w:szCs w:val="23"/>
    </w:rPr>
  </w:style>
  <w:style w:type="character" w:customStyle="1" w:styleId="272">
    <w:name w:val="表 Char"/>
    <w:link w:val="273"/>
    <w:qFormat/>
    <w:uiPriority w:val="0"/>
    <w:rPr>
      <w:rFonts w:ascii="Arial" w:hAnsi="Arial"/>
      <w:spacing w:val="2"/>
      <w:kern w:val="2"/>
      <w:sz w:val="24"/>
      <w:lang w:val="zh-CN"/>
    </w:rPr>
  </w:style>
  <w:style w:type="paragraph" w:customStyle="1" w:styleId="273">
    <w:name w:val="表"/>
    <w:basedOn w:val="1"/>
    <w:link w:val="272"/>
    <w:qFormat/>
    <w:uiPriority w:val="0"/>
    <w:pPr>
      <w:snapToGrid w:val="0"/>
      <w:jc w:val="center"/>
    </w:pPr>
    <w:rPr>
      <w:rFonts w:ascii="Arial" w:hAnsi="Arial" w:eastAsiaTheme="minorEastAsia" w:cstheme="minorBidi"/>
      <w:spacing w:val="2"/>
      <w:sz w:val="24"/>
      <w:szCs w:val="20"/>
      <w:lang w:val="zh-CN"/>
    </w:rPr>
  </w:style>
  <w:style w:type="character" w:customStyle="1" w:styleId="274">
    <w:name w:val="普通文字21 Char"/>
    <w:autoRedefine/>
    <w:qFormat/>
    <w:uiPriority w:val="0"/>
    <w:rPr>
      <w:rFonts w:ascii="宋体" w:hAnsi="Courier New" w:eastAsia="宋体"/>
      <w:kern w:val="2"/>
      <w:sz w:val="21"/>
      <w:lang w:val="en-US" w:eastAsia="zh-CN" w:bidi="ar-SA"/>
    </w:rPr>
  </w:style>
  <w:style w:type="character" w:customStyle="1" w:styleId="275">
    <w:name w:val="居中正文 Char"/>
    <w:link w:val="276"/>
    <w:qFormat/>
    <w:uiPriority w:val="0"/>
    <w:rPr>
      <w:rFonts w:ascii="宋体" w:hAnsi="Arial"/>
      <w:kern w:val="28"/>
      <w:sz w:val="24"/>
      <w:lang w:val="zh-CN"/>
    </w:rPr>
  </w:style>
  <w:style w:type="paragraph" w:customStyle="1" w:styleId="276">
    <w:name w:val="居中正文"/>
    <w:basedOn w:val="86"/>
    <w:link w:val="275"/>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77">
    <w:name w:val="my Char"/>
    <w:link w:val="278"/>
    <w:qFormat/>
    <w:uiPriority w:val="0"/>
    <w:rPr>
      <w:sz w:val="24"/>
      <w:szCs w:val="24"/>
    </w:rPr>
  </w:style>
  <w:style w:type="paragraph" w:customStyle="1" w:styleId="278">
    <w:name w:val="my"/>
    <w:link w:val="277"/>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79">
    <w:name w:val="正文001 Char"/>
    <w:link w:val="280"/>
    <w:qFormat/>
    <w:uiPriority w:val="0"/>
    <w:rPr>
      <w:kern w:val="2"/>
      <w:sz w:val="24"/>
    </w:rPr>
  </w:style>
  <w:style w:type="paragraph" w:customStyle="1" w:styleId="280">
    <w:name w:val="正文001"/>
    <w:basedOn w:val="1"/>
    <w:link w:val="279"/>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1">
    <w:name w:val="标题 4 字符1"/>
    <w:autoRedefine/>
    <w:semiHidden/>
    <w:qFormat/>
    <w:locked/>
    <w:uiPriority w:val="0"/>
    <w:rPr>
      <w:rFonts w:ascii="Arial" w:hAnsi="Arial" w:eastAsia="黑体"/>
      <w:kern w:val="2"/>
      <w:sz w:val="28"/>
      <w:szCs w:val="28"/>
    </w:rPr>
  </w:style>
  <w:style w:type="character" w:customStyle="1" w:styleId="282">
    <w:name w:val="样式1 Char"/>
    <w:link w:val="283"/>
    <w:autoRedefine/>
    <w:qFormat/>
    <w:uiPriority w:val="0"/>
    <w:rPr>
      <w:rFonts w:ascii="Arial" w:hAnsi="Arial" w:eastAsia="仿宋_GB2312"/>
      <w:b/>
      <w:kern w:val="2"/>
      <w:sz w:val="36"/>
      <w:szCs w:val="24"/>
      <w:lang w:val="zh-CN"/>
    </w:rPr>
  </w:style>
  <w:style w:type="paragraph" w:customStyle="1" w:styleId="283">
    <w:name w:val="样式1"/>
    <w:basedOn w:val="1"/>
    <w:link w:val="282"/>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4">
    <w:name w:val="1级标题 Char"/>
    <w:link w:val="285"/>
    <w:qFormat/>
    <w:uiPriority w:val="0"/>
    <w:rPr>
      <w:rFonts w:ascii="Arial" w:hAnsi="Arial"/>
      <w:b/>
      <w:kern w:val="2"/>
      <w:sz w:val="32"/>
      <w:szCs w:val="24"/>
      <w:lang w:val="zh-CN"/>
    </w:rPr>
  </w:style>
  <w:style w:type="paragraph" w:customStyle="1" w:styleId="285">
    <w:name w:val="1级标题"/>
    <w:basedOn w:val="1"/>
    <w:link w:val="284"/>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6">
    <w:name w:val="表格内容 Char Char"/>
    <w:link w:val="287"/>
    <w:qFormat/>
    <w:uiPriority w:val="0"/>
    <w:rPr>
      <w:rFonts w:ascii="Arial" w:hAnsi="Arial" w:eastAsia="仿宋_GB2312"/>
      <w:sz w:val="24"/>
      <w:lang w:val="zh-CN"/>
    </w:rPr>
  </w:style>
  <w:style w:type="paragraph" w:customStyle="1" w:styleId="287">
    <w:name w:val="表格内容"/>
    <w:basedOn w:val="1"/>
    <w:link w:val="286"/>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88">
    <w:name w:val="表头1 Char"/>
    <w:link w:val="289"/>
    <w:autoRedefine/>
    <w:qFormat/>
    <w:uiPriority w:val="0"/>
    <w:rPr>
      <w:rFonts w:ascii="Arial" w:hAnsi="Arial"/>
      <w:b/>
      <w:bCs/>
      <w:kern w:val="24"/>
      <w:sz w:val="24"/>
      <w:szCs w:val="24"/>
      <w:lang w:val="zh-CN"/>
    </w:rPr>
  </w:style>
  <w:style w:type="paragraph" w:customStyle="1" w:styleId="289">
    <w:name w:val="表头1"/>
    <w:basedOn w:val="1"/>
    <w:link w:val="288"/>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0">
    <w:name w:val="标题 3 字符1"/>
    <w:semiHidden/>
    <w:qFormat/>
    <w:uiPriority w:val="0"/>
    <w:rPr>
      <w:rFonts w:ascii="等线" w:hAnsi="等线" w:eastAsia="等线"/>
      <w:b/>
      <w:bCs/>
      <w:kern w:val="2"/>
      <w:sz w:val="32"/>
      <w:szCs w:val="32"/>
    </w:rPr>
  </w:style>
  <w:style w:type="character" w:customStyle="1" w:styleId="291">
    <w:name w:val="表头 Char"/>
    <w:link w:val="292"/>
    <w:qFormat/>
    <w:uiPriority w:val="0"/>
    <w:rPr>
      <w:rFonts w:ascii="Arial" w:hAnsi="Arial" w:eastAsia="黑体"/>
      <w:spacing w:val="-10"/>
      <w:sz w:val="21"/>
      <w:lang w:val="zh-CN"/>
    </w:rPr>
  </w:style>
  <w:style w:type="paragraph" w:customStyle="1" w:styleId="292">
    <w:name w:val="表头"/>
    <w:basedOn w:val="1"/>
    <w:link w:val="291"/>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3">
    <w:name w:val="标题 2 字符1"/>
    <w:semiHidden/>
    <w:qFormat/>
    <w:uiPriority w:val="0"/>
    <w:rPr>
      <w:rFonts w:ascii="等线 Light" w:hAnsi="等线 Light" w:eastAsia="等线 Light" w:cs="Times New Roman"/>
      <w:b/>
      <w:bCs/>
      <w:kern w:val="2"/>
      <w:sz w:val="32"/>
      <w:szCs w:val="32"/>
    </w:rPr>
  </w:style>
  <w:style w:type="character" w:customStyle="1" w:styleId="294">
    <w:name w:val="表格文字 Char"/>
    <w:link w:val="295"/>
    <w:qFormat/>
    <w:uiPriority w:val="0"/>
    <w:rPr>
      <w:rFonts w:ascii="Arial" w:hAnsi="Arial"/>
      <w:kern w:val="2"/>
      <w:sz w:val="21"/>
      <w:lang w:val="zh-CN"/>
    </w:rPr>
  </w:style>
  <w:style w:type="paragraph" w:customStyle="1" w:styleId="295">
    <w:name w:val="表格文字"/>
    <w:basedOn w:val="1"/>
    <w:link w:val="294"/>
    <w:qFormat/>
    <w:uiPriority w:val="0"/>
    <w:pPr>
      <w:spacing w:line="400" w:lineRule="exact"/>
      <w:jc w:val="center"/>
    </w:pPr>
    <w:rPr>
      <w:rFonts w:ascii="Arial" w:hAnsi="Arial" w:eastAsiaTheme="minorEastAsia" w:cstheme="minorBidi"/>
      <w:szCs w:val="20"/>
      <w:lang w:val="zh-CN"/>
    </w:rPr>
  </w:style>
  <w:style w:type="character" w:customStyle="1" w:styleId="296">
    <w:name w:val="样式 居中 Char"/>
    <w:link w:val="297"/>
    <w:qFormat/>
    <w:locked/>
    <w:uiPriority w:val="0"/>
    <w:rPr>
      <w:rFonts w:ascii="宋体" w:hAnsi="宋体" w:cs="宋体"/>
      <w:b/>
    </w:rPr>
  </w:style>
  <w:style w:type="paragraph" w:customStyle="1" w:styleId="297">
    <w:name w:val="样式 居中"/>
    <w:basedOn w:val="1"/>
    <w:link w:val="296"/>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298">
    <w:name w:val="表格题注 Char Char Char Char"/>
    <w:link w:val="299"/>
    <w:autoRedefine/>
    <w:qFormat/>
    <w:uiPriority w:val="0"/>
    <w:rPr>
      <w:b/>
      <w:kern w:val="2"/>
      <w:sz w:val="24"/>
      <w:szCs w:val="24"/>
    </w:rPr>
  </w:style>
  <w:style w:type="paragraph" w:customStyle="1" w:styleId="299">
    <w:name w:val="表格题注 Char Char Char"/>
    <w:basedOn w:val="21"/>
    <w:link w:val="298"/>
    <w:autoRedefine/>
    <w:qFormat/>
    <w:uiPriority w:val="0"/>
    <w:pPr>
      <w:widowControl w:val="0"/>
      <w:tabs>
        <w:tab w:val="left" w:pos="0"/>
      </w:tabs>
      <w:ind w:firstLine="0"/>
      <w:jc w:val="center"/>
    </w:pPr>
    <w:rPr>
      <w:rFonts w:asciiTheme="minorHAnsi" w:hAnsiTheme="minorHAnsi" w:eastAsiaTheme="minorEastAsia" w:cstheme="minorBidi"/>
      <w:b/>
      <w:sz w:val="24"/>
      <w:szCs w:val="24"/>
    </w:rPr>
  </w:style>
  <w:style w:type="character" w:customStyle="1" w:styleId="300">
    <w:name w:val="题注 字符"/>
    <w:autoRedefine/>
    <w:semiHidden/>
    <w:qFormat/>
    <w:locked/>
    <w:uiPriority w:val="35"/>
    <w:rPr>
      <w:rFonts w:ascii="Arial" w:hAnsi="Arial" w:eastAsia="黑体" w:cs="Arial"/>
      <w:kern w:val="2"/>
      <w:sz w:val="21"/>
      <w:szCs w:val="22"/>
    </w:rPr>
  </w:style>
  <w:style w:type="character" w:customStyle="1" w:styleId="301">
    <w:name w:val="表格下方正文 Char"/>
    <w:link w:val="302"/>
    <w:qFormat/>
    <w:uiPriority w:val="0"/>
    <w:rPr>
      <w:rFonts w:ascii="Arial" w:hAnsi="Arial"/>
      <w:color w:val="000000"/>
      <w:sz w:val="24"/>
      <w:szCs w:val="24"/>
      <w:lang w:val="zh-CN"/>
    </w:rPr>
  </w:style>
  <w:style w:type="paragraph" w:customStyle="1" w:styleId="302">
    <w:name w:val="表格下方正文"/>
    <w:basedOn w:val="1"/>
    <w:link w:val="301"/>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3">
    <w:name w:val="正文文本缩进 字符1"/>
    <w:semiHidden/>
    <w:qFormat/>
    <w:locked/>
    <w:uiPriority w:val="0"/>
    <w:rPr>
      <w:kern w:val="2"/>
      <w:sz w:val="24"/>
      <w:szCs w:val="24"/>
    </w:rPr>
  </w:style>
  <w:style w:type="character" w:customStyle="1" w:styleId="304">
    <w:name w:val="三级标题 Char"/>
    <w:link w:val="305"/>
    <w:autoRedefine/>
    <w:qFormat/>
    <w:uiPriority w:val="0"/>
    <w:rPr>
      <w:rFonts w:ascii="Arial" w:hAnsi="Arial"/>
      <w:b/>
      <w:color w:val="000000"/>
      <w:sz w:val="24"/>
      <w:szCs w:val="24"/>
      <w:lang w:val="zh-CN"/>
    </w:rPr>
  </w:style>
  <w:style w:type="paragraph" w:customStyle="1" w:styleId="305">
    <w:name w:val="三级标题"/>
    <w:basedOn w:val="1"/>
    <w:link w:val="304"/>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6">
    <w:name w:val="正文缩进 字符3"/>
    <w:qFormat/>
    <w:uiPriority w:val="0"/>
    <w:rPr>
      <w:rFonts w:ascii="Arial" w:hAnsi="Arial" w:eastAsia="宋体" w:cs="Arial"/>
      <w:spacing w:val="10"/>
      <w:kern w:val="2"/>
      <w:sz w:val="24"/>
      <w:lang w:val="en-US" w:eastAsia="zh-CN" w:bidi="ar-SA"/>
    </w:rPr>
  </w:style>
  <w:style w:type="character" w:customStyle="1" w:styleId="307">
    <w:name w:val="二级标题 Char"/>
    <w:link w:val="308"/>
    <w:autoRedefine/>
    <w:qFormat/>
    <w:uiPriority w:val="0"/>
    <w:rPr>
      <w:rFonts w:ascii="Arial" w:hAnsi="Arial"/>
      <w:b/>
      <w:kern w:val="2"/>
      <w:sz w:val="28"/>
      <w:szCs w:val="24"/>
      <w:lang w:val="zh-CN"/>
    </w:rPr>
  </w:style>
  <w:style w:type="paragraph" w:customStyle="1" w:styleId="308">
    <w:name w:val="二级标题"/>
    <w:basedOn w:val="1"/>
    <w:link w:val="307"/>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09">
    <w:name w:val="标题 1 字符1"/>
    <w:autoRedefine/>
    <w:qFormat/>
    <w:uiPriority w:val="0"/>
    <w:rPr>
      <w:rFonts w:ascii="等线" w:hAnsi="等线" w:eastAsia="等线"/>
      <w:b/>
      <w:bCs/>
      <w:kern w:val="44"/>
      <w:sz w:val="44"/>
      <w:szCs w:val="44"/>
    </w:rPr>
  </w:style>
  <w:style w:type="character" w:customStyle="1" w:styleId="310">
    <w:name w:val="正文1 Char1"/>
    <w:link w:val="311"/>
    <w:autoRedefine/>
    <w:qFormat/>
    <w:uiPriority w:val="0"/>
    <w:rPr>
      <w:rFonts w:ascii="Arial" w:hAnsi="Arial"/>
      <w:kern w:val="2"/>
      <w:sz w:val="24"/>
      <w:lang w:val="zh-CN"/>
    </w:rPr>
  </w:style>
  <w:style w:type="paragraph" w:customStyle="1" w:styleId="311">
    <w:name w:val="正文1"/>
    <w:basedOn w:val="1"/>
    <w:link w:val="310"/>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2">
    <w:name w:val="B图号 Char"/>
    <w:link w:val="313"/>
    <w:qFormat/>
    <w:uiPriority w:val="0"/>
    <w:rPr>
      <w:b/>
      <w:bCs/>
      <w:kern w:val="2"/>
      <w:sz w:val="21"/>
      <w:szCs w:val="21"/>
    </w:rPr>
  </w:style>
  <w:style w:type="paragraph" w:customStyle="1" w:styleId="313">
    <w:name w:val="B图号"/>
    <w:basedOn w:val="35"/>
    <w:link w:val="312"/>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4">
    <w:name w:val="表格文字2 Char"/>
    <w:link w:val="315"/>
    <w:autoRedefine/>
    <w:qFormat/>
    <w:uiPriority w:val="0"/>
    <w:rPr>
      <w:rFonts w:ascii="宋体" w:hAnsi="Arial"/>
      <w:kern w:val="2"/>
      <w:sz w:val="21"/>
      <w:szCs w:val="24"/>
      <w:lang w:val="zh-CN"/>
    </w:rPr>
  </w:style>
  <w:style w:type="paragraph" w:customStyle="1" w:styleId="315">
    <w:name w:val="表格文字2"/>
    <w:basedOn w:val="1"/>
    <w:link w:val="314"/>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6">
    <w:name w:val="0表X Char"/>
    <w:link w:val="317"/>
    <w:autoRedefine/>
    <w:qFormat/>
    <w:uiPriority w:val="0"/>
    <w:rPr>
      <w:b/>
      <w:kern w:val="2"/>
      <w:sz w:val="21"/>
      <w:szCs w:val="21"/>
    </w:rPr>
  </w:style>
  <w:style w:type="paragraph" w:customStyle="1" w:styleId="317">
    <w:name w:val="0表X"/>
    <w:basedOn w:val="6"/>
    <w:link w:val="316"/>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18">
    <w:name w:val="标头 Char"/>
    <w:link w:val="319"/>
    <w:qFormat/>
    <w:uiPriority w:val="0"/>
    <w:rPr>
      <w:rFonts w:ascii="Arial" w:hAnsi="Arial" w:eastAsia="黑体" w:cs="Arial"/>
      <w:kern w:val="2"/>
      <w:sz w:val="21"/>
      <w:szCs w:val="21"/>
    </w:rPr>
  </w:style>
  <w:style w:type="paragraph" w:customStyle="1" w:styleId="319">
    <w:name w:val="标头"/>
    <w:basedOn w:val="1"/>
    <w:link w:val="318"/>
    <w:autoRedefine/>
    <w:qFormat/>
    <w:uiPriority w:val="0"/>
    <w:pPr>
      <w:spacing w:line="360" w:lineRule="auto"/>
      <w:jc w:val="center"/>
    </w:pPr>
    <w:rPr>
      <w:rFonts w:ascii="Arial" w:hAnsi="Arial" w:eastAsia="黑体" w:cs="Arial"/>
    </w:rPr>
  </w:style>
  <w:style w:type="character" w:customStyle="1" w:styleId="320">
    <w:name w:val="正文缩进 Char3"/>
    <w:autoRedefine/>
    <w:qFormat/>
    <w:uiPriority w:val="0"/>
    <w:rPr>
      <w:rFonts w:ascii="Arial Narrow" w:hAnsi="Arial Narrow" w:eastAsia="宋体"/>
      <w:kern w:val="2"/>
      <w:sz w:val="24"/>
      <w:lang w:val="en-US" w:eastAsia="zh-CN" w:bidi="ar-SA"/>
    </w:rPr>
  </w:style>
  <w:style w:type="character" w:customStyle="1" w:styleId="321">
    <w:name w:val="样式3 Char"/>
    <w:link w:val="322"/>
    <w:qFormat/>
    <w:uiPriority w:val="0"/>
    <w:rPr>
      <w:rFonts w:ascii="Arial" w:hAnsi="Arial"/>
      <w:b/>
      <w:bCs/>
      <w:sz w:val="24"/>
      <w:szCs w:val="24"/>
      <w:lang w:val="zh-CN"/>
    </w:rPr>
  </w:style>
  <w:style w:type="paragraph" w:customStyle="1" w:styleId="322">
    <w:name w:val="样式3"/>
    <w:basedOn w:val="5"/>
    <w:link w:val="321"/>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3">
    <w:name w:val="正文000000000000000 宋体 小四 黑色 首行缩进:  0.85 厘米 行距: 固定值 22 磅 Char"/>
    <w:link w:val="324"/>
    <w:qFormat/>
    <w:uiPriority w:val="0"/>
    <w:rPr>
      <w:rFonts w:cs="宋体"/>
      <w:color w:val="000000"/>
      <w:kern w:val="2"/>
      <w:sz w:val="24"/>
      <w:szCs w:val="24"/>
    </w:rPr>
  </w:style>
  <w:style w:type="paragraph" w:customStyle="1" w:styleId="324">
    <w:name w:val="正文000000000000000 宋体 小四 黑色 首行缩进:  0.85 厘米 行距: 固定值 22 磅"/>
    <w:basedOn w:val="1"/>
    <w:link w:val="323"/>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5">
    <w:name w:val="未处理的提及1"/>
    <w:autoRedefine/>
    <w:unhideWhenUsed/>
    <w:qFormat/>
    <w:uiPriority w:val="99"/>
    <w:rPr>
      <w:color w:val="605E5C"/>
      <w:shd w:val="clear" w:color="auto" w:fill="E1DFDD"/>
    </w:rPr>
  </w:style>
  <w:style w:type="character" w:customStyle="1" w:styleId="326">
    <w:name w:val="信息表 Char"/>
    <w:link w:val="327"/>
    <w:qFormat/>
    <w:uiPriority w:val="0"/>
    <w:rPr>
      <w:rFonts w:eastAsia="仿宋_GB2312"/>
      <w:kern w:val="2"/>
      <w:sz w:val="22"/>
      <w:szCs w:val="22"/>
    </w:rPr>
  </w:style>
  <w:style w:type="paragraph" w:customStyle="1" w:styleId="327">
    <w:name w:val="信息表"/>
    <w:next w:val="1"/>
    <w:link w:val="326"/>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28">
    <w:name w:val="表标题... Char"/>
    <w:qFormat/>
    <w:uiPriority w:val="0"/>
    <w:rPr>
      <w:rFonts w:ascii="Arial" w:hAnsi="Arial"/>
      <w:b/>
      <w:color w:val="800080"/>
      <w:kern w:val="2"/>
      <w:sz w:val="24"/>
    </w:rPr>
  </w:style>
  <w:style w:type="character" w:customStyle="1" w:styleId="329">
    <w:name w:val="Default Char"/>
    <w:link w:val="330"/>
    <w:qFormat/>
    <w:uiPriority w:val="0"/>
    <w:rPr>
      <w:rFonts w:ascii="仿宋_GB2312" w:eastAsia="仿宋_GB2312"/>
      <w:color w:val="000000"/>
      <w:sz w:val="24"/>
      <w:szCs w:val="24"/>
    </w:rPr>
  </w:style>
  <w:style w:type="paragraph" w:customStyle="1" w:styleId="330">
    <w:name w:val="Default"/>
    <w:link w:val="329"/>
    <w:qFormat/>
    <w:uiPriority w:val="99"/>
    <w:pPr>
      <w:widowControl w:val="0"/>
      <w:autoSpaceDE w:val="0"/>
      <w:autoSpaceDN w:val="0"/>
      <w:adjustRightInd w:val="0"/>
    </w:pPr>
    <w:rPr>
      <w:rFonts w:ascii="仿宋_GB2312" w:eastAsia="仿宋_GB2312" w:hAnsiTheme="minorHAnsi" w:cstheme="minorBidi"/>
      <w:color w:val="000000"/>
      <w:sz w:val="24"/>
      <w:szCs w:val="24"/>
      <w:lang w:val="en-US" w:eastAsia="zh-CN" w:bidi="ar-SA"/>
    </w:rPr>
  </w:style>
  <w:style w:type="character" w:customStyle="1" w:styleId="331">
    <w:name w:val="样式 标题 3标题 3 Char标题 一小节标题头条标题1.1.1小标题3h33rd levelH3l3... Char"/>
    <w:link w:val="332"/>
    <w:autoRedefine/>
    <w:qFormat/>
    <w:uiPriority w:val="0"/>
    <w:rPr>
      <w:b/>
      <w:color w:val="0099FF"/>
      <w:kern w:val="2"/>
      <w:sz w:val="24"/>
    </w:rPr>
  </w:style>
  <w:style w:type="paragraph" w:customStyle="1" w:styleId="332">
    <w:name w:val="样式 标题 3标题 3 Char标题 一小节标题头条标题1.1.1小标题3h33rd levelH3l3..."/>
    <w:basedOn w:val="5"/>
    <w:next w:val="324"/>
    <w:link w:val="331"/>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3">
    <w:name w:val="常用表格样式 Char1"/>
    <w:link w:val="334"/>
    <w:autoRedefine/>
    <w:qFormat/>
    <w:uiPriority w:val="0"/>
    <w:rPr>
      <w:rFonts w:ascii="宋体" w:hAnsi="新宋体" w:eastAsia="仿宋_GB2312"/>
      <w:spacing w:val="2"/>
      <w:kern w:val="2"/>
      <w:sz w:val="18"/>
      <w:szCs w:val="21"/>
    </w:rPr>
  </w:style>
  <w:style w:type="paragraph" w:customStyle="1" w:styleId="334">
    <w:name w:val="常用表格样式"/>
    <w:basedOn w:val="1"/>
    <w:next w:val="1"/>
    <w:link w:val="333"/>
    <w:autoRedefine/>
    <w:qFormat/>
    <w:uiPriority w:val="0"/>
    <w:pPr>
      <w:jc w:val="center"/>
    </w:pPr>
    <w:rPr>
      <w:rFonts w:ascii="宋体" w:hAnsi="新宋体" w:eastAsia="仿宋_GB2312" w:cstheme="minorBidi"/>
      <w:spacing w:val="2"/>
      <w:sz w:val="18"/>
    </w:rPr>
  </w:style>
  <w:style w:type="character" w:customStyle="1" w:styleId="335">
    <w:name w:val="样式 Arial 11.5 磅"/>
    <w:autoRedefine/>
    <w:qFormat/>
    <w:uiPriority w:val="0"/>
    <w:rPr>
      <w:rFonts w:ascii="Arial" w:hAnsi="Arial"/>
      <w:sz w:val="24"/>
    </w:rPr>
  </w:style>
  <w:style w:type="character" w:customStyle="1" w:styleId="336">
    <w:name w:val="1 Char"/>
    <w:link w:val="337"/>
    <w:autoRedefine/>
    <w:qFormat/>
    <w:uiPriority w:val="0"/>
    <w:rPr>
      <w:rFonts w:eastAsia="仿宋_GB2312"/>
      <w:kern w:val="2"/>
      <w:sz w:val="28"/>
      <w:lang w:val="zh-CN"/>
    </w:rPr>
  </w:style>
  <w:style w:type="paragraph" w:customStyle="1" w:styleId="337">
    <w:name w:val="1"/>
    <w:basedOn w:val="1"/>
    <w:next w:val="21"/>
    <w:link w:val="336"/>
    <w:autoRedefine/>
    <w:qFormat/>
    <w:uiPriority w:val="0"/>
    <w:pPr>
      <w:ind w:firstLine="602"/>
    </w:pPr>
    <w:rPr>
      <w:rFonts w:eastAsia="仿宋_GB2312" w:asciiTheme="minorHAnsi" w:hAnsiTheme="minorHAnsi" w:cstheme="minorBidi"/>
      <w:sz w:val="28"/>
      <w:szCs w:val="20"/>
      <w:lang w:val="zh-CN"/>
    </w:rPr>
  </w:style>
  <w:style w:type="character" w:customStyle="1" w:styleId="338">
    <w:name w:val="正文文本 Char2"/>
    <w:autoRedefine/>
    <w:qFormat/>
    <w:uiPriority w:val="0"/>
    <w:rPr>
      <w:b/>
      <w:bCs/>
      <w:kern w:val="2"/>
      <w:sz w:val="24"/>
      <w:szCs w:val="24"/>
    </w:rPr>
  </w:style>
  <w:style w:type="character" w:customStyle="1" w:styleId="339">
    <w:name w:val="表格内标 Char Char"/>
    <w:link w:val="340"/>
    <w:autoRedefine/>
    <w:qFormat/>
    <w:uiPriority w:val="0"/>
    <w:rPr>
      <w:rFonts w:ascii="黑体" w:eastAsia="黑体"/>
    </w:rPr>
  </w:style>
  <w:style w:type="paragraph" w:customStyle="1" w:styleId="340">
    <w:name w:val="表格内标"/>
    <w:basedOn w:val="1"/>
    <w:next w:val="1"/>
    <w:link w:val="339"/>
    <w:autoRedefine/>
    <w:qFormat/>
    <w:uiPriority w:val="0"/>
    <w:pPr>
      <w:keepNext/>
      <w:keepLines/>
      <w:jc w:val="center"/>
    </w:pPr>
    <w:rPr>
      <w:rFonts w:ascii="黑体" w:eastAsia="黑体" w:hAnsiTheme="minorHAnsi" w:cstheme="minorBidi"/>
      <w:kern w:val="0"/>
      <w:sz w:val="20"/>
      <w:szCs w:val="20"/>
    </w:rPr>
  </w:style>
  <w:style w:type="character" w:customStyle="1" w:styleId="341">
    <w:name w:val="p0 Char"/>
    <w:link w:val="342"/>
    <w:autoRedefine/>
    <w:qFormat/>
    <w:uiPriority w:val="0"/>
    <w:rPr>
      <w:sz w:val="21"/>
      <w:szCs w:val="21"/>
    </w:rPr>
  </w:style>
  <w:style w:type="paragraph" w:customStyle="1" w:styleId="342">
    <w:name w:val="p0"/>
    <w:basedOn w:val="1"/>
    <w:link w:val="341"/>
    <w:autoRedefine/>
    <w:qFormat/>
    <w:uiPriority w:val="0"/>
    <w:pPr>
      <w:widowControl/>
    </w:pPr>
    <w:rPr>
      <w:rFonts w:asciiTheme="minorHAnsi" w:hAnsiTheme="minorHAnsi" w:eastAsiaTheme="minorEastAsia" w:cstheme="minorBidi"/>
      <w:kern w:val="0"/>
    </w:rPr>
  </w:style>
  <w:style w:type="character" w:customStyle="1" w:styleId="343">
    <w:name w:val="标题1 Char"/>
    <w:link w:val="344"/>
    <w:autoRedefine/>
    <w:qFormat/>
    <w:uiPriority w:val="0"/>
    <w:rPr>
      <w:b/>
      <w:bCs/>
      <w:kern w:val="44"/>
      <w:sz w:val="32"/>
      <w:szCs w:val="44"/>
      <w:lang w:val="zh-CN"/>
    </w:rPr>
  </w:style>
  <w:style w:type="paragraph" w:customStyle="1" w:styleId="344">
    <w:name w:val="标题1"/>
    <w:basedOn w:val="3"/>
    <w:next w:val="21"/>
    <w:link w:val="343"/>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5">
    <w:name w:val="ca-9"/>
    <w:autoRedefine/>
    <w:qFormat/>
    <w:uiPriority w:val="0"/>
  </w:style>
  <w:style w:type="character" w:customStyle="1" w:styleId="346">
    <w:name w:val="报告小节标题 Char"/>
    <w:link w:val="347"/>
    <w:autoRedefine/>
    <w:qFormat/>
    <w:uiPriority w:val="0"/>
    <w:rPr>
      <w:rFonts w:eastAsia="黑体"/>
      <w:kern w:val="2"/>
      <w:sz w:val="28"/>
    </w:rPr>
  </w:style>
  <w:style w:type="paragraph" w:customStyle="1" w:styleId="347">
    <w:name w:val="报告小节标题"/>
    <w:basedOn w:val="5"/>
    <w:next w:val="1"/>
    <w:link w:val="346"/>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8">
    <w:name w:val="批注文字 字符2"/>
    <w:autoRedefine/>
    <w:qFormat/>
    <w:uiPriority w:val="0"/>
    <w:rPr>
      <w:rFonts w:eastAsia="宋体"/>
      <w:kern w:val="2"/>
      <w:sz w:val="21"/>
      <w:szCs w:val="24"/>
      <w:lang w:val="en-US" w:eastAsia="zh-CN" w:bidi="ar-SA"/>
    </w:rPr>
  </w:style>
  <w:style w:type="paragraph" w:customStyle="1" w:styleId="349">
    <w:name w:val="正文首行缩进2个字"/>
    <w:basedOn w:val="1"/>
    <w:autoRedefine/>
    <w:qFormat/>
    <w:uiPriority w:val="0"/>
    <w:pPr>
      <w:spacing w:line="360" w:lineRule="auto"/>
      <w:ind w:firstLine="480" w:firstLineChars="200"/>
    </w:pPr>
    <w:rPr>
      <w:sz w:val="24"/>
      <w:szCs w:val="24"/>
    </w:rPr>
  </w:style>
  <w:style w:type="character" w:customStyle="1" w:styleId="350">
    <w:name w:val="B正文 Char"/>
    <w:link w:val="351"/>
    <w:autoRedefine/>
    <w:qFormat/>
    <w:uiPriority w:val="0"/>
    <w:rPr>
      <w:kern w:val="2"/>
      <w:sz w:val="24"/>
      <w:szCs w:val="24"/>
    </w:rPr>
  </w:style>
  <w:style w:type="paragraph" w:customStyle="1" w:styleId="351">
    <w:name w:val="B正文"/>
    <w:basedOn w:val="1"/>
    <w:link w:val="350"/>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2">
    <w:name w:val="标准文本 首行缩进: 2 字符 行距: 单倍 Char"/>
    <w:link w:val="353"/>
    <w:autoRedefine/>
    <w:qFormat/>
    <w:uiPriority w:val="0"/>
    <w:rPr>
      <w:rFonts w:cs="宋体"/>
      <w:kern w:val="2"/>
      <w:sz w:val="24"/>
      <w:szCs w:val="24"/>
    </w:rPr>
  </w:style>
  <w:style w:type="paragraph" w:customStyle="1" w:styleId="353">
    <w:name w:val="标准文本 首行缩进: 2 字符 行距: 单倍"/>
    <w:basedOn w:val="1"/>
    <w:link w:val="352"/>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4">
    <w:name w:val="正文缩进 字符2"/>
    <w:autoRedefine/>
    <w:qFormat/>
    <w:uiPriority w:val="0"/>
    <w:rPr>
      <w:rFonts w:eastAsia="宋体"/>
      <w:b/>
      <w:sz w:val="24"/>
      <w:lang w:val="en-US" w:eastAsia="zh-CN" w:bidi="ar-SA"/>
    </w:rPr>
  </w:style>
  <w:style w:type="character" w:customStyle="1" w:styleId="355">
    <w:name w:val="样式 正文缩进首行缩进两字标题4正文不缩进s4正文（首行缩进两字） Char Char Char Char Char ... Char Char"/>
    <w:link w:val="356"/>
    <w:autoRedefine/>
    <w:qFormat/>
    <w:uiPriority w:val="0"/>
    <w:rPr>
      <w:rFonts w:ascii="Arial" w:hAnsi="Arial" w:cs="Arial"/>
      <w:color w:val="000000"/>
      <w:spacing w:val="10"/>
      <w:kern w:val="2"/>
      <w:sz w:val="24"/>
    </w:rPr>
  </w:style>
  <w:style w:type="paragraph" w:customStyle="1" w:styleId="356">
    <w:name w:val="样式 正文缩进首行缩进两字标题4正文不缩进s4正文（首行缩进两字） Char Char Char Char Char ..."/>
    <w:basedOn w:val="21"/>
    <w:link w:val="355"/>
    <w:autoRedefine/>
    <w:qFormat/>
    <w:uiPriority w:val="0"/>
    <w:pPr>
      <w:widowControl w:val="0"/>
      <w:spacing w:line="264" w:lineRule="auto"/>
      <w:ind w:firstLine="476"/>
    </w:pPr>
    <w:rPr>
      <w:rFonts w:ascii="Arial" w:hAnsi="Arial" w:cs="Arial" w:eastAsiaTheme="minorEastAsia"/>
      <w:color w:val="000000"/>
      <w:spacing w:val="10"/>
      <w:sz w:val="24"/>
    </w:rPr>
  </w:style>
  <w:style w:type="character" w:customStyle="1" w:styleId="357">
    <w:name w:val="B图 Char"/>
    <w:link w:val="358"/>
    <w:autoRedefine/>
    <w:qFormat/>
    <w:uiPriority w:val="0"/>
    <w:rPr>
      <w:kern w:val="2"/>
      <w:sz w:val="21"/>
      <w:szCs w:val="24"/>
    </w:rPr>
  </w:style>
  <w:style w:type="paragraph" w:customStyle="1" w:styleId="358">
    <w:name w:val="B图"/>
    <w:basedOn w:val="1"/>
    <w:link w:val="357"/>
    <w:autoRedefine/>
    <w:qFormat/>
    <w:uiPriority w:val="0"/>
    <w:pPr>
      <w:jc w:val="center"/>
    </w:pPr>
    <w:rPr>
      <w:rFonts w:asciiTheme="minorHAnsi" w:hAnsiTheme="minorHAnsi" w:eastAsiaTheme="minorEastAsia" w:cstheme="minorBidi"/>
      <w:szCs w:val="24"/>
    </w:rPr>
  </w:style>
  <w:style w:type="character" w:customStyle="1" w:styleId="359">
    <w:name w:val="正文(首行缩进) Char"/>
    <w:link w:val="360"/>
    <w:autoRedefine/>
    <w:qFormat/>
    <w:uiPriority w:val="0"/>
    <w:rPr>
      <w:kern w:val="2"/>
      <w:sz w:val="24"/>
      <w:szCs w:val="24"/>
    </w:rPr>
  </w:style>
  <w:style w:type="paragraph" w:customStyle="1" w:styleId="360">
    <w:name w:val="正文(首行缩进)"/>
    <w:basedOn w:val="1"/>
    <w:link w:val="359"/>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1">
    <w:name w:val="目标题 1) Char Char1"/>
    <w:autoRedefine/>
    <w:qFormat/>
    <w:uiPriority w:val="0"/>
    <w:rPr>
      <w:rFonts w:ascii="Arial" w:hAnsi="Arial"/>
      <w:sz w:val="24"/>
      <w:lang w:val="en-US" w:eastAsia="zh-CN"/>
    </w:rPr>
  </w:style>
  <w:style w:type="character" w:customStyle="1" w:styleId="362">
    <w:name w:val="+1. Char"/>
    <w:link w:val="363"/>
    <w:autoRedefine/>
    <w:qFormat/>
    <w:uiPriority w:val="0"/>
    <w:rPr>
      <w:kern w:val="2"/>
      <w:sz w:val="24"/>
      <w:szCs w:val="28"/>
      <w:lang w:val="zh-CN"/>
    </w:rPr>
  </w:style>
  <w:style w:type="paragraph" w:customStyle="1" w:styleId="363">
    <w:name w:val="+1."/>
    <w:basedOn w:val="364"/>
    <w:link w:val="362"/>
    <w:autoRedefine/>
    <w:qFormat/>
    <w:uiPriority w:val="0"/>
    <w:pPr>
      <w:numPr>
        <w:ilvl w:val="1"/>
        <w:numId w:val="8"/>
      </w:numPr>
      <w:tabs>
        <w:tab w:val="clear" w:pos="1276"/>
      </w:tabs>
      <w:ind w:left="567" w:hanging="567" w:firstLineChars="0"/>
    </w:pPr>
    <w:rPr>
      <w:rFonts w:asciiTheme="minorHAnsi" w:hAnsiTheme="minorHAnsi" w:eastAsiaTheme="minorEastAsia" w:cstheme="minorBidi"/>
    </w:rPr>
  </w:style>
  <w:style w:type="paragraph" w:customStyle="1" w:styleId="364">
    <w:name w:val="+正文"/>
    <w:basedOn w:val="1"/>
    <w:link w:val="365"/>
    <w:autoRedefine/>
    <w:qFormat/>
    <w:uiPriority w:val="0"/>
    <w:pPr>
      <w:spacing w:line="360" w:lineRule="auto"/>
      <w:ind w:firstLine="200" w:firstLineChars="200"/>
    </w:pPr>
    <w:rPr>
      <w:sz w:val="24"/>
      <w:szCs w:val="28"/>
      <w:lang w:val="zh-CN"/>
    </w:rPr>
  </w:style>
  <w:style w:type="character" w:customStyle="1" w:styleId="365">
    <w:name w:val="+正文 Char"/>
    <w:link w:val="364"/>
    <w:autoRedefine/>
    <w:qFormat/>
    <w:uiPriority w:val="0"/>
    <w:rPr>
      <w:rFonts w:ascii="Times New Roman" w:hAnsi="Times New Roman" w:eastAsia="宋体" w:cs="Times New Roman"/>
      <w:kern w:val="2"/>
      <w:sz w:val="24"/>
      <w:szCs w:val="28"/>
      <w:lang w:val="zh-CN"/>
    </w:rPr>
  </w:style>
  <w:style w:type="character" w:customStyle="1" w:styleId="366">
    <w:name w:val="X表内容居中 Char"/>
    <w:link w:val="367"/>
    <w:autoRedefine/>
    <w:qFormat/>
    <w:uiPriority w:val="0"/>
    <w:rPr>
      <w:kern w:val="2"/>
      <w:sz w:val="21"/>
      <w:szCs w:val="24"/>
    </w:rPr>
  </w:style>
  <w:style w:type="paragraph" w:customStyle="1" w:styleId="367">
    <w:name w:val="X表内容居中"/>
    <w:link w:val="366"/>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8">
    <w:name w:val="+列表1 Char"/>
    <w:link w:val="369"/>
    <w:autoRedefine/>
    <w:qFormat/>
    <w:uiPriority w:val="0"/>
    <w:rPr>
      <w:kern w:val="2"/>
      <w:sz w:val="21"/>
      <w:szCs w:val="24"/>
    </w:rPr>
  </w:style>
  <w:style w:type="paragraph" w:customStyle="1" w:styleId="369">
    <w:name w:val="+列表1"/>
    <w:basedOn w:val="1"/>
    <w:link w:val="368"/>
    <w:autoRedefine/>
    <w:qFormat/>
    <w:uiPriority w:val="0"/>
    <w:pPr>
      <w:jc w:val="center"/>
    </w:pPr>
    <w:rPr>
      <w:rFonts w:asciiTheme="minorHAnsi" w:hAnsiTheme="minorHAnsi" w:eastAsiaTheme="minorEastAsia" w:cstheme="minorBidi"/>
      <w:szCs w:val="24"/>
    </w:rPr>
  </w:style>
  <w:style w:type="character" w:customStyle="1" w:styleId="370">
    <w:name w:val="图表标题 Char"/>
    <w:link w:val="371"/>
    <w:autoRedefine/>
    <w:qFormat/>
    <w:uiPriority w:val="0"/>
    <w:rPr>
      <w:rFonts w:eastAsia="楷体_GB2312"/>
      <w:b/>
      <w:kern w:val="2"/>
      <w:sz w:val="24"/>
      <w:szCs w:val="24"/>
    </w:rPr>
  </w:style>
  <w:style w:type="paragraph" w:customStyle="1" w:styleId="371">
    <w:name w:val="图表标题"/>
    <w:basedOn w:val="1"/>
    <w:link w:val="370"/>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2">
    <w:name w:val="【正文】 Char"/>
    <w:link w:val="373"/>
    <w:autoRedefine/>
    <w:qFormat/>
    <w:uiPriority w:val="0"/>
    <w:rPr>
      <w:sz w:val="24"/>
      <w:szCs w:val="24"/>
    </w:rPr>
  </w:style>
  <w:style w:type="paragraph" w:customStyle="1" w:styleId="373">
    <w:name w:val="【正文】"/>
    <w:basedOn w:val="1"/>
    <w:link w:val="372"/>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4">
    <w:name w:val="ZIHE-图名 Char"/>
    <w:link w:val="375"/>
    <w:autoRedefine/>
    <w:qFormat/>
    <w:locked/>
    <w:uiPriority w:val="0"/>
    <w:rPr>
      <w:rFonts w:eastAsia="黑体"/>
      <w:sz w:val="28"/>
      <w:szCs w:val="24"/>
    </w:rPr>
  </w:style>
  <w:style w:type="paragraph" w:customStyle="1" w:styleId="375">
    <w:name w:val="ZIHE-图名"/>
    <w:basedOn w:val="1"/>
    <w:link w:val="374"/>
    <w:autoRedefine/>
    <w:qFormat/>
    <w:uiPriority w:val="0"/>
    <w:pPr>
      <w:jc w:val="center"/>
    </w:pPr>
    <w:rPr>
      <w:rFonts w:eastAsia="黑体" w:asciiTheme="minorHAnsi" w:hAnsiTheme="minorHAnsi" w:cstheme="minorBidi"/>
      <w:kern w:val="0"/>
      <w:sz w:val="28"/>
      <w:szCs w:val="24"/>
    </w:rPr>
  </w:style>
  <w:style w:type="character" w:customStyle="1" w:styleId="376">
    <w:name w:val="样式 标题 2 + Times New Roman 四号 加粗 Char"/>
    <w:link w:val="377"/>
    <w:autoRedefine/>
    <w:qFormat/>
    <w:uiPriority w:val="0"/>
    <w:rPr>
      <w:b/>
      <w:sz w:val="28"/>
    </w:rPr>
  </w:style>
  <w:style w:type="paragraph" w:customStyle="1" w:styleId="377">
    <w:name w:val="样式 标题 2 + Times New Roman 四号 加粗"/>
    <w:basedOn w:val="4"/>
    <w:link w:val="376"/>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8">
    <w:name w:val="表格抬头 Char"/>
    <w:link w:val="379"/>
    <w:autoRedefine/>
    <w:qFormat/>
    <w:uiPriority w:val="0"/>
    <w:rPr>
      <w:rFonts w:ascii="宋体" w:hAnsi="宋体"/>
      <w:b/>
      <w:caps/>
      <w:color w:val="000000"/>
      <w:sz w:val="21"/>
      <w:szCs w:val="21"/>
    </w:rPr>
  </w:style>
  <w:style w:type="paragraph" w:customStyle="1" w:styleId="379">
    <w:name w:val="表格抬头"/>
    <w:basedOn w:val="1"/>
    <w:link w:val="378"/>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80">
    <w:name w:val="样式 样式 12.5 磅 行距: 固定值 22 磅 首行缩进:  2 字符 + 首行缩进:  2 字符 Char"/>
    <w:link w:val="381"/>
    <w:autoRedefine/>
    <w:qFormat/>
    <w:uiPriority w:val="0"/>
    <w:rPr>
      <w:rFonts w:cs="宋体"/>
      <w:kern w:val="2"/>
      <w:sz w:val="25"/>
    </w:rPr>
  </w:style>
  <w:style w:type="paragraph" w:customStyle="1" w:styleId="381">
    <w:name w:val="样式 样式 12.5 磅 行距: 固定值 22 磅 首行缩进:  2 字符 + 首行缩进:  2 字符"/>
    <w:basedOn w:val="1"/>
    <w:link w:val="380"/>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2">
    <w:name w:val="纯文本 字符1"/>
    <w:autoRedefine/>
    <w:qFormat/>
    <w:locked/>
    <w:uiPriority w:val="0"/>
    <w:rPr>
      <w:rFonts w:ascii="宋体" w:hAnsi="Courier New" w:cs="Courier New"/>
      <w:kern w:val="2"/>
      <w:sz w:val="21"/>
      <w:szCs w:val="21"/>
    </w:rPr>
  </w:style>
  <w:style w:type="character" w:customStyle="1" w:styleId="383">
    <w:name w:val="bhq Char"/>
    <w:link w:val="384"/>
    <w:autoRedefine/>
    <w:qFormat/>
    <w:uiPriority w:val="0"/>
    <w:rPr>
      <w:sz w:val="28"/>
      <w:szCs w:val="28"/>
    </w:rPr>
  </w:style>
  <w:style w:type="paragraph" w:customStyle="1" w:styleId="384">
    <w:name w:val="bhq"/>
    <w:basedOn w:val="1"/>
    <w:link w:val="383"/>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5">
    <w:name w:val="zz正文 Char"/>
    <w:link w:val="386"/>
    <w:autoRedefine/>
    <w:qFormat/>
    <w:uiPriority w:val="0"/>
    <w:rPr>
      <w:rFonts w:cs="宋体"/>
      <w:kern w:val="2"/>
      <w:sz w:val="24"/>
    </w:rPr>
  </w:style>
  <w:style w:type="paragraph" w:customStyle="1" w:styleId="386">
    <w:name w:val="zz正文"/>
    <w:basedOn w:val="1"/>
    <w:link w:val="385"/>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7">
    <w:name w:val="样式 样式 首行缩进:  2 字符 段前: 4.65 磅 + 首行缩进:  2 字符 Char"/>
    <w:link w:val="388"/>
    <w:autoRedefine/>
    <w:qFormat/>
    <w:uiPriority w:val="0"/>
    <w:rPr>
      <w:rFonts w:ascii="Calibri" w:hAnsi="Calibri"/>
      <w:sz w:val="24"/>
    </w:rPr>
  </w:style>
  <w:style w:type="paragraph" w:customStyle="1" w:styleId="388">
    <w:name w:val="样式 样式 首行缩进:  2 字符 段前: 4.65 磅 + 首行缩进:  2 字符"/>
    <w:basedOn w:val="1"/>
    <w:link w:val="387"/>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9">
    <w:name w:val="正文A Char2"/>
    <w:link w:val="390"/>
    <w:autoRedefine/>
    <w:qFormat/>
    <w:uiPriority w:val="0"/>
    <w:rPr>
      <w:sz w:val="24"/>
    </w:rPr>
  </w:style>
  <w:style w:type="paragraph" w:customStyle="1" w:styleId="390">
    <w:name w:val="正文A"/>
    <w:link w:val="389"/>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1">
    <w:name w:val="正文样式新 Char"/>
    <w:link w:val="392"/>
    <w:autoRedefine/>
    <w:qFormat/>
    <w:uiPriority w:val="0"/>
    <w:rPr>
      <w:sz w:val="24"/>
      <w:szCs w:val="24"/>
    </w:rPr>
  </w:style>
  <w:style w:type="paragraph" w:customStyle="1" w:styleId="392">
    <w:name w:val="正文样式新"/>
    <w:basedOn w:val="1"/>
    <w:link w:val="391"/>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3">
    <w:name w:val="表头2 Char"/>
    <w:link w:val="394"/>
    <w:autoRedefine/>
    <w:qFormat/>
    <w:uiPriority w:val="0"/>
    <w:rPr>
      <w:b/>
      <w:bCs/>
      <w:kern w:val="2"/>
      <w:sz w:val="32"/>
      <w:szCs w:val="32"/>
    </w:rPr>
  </w:style>
  <w:style w:type="paragraph" w:customStyle="1" w:styleId="394">
    <w:name w:val="表头2"/>
    <w:basedOn w:val="5"/>
    <w:link w:val="393"/>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5">
    <w:name w:val="报告页眉 Char"/>
    <w:link w:val="396"/>
    <w:qFormat/>
    <w:uiPriority w:val="0"/>
    <w:rPr>
      <w:kern w:val="2"/>
      <w:sz w:val="18"/>
    </w:rPr>
  </w:style>
  <w:style w:type="paragraph" w:customStyle="1" w:styleId="396">
    <w:name w:val="报告页眉"/>
    <w:basedOn w:val="1"/>
    <w:link w:val="395"/>
    <w:autoRedefine/>
    <w:qFormat/>
    <w:uiPriority w:val="0"/>
    <w:pPr>
      <w:widowControl/>
      <w:jc w:val="left"/>
    </w:pPr>
    <w:rPr>
      <w:rFonts w:asciiTheme="minorHAnsi" w:hAnsiTheme="minorHAnsi" w:eastAsiaTheme="minorEastAsia" w:cstheme="minorBidi"/>
      <w:sz w:val="18"/>
      <w:szCs w:val="20"/>
    </w:rPr>
  </w:style>
  <w:style w:type="character" w:customStyle="1" w:styleId="397">
    <w:name w:val="表格五号标题 Char"/>
    <w:link w:val="398"/>
    <w:qFormat/>
    <w:uiPriority w:val="0"/>
    <w:rPr>
      <w:sz w:val="21"/>
      <w:szCs w:val="24"/>
    </w:rPr>
  </w:style>
  <w:style w:type="paragraph" w:customStyle="1" w:styleId="398">
    <w:name w:val="表格五号标题"/>
    <w:basedOn w:val="1"/>
    <w:link w:val="397"/>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9">
    <w:name w:val="正文五号 Char"/>
    <w:link w:val="400"/>
    <w:autoRedefine/>
    <w:qFormat/>
    <w:uiPriority w:val="0"/>
    <w:rPr>
      <w:sz w:val="21"/>
      <w:szCs w:val="24"/>
    </w:rPr>
  </w:style>
  <w:style w:type="paragraph" w:customStyle="1" w:styleId="400">
    <w:name w:val="正文五号"/>
    <w:basedOn w:val="134"/>
    <w:link w:val="399"/>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1">
    <w:name w:val="样式 样式 标题 2 + 首行缩进:  0 字符 + (西文) Times New Roman Char"/>
    <w:link w:val="402"/>
    <w:autoRedefine/>
    <w:qFormat/>
    <w:uiPriority w:val="0"/>
    <w:rPr>
      <w:rFonts w:ascii="Arial" w:hAnsi="Arial"/>
      <w:b/>
      <w:bCs/>
      <w:kern w:val="2"/>
      <w:sz w:val="28"/>
    </w:rPr>
  </w:style>
  <w:style w:type="paragraph" w:customStyle="1" w:styleId="402">
    <w:name w:val="样式 样式 标题 2 + 首行缩进:  0 字符 + (西文) Times New Roman"/>
    <w:basedOn w:val="403"/>
    <w:link w:val="401"/>
    <w:qFormat/>
    <w:uiPriority w:val="0"/>
    <w:pPr>
      <w:tabs>
        <w:tab w:val="left" w:pos="2925"/>
      </w:tabs>
      <w:ind w:firstLine="100" w:firstLineChars="100"/>
    </w:pPr>
    <w:rPr>
      <w:rFonts w:eastAsiaTheme="minorEastAsia" w:cstheme="minorBidi"/>
      <w:lang w:val="en-US"/>
    </w:rPr>
  </w:style>
  <w:style w:type="paragraph" w:customStyle="1" w:styleId="403">
    <w:name w:val="样式 标题 2 + 首行缩进:  0 字符"/>
    <w:basedOn w:val="4"/>
    <w:link w:val="404"/>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4">
    <w:name w:val="样式 标题 2 + 首行缩进:  0 字符 Char"/>
    <w:link w:val="403"/>
    <w:qFormat/>
    <w:uiPriority w:val="0"/>
    <w:rPr>
      <w:rFonts w:ascii="Arial" w:hAnsi="Arial" w:eastAsia="宋体" w:cs="Times New Roman"/>
      <w:b/>
      <w:bCs/>
      <w:kern w:val="2"/>
      <w:sz w:val="28"/>
      <w:lang w:val="zh-CN"/>
    </w:rPr>
  </w:style>
  <w:style w:type="character" w:customStyle="1" w:styleId="405">
    <w:name w:val="表格内容样式 Char"/>
    <w:link w:val="406"/>
    <w:qFormat/>
    <w:uiPriority w:val="0"/>
    <w:rPr>
      <w:rFonts w:ascii="Arial" w:hAnsi="Arial" w:cs="Arial"/>
      <w:kern w:val="2"/>
      <w:sz w:val="21"/>
    </w:rPr>
  </w:style>
  <w:style w:type="paragraph" w:customStyle="1" w:styleId="406">
    <w:name w:val="表格内容样式"/>
    <w:basedOn w:val="21"/>
    <w:link w:val="405"/>
    <w:autoRedefine/>
    <w:qFormat/>
    <w:uiPriority w:val="0"/>
    <w:pPr>
      <w:widowControl w:val="0"/>
      <w:spacing w:line="0" w:lineRule="atLeast"/>
      <w:ind w:firstLine="0"/>
      <w:jc w:val="center"/>
    </w:pPr>
    <w:rPr>
      <w:rFonts w:ascii="Arial" w:hAnsi="Arial" w:cs="Arial" w:eastAsiaTheme="minorEastAsia"/>
    </w:rPr>
  </w:style>
  <w:style w:type="character" w:customStyle="1" w:styleId="407">
    <w:name w:val="报告 Char"/>
    <w:link w:val="408"/>
    <w:qFormat/>
    <w:uiPriority w:val="0"/>
    <w:rPr>
      <w:rFonts w:ascii="TimesNewRoman" w:hAnsi="TimesNewRoman"/>
      <w:sz w:val="24"/>
    </w:rPr>
  </w:style>
  <w:style w:type="paragraph" w:customStyle="1" w:styleId="408">
    <w:name w:val="报告"/>
    <w:basedOn w:val="1"/>
    <w:link w:val="407"/>
    <w:qFormat/>
    <w:uiPriority w:val="0"/>
    <w:pPr>
      <w:adjustRightInd w:val="0"/>
      <w:textAlignment w:val="center"/>
    </w:pPr>
    <w:rPr>
      <w:rFonts w:ascii="TimesNewRoman" w:hAnsi="TimesNewRoman" w:eastAsiaTheme="minorEastAsia" w:cstheme="minorBidi"/>
      <w:kern w:val="0"/>
      <w:sz w:val="24"/>
      <w:szCs w:val="20"/>
    </w:rPr>
  </w:style>
  <w:style w:type="character" w:customStyle="1" w:styleId="409">
    <w:name w:val="样式15 Char"/>
    <w:link w:val="410"/>
    <w:autoRedefine/>
    <w:qFormat/>
    <w:uiPriority w:val="0"/>
    <w:rPr>
      <w:rFonts w:ascii="Arial" w:hAnsi="宋体" w:cs="Arial"/>
      <w:spacing w:val="10"/>
      <w:kern w:val="2"/>
      <w:sz w:val="24"/>
    </w:rPr>
  </w:style>
  <w:style w:type="paragraph" w:customStyle="1" w:styleId="410">
    <w:name w:val="样式15"/>
    <w:basedOn w:val="21"/>
    <w:link w:val="409"/>
    <w:qFormat/>
    <w:uiPriority w:val="0"/>
    <w:pPr>
      <w:widowControl w:val="0"/>
      <w:spacing w:line="264" w:lineRule="auto"/>
      <w:ind w:firstLine="476"/>
    </w:pPr>
    <w:rPr>
      <w:rFonts w:ascii="Arial" w:hAnsi="宋体" w:cs="Arial" w:eastAsiaTheme="minorEastAsia"/>
      <w:spacing w:val="10"/>
      <w:sz w:val="24"/>
    </w:rPr>
  </w:style>
  <w:style w:type="character" w:customStyle="1" w:styleId="411">
    <w:name w:val="样式 正文文本 + 小四 Char"/>
    <w:link w:val="412"/>
    <w:qFormat/>
    <w:uiPriority w:val="0"/>
    <w:rPr>
      <w:kern w:val="2"/>
      <w:sz w:val="24"/>
      <w:szCs w:val="24"/>
    </w:rPr>
  </w:style>
  <w:style w:type="paragraph" w:customStyle="1" w:styleId="412">
    <w:name w:val="样式 正文文本 + 小四"/>
    <w:basedOn w:val="34"/>
    <w:link w:val="411"/>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3">
    <w:name w:val="样式 正文文本 + 红色 Char Char Char Char"/>
    <w:link w:val="414"/>
    <w:qFormat/>
    <w:uiPriority w:val="0"/>
    <w:rPr>
      <w:rFonts w:eastAsia="仿宋_GB2312"/>
      <w:color w:val="FF0000"/>
      <w:kern w:val="2"/>
      <w:sz w:val="24"/>
      <w:szCs w:val="24"/>
    </w:rPr>
  </w:style>
  <w:style w:type="paragraph" w:customStyle="1" w:styleId="414">
    <w:name w:val="样式 正文文本 + 红色 Char Char Char"/>
    <w:basedOn w:val="1"/>
    <w:link w:val="413"/>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5">
    <w:name w:val="标题 2标题节标题 2 Char标题节 Char Char标题 2 Char Char Char节H2Hea... ... Char Char"/>
    <w:link w:val="416"/>
    <w:qFormat/>
    <w:uiPriority w:val="0"/>
    <w:rPr>
      <w:b/>
      <w:bCs/>
      <w:kern w:val="2"/>
      <w:sz w:val="26"/>
      <w:szCs w:val="26"/>
    </w:rPr>
  </w:style>
  <w:style w:type="paragraph" w:customStyle="1" w:styleId="416">
    <w:name w:val="标题 2标题节标题 2 Char标题节 Char Char标题 2 Char Char Char节H2Hea... ..."/>
    <w:basedOn w:val="1"/>
    <w:link w:val="415"/>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7">
    <w:name w:val="样式 标题 3小标题小节标题标题3H3h33rd level第二层条标题4 + Arial Char"/>
    <w:link w:val="418"/>
    <w:qFormat/>
    <w:uiPriority w:val="0"/>
    <w:rPr>
      <w:b/>
      <w:bCs/>
      <w:color w:val="000000"/>
      <w:kern w:val="32"/>
      <w:sz w:val="30"/>
      <w:szCs w:val="24"/>
    </w:rPr>
  </w:style>
  <w:style w:type="paragraph" w:customStyle="1" w:styleId="418">
    <w:name w:val="样式 标题 3小标题小节标题标题3H3h33rd level第二层条标题4 + Arial"/>
    <w:basedOn w:val="5"/>
    <w:link w:val="417"/>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9">
    <w:name w:val="常用表头样式 Char"/>
    <w:link w:val="420"/>
    <w:qFormat/>
    <w:uiPriority w:val="0"/>
    <w:rPr>
      <w:rFonts w:ascii="仿宋_GB2312" w:eastAsia="仿宋_GB2312"/>
      <w:b/>
      <w:kern w:val="2"/>
      <w:sz w:val="21"/>
      <w:szCs w:val="21"/>
    </w:rPr>
  </w:style>
  <w:style w:type="paragraph" w:customStyle="1" w:styleId="420">
    <w:name w:val="常用表头样式"/>
    <w:link w:val="419"/>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1">
    <w:name w:val="正文001 Char Char Char"/>
    <w:link w:val="422"/>
    <w:qFormat/>
    <w:uiPriority w:val="0"/>
    <w:rPr>
      <w:rFonts w:ascii="Arial" w:hAnsi="Arial" w:cs="Arial"/>
      <w:kern w:val="2"/>
      <w:sz w:val="24"/>
    </w:rPr>
  </w:style>
  <w:style w:type="paragraph" w:customStyle="1" w:styleId="422">
    <w:name w:val="正文001 Char Char"/>
    <w:basedOn w:val="1"/>
    <w:link w:val="421"/>
    <w:qFormat/>
    <w:uiPriority w:val="0"/>
    <w:pPr>
      <w:spacing w:before="60" w:line="420" w:lineRule="exact"/>
      <w:ind w:firstLine="482"/>
    </w:pPr>
    <w:rPr>
      <w:rFonts w:ascii="Arial" w:hAnsi="Arial" w:cs="Arial" w:eastAsiaTheme="minorEastAsia"/>
      <w:sz w:val="24"/>
      <w:szCs w:val="20"/>
    </w:rPr>
  </w:style>
  <w:style w:type="character" w:customStyle="1" w:styleId="423">
    <w:name w:val="样式 标题 2 + 黑体 小四 非加粗 Char Char"/>
    <w:link w:val="424"/>
    <w:autoRedefine/>
    <w:qFormat/>
    <w:uiPriority w:val="0"/>
    <w:rPr>
      <w:rFonts w:ascii="黑体" w:hAnsi="黑体" w:eastAsia="黑体"/>
      <w:kern w:val="2"/>
      <w:sz w:val="24"/>
      <w:szCs w:val="32"/>
    </w:rPr>
  </w:style>
  <w:style w:type="paragraph" w:customStyle="1" w:styleId="424">
    <w:name w:val="样式 标题 2 + 黑体 小四 非加粗"/>
    <w:basedOn w:val="4"/>
    <w:link w:val="423"/>
    <w:autoRedefine/>
    <w:qFormat/>
    <w:uiPriority w:val="0"/>
    <w:pPr>
      <w:spacing w:before="120" w:after="120" w:line="360" w:lineRule="auto"/>
    </w:pPr>
    <w:rPr>
      <w:rFonts w:ascii="黑体" w:hAnsi="黑体" w:eastAsia="黑体" w:cstheme="minorBidi"/>
      <w:b w:val="0"/>
      <w:bCs w:val="0"/>
      <w:sz w:val="24"/>
    </w:rPr>
  </w:style>
  <w:style w:type="character" w:customStyle="1" w:styleId="425">
    <w:name w:val="Report Text Char Char"/>
    <w:link w:val="426"/>
    <w:autoRedefine/>
    <w:qFormat/>
    <w:uiPriority w:val="0"/>
    <w:rPr>
      <w:rFonts w:ascii="Swis721 BT" w:hAnsi="Swis721 BT" w:eastAsia="PMingLiU"/>
      <w:sz w:val="18"/>
      <w:lang w:val="en-GB" w:eastAsia="en-US"/>
    </w:rPr>
  </w:style>
  <w:style w:type="paragraph" w:customStyle="1" w:styleId="426">
    <w:name w:val="Report Text"/>
    <w:link w:val="425"/>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7">
    <w:name w:val="表标题... Char Char"/>
    <w:link w:val="428"/>
    <w:qFormat/>
    <w:uiPriority w:val="0"/>
    <w:rPr>
      <w:rFonts w:ascii="Arial" w:hAnsi="Arial"/>
      <w:b/>
      <w:color w:val="800080"/>
      <w:kern w:val="2"/>
      <w:sz w:val="24"/>
    </w:rPr>
  </w:style>
  <w:style w:type="paragraph" w:customStyle="1" w:styleId="428">
    <w:name w:val="表标题..."/>
    <w:basedOn w:val="6"/>
    <w:link w:val="427"/>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9">
    <w:name w:val="样式2 Char Char"/>
    <w:link w:val="430"/>
    <w:qFormat/>
    <w:uiPriority w:val="0"/>
    <w:rPr>
      <w:rFonts w:ascii="Arial" w:hAnsi="Arial" w:eastAsia="仿宋_GB2312" w:cs="Arial"/>
      <w:spacing w:val="10"/>
      <w:kern w:val="2"/>
      <w:sz w:val="24"/>
      <w:szCs w:val="32"/>
    </w:rPr>
  </w:style>
  <w:style w:type="paragraph" w:customStyle="1" w:styleId="430">
    <w:name w:val="样式2"/>
    <w:basedOn w:val="21"/>
    <w:next w:val="21"/>
    <w:link w:val="429"/>
    <w:qFormat/>
    <w:uiPriority w:val="0"/>
    <w:pPr>
      <w:widowControl w:val="0"/>
      <w:ind w:firstLine="200"/>
    </w:pPr>
    <w:rPr>
      <w:rFonts w:ascii="Arial" w:hAnsi="Arial" w:eastAsia="仿宋_GB2312" w:cs="Arial"/>
      <w:spacing w:val="10"/>
      <w:sz w:val="24"/>
      <w:szCs w:val="32"/>
    </w:rPr>
  </w:style>
  <w:style w:type="character" w:customStyle="1" w:styleId="431">
    <w:name w:val="可研正文 Char"/>
    <w:link w:val="432"/>
    <w:qFormat/>
    <w:uiPriority w:val="0"/>
    <w:rPr>
      <w:rFonts w:ascii="宋体" w:hAnsi="宋体"/>
      <w:bCs/>
      <w:spacing w:val="6"/>
      <w:sz w:val="26"/>
      <w:szCs w:val="26"/>
    </w:rPr>
  </w:style>
  <w:style w:type="paragraph" w:customStyle="1" w:styleId="432">
    <w:name w:val="可研正文"/>
    <w:basedOn w:val="1"/>
    <w:link w:val="431"/>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3">
    <w:name w:val="zihe-正文 Char"/>
    <w:link w:val="434"/>
    <w:qFormat/>
    <w:uiPriority w:val="0"/>
    <w:rPr>
      <w:sz w:val="24"/>
      <w:szCs w:val="24"/>
    </w:rPr>
  </w:style>
  <w:style w:type="paragraph" w:customStyle="1" w:styleId="434">
    <w:name w:val="zihe-正文"/>
    <w:basedOn w:val="1"/>
    <w:link w:val="433"/>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5">
    <w:name w:val="江西正文 Char"/>
    <w:link w:val="436"/>
    <w:qFormat/>
    <w:uiPriority w:val="0"/>
    <w:rPr>
      <w:rFonts w:ascii="宋体"/>
      <w:kern w:val="2"/>
      <w:sz w:val="28"/>
      <w:szCs w:val="28"/>
    </w:rPr>
  </w:style>
  <w:style w:type="paragraph" w:customStyle="1" w:styleId="436">
    <w:name w:val="江西正文"/>
    <w:basedOn w:val="1"/>
    <w:link w:val="435"/>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7">
    <w:name w:val="正文0002 Char"/>
    <w:link w:val="438"/>
    <w:qFormat/>
    <w:uiPriority w:val="0"/>
    <w:rPr>
      <w:color w:val="000000"/>
      <w:kern w:val="2"/>
      <w:sz w:val="24"/>
      <w:szCs w:val="24"/>
    </w:rPr>
  </w:style>
  <w:style w:type="paragraph" w:customStyle="1" w:styleId="438">
    <w:name w:val="正文0002"/>
    <w:basedOn w:val="134"/>
    <w:link w:val="437"/>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9">
    <w:name w:val="样式 正文0002 + 首行缩进:  2 字符 Char"/>
    <w:link w:val="440"/>
    <w:autoRedefine/>
    <w:qFormat/>
    <w:uiPriority w:val="0"/>
    <w:rPr>
      <w:rFonts w:cs="宋体"/>
      <w:color w:val="000000"/>
      <w:kern w:val="2"/>
      <w:sz w:val="24"/>
      <w:szCs w:val="24"/>
    </w:rPr>
  </w:style>
  <w:style w:type="paragraph" w:customStyle="1" w:styleId="440">
    <w:name w:val="样式 正文0002 + 首行缩进:  2 字符"/>
    <w:basedOn w:val="438"/>
    <w:link w:val="439"/>
    <w:qFormat/>
    <w:uiPriority w:val="0"/>
    <w:pPr>
      <w:ind w:firstLine="480"/>
    </w:pPr>
    <w:rPr>
      <w:rFonts w:cs="宋体"/>
    </w:rPr>
  </w:style>
  <w:style w:type="character" w:customStyle="1" w:styleId="441">
    <w:name w:val="表格标题-五号字 Char"/>
    <w:link w:val="442"/>
    <w:autoRedefine/>
    <w:qFormat/>
    <w:uiPriority w:val="0"/>
    <w:rPr>
      <w:kern w:val="21"/>
      <w:sz w:val="21"/>
      <w:szCs w:val="21"/>
    </w:rPr>
  </w:style>
  <w:style w:type="paragraph" w:customStyle="1" w:styleId="442">
    <w:name w:val="表格标题-五号字"/>
    <w:basedOn w:val="1"/>
    <w:link w:val="441"/>
    <w:qFormat/>
    <w:uiPriority w:val="0"/>
    <w:pPr>
      <w:spacing w:before="60" w:line="360" w:lineRule="exact"/>
      <w:jc w:val="center"/>
    </w:pPr>
    <w:rPr>
      <w:rFonts w:asciiTheme="minorHAnsi" w:hAnsiTheme="minorHAnsi" w:eastAsiaTheme="minorEastAsia" w:cstheme="minorBidi"/>
      <w:kern w:val="21"/>
    </w:rPr>
  </w:style>
  <w:style w:type="character" w:customStyle="1" w:styleId="443">
    <w:name w:val="表格字体 Char"/>
    <w:link w:val="444"/>
    <w:qFormat/>
    <w:uiPriority w:val="0"/>
    <w:rPr>
      <w:rFonts w:ascii="仿宋_GB2312" w:eastAsia="仿宋_GB2312"/>
      <w:spacing w:val="2"/>
      <w:kern w:val="2"/>
      <w:sz w:val="21"/>
    </w:rPr>
  </w:style>
  <w:style w:type="paragraph" w:customStyle="1" w:styleId="444">
    <w:name w:val="表格字体"/>
    <w:basedOn w:val="1"/>
    <w:link w:val="443"/>
    <w:qFormat/>
    <w:uiPriority w:val="0"/>
    <w:pPr>
      <w:spacing w:line="400" w:lineRule="exact"/>
      <w:jc w:val="center"/>
    </w:pPr>
    <w:rPr>
      <w:rFonts w:ascii="仿宋_GB2312" w:eastAsia="仿宋_GB2312" w:hAnsiTheme="minorHAnsi" w:cstheme="minorBidi"/>
      <w:spacing w:val="2"/>
      <w:szCs w:val="20"/>
    </w:rPr>
  </w:style>
  <w:style w:type="character" w:customStyle="1" w:styleId="445">
    <w:name w:val="+标题4 Char Char"/>
    <w:link w:val="446"/>
    <w:autoRedefine/>
    <w:qFormat/>
    <w:uiPriority w:val="0"/>
    <w:rPr>
      <w:b/>
      <w:bCs/>
      <w:kern w:val="2"/>
      <w:sz w:val="24"/>
      <w:szCs w:val="28"/>
      <w:lang w:val="zh-CN"/>
    </w:rPr>
  </w:style>
  <w:style w:type="paragraph" w:customStyle="1" w:styleId="446">
    <w:name w:val="+标题4"/>
    <w:basedOn w:val="6"/>
    <w:link w:val="445"/>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7">
    <w:name w:val="0-shiw-正文 4号宋体 Char"/>
    <w:link w:val="448"/>
    <w:qFormat/>
    <w:uiPriority w:val="0"/>
    <w:rPr>
      <w:kern w:val="2"/>
      <w:sz w:val="28"/>
      <w:szCs w:val="28"/>
    </w:rPr>
  </w:style>
  <w:style w:type="paragraph" w:customStyle="1" w:styleId="448">
    <w:name w:val="0-shiw-正文 4号宋体"/>
    <w:link w:val="447"/>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9">
    <w:name w:val="+列表编号 Char1"/>
    <w:link w:val="450"/>
    <w:autoRedefine/>
    <w:qFormat/>
    <w:uiPriority w:val="0"/>
    <w:rPr>
      <w:kern w:val="2"/>
      <w:sz w:val="24"/>
      <w:szCs w:val="28"/>
    </w:rPr>
  </w:style>
  <w:style w:type="paragraph" w:customStyle="1" w:styleId="450">
    <w:name w:val="+列表编号"/>
    <w:basedOn w:val="1"/>
    <w:link w:val="449"/>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1">
    <w:name w:val="正文首行缩进2字 Char"/>
    <w:link w:val="452"/>
    <w:qFormat/>
    <w:locked/>
    <w:uiPriority w:val="0"/>
    <w:rPr>
      <w:rFonts w:eastAsia="楷体_GB2312"/>
      <w:kern w:val="2"/>
      <w:sz w:val="24"/>
      <w:szCs w:val="24"/>
    </w:rPr>
  </w:style>
  <w:style w:type="paragraph" w:customStyle="1" w:styleId="452">
    <w:name w:val="正文首行缩进2字"/>
    <w:basedOn w:val="1"/>
    <w:link w:val="451"/>
    <w:qFormat/>
    <w:uiPriority w:val="0"/>
    <w:pPr>
      <w:ind w:firstLine="200" w:firstLineChars="200"/>
    </w:pPr>
    <w:rPr>
      <w:rFonts w:eastAsia="楷体_GB2312" w:asciiTheme="minorHAnsi" w:hAnsiTheme="minorHAnsi" w:cstheme="minorBidi"/>
      <w:sz w:val="24"/>
      <w:szCs w:val="24"/>
    </w:rPr>
  </w:style>
  <w:style w:type="character" w:customStyle="1" w:styleId="453">
    <w:name w:val="无间隔 Char"/>
    <w:link w:val="454"/>
    <w:qFormat/>
    <w:uiPriority w:val="0"/>
    <w:rPr>
      <w:rFonts w:ascii="Calibri" w:hAnsi="Calibri"/>
      <w:sz w:val="22"/>
      <w:szCs w:val="22"/>
    </w:rPr>
  </w:style>
  <w:style w:type="paragraph" w:customStyle="1" w:styleId="454">
    <w:name w:val="无间隔1"/>
    <w:link w:val="453"/>
    <w:qFormat/>
    <w:uiPriority w:val="0"/>
    <w:rPr>
      <w:rFonts w:ascii="Calibri" w:hAnsi="Calibri" w:eastAsiaTheme="minorEastAsia" w:cstheme="minorBidi"/>
      <w:sz w:val="22"/>
      <w:szCs w:val="22"/>
      <w:lang w:val="en-US" w:eastAsia="zh-CN" w:bidi="ar-SA"/>
    </w:rPr>
  </w:style>
  <w:style w:type="character" w:customStyle="1" w:styleId="455">
    <w:name w:val="正文调整 Char"/>
    <w:link w:val="456"/>
    <w:autoRedefine/>
    <w:qFormat/>
    <w:uiPriority w:val="0"/>
    <w:rPr>
      <w:kern w:val="2"/>
      <w:sz w:val="24"/>
      <w:szCs w:val="24"/>
    </w:rPr>
  </w:style>
  <w:style w:type="paragraph" w:customStyle="1" w:styleId="456">
    <w:name w:val="正文调整"/>
    <w:basedOn w:val="1"/>
    <w:link w:val="455"/>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7">
    <w:name w:val="报告表正文 Char"/>
    <w:link w:val="458"/>
    <w:autoRedefine/>
    <w:qFormat/>
    <w:uiPriority w:val="0"/>
    <w:rPr>
      <w:kern w:val="2"/>
      <w:sz w:val="24"/>
      <w:szCs w:val="24"/>
    </w:rPr>
  </w:style>
  <w:style w:type="paragraph" w:customStyle="1" w:styleId="458">
    <w:name w:val="报告表正文"/>
    <w:basedOn w:val="1"/>
    <w:link w:val="457"/>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9">
    <w:name w:val="样式 正文文本 + (中文) 黑体 红色 Char Char Char Char"/>
    <w:link w:val="460"/>
    <w:autoRedefine/>
    <w:qFormat/>
    <w:uiPriority w:val="0"/>
    <w:rPr>
      <w:rFonts w:eastAsia="黑体"/>
      <w:color w:val="FF0000"/>
      <w:kern w:val="2"/>
      <w:sz w:val="24"/>
      <w:szCs w:val="24"/>
    </w:rPr>
  </w:style>
  <w:style w:type="paragraph" w:customStyle="1" w:styleId="460">
    <w:name w:val="样式 正文文本 + (中文) 黑体 红色 Char Char Char"/>
    <w:basedOn w:val="1"/>
    <w:link w:val="459"/>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1">
    <w:name w:val="样式 普通(网站) + 加粗 Char"/>
    <w:link w:val="462"/>
    <w:autoRedefine/>
    <w:qFormat/>
    <w:uiPriority w:val="0"/>
    <w:rPr>
      <w:rFonts w:ascii="宋体" w:hAnsi="宋体"/>
      <w:b/>
      <w:bCs/>
      <w:color w:val="000000"/>
      <w:sz w:val="24"/>
      <w:szCs w:val="24"/>
    </w:rPr>
  </w:style>
  <w:style w:type="paragraph" w:customStyle="1" w:styleId="462">
    <w:name w:val="样式 普通(网站) + 加粗"/>
    <w:basedOn w:val="81"/>
    <w:link w:val="461"/>
    <w:autoRedefine/>
    <w:qFormat/>
    <w:uiPriority w:val="0"/>
    <w:pPr>
      <w:spacing w:before="0" w:beforeAutospacing="0" w:after="0" w:afterAutospacing="0"/>
    </w:pPr>
    <w:rPr>
      <w:rFonts w:eastAsiaTheme="minorEastAsia" w:cstheme="minorBidi"/>
      <w:b/>
      <w:bCs/>
      <w:color w:val="000000"/>
      <w:szCs w:val="24"/>
    </w:rPr>
  </w:style>
  <w:style w:type="character" w:customStyle="1" w:styleId="463">
    <w:name w:val="常用正文样式 Char1"/>
    <w:link w:val="464"/>
    <w:autoRedefine/>
    <w:qFormat/>
    <w:uiPriority w:val="0"/>
    <w:rPr>
      <w:rFonts w:ascii="宋体" w:hAnsi="新宋体" w:eastAsia="仿宋_GB2312"/>
      <w:kern w:val="2"/>
      <w:sz w:val="24"/>
      <w:szCs w:val="24"/>
    </w:rPr>
  </w:style>
  <w:style w:type="paragraph" w:customStyle="1" w:styleId="464">
    <w:name w:val="常用正文样式"/>
    <w:link w:val="463"/>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5">
    <w:name w:val="样式6 Char Char"/>
    <w:link w:val="466"/>
    <w:autoRedefine/>
    <w:qFormat/>
    <w:uiPriority w:val="0"/>
    <w:rPr>
      <w:rFonts w:ascii="Arial" w:hAnsi="Arial" w:cs="Arial"/>
      <w:spacing w:val="10"/>
      <w:kern w:val="2"/>
      <w:sz w:val="24"/>
    </w:rPr>
  </w:style>
  <w:style w:type="paragraph" w:customStyle="1" w:styleId="466">
    <w:name w:val="样式6"/>
    <w:basedOn w:val="21"/>
    <w:link w:val="465"/>
    <w:autoRedefine/>
    <w:qFormat/>
    <w:uiPriority w:val="0"/>
    <w:pPr>
      <w:widowControl w:val="0"/>
      <w:tabs>
        <w:tab w:val="left" w:pos="1080"/>
      </w:tabs>
      <w:spacing w:line="264" w:lineRule="auto"/>
      <w:ind w:left="425" w:hanging="425"/>
    </w:pPr>
    <w:rPr>
      <w:rFonts w:ascii="Arial" w:hAnsi="Arial" w:cs="Arial" w:eastAsiaTheme="minorEastAsia"/>
      <w:spacing w:val="10"/>
      <w:sz w:val="24"/>
    </w:rPr>
  </w:style>
  <w:style w:type="character" w:customStyle="1" w:styleId="467">
    <w:name w:val="正文00000 Char"/>
    <w:link w:val="468"/>
    <w:autoRedefine/>
    <w:qFormat/>
    <w:uiPriority w:val="0"/>
    <w:rPr>
      <w:kern w:val="2"/>
      <w:sz w:val="24"/>
    </w:rPr>
  </w:style>
  <w:style w:type="paragraph" w:customStyle="1" w:styleId="468">
    <w:name w:val="正文00000"/>
    <w:basedOn w:val="1"/>
    <w:link w:val="467"/>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9">
    <w:name w:val="明显引用 字符1"/>
    <w:link w:val="470"/>
    <w:autoRedefine/>
    <w:qFormat/>
    <w:uiPriority w:val="0"/>
    <w:rPr>
      <w:b/>
      <w:bCs/>
      <w:i/>
      <w:iCs/>
      <w:color w:val="2DA2BF"/>
    </w:rPr>
  </w:style>
  <w:style w:type="paragraph" w:styleId="470">
    <w:name w:val="Intense Quote"/>
    <w:basedOn w:val="1"/>
    <w:next w:val="1"/>
    <w:link w:val="469"/>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1">
    <w:name w:val="明显引用 字符2"/>
    <w:basedOn w:val="98"/>
    <w:autoRedefine/>
    <w:qFormat/>
    <w:uiPriority w:val="99"/>
    <w:rPr>
      <w:rFonts w:ascii="Times New Roman" w:hAnsi="Times New Roman" w:eastAsia="宋体" w:cs="Times New Roman"/>
      <w:i/>
      <w:iCs/>
      <w:color w:val="4F81BD" w:themeColor="accent1"/>
      <w:kern w:val="2"/>
      <w:sz w:val="21"/>
      <w:szCs w:val="21"/>
      <w14:textFill>
        <w14:solidFill>
          <w14:schemeClr w14:val="accent1"/>
        </w14:solidFill>
      </w14:textFill>
    </w:rPr>
  </w:style>
  <w:style w:type="character" w:customStyle="1" w:styleId="472">
    <w:name w:val="明显引用 Char2"/>
    <w:qFormat/>
    <w:uiPriority w:val="30"/>
    <w:rPr>
      <w:i/>
      <w:iCs/>
      <w:color w:val="5B9BD5"/>
      <w:kern w:val="2"/>
      <w:sz w:val="21"/>
      <w:szCs w:val="24"/>
    </w:rPr>
  </w:style>
  <w:style w:type="character" w:customStyle="1" w:styleId="473">
    <w:name w:val="引用 字符1"/>
    <w:link w:val="474"/>
    <w:autoRedefine/>
    <w:qFormat/>
    <w:uiPriority w:val="29"/>
    <w:rPr>
      <w:i/>
      <w:iCs/>
      <w:color w:val="000000"/>
    </w:rPr>
  </w:style>
  <w:style w:type="paragraph" w:styleId="474">
    <w:name w:val="Quote"/>
    <w:basedOn w:val="1"/>
    <w:next w:val="1"/>
    <w:link w:val="473"/>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5">
    <w:name w:val="引用 字符2"/>
    <w:basedOn w:val="98"/>
    <w:autoRedefine/>
    <w:qFormat/>
    <w:uiPriority w:val="99"/>
    <w:rPr>
      <w:rFonts w:ascii="Times New Roman" w:hAnsi="Times New Roman" w:eastAsia="宋体" w:cs="Times New Roman"/>
      <w:i/>
      <w:iCs/>
      <w:color w:val="404040" w:themeColor="text1" w:themeTint="BF"/>
      <w:kern w:val="2"/>
      <w:sz w:val="21"/>
      <w:szCs w:val="21"/>
      <w14:textFill>
        <w14:solidFill>
          <w14:schemeClr w14:val="tx1">
            <w14:lumMod w14:val="75000"/>
            <w14:lumOff w14:val="25000"/>
          </w14:schemeClr>
        </w14:solidFill>
      </w14:textFill>
    </w:rPr>
  </w:style>
  <w:style w:type="character" w:customStyle="1" w:styleId="476">
    <w:name w:val="引用 Char3"/>
    <w:autoRedefine/>
    <w:qFormat/>
    <w:uiPriority w:val="29"/>
    <w:rPr>
      <w:i/>
      <w:iCs/>
      <w:color w:val="404040"/>
      <w:kern w:val="2"/>
      <w:sz w:val="21"/>
      <w:szCs w:val="24"/>
    </w:rPr>
  </w:style>
  <w:style w:type="character" w:customStyle="1" w:styleId="477">
    <w:name w:val="标题3 Char"/>
    <w:link w:val="478"/>
    <w:autoRedefine/>
    <w:qFormat/>
    <w:locked/>
    <w:uiPriority w:val="0"/>
    <w:rPr>
      <w:kern w:val="2"/>
      <w:sz w:val="24"/>
      <w:szCs w:val="32"/>
    </w:rPr>
  </w:style>
  <w:style w:type="paragraph" w:customStyle="1" w:styleId="478">
    <w:name w:val="标题31"/>
    <w:basedOn w:val="5"/>
    <w:next w:val="21"/>
    <w:link w:val="477"/>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9">
    <w:name w:val="表上文字 Char"/>
    <w:link w:val="480"/>
    <w:autoRedefine/>
    <w:qFormat/>
    <w:uiPriority w:val="0"/>
    <w:rPr>
      <w:color w:val="000000"/>
      <w:spacing w:val="6"/>
      <w:kern w:val="2"/>
      <w:sz w:val="24"/>
      <w:szCs w:val="24"/>
    </w:rPr>
  </w:style>
  <w:style w:type="paragraph" w:customStyle="1" w:styleId="480">
    <w:name w:val="表上文字"/>
    <w:basedOn w:val="1"/>
    <w:link w:val="479"/>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1">
    <w:name w:val="zihe-表名 Char"/>
    <w:link w:val="482"/>
    <w:autoRedefine/>
    <w:qFormat/>
    <w:uiPriority w:val="0"/>
    <w:rPr>
      <w:bCs/>
      <w:color w:val="000000"/>
      <w:sz w:val="24"/>
    </w:rPr>
  </w:style>
  <w:style w:type="paragraph" w:customStyle="1" w:styleId="482">
    <w:name w:val="zihe-表名"/>
    <w:basedOn w:val="273"/>
    <w:link w:val="481"/>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3">
    <w:name w:val="正文首行缩进 2 + Times New Roman Char"/>
    <w:link w:val="484"/>
    <w:autoRedefine/>
    <w:qFormat/>
    <w:uiPriority w:val="0"/>
    <w:rPr>
      <w:sz w:val="24"/>
      <w:szCs w:val="24"/>
    </w:rPr>
  </w:style>
  <w:style w:type="paragraph" w:customStyle="1" w:styleId="484">
    <w:name w:val="正文首行缩进 2 + Times New Roman"/>
    <w:basedOn w:val="1"/>
    <w:link w:val="483"/>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5">
    <w:name w:val="正文缩进 字符1"/>
    <w:autoRedefine/>
    <w:qFormat/>
    <w:uiPriority w:val="0"/>
    <w:rPr>
      <w:rFonts w:eastAsia="宋体"/>
      <w:kern w:val="2"/>
      <w:sz w:val="21"/>
      <w:lang w:val="en-US" w:eastAsia="zh-CN" w:bidi="ar-SA"/>
    </w:rPr>
  </w:style>
  <w:style w:type="character" w:customStyle="1" w:styleId="486">
    <w:name w:val="LNG报告正文 Char"/>
    <w:link w:val="487"/>
    <w:autoRedefine/>
    <w:qFormat/>
    <w:uiPriority w:val="0"/>
    <w:rPr>
      <w:rFonts w:ascii="宋体"/>
      <w:color w:val="000000"/>
      <w:kern w:val="2"/>
      <w:sz w:val="28"/>
    </w:rPr>
  </w:style>
  <w:style w:type="paragraph" w:customStyle="1" w:styleId="487">
    <w:name w:val="LNG报告正文"/>
    <w:basedOn w:val="1"/>
    <w:link w:val="486"/>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8">
    <w:name w:val="表格居中 Char Char Char Char"/>
    <w:link w:val="489"/>
    <w:autoRedefine/>
    <w:qFormat/>
    <w:uiPriority w:val="0"/>
    <w:rPr>
      <w:rFonts w:ascii="??¨¬?" w:hAnsi="??¨¬?"/>
      <w:kern w:val="2"/>
      <w:sz w:val="24"/>
      <w:szCs w:val="24"/>
    </w:rPr>
  </w:style>
  <w:style w:type="paragraph" w:customStyle="1" w:styleId="489">
    <w:name w:val="表格居中 Char Char Char"/>
    <w:basedOn w:val="1"/>
    <w:link w:val="488"/>
    <w:autoRedefine/>
    <w:qFormat/>
    <w:uiPriority w:val="0"/>
    <w:pPr>
      <w:jc w:val="center"/>
    </w:pPr>
    <w:rPr>
      <w:rFonts w:ascii="??¨¬?" w:hAnsi="??¨¬?" w:eastAsiaTheme="minorEastAsia" w:cstheme="minorBidi"/>
      <w:sz w:val="24"/>
      <w:szCs w:val="24"/>
    </w:rPr>
  </w:style>
  <w:style w:type="character"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1"/>
    <w:autoRedefine/>
    <w:qFormat/>
    <w:uiPriority w:val="0"/>
    <w:rPr>
      <w:kern w:val="2"/>
      <w:sz w:val="24"/>
      <w:szCs w:val="24"/>
    </w:rPr>
  </w:style>
  <w:style w:type="paragraph" w:customStyle="1" w:styleId="491">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90"/>
    <w:autoRedefine/>
    <w:qFormat/>
    <w:uiPriority w:val="0"/>
    <w:pPr>
      <w:overflowPunct w:val="0"/>
      <w:autoSpaceDE w:val="0"/>
      <w:autoSpaceDN w:val="0"/>
      <w:adjustRightInd w:val="0"/>
      <w:textAlignment w:val="baseline"/>
    </w:pPr>
    <w:rPr>
      <w:rFonts w:asciiTheme="minorHAnsi" w:hAnsiTheme="minorHAnsi" w:eastAsiaTheme="minorEastAsia" w:cstheme="minorBidi"/>
      <w:sz w:val="24"/>
      <w:szCs w:val="24"/>
    </w:rPr>
  </w:style>
  <w:style w:type="character" w:customStyle="1" w:styleId="492">
    <w:name w:val="报告正文 Char"/>
    <w:link w:val="493"/>
    <w:autoRedefine/>
    <w:qFormat/>
    <w:uiPriority w:val="0"/>
    <w:rPr>
      <w:rFonts w:ascii="宋体" w:hAnsi="宋体"/>
      <w:bCs/>
      <w:kern w:val="2"/>
      <w:sz w:val="24"/>
      <w:szCs w:val="24"/>
    </w:rPr>
  </w:style>
  <w:style w:type="paragraph" w:customStyle="1" w:styleId="493">
    <w:name w:val="报告正文"/>
    <w:basedOn w:val="1"/>
    <w:link w:val="492"/>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4">
    <w:name w:val="甬绍正文 Char"/>
    <w:link w:val="495"/>
    <w:autoRedefine/>
    <w:qFormat/>
    <w:uiPriority w:val="0"/>
    <w:rPr>
      <w:rFonts w:ascii="宋体" w:hAnsi="宋体"/>
      <w:kern w:val="2"/>
      <w:sz w:val="28"/>
      <w:szCs w:val="28"/>
    </w:rPr>
  </w:style>
  <w:style w:type="paragraph" w:customStyle="1" w:styleId="495">
    <w:name w:val="甬绍正文"/>
    <w:basedOn w:val="1"/>
    <w:link w:val="494"/>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6">
    <w:name w:val="样式 Char Char Char Char Char Char Char Char Char Char Char Char Char Char Char Char Char Char"/>
    <w:link w:val="497"/>
    <w:autoRedefine/>
    <w:qFormat/>
    <w:uiPriority w:val="0"/>
    <w:rPr>
      <w:sz w:val="24"/>
      <w:szCs w:val="24"/>
    </w:rPr>
  </w:style>
  <w:style w:type="paragraph" w:customStyle="1" w:styleId="497">
    <w:name w:val="样式 Char Char Char Char Char Char Char Char Char Char Char Char Char Char Char Char Char"/>
    <w:basedOn w:val="21"/>
    <w:link w:val="496"/>
    <w:autoRedefine/>
    <w:qFormat/>
    <w:uiPriority w:val="0"/>
    <w:pPr>
      <w:overflowPunct w:val="0"/>
      <w:autoSpaceDE w:val="0"/>
      <w:autoSpaceDN w:val="0"/>
      <w:adjustRightInd w:val="0"/>
      <w:ind w:firstLine="491"/>
      <w:textAlignment w:val="baseline"/>
    </w:pPr>
    <w:rPr>
      <w:rFonts w:asciiTheme="minorHAnsi" w:hAnsiTheme="minorHAnsi" w:eastAsiaTheme="minorEastAsia" w:cstheme="minorBidi"/>
      <w:kern w:val="0"/>
      <w:sz w:val="24"/>
      <w:szCs w:val="24"/>
    </w:rPr>
  </w:style>
  <w:style w:type="character" w:customStyle="1" w:styleId="498">
    <w:name w:val="正文缩进（赵） Char"/>
    <w:link w:val="499"/>
    <w:autoRedefine/>
    <w:qFormat/>
    <w:uiPriority w:val="0"/>
    <w:rPr>
      <w:sz w:val="28"/>
      <w:szCs w:val="28"/>
    </w:rPr>
  </w:style>
  <w:style w:type="paragraph" w:customStyle="1" w:styleId="499">
    <w:name w:val="正文缩进（赵）"/>
    <w:basedOn w:val="35"/>
    <w:link w:val="498"/>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500">
    <w:name w:val="表格文字-居中 Char Char"/>
    <w:link w:val="501"/>
    <w:autoRedefine/>
    <w:qFormat/>
    <w:uiPriority w:val="0"/>
    <w:rPr>
      <w:sz w:val="21"/>
      <w:szCs w:val="21"/>
    </w:rPr>
  </w:style>
  <w:style w:type="paragraph" w:customStyle="1" w:styleId="501">
    <w:name w:val="表格文字-居中"/>
    <w:basedOn w:val="1"/>
    <w:link w:val="500"/>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2">
    <w:name w:val="表中 Char"/>
    <w:link w:val="503"/>
    <w:autoRedefine/>
    <w:qFormat/>
    <w:uiPriority w:val="0"/>
    <w:rPr>
      <w:bCs/>
      <w:kern w:val="2"/>
      <w:sz w:val="21"/>
      <w:szCs w:val="21"/>
    </w:rPr>
  </w:style>
  <w:style w:type="paragraph" w:customStyle="1" w:styleId="503">
    <w:name w:val="表中"/>
    <w:basedOn w:val="1"/>
    <w:link w:val="502"/>
    <w:autoRedefine/>
    <w:qFormat/>
    <w:uiPriority w:val="0"/>
    <w:pPr>
      <w:jc w:val="center"/>
    </w:pPr>
    <w:rPr>
      <w:rFonts w:asciiTheme="minorHAnsi" w:hAnsiTheme="minorHAnsi" w:eastAsiaTheme="minorEastAsia" w:cstheme="minorBidi"/>
      <w:bCs/>
    </w:rPr>
  </w:style>
  <w:style w:type="character" w:customStyle="1" w:styleId="504">
    <w:name w:val="样式 样式 标题 4heading 4 + Indent: Left 0.5 inH4标题3a1.1.1.1 Heading ....1 Char"/>
    <w:link w:val="505"/>
    <w:autoRedefine/>
    <w:qFormat/>
    <w:uiPriority w:val="0"/>
    <w:rPr>
      <w:rFonts w:ascii="黑体" w:hAnsi="宋体" w:eastAsia="黑体" w:cs="宋体"/>
      <w:b/>
      <w:bCs/>
      <w:iCs/>
      <w:kern w:val="2"/>
      <w:sz w:val="28"/>
      <w:szCs w:val="28"/>
    </w:rPr>
  </w:style>
  <w:style w:type="paragraph" w:customStyle="1" w:styleId="505">
    <w:name w:val="样式 样式 标题 4heading 4 + Indent: Left 0.5 inH4标题3a1.1.1.1 Heading ....1"/>
    <w:basedOn w:val="1"/>
    <w:link w:val="504"/>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6">
    <w:name w:val="！正文 Char"/>
    <w:link w:val="507"/>
    <w:autoRedefine/>
    <w:qFormat/>
    <w:uiPriority w:val="0"/>
    <w:rPr>
      <w:rFonts w:ascii="Calibri" w:hAnsi="Calibri" w:eastAsia="仿宋_GB2312"/>
      <w:sz w:val="28"/>
      <w:szCs w:val="24"/>
    </w:rPr>
  </w:style>
  <w:style w:type="paragraph" w:customStyle="1" w:styleId="507">
    <w:name w:val="！正文"/>
    <w:basedOn w:val="1"/>
    <w:link w:val="506"/>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8">
    <w:name w:val="报告条标题 Char"/>
    <w:link w:val="509"/>
    <w:autoRedefine/>
    <w:qFormat/>
    <w:uiPriority w:val="0"/>
    <w:rPr>
      <w:rFonts w:ascii="黑体" w:eastAsia="黑体"/>
      <w:kern w:val="2"/>
      <w:sz w:val="24"/>
    </w:rPr>
  </w:style>
  <w:style w:type="paragraph" w:customStyle="1" w:styleId="509">
    <w:name w:val="报告条标题"/>
    <w:basedOn w:val="1"/>
    <w:next w:val="1"/>
    <w:link w:val="508"/>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10">
    <w:name w:val="报告节标题 Char"/>
    <w:link w:val="511"/>
    <w:autoRedefine/>
    <w:qFormat/>
    <w:uiPriority w:val="0"/>
    <w:rPr>
      <w:rFonts w:ascii="Arial" w:hAnsi="Arial" w:eastAsia="黑体"/>
      <w:kern w:val="2"/>
      <w:sz w:val="30"/>
    </w:rPr>
  </w:style>
  <w:style w:type="paragraph" w:customStyle="1" w:styleId="511">
    <w:name w:val="报告节标题"/>
    <w:basedOn w:val="4"/>
    <w:next w:val="1"/>
    <w:link w:val="510"/>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2">
    <w:name w:val="报告表中 Char"/>
    <w:link w:val="513"/>
    <w:autoRedefine/>
    <w:qFormat/>
    <w:uiPriority w:val="0"/>
    <w:rPr>
      <w:kern w:val="2"/>
      <w:sz w:val="18"/>
    </w:rPr>
  </w:style>
  <w:style w:type="paragraph" w:customStyle="1" w:styleId="513">
    <w:name w:val="报告表中"/>
    <w:basedOn w:val="1"/>
    <w:link w:val="512"/>
    <w:autoRedefine/>
    <w:qFormat/>
    <w:uiPriority w:val="0"/>
    <w:pPr>
      <w:widowControl/>
      <w:jc w:val="center"/>
    </w:pPr>
    <w:rPr>
      <w:rFonts w:asciiTheme="minorHAnsi" w:hAnsiTheme="minorHAnsi" w:eastAsiaTheme="minorEastAsia" w:cstheme="minorBidi"/>
      <w:sz w:val="18"/>
      <w:szCs w:val="20"/>
    </w:rPr>
  </w:style>
  <w:style w:type="character" w:customStyle="1" w:styleId="514">
    <w:name w:val="报告图题 Char"/>
    <w:link w:val="515"/>
    <w:autoRedefine/>
    <w:qFormat/>
    <w:uiPriority w:val="0"/>
    <w:rPr>
      <w:rFonts w:ascii="黑体" w:eastAsia="黑体"/>
      <w:kern w:val="2"/>
      <w:sz w:val="21"/>
    </w:rPr>
  </w:style>
  <w:style w:type="paragraph" w:customStyle="1" w:styleId="515">
    <w:name w:val="报告图题"/>
    <w:basedOn w:val="1"/>
    <w:next w:val="1"/>
    <w:link w:val="514"/>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6">
    <w:name w:val="A正文 Char Char"/>
    <w:link w:val="517"/>
    <w:autoRedefine/>
    <w:qFormat/>
    <w:uiPriority w:val="0"/>
    <w:rPr>
      <w:rFonts w:eastAsia="仿宋_GB2312"/>
      <w:sz w:val="24"/>
    </w:rPr>
  </w:style>
  <w:style w:type="paragraph" w:customStyle="1" w:styleId="517">
    <w:name w:val="A正文"/>
    <w:basedOn w:val="1"/>
    <w:link w:val="516"/>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8">
    <w:name w:val="样式 样式 样式 样式 样式 首行缩进:  2 字符 + 首行缩进:  2 字符 + 首行缩进:  2 字符 + 首行缩进:  ... Char"/>
    <w:link w:val="519"/>
    <w:autoRedefine/>
    <w:qFormat/>
    <w:uiPriority w:val="0"/>
    <w:rPr>
      <w:rFonts w:ascii="仿宋_GB2312" w:hAnsi="宋体" w:eastAsia="仿宋_GB2312"/>
      <w:sz w:val="28"/>
    </w:rPr>
  </w:style>
  <w:style w:type="paragraph" w:customStyle="1" w:styleId="519">
    <w:name w:val="样式 样式 样式 样式 样式 首行缩进:  2 字符 + 首行缩进:  2 字符 + 首行缩进:  2 字符 + 首行缩进:  ..."/>
    <w:basedOn w:val="1"/>
    <w:link w:val="518"/>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20">
    <w:name w:val="样式 正文001 + Times New Roman Char"/>
    <w:link w:val="521"/>
    <w:autoRedefine/>
    <w:qFormat/>
    <w:uiPriority w:val="0"/>
    <w:rPr>
      <w:kern w:val="2"/>
      <w:sz w:val="24"/>
      <w:lang w:val="zh-CN"/>
    </w:rPr>
  </w:style>
  <w:style w:type="paragraph" w:customStyle="1" w:styleId="521">
    <w:name w:val="样式 正文001 + Times New Roman"/>
    <w:basedOn w:val="1"/>
    <w:link w:val="520"/>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2">
    <w:name w:val="标1 Char"/>
    <w:link w:val="523"/>
    <w:autoRedefine/>
    <w:qFormat/>
    <w:uiPriority w:val="0"/>
    <w:rPr>
      <w:b/>
      <w:kern w:val="2"/>
      <w:sz w:val="32"/>
      <w:lang w:val="zh-CN"/>
    </w:rPr>
  </w:style>
  <w:style w:type="paragraph" w:customStyle="1" w:styleId="523">
    <w:name w:val="标1"/>
    <w:basedOn w:val="1"/>
    <w:link w:val="522"/>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4">
    <w:name w:val="图表名 Char"/>
    <w:link w:val="525"/>
    <w:autoRedefine/>
    <w:qFormat/>
    <w:uiPriority w:val="0"/>
    <w:rPr>
      <w:rFonts w:hAnsi="宋体"/>
      <w:b/>
      <w:sz w:val="21"/>
      <w:szCs w:val="21"/>
      <w:lang w:val="zh-CN"/>
    </w:rPr>
  </w:style>
  <w:style w:type="paragraph" w:customStyle="1" w:styleId="525">
    <w:name w:val="图表名"/>
    <w:basedOn w:val="526"/>
    <w:next w:val="1"/>
    <w:link w:val="524"/>
    <w:autoRedefine/>
    <w:qFormat/>
    <w:uiPriority w:val="0"/>
    <w:rPr>
      <w:rFonts w:asciiTheme="minorHAnsi" w:eastAsiaTheme="minorEastAsia" w:cstheme="minorBidi"/>
      <w:lang w:val="zh-CN"/>
    </w:rPr>
  </w:style>
  <w:style w:type="paragraph" w:customStyle="1" w:styleId="526">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7">
    <w:name w:val="列表段落 字符1"/>
    <w:qFormat/>
    <w:locked/>
    <w:uiPriority w:val="34"/>
    <w:rPr>
      <w:kern w:val="2"/>
      <w:sz w:val="24"/>
      <w:szCs w:val="24"/>
      <w:lang w:val="zh-CN"/>
    </w:rPr>
  </w:style>
  <w:style w:type="character" w:customStyle="1" w:styleId="528">
    <w:name w:val="表格标题-02 Char"/>
    <w:link w:val="529"/>
    <w:autoRedefine/>
    <w:qFormat/>
    <w:uiPriority w:val="0"/>
    <w:rPr>
      <w:sz w:val="24"/>
      <w:szCs w:val="24"/>
      <w:lang w:val="zh-CN"/>
    </w:rPr>
  </w:style>
  <w:style w:type="paragraph" w:customStyle="1" w:styleId="529">
    <w:name w:val="表格标题-02"/>
    <w:basedOn w:val="1"/>
    <w:link w:val="528"/>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30">
    <w:name w:val="正文15 Char"/>
    <w:link w:val="531"/>
    <w:autoRedefine/>
    <w:qFormat/>
    <w:uiPriority w:val="0"/>
    <w:rPr>
      <w:sz w:val="28"/>
      <w:szCs w:val="28"/>
    </w:rPr>
  </w:style>
  <w:style w:type="paragraph" w:customStyle="1" w:styleId="531">
    <w:name w:val="正文15"/>
    <w:basedOn w:val="1"/>
    <w:link w:val="530"/>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2">
    <w:name w:val="样式 标题 4 + (中文) 宋体 非加粗 Char Char"/>
    <w:link w:val="533"/>
    <w:autoRedefine/>
    <w:qFormat/>
    <w:uiPriority w:val="0"/>
    <w:rPr>
      <w:rFonts w:eastAsia="仿宋_GB2312"/>
      <w:kern w:val="2"/>
      <w:sz w:val="24"/>
    </w:rPr>
  </w:style>
  <w:style w:type="paragraph" w:customStyle="1" w:styleId="533">
    <w:name w:val="样式 标题 4 + (中文) 宋体 非加粗 Char"/>
    <w:basedOn w:val="6"/>
    <w:link w:val="532"/>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4">
    <w:name w:val="4级（小）标题 Char"/>
    <w:link w:val="535"/>
    <w:autoRedefine/>
    <w:qFormat/>
    <w:uiPriority w:val="0"/>
    <w:rPr>
      <w:b/>
      <w:kern w:val="2"/>
      <w:sz w:val="24"/>
      <w:szCs w:val="24"/>
      <w:lang w:val="zh-CN"/>
    </w:rPr>
  </w:style>
  <w:style w:type="paragraph" w:customStyle="1" w:styleId="535">
    <w:name w:val="4级（小）标题"/>
    <w:basedOn w:val="1"/>
    <w:link w:val="534"/>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6">
    <w:name w:val="内页24 Char"/>
    <w:link w:val="537"/>
    <w:autoRedefine/>
    <w:qFormat/>
    <w:uiPriority w:val="0"/>
    <w:rPr>
      <w:rFonts w:ascii="华文中宋" w:hAnsi="华文中宋" w:eastAsia="华文中宋"/>
      <w:b/>
      <w:kern w:val="2"/>
      <w:sz w:val="48"/>
      <w:szCs w:val="56"/>
    </w:rPr>
  </w:style>
  <w:style w:type="paragraph" w:customStyle="1" w:styleId="537">
    <w:name w:val="内页24"/>
    <w:link w:val="536"/>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8">
    <w:name w:val="报告正文-连续目录 Char Char"/>
    <w:link w:val="539"/>
    <w:autoRedefine/>
    <w:qFormat/>
    <w:uiPriority w:val="0"/>
    <w:rPr>
      <w:rFonts w:ascii="Arial" w:hAnsi="Arial"/>
      <w:sz w:val="24"/>
      <w:szCs w:val="24"/>
      <w:lang w:val="zh-CN"/>
    </w:rPr>
  </w:style>
  <w:style w:type="paragraph" w:customStyle="1" w:styleId="539">
    <w:name w:val="报告正文-连续目录"/>
    <w:basedOn w:val="1"/>
    <w:link w:val="538"/>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40">
    <w:name w:val="表格数字 Char"/>
    <w:link w:val="541"/>
    <w:autoRedefine/>
    <w:qFormat/>
    <w:uiPriority w:val="0"/>
    <w:rPr>
      <w:rFonts w:ascii="Arial" w:hAnsi="Arial"/>
      <w:sz w:val="21"/>
      <w:lang w:val="zh-CN"/>
    </w:rPr>
  </w:style>
  <w:style w:type="paragraph" w:customStyle="1" w:styleId="541">
    <w:name w:val="表格数字"/>
    <w:basedOn w:val="1"/>
    <w:link w:val="540"/>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2">
    <w:name w:val="标题4 非连续 Char"/>
    <w:link w:val="543"/>
    <w:autoRedefine/>
    <w:qFormat/>
    <w:uiPriority w:val="0"/>
    <w:rPr>
      <w:sz w:val="24"/>
      <w:szCs w:val="28"/>
      <w:lang w:val="zh-CN"/>
    </w:rPr>
  </w:style>
  <w:style w:type="paragraph" w:customStyle="1" w:styleId="543">
    <w:name w:val="标题4 非连续"/>
    <w:basedOn w:val="1"/>
    <w:link w:val="542"/>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4">
    <w:name w:val="标题 #7_"/>
    <w:link w:val="545"/>
    <w:autoRedefine/>
    <w:qFormat/>
    <w:uiPriority w:val="0"/>
    <w:rPr>
      <w:rFonts w:ascii="宋体" w:hAnsi="宋体"/>
      <w:sz w:val="22"/>
      <w:szCs w:val="22"/>
      <w:shd w:val="clear" w:color="auto" w:fill="FFFFFF"/>
    </w:rPr>
  </w:style>
  <w:style w:type="paragraph" w:customStyle="1" w:styleId="545">
    <w:name w:val="标题 #71"/>
    <w:basedOn w:val="1"/>
    <w:link w:val="544"/>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6">
    <w:name w:val="表格内正文 Char1"/>
    <w:link w:val="547"/>
    <w:autoRedefine/>
    <w:qFormat/>
    <w:uiPriority w:val="0"/>
    <w:rPr>
      <w:rFonts w:ascii="宋体" w:hAnsi="宋体"/>
      <w:spacing w:val="4"/>
      <w:kern w:val="18"/>
      <w:sz w:val="24"/>
    </w:rPr>
  </w:style>
  <w:style w:type="paragraph" w:customStyle="1" w:styleId="547">
    <w:name w:val="表格内正文"/>
    <w:basedOn w:val="1"/>
    <w:link w:val="546"/>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8">
    <w:name w:val="常用登记表格式 Char"/>
    <w:link w:val="549"/>
    <w:autoRedefine/>
    <w:qFormat/>
    <w:uiPriority w:val="0"/>
    <w:rPr>
      <w:rFonts w:ascii="宋体" w:hAnsi="Arial Narrow" w:eastAsia="仿宋_GB2312"/>
      <w:kern w:val="2"/>
      <w:lang w:val="zh-CN"/>
    </w:rPr>
  </w:style>
  <w:style w:type="paragraph" w:customStyle="1" w:styleId="549">
    <w:name w:val="常用登记表格式"/>
    <w:basedOn w:val="1"/>
    <w:link w:val="548"/>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50">
    <w:name w:val="正文jjy Char"/>
    <w:link w:val="551"/>
    <w:autoRedefine/>
    <w:qFormat/>
    <w:locked/>
    <w:uiPriority w:val="0"/>
    <w:rPr>
      <w:rFonts w:ascii="宋体" w:hAnsi="宋体"/>
      <w:kern w:val="2"/>
      <w:sz w:val="24"/>
      <w:szCs w:val="24"/>
    </w:rPr>
  </w:style>
  <w:style w:type="paragraph" w:customStyle="1" w:styleId="551">
    <w:name w:val="正文jjy"/>
    <w:basedOn w:val="1"/>
    <w:link w:val="550"/>
    <w:qFormat/>
    <w:uiPriority w:val="0"/>
    <w:pPr>
      <w:spacing w:line="360" w:lineRule="auto"/>
      <w:ind w:firstLine="480" w:firstLineChars="200"/>
    </w:pPr>
    <w:rPr>
      <w:rFonts w:ascii="宋体" w:hAnsi="宋体" w:eastAsiaTheme="minorEastAsia" w:cstheme="minorBidi"/>
      <w:sz w:val="24"/>
      <w:szCs w:val="24"/>
    </w:rPr>
  </w:style>
  <w:style w:type="character" w:customStyle="1" w:styleId="552">
    <w:name w:val="(a正文 Char"/>
    <w:link w:val="553"/>
    <w:autoRedefine/>
    <w:qFormat/>
    <w:uiPriority w:val="0"/>
    <w:rPr>
      <w:rFonts w:eastAsia="仿宋_GB2312"/>
      <w:color w:val="000000"/>
      <w:kern w:val="2"/>
      <w:sz w:val="24"/>
      <w:szCs w:val="24"/>
      <w:lang w:val="zh-CN"/>
    </w:rPr>
  </w:style>
  <w:style w:type="paragraph" w:customStyle="1" w:styleId="553">
    <w:name w:val="(a正文"/>
    <w:basedOn w:val="1"/>
    <w:link w:val="552"/>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4">
    <w:name w:val="xl24 Char Char Char Char Char"/>
    <w:link w:val="555"/>
    <w:autoRedefine/>
    <w:qFormat/>
    <w:uiPriority w:val="0"/>
    <w:rPr>
      <w:kern w:val="2"/>
      <w:sz w:val="21"/>
      <w:szCs w:val="21"/>
      <w:lang w:val="zh-CN"/>
    </w:rPr>
  </w:style>
  <w:style w:type="paragraph" w:customStyle="1" w:styleId="555">
    <w:name w:val="xl24 Char Char Char Char"/>
    <w:basedOn w:val="1"/>
    <w:link w:val="554"/>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6">
    <w:name w:val="(a正文 Char Char Char Char Char Char Char"/>
    <w:link w:val="557"/>
    <w:autoRedefine/>
    <w:qFormat/>
    <w:uiPriority w:val="0"/>
    <w:rPr>
      <w:rFonts w:eastAsia="仿宋_GB2312"/>
      <w:color w:val="000000"/>
      <w:kern w:val="2"/>
      <w:sz w:val="24"/>
      <w:szCs w:val="24"/>
      <w:lang w:val="zh-CN"/>
    </w:rPr>
  </w:style>
  <w:style w:type="paragraph" w:customStyle="1" w:styleId="557">
    <w:name w:val="(a正文 Char Char Char Char Char Char"/>
    <w:basedOn w:val="1"/>
    <w:link w:val="556"/>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8">
    <w:name w:val="(a表格标题 Char"/>
    <w:link w:val="559"/>
    <w:autoRedefine/>
    <w:qFormat/>
    <w:locked/>
    <w:uiPriority w:val="0"/>
    <w:rPr>
      <w:rFonts w:ascii="仿宋_GB2312" w:eastAsia="黑体"/>
      <w:b/>
      <w:kern w:val="2"/>
      <w:sz w:val="21"/>
      <w:szCs w:val="28"/>
      <w:lang w:val="zh-CN"/>
    </w:rPr>
  </w:style>
  <w:style w:type="paragraph" w:customStyle="1" w:styleId="559">
    <w:name w:val="(a表格标题"/>
    <w:basedOn w:val="1"/>
    <w:link w:val="558"/>
    <w:autoRedefine/>
    <w:qFormat/>
    <w:uiPriority w:val="0"/>
    <w:pPr>
      <w:spacing w:line="400" w:lineRule="exact"/>
      <w:jc w:val="center"/>
    </w:pPr>
    <w:rPr>
      <w:rFonts w:ascii="仿宋_GB2312" w:eastAsia="黑体" w:hAnsiTheme="minorHAnsi" w:cstheme="minorBidi"/>
      <w:b/>
      <w:szCs w:val="28"/>
      <w:lang w:val="zh-CN"/>
    </w:rPr>
  </w:style>
  <w:style w:type="character" w:customStyle="1" w:styleId="560">
    <w:name w:val="xl24 Char Char"/>
    <w:link w:val="561"/>
    <w:autoRedefine/>
    <w:qFormat/>
    <w:locked/>
    <w:uiPriority w:val="0"/>
    <w:rPr>
      <w:kern w:val="2"/>
      <w:sz w:val="21"/>
      <w:szCs w:val="21"/>
      <w:lang w:val="zh-CN"/>
    </w:rPr>
  </w:style>
  <w:style w:type="paragraph" w:customStyle="1" w:styleId="561">
    <w:name w:val="xl24 Char"/>
    <w:basedOn w:val="1"/>
    <w:link w:val="560"/>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2">
    <w:name w:val="正文 缩进 Char"/>
    <w:link w:val="563"/>
    <w:autoRedefine/>
    <w:qFormat/>
    <w:uiPriority w:val="0"/>
    <w:rPr>
      <w:rFonts w:eastAsia="仿宋_GB2312"/>
      <w:sz w:val="24"/>
      <w:lang w:val="zh-CN"/>
    </w:rPr>
  </w:style>
  <w:style w:type="paragraph" w:customStyle="1" w:styleId="563">
    <w:name w:val="正文 缩进"/>
    <w:basedOn w:val="1"/>
    <w:link w:val="562"/>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4">
    <w:name w:val="表内 Char"/>
    <w:link w:val="565"/>
    <w:autoRedefine/>
    <w:qFormat/>
    <w:uiPriority w:val="0"/>
    <w:rPr>
      <w:rFonts w:eastAsia="仿宋_GB2312"/>
      <w:kern w:val="2"/>
      <w:sz w:val="21"/>
      <w:szCs w:val="24"/>
      <w:lang w:val="zh-CN"/>
    </w:rPr>
  </w:style>
  <w:style w:type="paragraph" w:customStyle="1" w:styleId="565">
    <w:name w:val="表内"/>
    <w:basedOn w:val="1"/>
    <w:link w:val="564"/>
    <w:autoRedefine/>
    <w:qFormat/>
    <w:uiPriority w:val="0"/>
    <w:pPr>
      <w:jc w:val="center"/>
    </w:pPr>
    <w:rPr>
      <w:rFonts w:eastAsia="仿宋_GB2312" w:asciiTheme="minorHAnsi" w:hAnsiTheme="minorHAnsi" w:cstheme="minorBidi"/>
      <w:szCs w:val="24"/>
      <w:lang w:val="zh-CN"/>
    </w:rPr>
  </w:style>
  <w:style w:type="character" w:customStyle="1" w:styleId="566">
    <w:name w:val="123 Char"/>
    <w:link w:val="567"/>
    <w:autoRedefine/>
    <w:qFormat/>
    <w:uiPriority w:val="0"/>
    <w:rPr>
      <w:rFonts w:eastAsia="仿宋_GB2312"/>
      <w:sz w:val="24"/>
      <w:lang w:val="zh-CN"/>
    </w:rPr>
  </w:style>
  <w:style w:type="paragraph" w:customStyle="1" w:styleId="567">
    <w:name w:val="123"/>
    <w:basedOn w:val="1"/>
    <w:link w:val="566"/>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8">
    <w:name w:val="正文-1 Char"/>
    <w:link w:val="569"/>
    <w:autoRedefine/>
    <w:qFormat/>
    <w:uiPriority w:val="0"/>
    <w:rPr>
      <w:spacing w:val="4"/>
      <w:kern w:val="18"/>
      <w:sz w:val="24"/>
      <w:szCs w:val="30"/>
      <w:lang w:val="zh-CN"/>
    </w:rPr>
  </w:style>
  <w:style w:type="paragraph" w:customStyle="1" w:styleId="569">
    <w:name w:val="正文-1"/>
    <w:basedOn w:val="35"/>
    <w:link w:val="568"/>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70">
    <w:name w:val="表格标题新 Char"/>
    <w:link w:val="571"/>
    <w:autoRedefine/>
    <w:semiHidden/>
    <w:qFormat/>
    <w:locked/>
    <w:uiPriority w:val="0"/>
    <w:rPr>
      <w:rFonts w:ascii="仿宋_GB2312" w:eastAsia="黑体"/>
      <w:b/>
      <w:spacing w:val="4"/>
      <w:sz w:val="24"/>
      <w:szCs w:val="24"/>
    </w:rPr>
  </w:style>
  <w:style w:type="paragraph" w:customStyle="1" w:styleId="571">
    <w:name w:val="表格标题新"/>
    <w:basedOn w:val="1"/>
    <w:link w:val="570"/>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2">
    <w:name w:val="首行缩进 Char"/>
    <w:link w:val="573"/>
    <w:autoRedefine/>
    <w:qFormat/>
    <w:locked/>
    <w:uiPriority w:val="0"/>
    <w:rPr>
      <w:rFonts w:ascii="宋体" w:hAnsi="宋体"/>
      <w:color w:val="000000"/>
      <w:kern w:val="2"/>
      <w:sz w:val="24"/>
      <w:szCs w:val="24"/>
    </w:rPr>
  </w:style>
  <w:style w:type="paragraph" w:customStyle="1" w:styleId="573">
    <w:name w:val="首行缩进"/>
    <w:basedOn w:val="1"/>
    <w:link w:val="572"/>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4">
    <w:name w:val="正文 缩进 Char Char Char"/>
    <w:link w:val="575"/>
    <w:autoRedefine/>
    <w:qFormat/>
    <w:uiPriority w:val="0"/>
    <w:rPr>
      <w:rFonts w:eastAsia="仿宋_GB2312"/>
      <w:sz w:val="24"/>
    </w:rPr>
  </w:style>
  <w:style w:type="paragraph" w:customStyle="1" w:styleId="575">
    <w:name w:val="正文 缩进 Char Char"/>
    <w:basedOn w:val="1"/>
    <w:link w:val="574"/>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6">
    <w:name w:val="主体 Char Char"/>
    <w:link w:val="577"/>
    <w:autoRedefine/>
    <w:qFormat/>
    <w:uiPriority w:val="0"/>
    <w:rPr>
      <w:rFonts w:eastAsia="仿宋_GB2312"/>
      <w:bCs/>
      <w:kern w:val="2"/>
      <w:sz w:val="24"/>
      <w:szCs w:val="24"/>
    </w:rPr>
  </w:style>
  <w:style w:type="paragraph" w:customStyle="1" w:styleId="577">
    <w:name w:val="主体 Char"/>
    <w:link w:val="576"/>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8">
    <w:name w:val="表后 Char"/>
    <w:link w:val="579"/>
    <w:autoRedefine/>
    <w:qFormat/>
    <w:uiPriority w:val="0"/>
    <w:rPr>
      <w:rFonts w:eastAsia="仿宋_GB2312"/>
      <w:bCs/>
      <w:kern w:val="2"/>
      <w:sz w:val="24"/>
      <w:szCs w:val="24"/>
      <w:lang w:val="zh-CN"/>
    </w:rPr>
  </w:style>
  <w:style w:type="paragraph" w:customStyle="1" w:styleId="579">
    <w:name w:val="表后"/>
    <w:basedOn w:val="580"/>
    <w:link w:val="578"/>
    <w:autoRedefine/>
    <w:qFormat/>
    <w:uiPriority w:val="0"/>
    <w:pPr>
      <w:spacing w:before="156" w:beforeLines="50"/>
    </w:pPr>
    <w:rPr>
      <w:rFonts w:asciiTheme="minorHAnsi" w:hAnsiTheme="minorHAnsi" w:cstheme="minorBidi"/>
      <w:lang w:val="zh-CN"/>
    </w:rPr>
  </w:style>
  <w:style w:type="paragraph" w:customStyle="1" w:styleId="580">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1">
    <w:name w:val="公式 Char"/>
    <w:link w:val="582"/>
    <w:autoRedefine/>
    <w:qFormat/>
    <w:uiPriority w:val="0"/>
    <w:rPr>
      <w:rFonts w:eastAsia="仿宋_GB2312"/>
      <w:i/>
      <w:iCs/>
      <w:kern w:val="2"/>
      <w:sz w:val="24"/>
      <w:lang w:val="zh-CN"/>
    </w:rPr>
  </w:style>
  <w:style w:type="paragraph" w:customStyle="1" w:styleId="582">
    <w:name w:val="公式"/>
    <w:basedOn w:val="580"/>
    <w:link w:val="581"/>
    <w:autoRedefine/>
    <w:qFormat/>
    <w:uiPriority w:val="0"/>
    <w:pPr>
      <w:jc w:val="center"/>
    </w:pPr>
    <w:rPr>
      <w:rFonts w:asciiTheme="minorHAnsi" w:hAnsiTheme="minorHAnsi" w:cstheme="minorBidi"/>
      <w:bCs w:val="0"/>
      <w:i/>
      <w:iCs/>
      <w:szCs w:val="20"/>
      <w:lang w:val="zh-CN"/>
    </w:rPr>
  </w:style>
  <w:style w:type="character" w:customStyle="1" w:styleId="583">
    <w:name w:val="标3 Char"/>
    <w:link w:val="584"/>
    <w:autoRedefine/>
    <w:qFormat/>
    <w:uiPriority w:val="0"/>
    <w:rPr>
      <w:rFonts w:eastAsia="黑体"/>
      <w:color w:val="000000"/>
      <w:sz w:val="24"/>
      <w:szCs w:val="24"/>
      <w:lang w:val="zh-CN"/>
    </w:rPr>
  </w:style>
  <w:style w:type="paragraph" w:customStyle="1" w:styleId="584">
    <w:name w:val="标3"/>
    <w:basedOn w:val="5"/>
    <w:link w:val="583"/>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5">
    <w:name w:val="表格五号下方正文 Char"/>
    <w:link w:val="586"/>
    <w:autoRedefine/>
    <w:qFormat/>
    <w:uiPriority w:val="0"/>
    <w:rPr>
      <w:sz w:val="21"/>
      <w:szCs w:val="21"/>
      <w:lang w:val="zh-CN"/>
    </w:rPr>
  </w:style>
  <w:style w:type="paragraph" w:customStyle="1" w:styleId="586">
    <w:name w:val="表格五号下方正文"/>
    <w:basedOn w:val="1"/>
    <w:link w:val="585"/>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7">
    <w:name w:val="表格正文样式 Char"/>
    <w:link w:val="588"/>
    <w:autoRedefine/>
    <w:qFormat/>
    <w:uiPriority w:val="0"/>
    <w:rPr>
      <w:rFonts w:ascii="Arial" w:hAnsi="Arial"/>
      <w:color w:val="000000"/>
      <w:szCs w:val="21"/>
      <w:lang w:val="zh-CN" w:eastAsia="en-US" w:bidi="en-US"/>
    </w:rPr>
  </w:style>
  <w:style w:type="paragraph" w:customStyle="1" w:styleId="588">
    <w:name w:val="表格正文样式"/>
    <w:basedOn w:val="1"/>
    <w:link w:val="587"/>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9">
    <w:name w:val="纯文本 Char1"/>
    <w:autoRedefine/>
    <w:qFormat/>
    <w:uiPriority w:val="0"/>
    <w:rPr>
      <w:rFonts w:ascii="宋体" w:hAnsi="Courier New" w:eastAsia="宋体"/>
      <w:kern w:val="2"/>
      <w:sz w:val="24"/>
      <w:lang w:val="en-US" w:eastAsia="zh-CN" w:bidi="ar-SA"/>
    </w:rPr>
  </w:style>
  <w:style w:type="character" w:customStyle="1" w:styleId="590">
    <w:name w:val="style81"/>
    <w:autoRedefine/>
    <w:qFormat/>
    <w:uiPriority w:val="0"/>
    <w:rPr>
      <w:rFonts w:hint="default" w:ascii="Arial" w:hAnsi="Arial" w:cs="Arial"/>
    </w:rPr>
  </w:style>
  <w:style w:type="character" w:customStyle="1" w:styleId="591">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2">
    <w:name w:val="rd style23"/>
    <w:autoRedefine/>
    <w:qFormat/>
    <w:uiPriority w:val="0"/>
  </w:style>
  <w:style w:type="character" w:customStyle="1" w:styleId="593">
    <w:name w:val="t_tag"/>
    <w:autoRedefine/>
    <w:qFormat/>
    <w:uiPriority w:val="0"/>
  </w:style>
  <w:style w:type="character" w:customStyle="1" w:styleId="594">
    <w:name w:val="lb1"/>
    <w:autoRedefine/>
    <w:qFormat/>
    <w:uiPriority w:val="0"/>
    <w:rPr>
      <w:color w:val="333333"/>
    </w:rPr>
  </w:style>
  <w:style w:type="character" w:customStyle="1" w:styleId="595">
    <w:name w:val="line21"/>
    <w:autoRedefine/>
    <w:qFormat/>
    <w:uiPriority w:val="0"/>
    <w:rPr>
      <w:color w:val="666666"/>
      <w:sz w:val="20"/>
      <w:szCs w:val="20"/>
      <w:u w:val="none"/>
    </w:rPr>
  </w:style>
  <w:style w:type="character" w:customStyle="1" w:styleId="596">
    <w:name w:val="p01"/>
    <w:autoRedefine/>
    <w:qFormat/>
    <w:uiPriority w:val="0"/>
    <w:rPr>
      <w:rFonts w:hint="default" w:ascii="Osaka" w:hAnsi="Osaka"/>
      <w:sz w:val="21"/>
      <w:szCs w:val="21"/>
    </w:rPr>
  </w:style>
  <w:style w:type="character" w:customStyle="1" w:styleId="597">
    <w:name w:val="prod_text_body"/>
    <w:autoRedefine/>
    <w:qFormat/>
    <w:uiPriority w:val="0"/>
  </w:style>
  <w:style w:type="character" w:customStyle="1" w:styleId="598">
    <w:name w:val="cs14"/>
    <w:qFormat/>
    <w:uiPriority w:val="0"/>
  </w:style>
  <w:style w:type="character" w:customStyle="1" w:styleId="599">
    <w:name w:val="样式51"/>
    <w:autoRedefine/>
    <w:qFormat/>
    <w:uiPriority w:val="0"/>
    <w:rPr>
      <w:rFonts w:hint="eastAsia" w:ascii="宋体" w:hAnsi="宋体" w:eastAsia="宋体"/>
      <w:color w:val="084973"/>
      <w:sz w:val="24"/>
      <w:szCs w:val="24"/>
    </w:rPr>
  </w:style>
  <w:style w:type="character" w:customStyle="1" w:styleId="600">
    <w:name w:val="apple-style-span"/>
    <w:qFormat/>
    <w:uiPriority w:val="0"/>
  </w:style>
  <w:style w:type="character" w:customStyle="1" w:styleId="601">
    <w:name w:val="页脚 Char"/>
    <w:autoRedefine/>
    <w:qFormat/>
    <w:uiPriority w:val="99"/>
    <w:rPr>
      <w:rFonts w:eastAsia="宋体"/>
      <w:kern w:val="2"/>
      <w:sz w:val="18"/>
      <w:szCs w:val="18"/>
      <w:lang w:val="en-US" w:eastAsia="zh-CN" w:bidi="ar-SA"/>
    </w:rPr>
  </w:style>
  <w:style w:type="character" w:customStyle="1" w:styleId="602">
    <w:name w:val="a21"/>
    <w:autoRedefine/>
    <w:qFormat/>
    <w:uiPriority w:val="0"/>
    <w:rPr>
      <w:rFonts w:hint="default" w:ascii="Geneva" w:hAnsi="Geneva"/>
      <w:color w:val="000000"/>
      <w:sz w:val="23"/>
      <w:szCs w:val="23"/>
      <w:u w:val="none"/>
    </w:rPr>
  </w:style>
  <w:style w:type="character" w:customStyle="1" w:styleId="603">
    <w:name w:val="正文文本 Char"/>
    <w:autoRedefine/>
    <w:qFormat/>
    <w:uiPriority w:val="0"/>
    <w:rPr>
      <w:rFonts w:eastAsia="宋体"/>
      <w:kern w:val="2"/>
      <w:sz w:val="24"/>
      <w:szCs w:val="24"/>
      <w:lang w:val="en-US" w:eastAsia="zh-CN" w:bidi="ar-SA"/>
    </w:rPr>
  </w:style>
  <w:style w:type="character" w:customStyle="1" w:styleId="604">
    <w:name w:val="grame"/>
    <w:autoRedefine/>
    <w:qFormat/>
    <w:uiPriority w:val="0"/>
  </w:style>
  <w:style w:type="character" w:customStyle="1" w:styleId="605">
    <w:name w:val="正文文本缩进 Char"/>
    <w:autoRedefine/>
    <w:qFormat/>
    <w:uiPriority w:val="0"/>
    <w:rPr>
      <w:rFonts w:eastAsia="宋体"/>
      <w:kern w:val="2"/>
      <w:sz w:val="24"/>
      <w:szCs w:val="24"/>
      <w:lang w:val="en-US" w:eastAsia="zh-CN" w:bidi="ar-SA"/>
    </w:rPr>
  </w:style>
  <w:style w:type="character" w:customStyle="1" w:styleId="606">
    <w:name w:val="articlebody3"/>
    <w:autoRedefine/>
    <w:qFormat/>
    <w:uiPriority w:val="0"/>
    <w:rPr>
      <w:sz w:val="21"/>
      <w:szCs w:val="21"/>
    </w:rPr>
  </w:style>
  <w:style w:type="character" w:customStyle="1" w:styleId="607">
    <w:name w:val="Char Char14"/>
    <w:autoRedefine/>
    <w:qFormat/>
    <w:uiPriority w:val="0"/>
    <w:rPr>
      <w:rFonts w:ascii="Times New Roman" w:hAnsi="Times New Roman" w:eastAsia="宋体" w:cs="Times New Roman"/>
      <w:sz w:val="24"/>
      <w:szCs w:val="24"/>
      <w:shd w:val="clear" w:color="auto" w:fill="000080"/>
    </w:rPr>
  </w:style>
  <w:style w:type="character" w:customStyle="1" w:styleId="608">
    <w:name w:val="页眉 Char"/>
    <w:autoRedefine/>
    <w:qFormat/>
    <w:uiPriority w:val="0"/>
    <w:rPr>
      <w:rFonts w:eastAsia="宋体"/>
      <w:kern w:val="2"/>
      <w:sz w:val="18"/>
      <w:szCs w:val="18"/>
      <w:lang w:val="en-US" w:eastAsia="zh-CN" w:bidi="ar-SA"/>
    </w:rPr>
  </w:style>
  <w:style w:type="character" w:customStyle="1" w:styleId="609">
    <w:name w:val="spelle"/>
    <w:qFormat/>
    <w:uiPriority w:val="0"/>
  </w:style>
  <w:style w:type="character" w:customStyle="1" w:styleId="610">
    <w:name w:val="apple-converted-space"/>
    <w:autoRedefine/>
    <w:qFormat/>
    <w:uiPriority w:val="0"/>
  </w:style>
  <w:style w:type="character" w:customStyle="1" w:styleId="611">
    <w:name w:val="正文文字 Char Char"/>
    <w:autoRedefine/>
    <w:qFormat/>
    <w:uiPriority w:val="0"/>
    <w:rPr>
      <w:rFonts w:eastAsia="仿宋_GB2312"/>
      <w:kern w:val="2"/>
      <w:sz w:val="28"/>
      <w:lang w:val="en-US" w:eastAsia="zh-CN" w:bidi="ar-SA"/>
    </w:rPr>
  </w:style>
  <w:style w:type="character" w:customStyle="1" w:styleId="612">
    <w:name w:val="款标题1.1.1.1 Char"/>
    <w:autoRedefine/>
    <w:qFormat/>
    <w:uiPriority w:val="0"/>
    <w:rPr>
      <w:rFonts w:ascii="Arial" w:hAnsi="Arial" w:eastAsia="黑体" w:cs="Times New Roman"/>
      <w:b/>
      <w:bCs/>
      <w:sz w:val="28"/>
      <w:szCs w:val="28"/>
    </w:rPr>
  </w:style>
  <w:style w:type="character" w:customStyle="1" w:styleId="613">
    <w:name w:val="my Char Char"/>
    <w:autoRedefine/>
    <w:qFormat/>
    <w:uiPriority w:val="0"/>
    <w:rPr>
      <w:rFonts w:eastAsia="华文楷体"/>
      <w:snapToGrid/>
      <w:sz w:val="28"/>
      <w:szCs w:val="28"/>
      <w:lang w:val="en-US" w:eastAsia="zh-CN" w:bidi="ar-SA"/>
    </w:rPr>
  </w:style>
  <w:style w:type="character" w:customStyle="1" w:styleId="614">
    <w:name w:val="unnamed11"/>
    <w:autoRedefine/>
    <w:qFormat/>
    <w:uiPriority w:val="0"/>
    <w:rPr>
      <w:rFonts w:hint="eastAsia" w:ascii="宋体" w:hAnsi="宋体" w:eastAsia="宋体"/>
      <w:sz w:val="18"/>
      <w:szCs w:val="18"/>
    </w:rPr>
  </w:style>
  <w:style w:type="character" w:customStyle="1" w:styleId="615">
    <w:name w:val="f141"/>
    <w:autoRedefine/>
    <w:qFormat/>
    <w:uiPriority w:val="0"/>
    <w:rPr>
      <w:color w:val="000000"/>
      <w:sz w:val="19"/>
      <w:szCs w:val="19"/>
    </w:rPr>
  </w:style>
  <w:style w:type="character" w:customStyle="1" w:styleId="616">
    <w:name w:val="info"/>
    <w:autoRedefine/>
    <w:qFormat/>
    <w:uiPriority w:val="0"/>
  </w:style>
  <w:style w:type="character" w:customStyle="1" w:styleId="617">
    <w:name w:val="首行缩进两字 Char2"/>
    <w:autoRedefine/>
    <w:qFormat/>
    <w:uiPriority w:val="0"/>
    <w:rPr>
      <w:rFonts w:ascii="Arial" w:hAnsi="Arial" w:cs="Arial"/>
      <w:spacing w:val="10"/>
      <w:kern w:val="2"/>
      <w:sz w:val="24"/>
    </w:rPr>
  </w:style>
  <w:style w:type="character" w:customStyle="1" w:styleId="618">
    <w:name w:val="gsjj1"/>
    <w:autoRedefine/>
    <w:qFormat/>
    <w:uiPriority w:val="0"/>
    <w:rPr>
      <w:color w:val="333333"/>
      <w:sz w:val="18"/>
      <w:szCs w:val="18"/>
    </w:rPr>
  </w:style>
  <w:style w:type="character" w:customStyle="1" w:styleId="619">
    <w:name w:val="日期 Char"/>
    <w:autoRedefine/>
    <w:qFormat/>
    <w:uiPriority w:val="0"/>
    <w:rPr>
      <w:rFonts w:ascii="Arial" w:hAnsi="Arial"/>
      <w:b/>
      <w:kern w:val="2"/>
      <w:sz w:val="32"/>
      <w:szCs w:val="24"/>
    </w:rPr>
  </w:style>
  <w:style w:type="character" w:customStyle="1" w:styleId="620">
    <w:name w:val="居中正文 Char Char"/>
    <w:autoRedefine/>
    <w:qFormat/>
    <w:uiPriority w:val="0"/>
    <w:rPr>
      <w:rFonts w:ascii="宋体"/>
      <w:kern w:val="28"/>
      <w:sz w:val="24"/>
    </w:rPr>
  </w:style>
  <w:style w:type="character" w:customStyle="1" w:styleId="621">
    <w:name w:val="批注文字 Char"/>
    <w:autoRedefine/>
    <w:qFormat/>
    <w:uiPriority w:val="0"/>
    <w:rPr>
      <w:rFonts w:ascii="Arial" w:hAnsi="Arial"/>
      <w:kern w:val="2"/>
      <w:sz w:val="28"/>
      <w:szCs w:val="24"/>
    </w:rPr>
  </w:style>
  <w:style w:type="character" w:customStyle="1" w:styleId="622">
    <w:name w:val="description"/>
    <w:autoRedefine/>
    <w:qFormat/>
    <w:uiPriority w:val="0"/>
  </w:style>
  <w:style w:type="character" w:customStyle="1" w:styleId="623">
    <w:name w:val="明显引用 Char1"/>
    <w:autoRedefine/>
    <w:qFormat/>
    <w:uiPriority w:val="30"/>
    <w:rPr>
      <w:i/>
      <w:iCs/>
      <w:color w:val="5B9BD5"/>
      <w:kern w:val="2"/>
      <w:sz w:val="24"/>
      <w:szCs w:val="24"/>
    </w:rPr>
  </w:style>
  <w:style w:type="character" w:customStyle="1" w:styleId="624">
    <w:name w:val="newstitle1"/>
    <w:autoRedefine/>
    <w:qFormat/>
    <w:uiPriority w:val="0"/>
    <w:rPr>
      <w:rFonts w:hint="default" w:ascii="Verdana" w:hAnsi="Verdana"/>
      <w:b/>
      <w:bCs/>
      <w:color w:val="3161C5"/>
      <w:sz w:val="32"/>
      <w:szCs w:val="32"/>
    </w:rPr>
  </w:style>
  <w:style w:type="character" w:customStyle="1" w:styleId="625">
    <w:name w:val="txt61"/>
    <w:autoRedefine/>
    <w:qFormat/>
    <w:uiPriority w:val="0"/>
    <w:rPr>
      <w:color w:val="003366"/>
      <w:spacing w:val="450"/>
      <w:sz w:val="20"/>
      <w:szCs w:val="20"/>
      <w:u w:val="none"/>
    </w:rPr>
  </w:style>
  <w:style w:type="character" w:customStyle="1" w:styleId="626">
    <w:name w:val="h Char Char3"/>
    <w:autoRedefine/>
    <w:semiHidden/>
    <w:qFormat/>
    <w:uiPriority w:val="0"/>
    <w:rPr>
      <w:rFonts w:eastAsia="宋体"/>
      <w:kern w:val="2"/>
      <w:sz w:val="21"/>
      <w:szCs w:val="24"/>
      <w:lang w:val="en-US" w:eastAsia="zh-CN" w:bidi="ar-SA"/>
    </w:rPr>
  </w:style>
  <w:style w:type="character" w:customStyle="1" w:styleId="627">
    <w:name w:val="标题节 Char1"/>
    <w:autoRedefine/>
    <w:qFormat/>
    <w:uiPriority w:val="0"/>
    <w:rPr>
      <w:rFonts w:ascii="Cambria" w:hAnsi="Cambria" w:eastAsia="宋体"/>
      <w:b/>
      <w:bCs/>
      <w:sz w:val="30"/>
      <w:szCs w:val="26"/>
      <w:lang w:val="en-US" w:eastAsia="zh-CN" w:bidi="ar-SA"/>
    </w:rPr>
  </w:style>
  <w:style w:type="character" w:customStyle="1" w:styleId="628">
    <w:name w:val="font21"/>
    <w:autoRedefine/>
    <w:qFormat/>
    <w:uiPriority w:val="0"/>
    <w:rPr>
      <w:rFonts w:hint="eastAsia" w:ascii="宋体" w:hAnsi="宋体" w:eastAsia="宋体"/>
      <w:color w:val="000000"/>
      <w:sz w:val="21"/>
      <w:szCs w:val="21"/>
      <w:u w:val="none"/>
    </w:rPr>
  </w:style>
  <w:style w:type="character" w:customStyle="1" w:styleId="629">
    <w:name w:val="正文文本缩进 3 Char1"/>
    <w:qFormat/>
    <w:uiPriority w:val="0"/>
    <w:rPr>
      <w:kern w:val="2"/>
      <w:sz w:val="16"/>
      <w:szCs w:val="16"/>
    </w:rPr>
  </w:style>
  <w:style w:type="character" w:customStyle="1" w:styleId="630">
    <w:name w:val="Hyperlink1"/>
    <w:autoRedefine/>
    <w:qFormat/>
    <w:uiPriority w:val="0"/>
    <w:rPr>
      <w:color w:val="0000FF"/>
      <w:u w:val="single"/>
    </w:rPr>
  </w:style>
  <w:style w:type="character" w:customStyle="1" w:styleId="631">
    <w:name w:val="LNG－文本框 Char Char"/>
    <w:autoRedefine/>
    <w:qFormat/>
    <w:uiPriority w:val="0"/>
    <w:rPr>
      <w:rFonts w:eastAsia="宋体"/>
      <w:kern w:val="2"/>
      <w:sz w:val="21"/>
      <w:szCs w:val="21"/>
      <w:lang w:val="en-US" w:eastAsia="zh-CN" w:bidi="ar-SA"/>
    </w:rPr>
  </w:style>
  <w:style w:type="character" w:customStyle="1" w:styleId="632">
    <w:name w:val="词汇项"/>
    <w:autoRedefine/>
    <w:qFormat/>
    <w:uiPriority w:val="0"/>
    <w:rPr>
      <w:b/>
      <w:lang w:eastAsia="zh-CN"/>
    </w:rPr>
  </w:style>
  <w:style w:type="character" w:customStyle="1" w:styleId="633">
    <w:name w:val="标题 3 Char1 Char"/>
    <w:autoRedefine/>
    <w:qFormat/>
    <w:uiPriority w:val="0"/>
    <w:rPr>
      <w:rFonts w:ascii="黑体" w:eastAsia="黑体"/>
      <w:b/>
      <w:kern w:val="2"/>
      <w:sz w:val="24"/>
      <w:szCs w:val="21"/>
      <w:lang w:val="en-US" w:eastAsia="zh-CN" w:bidi="ar-SA"/>
    </w:rPr>
  </w:style>
  <w:style w:type="character" w:customStyle="1" w:styleId="634">
    <w:name w:val="样式3 Char Char Char"/>
    <w:autoRedefine/>
    <w:qFormat/>
    <w:uiPriority w:val="0"/>
    <w:rPr>
      <w:rFonts w:eastAsia="宋体"/>
      <w:sz w:val="24"/>
      <w:szCs w:val="24"/>
      <w:lang w:val="en-US" w:eastAsia="zh-CN" w:bidi="ar-SA"/>
    </w:rPr>
  </w:style>
  <w:style w:type="character" w:customStyle="1" w:styleId="635">
    <w:name w:val="123YJ Char3"/>
    <w:autoRedefine/>
    <w:qFormat/>
    <w:uiPriority w:val="0"/>
    <w:rPr>
      <w:rFonts w:eastAsia="宋体"/>
      <w:kern w:val="2"/>
      <w:sz w:val="18"/>
      <w:szCs w:val="18"/>
      <w:lang w:val="en-US" w:eastAsia="zh-CN" w:bidi="ar-SA"/>
    </w:rPr>
  </w:style>
  <w:style w:type="character" w:customStyle="1" w:styleId="636">
    <w:name w:val="fieldlabel1"/>
    <w:autoRedefine/>
    <w:qFormat/>
    <w:uiPriority w:val="0"/>
    <w:rPr>
      <w:rFonts w:hint="default" w:ascii="Verdana" w:hAnsi="Verdana"/>
      <w:b/>
      <w:bCs/>
      <w:color w:val="000000"/>
      <w:sz w:val="24"/>
      <w:szCs w:val="24"/>
    </w:rPr>
  </w:style>
  <w:style w:type="character" w:customStyle="1" w:styleId="637">
    <w:name w:val="样式3 Char Char Char Char"/>
    <w:autoRedefine/>
    <w:qFormat/>
    <w:uiPriority w:val="0"/>
    <w:rPr>
      <w:rFonts w:eastAsia="宋体"/>
      <w:sz w:val="24"/>
      <w:szCs w:val="24"/>
      <w:lang w:val="en-US" w:eastAsia="zh-CN" w:bidi="ar-SA"/>
    </w:rPr>
  </w:style>
  <w:style w:type="character" w:customStyle="1" w:styleId="638">
    <w:name w:val="main61"/>
    <w:autoRedefine/>
    <w:qFormat/>
    <w:uiPriority w:val="0"/>
    <w:rPr>
      <w:b/>
      <w:bCs/>
      <w:sz w:val="24"/>
      <w:szCs w:val="24"/>
    </w:rPr>
  </w:style>
  <w:style w:type="character" w:customStyle="1" w:styleId="639">
    <w:name w:val="Char Char40"/>
    <w:autoRedefine/>
    <w:qFormat/>
    <w:uiPriority w:val="0"/>
    <w:rPr>
      <w:rFonts w:eastAsia="宋体"/>
      <w:kern w:val="2"/>
      <w:sz w:val="27"/>
      <w:lang w:val="en-US" w:eastAsia="zh-CN" w:bidi="ar-SA"/>
    </w:rPr>
  </w:style>
  <w:style w:type="character" w:customStyle="1" w:styleId="640">
    <w:name w:val="Char Char35"/>
    <w:autoRedefine/>
    <w:qFormat/>
    <w:uiPriority w:val="0"/>
    <w:rPr>
      <w:rFonts w:eastAsia="宋体"/>
      <w:kern w:val="2"/>
      <w:sz w:val="27"/>
      <w:lang w:val="en-US" w:eastAsia="zh-CN" w:bidi="ar-SA"/>
    </w:rPr>
  </w:style>
  <w:style w:type="character" w:customStyle="1" w:styleId="641">
    <w:name w:val="Char Char42"/>
    <w:autoRedefine/>
    <w:qFormat/>
    <w:uiPriority w:val="0"/>
    <w:rPr>
      <w:rFonts w:ascii="Arial" w:hAnsi="Arial" w:eastAsia="黑体"/>
      <w:sz w:val="24"/>
      <w:lang w:val="en-US" w:eastAsia="zh-CN" w:bidi="ar-SA"/>
    </w:rPr>
  </w:style>
  <w:style w:type="character" w:customStyle="1" w:styleId="642">
    <w:name w:val="Char Char17"/>
    <w:autoRedefine/>
    <w:qFormat/>
    <w:locked/>
    <w:uiPriority w:val="0"/>
    <w:rPr>
      <w:rFonts w:ascii="Arial" w:hAnsi="Arial" w:eastAsia="黑体" w:cs="Arial"/>
      <w:kern w:val="2"/>
      <w:lang w:val="en-US" w:eastAsia="zh-CN" w:bidi="ar-SA"/>
    </w:rPr>
  </w:style>
  <w:style w:type="character" w:customStyle="1" w:styleId="643">
    <w:name w:val="Char Char28"/>
    <w:autoRedefine/>
    <w:qFormat/>
    <w:uiPriority w:val="0"/>
    <w:rPr>
      <w:rFonts w:ascii="Arial" w:hAnsi="Arial" w:eastAsia="黑体"/>
      <w:b/>
      <w:bCs/>
      <w:kern w:val="2"/>
      <w:sz w:val="28"/>
      <w:szCs w:val="28"/>
    </w:rPr>
  </w:style>
  <w:style w:type="character" w:customStyle="1" w:styleId="644">
    <w:name w:val="Char Char34"/>
    <w:autoRedefine/>
    <w:semiHidden/>
    <w:qFormat/>
    <w:uiPriority w:val="0"/>
    <w:rPr>
      <w:rFonts w:eastAsia="宋体"/>
      <w:b/>
      <w:bCs/>
      <w:kern w:val="2"/>
      <w:sz w:val="27"/>
      <w:lang w:val="en-US" w:eastAsia="zh-CN" w:bidi="ar-SA"/>
    </w:rPr>
  </w:style>
  <w:style w:type="character" w:customStyle="1" w:styleId="645">
    <w:name w:val="Char Char30"/>
    <w:autoRedefine/>
    <w:qFormat/>
    <w:uiPriority w:val="0"/>
    <w:rPr>
      <w:rFonts w:ascii="Arial" w:hAnsi="Arial" w:eastAsia="黑体"/>
      <w:b/>
      <w:bCs/>
      <w:kern w:val="2"/>
      <w:sz w:val="32"/>
      <w:szCs w:val="32"/>
    </w:rPr>
  </w:style>
  <w:style w:type="character" w:customStyle="1" w:styleId="646">
    <w:name w:val="Char Char36"/>
    <w:autoRedefine/>
    <w:semiHidden/>
    <w:qFormat/>
    <w:uiPriority w:val="0"/>
    <w:rPr>
      <w:rFonts w:eastAsia="宋体"/>
      <w:kern w:val="2"/>
      <w:sz w:val="18"/>
      <w:szCs w:val="18"/>
      <w:lang w:val="en-US" w:eastAsia="zh-CN" w:bidi="ar-SA"/>
    </w:rPr>
  </w:style>
  <w:style w:type="character" w:customStyle="1" w:styleId="647">
    <w:name w:val="页脚2 Char Char"/>
    <w:autoRedefine/>
    <w:qFormat/>
    <w:uiPriority w:val="0"/>
    <w:rPr>
      <w:kern w:val="2"/>
      <w:sz w:val="18"/>
      <w:szCs w:val="18"/>
    </w:rPr>
  </w:style>
  <w:style w:type="character" w:customStyle="1" w:styleId="648">
    <w:name w:val="批注文字 Char1"/>
    <w:qFormat/>
    <w:uiPriority w:val="99"/>
    <w:rPr>
      <w:rFonts w:ascii="Times New Roman" w:hAnsi="Times New Roman" w:eastAsia="宋体" w:cs="Times New Roman"/>
      <w:sz w:val="28"/>
      <w:szCs w:val="28"/>
    </w:rPr>
  </w:style>
  <w:style w:type="character" w:customStyle="1" w:styleId="649">
    <w:name w:val="批注文字 Char3"/>
    <w:autoRedefine/>
    <w:qFormat/>
    <w:uiPriority w:val="0"/>
    <w:rPr>
      <w:rFonts w:eastAsia="宋体"/>
      <w:kern w:val="2"/>
      <w:sz w:val="28"/>
      <w:szCs w:val="24"/>
      <w:lang w:val="en-US" w:eastAsia="zh-CN" w:bidi="ar-SA"/>
    </w:rPr>
  </w:style>
  <w:style w:type="character" w:customStyle="1" w:styleId="650">
    <w:name w:val="干标题(a) Char2"/>
    <w:autoRedefine/>
    <w:qFormat/>
    <w:uiPriority w:val="0"/>
    <w:rPr>
      <w:rFonts w:ascii="Arial" w:hAnsi="Arial" w:eastAsia="黑体"/>
      <w:sz w:val="21"/>
      <w:lang w:val="en-US" w:eastAsia="zh-CN" w:bidi="ar-SA"/>
    </w:rPr>
  </w:style>
  <w:style w:type="character" w:customStyle="1" w:styleId="651">
    <w:name w:val="标题（一） Char1"/>
    <w:autoRedefine/>
    <w:qFormat/>
    <w:uiPriority w:val="0"/>
    <w:rPr>
      <w:kern w:val="2"/>
      <w:sz w:val="24"/>
      <w:szCs w:val="24"/>
    </w:rPr>
  </w:style>
  <w:style w:type="character" w:customStyle="1" w:styleId="652">
    <w:name w:val="日期 Char1"/>
    <w:autoRedefine/>
    <w:qFormat/>
    <w:uiPriority w:val="0"/>
    <w:rPr>
      <w:rFonts w:eastAsia="宋体"/>
      <w:b/>
      <w:kern w:val="2"/>
      <w:sz w:val="32"/>
      <w:szCs w:val="24"/>
      <w:lang w:val="en-US" w:eastAsia="zh-CN" w:bidi="ar-SA"/>
    </w:rPr>
  </w:style>
  <w:style w:type="character" w:customStyle="1" w:styleId="653">
    <w:name w:val="项标题(1) Char Char"/>
    <w:autoRedefine/>
    <w:qFormat/>
    <w:uiPriority w:val="0"/>
    <w:rPr>
      <w:rFonts w:ascii="宋体" w:eastAsia="宋体"/>
      <w:b/>
      <w:sz w:val="24"/>
      <w:lang w:val="en-US" w:eastAsia="zh-CN" w:bidi="ar-SA"/>
    </w:rPr>
  </w:style>
  <w:style w:type="character" w:customStyle="1" w:styleId="654">
    <w:name w:val="批注主题 Char1"/>
    <w:autoRedefine/>
    <w:semiHidden/>
    <w:qFormat/>
    <w:uiPriority w:val="0"/>
    <w:rPr>
      <w:rFonts w:ascii="Times New Roman" w:hAnsi="Times New Roman" w:eastAsia="宋体" w:cs="Times New Roman"/>
      <w:b/>
      <w:bCs/>
      <w:sz w:val="28"/>
      <w:szCs w:val="28"/>
    </w:rPr>
  </w:style>
  <w:style w:type="character" w:customStyle="1" w:styleId="655">
    <w:name w:val="标题 Char1"/>
    <w:autoRedefine/>
    <w:qFormat/>
    <w:uiPriority w:val="0"/>
    <w:rPr>
      <w:rFonts w:ascii="Arial" w:hAnsi="Arial" w:eastAsia="宋体" w:cs="Arial"/>
      <w:b/>
      <w:bCs/>
      <w:kern w:val="2"/>
      <w:sz w:val="32"/>
      <w:szCs w:val="32"/>
      <w:lang w:val="en-US" w:eastAsia="zh-CN" w:bidi="ar-SA"/>
    </w:rPr>
  </w:style>
  <w:style w:type="character" w:customStyle="1" w:styleId="656">
    <w:name w:val="样式 正文（首行缩进两字） + 加粗 Char"/>
    <w:autoRedefine/>
    <w:qFormat/>
    <w:uiPriority w:val="0"/>
    <w:rPr>
      <w:rFonts w:eastAsia="宋体"/>
      <w:b/>
      <w:kern w:val="2"/>
      <w:sz w:val="24"/>
      <w:lang w:val="en-US" w:eastAsia="zh-CN"/>
    </w:rPr>
  </w:style>
  <w:style w:type="character" w:customStyle="1" w:styleId="657">
    <w:name w:val="F文字-上标"/>
    <w:autoRedefine/>
    <w:qFormat/>
    <w:uiPriority w:val="0"/>
    <w:rPr>
      <w:rFonts w:ascii="Bodoni MT Condensed" w:hAnsi="Bodoni MT Condensed" w:eastAsia="宋体"/>
      <w:sz w:val="24"/>
      <w:vertAlign w:val="superscript"/>
    </w:rPr>
  </w:style>
  <w:style w:type="character" w:customStyle="1" w:styleId="658">
    <w:name w:val="表格文字 Char Char"/>
    <w:autoRedefine/>
    <w:qFormat/>
    <w:uiPriority w:val="0"/>
    <w:rPr>
      <w:rFonts w:ascii="Times New Roman" w:hAnsi="Courier New"/>
      <w:szCs w:val="21"/>
    </w:rPr>
  </w:style>
  <w:style w:type="character" w:customStyle="1" w:styleId="659">
    <w:name w:val="h1"/>
    <w:autoRedefine/>
    <w:qFormat/>
    <w:uiPriority w:val="0"/>
    <w:rPr>
      <w:spacing w:val="360"/>
    </w:rPr>
  </w:style>
  <w:style w:type="character" w:customStyle="1" w:styleId="660">
    <w:name w:val="+正文 Char6"/>
    <w:autoRedefine/>
    <w:qFormat/>
    <w:uiPriority w:val="0"/>
    <w:rPr>
      <w:rFonts w:ascii="Calibri" w:hAnsi="Calibri"/>
      <w:sz w:val="28"/>
    </w:rPr>
  </w:style>
  <w:style w:type="character" w:customStyle="1" w:styleId="661">
    <w:name w:val="正文文本 2 Char1"/>
    <w:autoRedefine/>
    <w:qFormat/>
    <w:uiPriority w:val="0"/>
    <w:rPr>
      <w:kern w:val="2"/>
      <w:sz w:val="24"/>
      <w:szCs w:val="24"/>
    </w:rPr>
  </w:style>
  <w:style w:type="character" w:customStyle="1" w:styleId="662">
    <w:name w:val="md下标"/>
    <w:autoRedefine/>
    <w:qFormat/>
    <w:uiPriority w:val="0"/>
    <w:rPr>
      <w:rFonts w:ascii="Times New Roman" w:hAnsi="Times New Roman" w:eastAsia="仿宋_GB2312"/>
      <w:sz w:val="24"/>
      <w:vertAlign w:val="subscript"/>
    </w:rPr>
  </w:style>
  <w:style w:type="character" w:customStyle="1" w:styleId="663">
    <w:name w:val="正文文本缩进 2 Char1"/>
    <w:autoRedefine/>
    <w:semiHidden/>
    <w:qFormat/>
    <w:locked/>
    <w:uiPriority w:val="0"/>
    <w:rPr>
      <w:rFonts w:ascii="Times New Roman" w:hAnsi="Times New Roman" w:eastAsia="宋体" w:cs="Times New Roman"/>
      <w:sz w:val="24"/>
      <w:szCs w:val="22"/>
    </w:rPr>
  </w:style>
  <w:style w:type="character" w:customStyle="1" w:styleId="664">
    <w:name w:val="超链接1"/>
    <w:autoRedefine/>
    <w:unhideWhenUsed/>
    <w:qFormat/>
    <w:uiPriority w:val="0"/>
    <w:rPr>
      <w:color w:val="0563C1"/>
      <w:u w:val="single"/>
    </w:rPr>
  </w:style>
  <w:style w:type="character" w:customStyle="1" w:styleId="665">
    <w:name w:val="style11"/>
    <w:autoRedefine/>
    <w:qFormat/>
    <w:uiPriority w:val="0"/>
    <w:rPr>
      <w:sz w:val="21"/>
      <w:szCs w:val="21"/>
    </w:rPr>
  </w:style>
  <w:style w:type="character" w:customStyle="1" w:styleId="666">
    <w:name w:val="p4"/>
    <w:autoRedefine/>
    <w:qFormat/>
    <w:uiPriority w:val="0"/>
  </w:style>
  <w:style w:type="character" w:customStyle="1" w:styleId="667">
    <w:name w:val="tpc_content1"/>
    <w:autoRedefine/>
    <w:qFormat/>
    <w:uiPriority w:val="0"/>
    <w:rPr>
      <w:sz w:val="20"/>
      <w:szCs w:val="20"/>
    </w:rPr>
  </w:style>
  <w:style w:type="character" w:customStyle="1" w:styleId="668">
    <w:name w:val="pw1"/>
    <w:autoRedefine/>
    <w:qFormat/>
    <w:uiPriority w:val="0"/>
    <w:rPr>
      <w:color w:val="FF0000"/>
    </w:rPr>
  </w:style>
  <w:style w:type="character" w:customStyle="1" w:styleId="669">
    <w:name w:val="z31"/>
    <w:autoRedefine/>
    <w:qFormat/>
    <w:uiPriority w:val="0"/>
    <w:rPr>
      <w:rFonts w:hint="default" w:ascii="ˎ̥" w:hAnsi="ˎ̥"/>
      <w:sz w:val="21"/>
      <w:szCs w:val="21"/>
    </w:rPr>
  </w:style>
  <w:style w:type="character" w:customStyle="1" w:styleId="670">
    <w:name w:val="p61"/>
    <w:autoRedefine/>
    <w:qFormat/>
    <w:uiPriority w:val="0"/>
    <w:rPr>
      <w:color w:val="333399"/>
      <w:spacing w:val="336"/>
      <w:u w:val="none"/>
    </w:rPr>
  </w:style>
  <w:style w:type="character" w:customStyle="1" w:styleId="671">
    <w:name w:val="da1"/>
    <w:autoRedefine/>
    <w:qFormat/>
    <w:uiPriority w:val="0"/>
    <w:rPr>
      <w:rFonts w:hint="default" w:eastAsia="宋体"/>
      <w:color w:val="000000"/>
      <w:spacing w:val="360"/>
      <w:kern w:val="2"/>
      <w:sz w:val="21"/>
      <w:szCs w:val="21"/>
      <w:u w:val="none"/>
      <w:lang w:val="en-US" w:eastAsia="zh-CN" w:bidi="ar-SA"/>
    </w:rPr>
  </w:style>
  <w:style w:type="character" w:customStyle="1" w:styleId="672">
    <w:name w:val="lh151"/>
    <w:autoRedefine/>
    <w:qFormat/>
    <w:uiPriority w:val="0"/>
    <w:rPr>
      <w:spacing w:val="360"/>
    </w:rPr>
  </w:style>
  <w:style w:type="character" w:customStyle="1" w:styleId="673">
    <w:name w:val="yqlink"/>
    <w:autoRedefine/>
    <w:qFormat/>
    <w:uiPriority w:val="0"/>
  </w:style>
  <w:style w:type="character" w:customStyle="1" w:styleId="674">
    <w:name w:val="style31"/>
    <w:autoRedefine/>
    <w:qFormat/>
    <w:uiPriority w:val="0"/>
    <w:rPr>
      <w:color w:val="666666"/>
      <w:sz w:val="18"/>
      <w:szCs w:val="18"/>
      <w:u w:val="none"/>
    </w:rPr>
  </w:style>
  <w:style w:type="character" w:customStyle="1" w:styleId="675">
    <w:name w:val="headline-content"/>
    <w:autoRedefine/>
    <w:qFormat/>
    <w:uiPriority w:val="0"/>
  </w:style>
  <w:style w:type="character" w:customStyle="1" w:styleId="676">
    <w:name w:val="Char Char Char2"/>
    <w:autoRedefine/>
    <w:qFormat/>
    <w:uiPriority w:val="0"/>
    <w:rPr>
      <w:rFonts w:eastAsia="宋体"/>
      <w:kern w:val="2"/>
      <w:sz w:val="21"/>
      <w:szCs w:val="24"/>
      <w:lang w:val="en-US" w:eastAsia="zh-CN" w:bidi="ar-SA"/>
    </w:rPr>
  </w:style>
  <w:style w:type="character" w:customStyle="1" w:styleId="677">
    <w:name w:val="11p"/>
    <w:autoRedefine/>
    <w:qFormat/>
    <w:uiPriority w:val="0"/>
  </w:style>
  <w:style w:type="character" w:customStyle="1" w:styleId="678">
    <w:name w:val="d11"/>
    <w:autoRedefine/>
    <w:qFormat/>
    <w:uiPriority w:val="0"/>
    <w:rPr>
      <w:color w:val="000000"/>
      <w:spacing w:val="300"/>
      <w:sz w:val="18"/>
      <w:szCs w:val="18"/>
      <w:u w:val="none"/>
    </w:rPr>
  </w:style>
  <w:style w:type="character" w:customStyle="1" w:styleId="679">
    <w:name w:val="s1"/>
    <w:autoRedefine/>
    <w:qFormat/>
    <w:uiPriority w:val="0"/>
    <w:rPr>
      <w:sz w:val="18"/>
      <w:szCs w:val="18"/>
    </w:rPr>
  </w:style>
  <w:style w:type="character" w:customStyle="1" w:styleId="680">
    <w:name w:val="p5"/>
    <w:autoRedefine/>
    <w:qFormat/>
    <w:uiPriority w:val="0"/>
  </w:style>
  <w:style w:type="character" w:customStyle="1" w:styleId="681">
    <w:name w:val="style51"/>
    <w:autoRedefine/>
    <w:qFormat/>
    <w:uiPriority w:val="0"/>
    <w:rPr>
      <w:rFonts w:hint="eastAsia" w:ascii="宋体" w:hAnsi="宋体" w:eastAsia="宋体"/>
      <w:spacing w:val="480"/>
      <w:sz w:val="28"/>
      <w:szCs w:val="28"/>
    </w:rPr>
  </w:style>
  <w:style w:type="character" w:customStyle="1" w:styleId="682">
    <w:name w:val="lh22px"/>
    <w:autoRedefine/>
    <w:qFormat/>
    <w:uiPriority w:val="0"/>
  </w:style>
  <w:style w:type="character" w:customStyle="1" w:styleId="683">
    <w:name w:val="text_edit editable-title"/>
    <w:autoRedefine/>
    <w:qFormat/>
    <w:uiPriority w:val="0"/>
  </w:style>
  <w:style w:type="character" w:customStyle="1" w:styleId="684">
    <w:name w:val="headline-content2"/>
    <w:autoRedefine/>
    <w:qFormat/>
    <w:uiPriority w:val="0"/>
  </w:style>
  <w:style w:type="character" w:customStyle="1" w:styleId="685">
    <w:name w:val="正文01 Char1"/>
    <w:autoRedefine/>
    <w:qFormat/>
    <w:uiPriority w:val="0"/>
    <w:rPr>
      <w:rFonts w:ascii="Arial" w:hAnsi="Arial" w:eastAsia="宋体"/>
      <w:kern w:val="2"/>
      <w:sz w:val="24"/>
      <w:szCs w:val="24"/>
      <w:lang w:val="en-US" w:eastAsia="zh-CN" w:bidi="ar-SA"/>
    </w:rPr>
  </w:style>
  <w:style w:type="character" w:customStyle="1" w:styleId="686">
    <w:name w:val="小节标题 Char1"/>
    <w:autoRedefine/>
    <w:qFormat/>
    <w:uiPriority w:val="0"/>
    <w:rPr>
      <w:rFonts w:ascii="Arial" w:hAnsi="Arial" w:eastAsia="宋体"/>
      <w:b/>
      <w:bCs/>
      <w:sz w:val="28"/>
      <w:szCs w:val="22"/>
      <w:lang w:val="en-US" w:eastAsia="zh-CN" w:bidi="ar-SA"/>
    </w:rPr>
  </w:style>
  <w:style w:type="character" w:customStyle="1" w:styleId="687">
    <w:name w:val="副标题 Char1"/>
    <w:autoRedefine/>
    <w:qFormat/>
    <w:uiPriority w:val="0"/>
    <w:rPr>
      <w:rFonts w:ascii="Calibri Light" w:hAnsi="Calibri Light" w:cs="Times New Roman"/>
      <w:b/>
      <w:bCs/>
      <w:kern w:val="28"/>
      <w:sz w:val="32"/>
      <w:szCs w:val="32"/>
    </w:rPr>
  </w:style>
  <w:style w:type="character" w:customStyle="1" w:styleId="688">
    <w:name w:val="font01"/>
    <w:autoRedefine/>
    <w:qFormat/>
    <w:uiPriority w:val="0"/>
    <w:rPr>
      <w:rFonts w:hint="eastAsia" w:ascii="宋体" w:hAnsi="宋体" w:eastAsia="宋体" w:cs="宋体"/>
      <w:color w:val="0000FF"/>
      <w:sz w:val="20"/>
      <w:szCs w:val="20"/>
      <w:u w:val="none"/>
    </w:rPr>
  </w:style>
  <w:style w:type="character" w:customStyle="1" w:styleId="689">
    <w:name w:val="Char Char13"/>
    <w:autoRedefine/>
    <w:qFormat/>
    <w:uiPriority w:val="0"/>
    <w:rPr>
      <w:rFonts w:ascii="Times New Roman" w:hAnsi="Times New Roman" w:eastAsia="宋体" w:cs="Times New Roman"/>
      <w:sz w:val="28"/>
      <w:szCs w:val="24"/>
    </w:rPr>
  </w:style>
  <w:style w:type="character" w:customStyle="1" w:styleId="690">
    <w:name w:val="正文01 Char Char"/>
    <w:autoRedefine/>
    <w:qFormat/>
    <w:uiPriority w:val="0"/>
    <w:rPr>
      <w:rFonts w:eastAsia="宋体"/>
      <w:kern w:val="2"/>
      <w:sz w:val="24"/>
      <w:szCs w:val="24"/>
      <w:lang w:val="en-US" w:eastAsia="zh-CN"/>
    </w:rPr>
  </w:style>
  <w:style w:type="character" w:customStyle="1" w:styleId="691">
    <w:name w:val="不明显参考1"/>
    <w:autoRedefine/>
    <w:qFormat/>
    <w:uiPriority w:val="0"/>
    <w:rPr>
      <w:smallCaps/>
      <w:color w:val="DA1F28"/>
      <w:u w:val="single"/>
    </w:rPr>
  </w:style>
  <w:style w:type="character" w:customStyle="1" w:styleId="692">
    <w:name w:val="明显参考1"/>
    <w:autoRedefine/>
    <w:qFormat/>
    <w:uiPriority w:val="32"/>
    <w:rPr>
      <w:b/>
      <w:bCs/>
      <w:smallCaps/>
      <w:color w:val="DA1F28"/>
      <w:spacing w:val="5"/>
      <w:u w:val="single"/>
    </w:rPr>
  </w:style>
  <w:style w:type="character" w:customStyle="1" w:styleId="693">
    <w:name w:val="font11"/>
    <w:autoRedefine/>
    <w:qFormat/>
    <w:uiPriority w:val="0"/>
    <w:rPr>
      <w:rFonts w:hint="default" w:ascii="Times New Roman" w:hAnsi="Times New Roman" w:cs="Times New Roman"/>
      <w:color w:val="000000"/>
      <w:sz w:val="21"/>
      <w:szCs w:val="21"/>
      <w:u w:val="none"/>
    </w:rPr>
  </w:style>
  <w:style w:type="character" w:customStyle="1" w:styleId="694">
    <w:name w:val="textcontents"/>
    <w:autoRedefine/>
    <w:qFormat/>
    <w:uiPriority w:val="0"/>
  </w:style>
  <w:style w:type="character" w:customStyle="1" w:styleId="695">
    <w:name w:val="font71"/>
    <w:autoRedefine/>
    <w:qFormat/>
    <w:uiPriority w:val="0"/>
    <w:rPr>
      <w:rFonts w:hint="eastAsia" w:ascii="宋体" w:hAnsi="宋体" w:eastAsia="宋体" w:cs="宋体"/>
      <w:color w:val="FFFFFF"/>
      <w:sz w:val="20"/>
      <w:szCs w:val="20"/>
      <w:u w:val="none"/>
    </w:rPr>
  </w:style>
  <w:style w:type="character" w:customStyle="1" w:styleId="696">
    <w:name w:val="Char Char11"/>
    <w:autoRedefine/>
    <w:qFormat/>
    <w:uiPriority w:val="0"/>
    <w:rPr>
      <w:kern w:val="2"/>
      <w:sz w:val="24"/>
      <w:szCs w:val="24"/>
      <w:shd w:val="clear" w:color="auto" w:fill="000080"/>
    </w:rPr>
  </w:style>
  <w:style w:type="character" w:customStyle="1" w:styleId="697">
    <w:name w:val="标题3"/>
    <w:autoRedefine/>
    <w:qFormat/>
    <w:uiPriority w:val="0"/>
  </w:style>
  <w:style w:type="character" w:customStyle="1" w:styleId="698">
    <w:name w:val="p12"/>
    <w:autoRedefine/>
    <w:qFormat/>
    <w:uiPriority w:val="0"/>
  </w:style>
  <w:style w:type="character" w:customStyle="1" w:styleId="699">
    <w:name w:val="标题节 Char2"/>
    <w:autoRedefine/>
    <w:qFormat/>
    <w:uiPriority w:val="1"/>
    <w:rPr>
      <w:rFonts w:ascii="Arial" w:hAnsi="Arial" w:eastAsia="黑体" w:cs="Arial"/>
      <w:b/>
      <w:kern w:val="2"/>
      <w:sz w:val="32"/>
      <w:szCs w:val="32"/>
    </w:rPr>
  </w:style>
  <w:style w:type="character" w:customStyle="1" w:styleId="700">
    <w:name w:val="表格题注 Char Char Char Char Char"/>
    <w:autoRedefine/>
    <w:qFormat/>
    <w:uiPriority w:val="0"/>
    <w:rPr>
      <w:rFonts w:ascii="Times New Roman" w:hAnsi="Times New Roman" w:eastAsia="宋体" w:cs="Times New Roman"/>
      <w:b/>
      <w:sz w:val="24"/>
      <w:szCs w:val="24"/>
    </w:rPr>
  </w:style>
  <w:style w:type="character" w:customStyle="1" w:styleId="701">
    <w:name w:val="信息表 Char Char"/>
    <w:autoRedefine/>
    <w:qFormat/>
    <w:uiPriority w:val="0"/>
    <w:rPr>
      <w:rFonts w:eastAsia="仿宋_GB2312"/>
      <w:sz w:val="22"/>
    </w:rPr>
  </w:style>
  <w:style w:type="character" w:customStyle="1" w:styleId="702">
    <w:name w:val="表格 Char Char"/>
    <w:autoRedefine/>
    <w:qFormat/>
    <w:uiPriority w:val="0"/>
    <w:rPr>
      <w:rFonts w:ascii="宋体" w:hAnsi="宋体"/>
      <w:snapToGrid/>
      <w:sz w:val="21"/>
      <w:lang w:val="en-US" w:eastAsia="zh-CN"/>
    </w:rPr>
  </w:style>
  <w:style w:type="character" w:customStyle="1" w:styleId="703">
    <w:name w:val="Char Char Char3"/>
    <w:autoRedefine/>
    <w:qFormat/>
    <w:uiPriority w:val="0"/>
    <w:rPr>
      <w:rFonts w:eastAsia="宋体"/>
      <w:kern w:val="2"/>
      <w:sz w:val="21"/>
      <w:szCs w:val="24"/>
      <w:lang w:val="en-US" w:eastAsia="zh-CN" w:bidi="ar-SA"/>
    </w:rPr>
  </w:style>
  <w:style w:type="character" w:customStyle="1" w:styleId="704">
    <w:name w:val="标题 1 Char2"/>
    <w:autoRedefine/>
    <w:qFormat/>
    <w:uiPriority w:val="0"/>
    <w:rPr>
      <w:b/>
      <w:bCs/>
      <w:kern w:val="44"/>
      <w:sz w:val="44"/>
      <w:szCs w:val="44"/>
    </w:rPr>
  </w:style>
  <w:style w:type="character" w:customStyle="1" w:styleId="705">
    <w:name w:val="font51"/>
    <w:autoRedefine/>
    <w:qFormat/>
    <w:uiPriority w:val="0"/>
    <w:rPr>
      <w:rFonts w:ascii="Arial" w:hAnsi="Arial" w:cs="Arial"/>
      <w:color w:val="000000"/>
      <w:sz w:val="20"/>
      <w:szCs w:val="20"/>
      <w:u w:val="none"/>
    </w:rPr>
  </w:style>
  <w:style w:type="character" w:customStyle="1" w:styleId="706">
    <w:name w:val="明显强调1"/>
    <w:autoRedefine/>
    <w:qFormat/>
    <w:uiPriority w:val="21"/>
    <w:rPr>
      <w:b/>
      <w:bCs/>
      <w:i/>
      <w:iCs/>
      <w:color w:val="2DA2BF"/>
    </w:rPr>
  </w:style>
  <w:style w:type="character" w:customStyle="1" w:styleId="707">
    <w:name w:val="txt"/>
    <w:autoRedefine/>
    <w:qFormat/>
    <w:uiPriority w:val="0"/>
  </w:style>
  <w:style w:type="character" w:customStyle="1" w:styleId="708">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9">
    <w:name w:val="Char Char"/>
    <w:autoRedefine/>
    <w:qFormat/>
    <w:uiPriority w:val="0"/>
    <w:rPr>
      <w:kern w:val="2"/>
      <w:sz w:val="24"/>
    </w:rPr>
  </w:style>
  <w:style w:type="character" w:customStyle="1" w:styleId="710">
    <w:name w:val="引用 Char2"/>
    <w:autoRedefine/>
    <w:qFormat/>
    <w:uiPriority w:val="29"/>
    <w:rPr>
      <w:i/>
      <w:iCs/>
      <w:color w:val="404040"/>
      <w:kern w:val="2"/>
      <w:sz w:val="24"/>
      <w:szCs w:val="24"/>
    </w:rPr>
  </w:style>
  <w:style w:type="character" w:customStyle="1" w:styleId="711">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2">
    <w:name w:val="副标题 Char2"/>
    <w:autoRedefine/>
    <w:qFormat/>
    <w:uiPriority w:val="0"/>
    <w:rPr>
      <w:rFonts w:ascii="Calibri Light" w:hAnsi="Calibri Light" w:cs="Times New Roman"/>
      <w:b/>
      <w:bCs/>
      <w:kern w:val="28"/>
      <w:sz w:val="32"/>
      <w:szCs w:val="32"/>
    </w:rPr>
  </w:style>
  <w:style w:type="character" w:customStyle="1" w:styleId="713">
    <w:name w:val="样式3 Char Char"/>
    <w:autoRedefine/>
    <w:qFormat/>
    <w:uiPriority w:val="0"/>
    <w:rPr>
      <w:b/>
      <w:bCs/>
      <w:snapToGrid w:val="0"/>
      <w:sz w:val="24"/>
      <w:szCs w:val="24"/>
    </w:rPr>
  </w:style>
  <w:style w:type="character" w:customStyle="1" w:styleId="714">
    <w:name w:val="Char Char39"/>
    <w:autoRedefine/>
    <w:semiHidden/>
    <w:qFormat/>
    <w:uiPriority w:val="0"/>
    <w:rPr>
      <w:rFonts w:eastAsia="宋体"/>
      <w:kern w:val="2"/>
      <w:sz w:val="27"/>
      <w:lang w:val="en-US" w:eastAsia="zh-CN" w:bidi="ar-SA"/>
    </w:rPr>
  </w:style>
  <w:style w:type="character" w:customStyle="1" w:styleId="715">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6">
    <w:name w:val="正文缩进 Char1 Char Char Char1"/>
    <w:autoRedefine/>
    <w:qFormat/>
    <w:uiPriority w:val="0"/>
    <w:rPr>
      <w:rFonts w:hint="eastAsia" w:ascii="宋体" w:hAnsi="宋体" w:eastAsia="宋体"/>
      <w:lang w:val="en-US" w:eastAsia="zh-CN"/>
    </w:rPr>
  </w:style>
  <w:style w:type="character" w:customStyle="1" w:styleId="717">
    <w:name w:val="Char Char45"/>
    <w:autoRedefine/>
    <w:qFormat/>
    <w:uiPriority w:val="0"/>
    <w:rPr>
      <w:kern w:val="2"/>
      <w:sz w:val="24"/>
      <w:szCs w:val="24"/>
    </w:rPr>
  </w:style>
  <w:style w:type="character" w:customStyle="1" w:styleId="718">
    <w:name w:val="Char Char10"/>
    <w:autoRedefine/>
    <w:semiHidden/>
    <w:qFormat/>
    <w:uiPriority w:val="0"/>
    <w:rPr>
      <w:rFonts w:eastAsia="宋体"/>
      <w:kern w:val="2"/>
      <w:sz w:val="27"/>
      <w:lang w:val="en-US" w:eastAsia="zh-CN" w:bidi="ar-SA"/>
    </w:rPr>
  </w:style>
  <w:style w:type="character" w:customStyle="1" w:styleId="719">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20">
    <w:name w:val="Char Char27"/>
    <w:autoRedefine/>
    <w:qFormat/>
    <w:uiPriority w:val="0"/>
    <w:rPr>
      <w:kern w:val="2"/>
      <w:sz w:val="24"/>
      <w:szCs w:val="24"/>
    </w:rPr>
  </w:style>
  <w:style w:type="character" w:customStyle="1" w:styleId="721">
    <w:name w:val="Char Char38"/>
    <w:autoRedefine/>
    <w:qFormat/>
    <w:uiPriority w:val="0"/>
    <w:rPr>
      <w:rFonts w:eastAsia="宋体"/>
      <w:kern w:val="2"/>
      <w:sz w:val="18"/>
      <w:szCs w:val="18"/>
      <w:lang w:val="en-US" w:eastAsia="zh-CN" w:bidi="ar-SA"/>
    </w:rPr>
  </w:style>
  <w:style w:type="character" w:customStyle="1" w:styleId="722">
    <w:name w:val="Char Char47"/>
    <w:autoRedefine/>
    <w:qFormat/>
    <w:uiPriority w:val="0"/>
    <w:rPr>
      <w:b/>
      <w:bCs/>
      <w:kern w:val="44"/>
      <w:sz w:val="44"/>
      <w:szCs w:val="44"/>
    </w:rPr>
  </w:style>
  <w:style w:type="character" w:customStyle="1" w:styleId="723">
    <w:name w:val="Char Char21"/>
    <w:autoRedefine/>
    <w:qFormat/>
    <w:uiPriority w:val="0"/>
    <w:rPr>
      <w:rFonts w:eastAsia="宋体"/>
      <w:kern w:val="2"/>
      <w:sz w:val="27"/>
      <w:lang w:val="en-US" w:eastAsia="zh-CN" w:bidi="ar-SA"/>
    </w:rPr>
  </w:style>
  <w:style w:type="character" w:customStyle="1" w:styleId="724">
    <w:name w:val="样式 宋体 黑色 加宽量  1 磅"/>
    <w:autoRedefine/>
    <w:qFormat/>
    <w:uiPriority w:val="0"/>
    <w:rPr>
      <w:rFonts w:ascii="宋体" w:hAnsi="宋体"/>
      <w:color w:val="000000"/>
      <w:spacing w:val="0"/>
    </w:rPr>
  </w:style>
  <w:style w:type="character" w:customStyle="1" w:styleId="725">
    <w:name w:val="kait"/>
    <w:autoRedefine/>
    <w:qFormat/>
    <w:uiPriority w:val="0"/>
  </w:style>
  <w:style w:type="character" w:customStyle="1" w:styleId="726">
    <w:name w:val="MTEquationSection"/>
    <w:autoRedefine/>
    <w:qFormat/>
    <w:uiPriority w:val="0"/>
    <w:rPr>
      <w:vanish/>
      <w:color w:val="FF0000"/>
    </w:rPr>
  </w:style>
  <w:style w:type="character" w:customStyle="1" w:styleId="727">
    <w:name w:val="Char Char22"/>
    <w:autoRedefine/>
    <w:qFormat/>
    <w:uiPriority w:val="0"/>
    <w:rPr>
      <w:rFonts w:ascii="Arial" w:hAnsi="Arial" w:eastAsia="黑体"/>
      <w:sz w:val="21"/>
      <w:lang w:val="en-US" w:eastAsia="zh-CN" w:bidi="ar-SA"/>
    </w:rPr>
  </w:style>
  <w:style w:type="character" w:customStyle="1" w:styleId="728">
    <w:name w:val="Char Char32"/>
    <w:autoRedefine/>
    <w:qFormat/>
    <w:uiPriority w:val="0"/>
    <w:rPr>
      <w:rFonts w:ascii="Arial" w:hAnsi="Arial" w:eastAsia="宋体" w:cs="Arial"/>
      <w:b/>
      <w:bCs/>
      <w:kern w:val="2"/>
      <w:sz w:val="32"/>
      <w:szCs w:val="32"/>
      <w:lang w:val="en-US" w:eastAsia="zh-CN" w:bidi="ar-SA"/>
    </w:rPr>
  </w:style>
  <w:style w:type="character" w:customStyle="1" w:styleId="729">
    <w:name w:val="c1"/>
    <w:autoRedefine/>
    <w:qFormat/>
    <w:uiPriority w:val="0"/>
    <w:rPr>
      <w:sz w:val="28"/>
      <w:szCs w:val="28"/>
    </w:rPr>
  </w:style>
  <w:style w:type="character" w:customStyle="1" w:styleId="730">
    <w:name w:val="样式3 Char Char Char Char Char"/>
    <w:autoRedefine/>
    <w:qFormat/>
    <w:uiPriority w:val="0"/>
    <w:rPr>
      <w:rFonts w:eastAsia="宋体"/>
      <w:sz w:val="24"/>
      <w:szCs w:val="24"/>
      <w:lang w:val="en-US" w:eastAsia="zh-CN" w:bidi="ar-SA"/>
    </w:rPr>
  </w:style>
  <w:style w:type="character" w:customStyle="1" w:styleId="731">
    <w:name w:val="Char Char43"/>
    <w:autoRedefine/>
    <w:qFormat/>
    <w:uiPriority w:val="0"/>
    <w:rPr>
      <w:rFonts w:ascii="宋体" w:eastAsia="宋体"/>
      <w:b/>
      <w:sz w:val="24"/>
      <w:lang w:val="en-US" w:eastAsia="zh-CN" w:bidi="ar-SA"/>
    </w:rPr>
  </w:style>
  <w:style w:type="character" w:customStyle="1" w:styleId="732">
    <w:name w:val="题注 Char Char Char Char Char"/>
    <w:autoRedefine/>
    <w:qFormat/>
    <w:uiPriority w:val="0"/>
    <w:rPr>
      <w:rFonts w:ascii="Arial" w:hAnsi="Arial" w:eastAsia="黑体" w:cs="Arial"/>
      <w:kern w:val="2"/>
      <w:lang w:val="en-US" w:eastAsia="zh-CN" w:bidi="ar-SA"/>
    </w:rPr>
  </w:style>
  <w:style w:type="character" w:customStyle="1" w:styleId="733">
    <w:name w:val="正文缩进 Char1 Char Char Char"/>
    <w:autoRedefine/>
    <w:qFormat/>
    <w:uiPriority w:val="0"/>
    <w:rPr>
      <w:rFonts w:eastAsia="宋体"/>
      <w:lang w:val="en-US" w:eastAsia="zh-CN"/>
    </w:rPr>
  </w:style>
  <w:style w:type="character" w:customStyle="1" w:styleId="734">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5">
    <w:name w:val="Char Char18"/>
    <w:autoRedefine/>
    <w:semiHidden/>
    <w:qFormat/>
    <w:uiPriority w:val="0"/>
    <w:rPr>
      <w:rFonts w:eastAsia="宋体"/>
      <w:kern w:val="2"/>
      <w:sz w:val="18"/>
      <w:szCs w:val="18"/>
      <w:lang w:val="en-US" w:eastAsia="zh-CN" w:bidi="ar-SA"/>
    </w:rPr>
  </w:style>
  <w:style w:type="character" w:customStyle="1" w:styleId="736">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7">
    <w:name w:val="标题章 Char3"/>
    <w:autoRedefine/>
    <w:qFormat/>
    <w:uiPriority w:val="0"/>
    <w:rPr>
      <w:b/>
      <w:bCs/>
      <w:kern w:val="44"/>
      <w:sz w:val="44"/>
      <w:szCs w:val="44"/>
      <w:lang w:val="zh-CN" w:eastAsia="zh-CN"/>
    </w:rPr>
  </w:style>
  <w:style w:type="character" w:customStyle="1" w:styleId="738">
    <w:name w:val="小节标题 Char2"/>
    <w:autoRedefine/>
    <w:qFormat/>
    <w:uiPriority w:val="0"/>
    <w:rPr>
      <w:b/>
      <w:bCs/>
      <w:kern w:val="2"/>
      <w:sz w:val="32"/>
      <w:szCs w:val="32"/>
      <w:lang w:val="zh-CN" w:eastAsia="zh-CN"/>
    </w:rPr>
  </w:style>
  <w:style w:type="character" w:customStyle="1" w:styleId="739">
    <w:name w:val="标题5"/>
    <w:autoRedefine/>
    <w:qFormat/>
    <w:uiPriority w:val="0"/>
  </w:style>
  <w:style w:type="character" w:customStyle="1" w:styleId="740">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1">
    <w:name w:val="xmj1"/>
    <w:autoRedefine/>
    <w:qFormat/>
    <w:uiPriority w:val="0"/>
    <w:rPr>
      <w:color w:val="000000"/>
      <w:spacing w:val="300"/>
      <w:sz w:val="18"/>
      <w:szCs w:val="18"/>
      <w:u w:val="none"/>
    </w:rPr>
  </w:style>
  <w:style w:type="character" w:customStyle="1" w:styleId="742">
    <w:name w:val="css1"/>
    <w:autoRedefine/>
    <w:qFormat/>
    <w:uiPriority w:val="0"/>
    <w:rPr>
      <w:rFonts w:hint="default" w:ascii="ˎ̥" w:hAnsi="ˎ̥"/>
      <w:color w:val="000000"/>
      <w:sz w:val="16"/>
      <w:szCs w:val="16"/>
    </w:rPr>
  </w:style>
  <w:style w:type="character" w:customStyle="1" w:styleId="743">
    <w:name w:val="f9151"/>
    <w:autoRedefine/>
    <w:qFormat/>
    <w:uiPriority w:val="0"/>
    <w:rPr>
      <w:spacing w:val="360"/>
      <w:sz w:val="18"/>
      <w:szCs w:val="18"/>
      <w:u w:val="none"/>
    </w:rPr>
  </w:style>
  <w:style w:type="character" w:customStyle="1" w:styleId="744">
    <w:name w:val="yy"/>
    <w:autoRedefine/>
    <w:qFormat/>
    <w:uiPriority w:val="0"/>
  </w:style>
  <w:style w:type="character" w:customStyle="1" w:styleId="745">
    <w:name w:val="p81"/>
    <w:autoRedefine/>
    <w:qFormat/>
    <w:uiPriority w:val="0"/>
    <w:rPr>
      <w:color w:val="660000"/>
      <w:spacing w:val="384"/>
      <w:u w:val="none"/>
    </w:rPr>
  </w:style>
  <w:style w:type="character" w:customStyle="1" w:styleId="746">
    <w:name w:val="unnamed21"/>
    <w:autoRedefine/>
    <w:qFormat/>
    <w:uiPriority w:val="0"/>
    <w:rPr>
      <w:color w:val="000000"/>
      <w:spacing w:val="360"/>
      <w:sz w:val="20"/>
      <w:szCs w:val="20"/>
    </w:rPr>
  </w:style>
  <w:style w:type="character" w:customStyle="1" w:styleId="747">
    <w:name w:val="a161"/>
    <w:autoRedefine/>
    <w:qFormat/>
    <w:uiPriority w:val="0"/>
    <w:rPr>
      <w:color w:val="000000"/>
      <w:sz w:val="21"/>
      <w:szCs w:val="21"/>
      <w:u w:val="none"/>
    </w:rPr>
  </w:style>
  <w:style w:type="character" w:customStyle="1" w:styleId="748">
    <w:name w:val="f24"/>
    <w:autoRedefine/>
    <w:qFormat/>
    <w:uiPriority w:val="0"/>
  </w:style>
  <w:style w:type="character" w:customStyle="1" w:styleId="749">
    <w:name w:val="content_11"/>
    <w:autoRedefine/>
    <w:qFormat/>
    <w:uiPriority w:val="0"/>
    <w:rPr>
      <w:color w:val="333333"/>
      <w:spacing w:val="340"/>
      <w:sz w:val="18"/>
      <w:szCs w:val="18"/>
    </w:rPr>
  </w:style>
  <w:style w:type="character" w:customStyle="1" w:styleId="750">
    <w:name w:val="nine-11"/>
    <w:autoRedefine/>
    <w:qFormat/>
    <w:uiPriority w:val="0"/>
    <w:rPr>
      <w:rFonts w:hint="default"/>
      <w:spacing w:val="320"/>
      <w:sz w:val="18"/>
      <w:szCs w:val="18"/>
    </w:rPr>
  </w:style>
  <w:style w:type="character" w:customStyle="1" w:styleId="751">
    <w:name w:val="hottext1"/>
    <w:autoRedefine/>
    <w:qFormat/>
    <w:uiPriority w:val="0"/>
  </w:style>
  <w:style w:type="character" w:customStyle="1" w:styleId="752">
    <w:name w:val="content1"/>
    <w:autoRedefine/>
    <w:qFormat/>
    <w:uiPriority w:val="0"/>
    <w:rPr>
      <w:rFonts w:hint="default" w:ascii="Tahoma" w:hAnsi="Tahoma" w:cs="Tahoma"/>
      <w:sz w:val="21"/>
      <w:szCs w:val="21"/>
    </w:rPr>
  </w:style>
  <w:style w:type="character" w:customStyle="1" w:styleId="753">
    <w:name w:val="extended-address"/>
    <w:autoRedefine/>
    <w:qFormat/>
    <w:uiPriority w:val="0"/>
  </w:style>
  <w:style w:type="character" w:customStyle="1" w:styleId="754">
    <w:name w:val="title41"/>
    <w:autoRedefine/>
    <w:qFormat/>
    <w:uiPriority w:val="0"/>
    <w:rPr>
      <w:rFonts w:hint="eastAsia" w:ascii="宋体" w:hAnsi="宋体" w:eastAsia="宋体"/>
      <w:color w:val="194F95"/>
      <w:sz w:val="23"/>
      <w:szCs w:val="23"/>
    </w:rPr>
  </w:style>
  <w:style w:type="character" w:customStyle="1" w:styleId="755">
    <w:name w:val="tcnt3"/>
    <w:autoRedefine/>
    <w:qFormat/>
    <w:uiPriority w:val="0"/>
  </w:style>
  <w:style w:type="character" w:customStyle="1" w:styleId="756">
    <w:name w:val="small"/>
    <w:autoRedefine/>
    <w:qFormat/>
    <w:uiPriority w:val="0"/>
  </w:style>
  <w:style w:type="character" w:customStyle="1" w:styleId="757">
    <w:name w:val="表头 Char Char"/>
    <w:autoRedefine/>
    <w:qFormat/>
    <w:uiPriority w:val="0"/>
    <w:rPr>
      <w:rFonts w:ascii="Arial" w:hAnsi="Arial" w:eastAsia="黑体"/>
      <w:b/>
      <w:kern w:val="2"/>
      <w:sz w:val="21"/>
      <w:szCs w:val="21"/>
    </w:rPr>
  </w:style>
  <w:style w:type="character" w:customStyle="1" w:styleId="758">
    <w:name w:val="表格正文 Char Char"/>
    <w:autoRedefine/>
    <w:qFormat/>
    <w:uiPriority w:val="0"/>
    <w:rPr>
      <w:kern w:val="2"/>
      <w:sz w:val="21"/>
      <w:szCs w:val="24"/>
    </w:rPr>
  </w:style>
  <w:style w:type="character" w:customStyle="1" w:styleId="759">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60">
    <w:name w:val="Char Char3"/>
    <w:autoRedefine/>
    <w:qFormat/>
    <w:uiPriority w:val="0"/>
    <w:rPr>
      <w:rFonts w:eastAsia="宋体"/>
      <w:b/>
      <w:kern w:val="2"/>
      <w:sz w:val="28"/>
      <w:szCs w:val="24"/>
      <w:lang w:val="en-US" w:eastAsia="zh-CN" w:bidi="ar-SA"/>
    </w:rPr>
  </w:style>
  <w:style w:type="character" w:customStyle="1" w:styleId="761">
    <w:name w:val="表格正文 Char1"/>
    <w:autoRedefine/>
    <w:qFormat/>
    <w:uiPriority w:val="0"/>
    <w:rPr>
      <w:rFonts w:ascii="Arial" w:hAnsi="Arial" w:eastAsia="宋体"/>
      <w:kern w:val="2"/>
      <w:sz w:val="21"/>
      <w:lang w:val="en-US" w:eastAsia="zh-CN" w:bidi="ar-SA"/>
    </w:rPr>
  </w:style>
  <w:style w:type="character" w:customStyle="1" w:styleId="762">
    <w:name w:val="表格 Char1"/>
    <w:autoRedefine/>
    <w:qFormat/>
    <w:uiPriority w:val="0"/>
    <w:rPr>
      <w:rFonts w:eastAsia="黑体"/>
      <w:bCs/>
      <w:iCs/>
      <w:color w:val="000000"/>
      <w:spacing w:val="6"/>
      <w:kern w:val="2"/>
      <w:sz w:val="21"/>
      <w:szCs w:val="21"/>
      <w:lang w:val="en-US" w:eastAsia="zh-CN" w:bidi="ar-SA"/>
    </w:rPr>
  </w:style>
  <w:style w:type="character" w:customStyle="1" w:styleId="763">
    <w:name w:val="14bt1"/>
    <w:autoRedefine/>
    <w:qFormat/>
    <w:uiPriority w:val="0"/>
    <w:rPr>
      <w:color w:val="000000"/>
      <w:sz w:val="21"/>
      <w:szCs w:val="21"/>
    </w:rPr>
  </w:style>
  <w:style w:type="character" w:customStyle="1" w:styleId="764">
    <w:name w:val="blacktt1"/>
    <w:autoRedefine/>
    <w:qFormat/>
    <w:uiPriority w:val="0"/>
    <w:rPr>
      <w:rFonts w:hint="default"/>
      <w:color w:val="000000"/>
      <w:sz w:val="18"/>
      <w:szCs w:val="18"/>
      <w:u w:val="none"/>
    </w:rPr>
  </w:style>
  <w:style w:type="character" w:customStyle="1" w:styleId="765">
    <w:name w:val="text1"/>
    <w:autoRedefine/>
    <w:qFormat/>
    <w:uiPriority w:val="0"/>
    <w:rPr>
      <w:rFonts w:hint="eastAsia" w:ascii="宋体" w:hAnsi="宋体" w:eastAsia="宋体"/>
      <w:color w:val="999999"/>
      <w:sz w:val="18"/>
      <w:szCs w:val="18"/>
      <w:u w:val="none"/>
    </w:rPr>
  </w:style>
  <w:style w:type="character" w:customStyle="1" w:styleId="766">
    <w:name w:val="font31"/>
    <w:autoRedefine/>
    <w:qFormat/>
    <w:uiPriority w:val="0"/>
    <w:rPr>
      <w:rFonts w:ascii="Arial" w:hAnsi="Arial" w:cs="Arial"/>
      <w:color w:val="000000"/>
      <w:sz w:val="21"/>
      <w:szCs w:val="21"/>
      <w:u w:val="none"/>
    </w:rPr>
  </w:style>
  <w:style w:type="character" w:customStyle="1" w:styleId="767">
    <w:name w:val="font41"/>
    <w:basedOn w:val="98"/>
    <w:autoRedefine/>
    <w:qFormat/>
    <w:uiPriority w:val="0"/>
    <w:rPr>
      <w:rFonts w:hint="eastAsia" w:ascii="宋体" w:hAnsi="宋体" w:eastAsia="宋体" w:cs="宋体"/>
      <w:color w:val="000000"/>
      <w:sz w:val="20"/>
      <w:szCs w:val="20"/>
      <w:u w:val="none"/>
    </w:rPr>
  </w:style>
  <w:style w:type="character" w:customStyle="1" w:styleId="768">
    <w:name w:val="正文首行缩进2个字 Char Char Char"/>
    <w:autoRedefine/>
    <w:qFormat/>
    <w:uiPriority w:val="0"/>
    <w:rPr>
      <w:rFonts w:eastAsia="楷体"/>
      <w:kern w:val="2"/>
      <w:sz w:val="24"/>
      <w:szCs w:val="24"/>
    </w:rPr>
  </w:style>
  <w:style w:type="character" w:customStyle="1" w:styleId="769">
    <w:name w:val="Char Char221"/>
    <w:autoRedefine/>
    <w:qFormat/>
    <w:uiPriority w:val="0"/>
    <w:rPr>
      <w:sz w:val="18"/>
      <w:szCs w:val="18"/>
    </w:rPr>
  </w:style>
  <w:style w:type="character" w:customStyle="1" w:styleId="770">
    <w:name w:val="bereich_produkt1"/>
    <w:autoRedefine/>
    <w:qFormat/>
    <w:uiPriority w:val="0"/>
    <w:rPr>
      <w:b/>
      <w:bCs/>
      <w:sz w:val="26"/>
      <w:szCs w:val="26"/>
    </w:rPr>
  </w:style>
  <w:style w:type="character" w:customStyle="1" w:styleId="771">
    <w:name w:val="title1"/>
    <w:autoRedefine/>
    <w:qFormat/>
    <w:uiPriority w:val="0"/>
    <w:rPr>
      <w:rFonts w:hint="eastAsia" w:ascii="Verdana, Arial, 宋体" w:eastAsia="Verdana, Arial, 宋体"/>
      <w:b/>
      <w:bCs/>
      <w:color w:val="333333"/>
      <w:sz w:val="30"/>
      <w:szCs w:val="30"/>
    </w:rPr>
  </w:style>
  <w:style w:type="character" w:customStyle="1" w:styleId="772">
    <w:name w:val="不明显强调1"/>
    <w:autoRedefine/>
    <w:qFormat/>
    <w:uiPriority w:val="19"/>
    <w:rPr>
      <w:i/>
      <w:iCs/>
      <w:color w:val="808080"/>
    </w:rPr>
  </w:style>
  <w:style w:type="character" w:customStyle="1" w:styleId="773">
    <w:name w:val="Char Char12"/>
    <w:autoRedefine/>
    <w:qFormat/>
    <w:uiPriority w:val="0"/>
    <w:rPr>
      <w:rFonts w:ascii="宋体" w:hAnsi="宋体" w:eastAsia="宋体" w:cs="宋体"/>
      <w:sz w:val="28"/>
      <w:szCs w:val="24"/>
      <w:lang w:bidi="ar-SA"/>
    </w:rPr>
  </w:style>
  <w:style w:type="character" w:customStyle="1" w:styleId="774">
    <w:name w:val="3zw1"/>
    <w:autoRedefine/>
    <w:qFormat/>
    <w:uiPriority w:val="0"/>
    <w:rPr>
      <w:color w:val="000000"/>
      <w:sz w:val="21"/>
      <w:szCs w:val="21"/>
    </w:rPr>
  </w:style>
  <w:style w:type="character" w:customStyle="1" w:styleId="775">
    <w:name w:val="引用 Char1"/>
    <w:autoRedefine/>
    <w:qFormat/>
    <w:uiPriority w:val="29"/>
    <w:rPr>
      <w:i/>
      <w:iCs/>
      <w:color w:val="404040"/>
      <w:kern w:val="2"/>
      <w:sz w:val="24"/>
      <w:szCs w:val="24"/>
    </w:rPr>
  </w:style>
  <w:style w:type="character" w:customStyle="1" w:styleId="776">
    <w:name w:val="标题章 Char1"/>
    <w:autoRedefine/>
    <w:qFormat/>
    <w:uiPriority w:val="0"/>
    <w:rPr>
      <w:rFonts w:eastAsia="宋体"/>
      <w:b/>
      <w:kern w:val="44"/>
      <w:sz w:val="36"/>
      <w:lang w:val="en-US" w:eastAsia="zh-CN" w:bidi="ar-SA"/>
    </w:rPr>
  </w:style>
  <w:style w:type="character" w:customStyle="1" w:styleId="777">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8">
    <w:name w:val="批注框文本 Char"/>
    <w:autoRedefine/>
    <w:qFormat/>
    <w:uiPriority w:val="0"/>
    <w:rPr>
      <w:rFonts w:ascii="Arial" w:hAnsi="Arial"/>
      <w:kern w:val="2"/>
      <w:sz w:val="18"/>
      <w:szCs w:val="18"/>
    </w:rPr>
  </w:style>
  <w:style w:type="character" w:customStyle="1" w:styleId="779">
    <w:name w:val="标题2 Char Char"/>
    <w:autoRedefine/>
    <w:qFormat/>
    <w:uiPriority w:val="0"/>
    <w:rPr>
      <w:rFonts w:eastAsia="宋体"/>
      <w:b/>
      <w:bCs/>
      <w:kern w:val="2"/>
      <w:sz w:val="32"/>
      <w:szCs w:val="32"/>
      <w:lang w:val="en-US" w:eastAsia="zh-CN" w:bidi="ar-SA"/>
    </w:rPr>
  </w:style>
  <w:style w:type="character" w:customStyle="1" w:styleId="780">
    <w:name w:val="px141"/>
    <w:autoRedefine/>
    <w:qFormat/>
    <w:uiPriority w:val="0"/>
    <w:rPr>
      <w:rFonts w:hint="default" w:ascii="ˎ̥" w:hAnsi="ˎ̥"/>
      <w:sz w:val="28"/>
      <w:szCs w:val="28"/>
    </w:rPr>
  </w:style>
  <w:style w:type="character" w:customStyle="1" w:styleId="781">
    <w:name w:val="标头 Char Char"/>
    <w:autoRedefine/>
    <w:qFormat/>
    <w:uiPriority w:val="0"/>
    <w:rPr>
      <w:rFonts w:ascii="Arial" w:hAnsi="Arial" w:eastAsia="黑体" w:cs="Arial"/>
      <w:szCs w:val="21"/>
    </w:rPr>
  </w:style>
  <w:style w:type="character" w:customStyle="1" w:styleId="782">
    <w:name w:val="书籍标题1"/>
    <w:autoRedefine/>
    <w:qFormat/>
    <w:uiPriority w:val="33"/>
    <w:rPr>
      <w:b/>
      <w:bCs/>
      <w:smallCaps/>
      <w:spacing w:val="5"/>
    </w:rPr>
  </w:style>
  <w:style w:type="character" w:customStyle="1" w:styleId="783">
    <w:name w:val="font81"/>
    <w:autoRedefine/>
    <w:qFormat/>
    <w:uiPriority w:val="0"/>
    <w:rPr>
      <w:rFonts w:ascii="Arial" w:hAnsi="Arial" w:cs="Arial"/>
      <w:color w:val="FFFFFF"/>
      <w:sz w:val="20"/>
      <w:szCs w:val="20"/>
      <w:u w:val="none"/>
    </w:rPr>
  </w:style>
  <w:style w:type="character" w:customStyle="1" w:styleId="784">
    <w:name w:val="fs"/>
    <w:autoRedefine/>
    <w:qFormat/>
    <w:uiPriority w:val="0"/>
  </w:style>
  <w:style w:type="character" w:customStyle="1" w:styleId="785">
    <w:name w:val="批注主题 Char"/>
    <w:autoRedefine/>
    <w:qFormat/>
    <w:uiPriority w:val="0"/>
    <w:rPr>
      <w:rFonts w:ascii="Arial" w:hAnsi="Arial"/>
      <w:b/>
      <w:bCs/>
      <w:kern w:val="2"/>
      <w:sz w:val="24"/>
      <w:szCs w:val="24"/>
    </w:rPr>
  </w:style>
  <w:style w:type="character" w:customStyle="1" w:styleId="786">
    <w:name w:val="font61"/>
    <w:autoRedefine/>
    <w:qFormat/>
    <w:uiPriority w:val="0"/>
    <w:rPr>
      <w:rFonts w:ascii="Arial" w:hAnsi="Arial" w:cs="Arial"/>
      <w:color w:val="0000FF"/>
      <w:sz w:val="20"/>
      <w:szCs w:val="20"/>
      <w:u w:val="none"/>
    </w:rPr>
  </w:style>
  <w:style w:type="character" w:customStyle="1" w:styleId="787">
    <w:name w:val="Char Char Char1"/>
    <w:autoRedefine/>
    <w:qFormat/>
    <w:uiPriority w:val="0"/>
    <w:rPr>
      <w:rFonts w:eastAsia="宋体"/>
      <w:kern w:val="2"/>
      <w:sz w:val="18"/>
      <w:szCs w:val="18"/>
      <w:lang w:val="en-US" w:eastAsia="zh-CN" w:bidi="ar-SA"/>
    </w:rPr>
  </w:style>
  <w:style w:type="character" w:customStyle="1" w:styleId="788">
    <w:name w:val="Char Char4"/>
    <w:autoRedefine/>
    <w:qFormat/>
    <w:uiPriority w:val="0"/>
    <w:rPr>
      <w:rFonts w:eastAsia="宋体"/>
      <w:b/>
      <w:kern w:val="2"/>
      <w:sz w:val="32"/>
      <w:szCs w:val="24"/>
      <w:lang w:val="en-US" w:eastAsia="zh-CN" w:bidi="ar-SA"/>
    </w:rPr>
  </w:style>
  <w:style w:type="character" w:customStyle="1" w:styleId="789">
    <w:name w:val="标题 6 Char1"/>
    <w:autoRedefine/>
    <w:qFormat/>
    <w:uiPriority w:val="0"/>
    <w:rPr>
      <w:rFonts w:ascii="Arial" w:hAnsi="Arial" w:eastAsia="黑体"/>
      <w:b/>
      <w:sz w:val="24"/>
      <w:lang w:val="en-US" w:eastAsia="zh-CN" w:bidi="ar-SA"/>
    </w:rPr>
  </w:style>
  <w:style w:type="character" w:customStyle="1" w:styleId="790">
    <w:name w:val="Char Char46"/>
    <w:autoRedefine/>
    <w:qFormat/>
    <w:uiPriority w:val="0"/>
    <w:rPr>
      <w:rFonts w:ascii="Arial" w:hAnsi="Arial" w:eastAsia="黑体"/>
      <w:b/>
      <w:bCs/>
      <w:kern w:val="2"/>
      <w:sz w:val="28"/>
      <w:szCs w:val="28"/>
    </w:rPr>
  </w:style>
  <w:style w:type="character" w:customStyle="1" w:styleId="791">
    <w:name w:val="Char Char26"/>
    <w:autoRedefine/>
    <w:qFormat/>
    <w:uiPriority w:val="0"/>
    <w:rPr>
      <w:rFonts w:ascii="Arial" w:hAnsi="Arial" w:eastAsia="黑体"/>
      <w:b/>
      <w:sz w:val="24"/>
      <w:lang w:val="en-US" w:eastAsia="zh-CN" w:bidi="ar-SA"/>
    </w:rPr>
  </w:style>
  <w:style w:type="character" w:customStyle="1" w:styleId="792">
    <w:name w:val="lemmatitleh1"/>
    <w:autoRedefine/>
    <w:qFormat/>
    <w:uiPriority w:val="0"/>
  </w:style>
  <w:style w:type="character" w:customStyle="1" w:styleId="793">
    <w:name w:val="Char Char29"/>
    <w:autoRedefine/>
    <w:qFormat/>
    <w:uiPriority w:val="0"/>
    <w:rPr>
      <w:b/>
      <w:snapToGrid w:val="0"/>
      <w:sz w:val="24"/>
      <w:szCs w:val="28"/>
    </w:rPr>
  </w:style>
  <w:style w:type="character" w:customStyle="1" w:styleId="794">
    <w:name w:val="中远正文 Char"/>
    <w:autoRedefine/>
    <w:qFormat/>
    <w:uiPriority w:val="0"/>
    <w:rPr>
      <w:rFonts w:ascii="Arial" w:hAnsi="Arial" w:eastAsia="宋体" w:cs="Arial"/>
      <w:kern w:val="2"/>
      <w:sz w:val="24"/>
      <w:szCs w:val="24"/>
      <w:lang w:val="en-US" w:eastAsia="zh-CN" w:bidi="ar-SA"/>
    </w:rPr>
  </w:style>
  <w:style w:type="character" w:customStyle="1" w:styleId="795">
    <w:name w:val="Char Char41"/>
    <w:qFormat/>
    <w:uiPriority w:val="0"/>
    <w:rPr>
      <w:rFonts w:ascii="Arial" w:hAnsi="Arial" w:eastAsia="黑体"/>
      <w:sz w:val="21"/>
      <w:lang w:val="en-US" w:eastAsia="zh-CN" w:bidi="ar-SA"/>
    </w:rPr>
  </w:style>
  <w:style w:type="character" w:customStyle="1" w:styleId="796">
    <w:name w:val="content_jrjx1"/>
    <w:autoRedefine/>
    <w:qFormat/>
    <w:uiPriority w:val="0"/>
    <w:rPr>
      <w:rFonts w:hint="default"/>
      <w:color w:val="666666"/>
      <w:sz w:val="18"/>
      <w:szCs w:val="18"/>
    </w:rPr>
  </w:style>
  <w:style w:type="character" w:customStyle="1" w:styleId="797">
    <w:name w:val="引入重点"/>
    <w:autoRedefine/>
    <w:qFormat/>
    <w:uiPriority w:val="0"/>
    <w:rPr>
      <w:caps/>
      <w:spacing w:val="0"/>
      <w:lang w:eastAsia="zh-CN"/>
    </w:rPr>
  </w:style>
  <w:style w:type="character" w:customStyle="1" w:styleId="798">
    <w:name w:val="样式 题注 + (中文) 黑体 Char"/>
    <w:autoRedefine/>
    <w:qFormat/>
    <w:uiPriority w:val="0"/>
    <w:rPr>
      <w:rFonts w:ascii="Arial" w:hAnsi="Arial" w:eastAsia="宋体" w:cs="Arial"/>
      <w:kern w:val="2"/>
      <w:sz w:val="24"/>
      <w:lang w:val="en-US" w:eastAsia="zh-CN" w:bidi="ar-SA"/>
    </w:rPr>
  </w:style>
  <w:style w:type="character" w:customStyle="1" w:styleId="799">
    <w:name w:val="科研报告标题1"/>
    <w:autoRedefine/>
    <w:qFormat/>
    <w:uiPriority w:val="0"/>
    <w:rPr>
      <w:rFonts w:eastAsia="宋体"/>
      <w:b/>
      <w:sz w:val="32"/>
    </w:rPr>
  </w:style>
  <w:style w:type="character" w:customStyle="1" w:styleId="800">
    <w:name w:val="题注 Char1"/>
    <w:autoRedefine/>
    <w:qFormat/>
    <w:locked/>
    <w:uiPriority w:val="0"/>
    <w:rPr>
      <w:rFonts w:ascii="Arial" w:hAnsi="Arial" w:eastAsia="黑体" w:cs="Arial"/>
      <w:kern w:val="2"/>
    </w:rPr>
  </w:style>
  <w:style w:type="character" w:customStyle="1" w:styleId="801">
    <w:name w:val="节标题 1.1 Char Char Char"/>
    <w:autoRedefine/>
    <w:qFormat/>
    <w:uiPriority w:val="0"/>
    <w:rPr>
      <w:rFonts w:eastAsia="宋体"/>
      <w:b/>
      <w:sz w:val="28"/>
      <w:lang w:val="en-US" w:eastAsia="zh-CN" w:bidi="ar-SA"/>
    </w:rPr>
  </w:style>
  <w:style w:type="character" w:customStyle="1" w:styleId="802">
    <w:name w:val="样式3 Char Char Char Char Char Char"/>
    <w:autoRedefine/>
    <w:qFormat/>
    <w:uiPriority w:val="0"/>
    <w:rPr>
      <w:rFonts w:eastAsia="宋体"/>
      <w:sz w:val="24"/>
      <w:szCs w:val="24"/>
      <w:lang w:val="en-US" w:eastAsia="zh-CN" w:bidi="ar-SA"/>
    </w:rPr>
  </w:style>
  <w:style w:type="character" w:customStyle="1" w:styleId="803">
    <w:name w:val="样式 紧缩量  0.2 磅"/>
    <w:autoRedefine/>
    <w:qFormat/>
    <w:uiPriority w:val="0"/>
    <w:rPr>
      <w:spacing w:val="-4"/>
      <w:sz w:val="24"/>
    </w:rPr>
  </w:style>
  <w:style w:type="character" w:customStyle="1" w:styleId="804">
    <w:name w:val="shengsi1"/>
    <w:autoRedefine/>
    <w:qFormat/>
    <w:uiPriority w:val="0"/>
    <w:rPr>
      <w:rFonts w:hint="default"/>
      <w:sz w:val="18"/>
      <w:szCs w:val="18"/>
    </w:rPr>
  </w:style>
  <w:style w:type="character" w:customStyle="1" w:styleId="805">
    <w:name w:val="f12_0000_1"/>
    <w:autoRedefine/>
    <w:qFormat/>
    <w:uiPriority w:val="0"/>
  </w:style>
  <w:style w:type="character" w:customStyle="1" w:styleId="806">
    <w:name w:val="正文1 Char"/>
    <w:autoRedefine/>
    <w:qFormat/>
    <w:uiPriority w:val="0"/>
    <w:rPr>
      <w:rFonts w:ascii="宋体" w:eastAsia="宋体"/>
      <w:sz w:val="24"/>
      <w:szCs w:val="24"/>
      <w:lang w:val="en-US" w:eastAsia="zh-CN" w:bidi="ar-SA"/>
    </w:rPr>
  </w:style>
  <w:style w:type="character" w:customStyle="1" w:styleId="807">
    <w:name w:val="Char Char31"/>
    <w:autoRedefine/>
    <w:qFormat/>
    <w:uiPriority w:val="0"/>
    <w:rPr>
      <w:b/>
      <w:bCs/>
      <w:kern w:val="44"/>
      <w:sz w:val="44"/>
      <w:szCs w:val="44"/>
    </w:rPr>
  </w:style>
  <w:style w:type="character" w:customStyle="1" w:styleId="808">
    <w:name w:val="Char Char24"/>
    <w:autoRedefine/>
    <w:qFormat/>
    <w:uiPriority w:val="0"/>
    <w:rPr>
      <w:rFonts w:ascii="宋体" w:eastAsia="宋体"/>
      <w:b/>
      <w:sz w:val="24"/>
      <w:lang w:val="en-US" w:eastAsia="zh-CN" w:bidi="ar-SA"/>
    </w:rPr>
  </w:style>
  <w:style w:type="character" w:customStyle="1" w:styleId="809">
    <w:name w:val="Char Char37"/>
    <w:autoRedefine/>
    <w:qFormat/>
    <w:locked/>
    <w:uiPriority w:val="0"/>
    <w:rPr>
      <w:rFonts w:ascii="Arial" w:hAnsi="Arial" w:eastAsia="黑体" w:cs="Arial"/>
      <w:kern w:val="2"/>
      <w:lang w:val="en-US" w:eastAsia="zh-CN" w:bidi="ar-SA"/>
    </w:rPr>
  </w:style>
  <w:style w:type="character" w:customStyle="1" w:styleId="810">
    <w:name w:val="Char Char44"/>
    <w:autoRedefine/>
    <w:qFormat/>
    <w:uiPriority w:val="0"/>
    <w:rPr>
      <w:rFonts w:ascii="Arial" w:hAnsi="Arial" w:eastAsia="黑体"/>
      <w:b/>
      <w:sz w:val="24"/>
      <w:lang w:val="en-US" w:eastAsia="zh-CN" w:bidi="ar-SA"/>
    </w:rPr>
  </w:style>
  <w:style w:type="character" w:customStyle="1" w:styleId="811">
    <w:name w:val="文档结构图 Char1"/>
    <w:autoRedefine/>
    <w:semiHidden/>
    <w:qFormat/>
    <w:uiPriority w:val="0"/>
    <w:rPr>
      <w:kern w:val="2"/>
      <w:sz w:val="24"/>
      <w:szCs w:val="24"/>
      <w:shd w:val="clear" w:color="auto" w:fill="000080"/>
    </w:rPr>
  </w:style>
  <w:style w:type="character" w:customStyle="1" w:styleId="812">
    <w:name w:val="四 Char Char"/>
    <w:autoRedefine/>
    <w:qFormat/>
    <w:uiPriority w:val="0"/>
    <w:rPr>
      <w:rFonts w:ascii="Times New Roman" w:hAnsi="Times New Roman"/>
      <w:b/>
      <w:bCs/>
      <w:kern w:val="2"/>
      <w:sz w:val="24"/>
      <w:szCs w:val="28"/>
    </w:rPr>
  </w:style>
  <w:style w:type="character" w:customStyle="1" w:styleId="813">
    <w:name w:val="批注文字 Char2"/>
    <w:autoRedefine/>
    <w:semiHidden/>
    <w:qFormat/>
    <w:uiPriority w:val="0"/>
    <w:rPr>
      <w:rFonts w:ascii="Times New Roman" w:hAnsi="Times New Roman"/>
      <w:kern w:val="2"/>
      <w:sz w:val="24"/>
      <w:szCs w:val="22"/>
    </w:rPr>
  </w:style>
  <w:style w:type="character" w:customStyle="1" w:styleId="814">
    <w:name w:val="批注主题 Char2"/>
    <w:autoRedefine/>
    <w:semiHidden/>
    <w:qFormat/>
    <w:uiPriority w:val="0"/>
    <w:rPr>
      <w:rFonts w:ascii="Times New Roman" w:hAnsi="Times New Roman"/>
      <w:b/>
      <w:bCs/>
      <w:kern w:val="2"/>
      <w:sz w:val="24"/>
      <w:szCs w:val="22"/>
    </w:rPr>
  </w:style>
  <w:style w:type="character" w:customStyle="1" w:styleId="815">
    <w:name w:val="页脚 Char1"/>
    <w:autoRedefine/>
    <w:semiHidden/>
    <w:qFormat/>
    <w:uiPriority w:val="99"/>
    <w:rPr>
      <w:kern w:val="2"/>
      <w:sz w:val="18"/>
      <w:szCs w:val="18"/>
    </w:rPr>
  </w:style>
  <w:style w:type="character" w:customStyle="1" w:styleId="816">
    <w:name w:val="h Char"/>
    <w:qFormat/>
    <w:uiPriority w:val="0"/>
    <w:rPr>
      <w:sz w:val="21"/>
    </w:rPr>
  </w:style>
  <w:style w:type="character" w:customStyle="1" w:styleId="817">
    <w:name w:val="F文字-下标"/>
    <w:autoRedefine/>
    <w:qFormat/>
    <w:uiPriority w:val="0"/>
    <w:rPr>
      <w:rFonts w:ascii="Times New Roman" w:hAnsi="Times New Roman" w:eastAsia="仿宋_GB2312"/>
      <w:sz w:val="24"/>
      <w:vertAlign w:val="subscript"/>
    </w:rPr>
  </w:style>
  <w:style w:type="character" w:customStyle="1" w:styleId="818">
    <w:name w:val="show-img-bd"/>
    <w:autoRedefine/>
    <w:qFormat/>
    <w:uiPriority w:val="0"/>
  </w:style>
  <w:style w:type="character" w:customStyle="1" w:styleId="819">
    <w:name w:val="首行缩进两字 Char4"/>
    <w:autoRedefine/>
    <w:qFormat/>
    <w:uiPriority w:val="0"/>
    <w:rPr>
      <w:rFonts w:ascii="Arial" w:hAnsi="Arial" w:eastAsia="宋体" w:cs="Arial"/>
      <w:spacing w:val="10"/>
      <w:kern w:val="2"/>
      <w:sz w:val="24"/>
      <w:lang w:val="en-US" w:eastAsia="zh-CN" w:bidi="ar-SA"/>
    </w:rPr>
  </w:style>
  <w:style w:type="character" w:customStyle="1" w:styleId="820">
    <w:name w:val="网格型c Char1"/>
    <w:autoRedefine/>
    <w:qFormat/>
    <w:uiPriority w:val="0"/>
    <w:rPr>
      <w:rFonts w:eastAsia="宋体"/>
      <w:kern w:val="2"/>
      <w:sz w:val="21"/>
      <w:szCs w:val="21"/>
      <w:lang w:val="en-US" w:eastAsia="zh-CN" w:bidi="ar-SA"/>
    </w:rPr>
  </w:style>
  <w:style w:type="character" w:customStyle="1" w:styleId="821">
    <w:name w:val="zw1"/>
    <w:autoRedefine/>
    <w:qFormat/>
    <w:uiPriority w:val="99"/>
    <w:rPr>
      <w:rFonts w:hint="eastAsia" w:ascii="宋体" w:hAnsi="宋体" w:eastAsia="宋体"/>
      <w:sz w:val="22"/>
      <w:szCs w:val="22"/>
    </w:rPr>
  </w:style>
  <w:style w:type="character" w:customStyle="1" w:styleId="822">
    <w:name w:val="bt21"/>
    <w:autoRedefine/>
    <w:qFormat/>
    <w:uiPriority w:val="0"/>
    <w:rPr>
      <w:rFonts w:hint="eastAsia" w:ascii="黑体" w:eastAsia="黑体"/>
      <w:sz w:val="24"/>
      <w:szCs w:val="24"/>
    </w:rPr>
  </w:style>
  <w:style w:type="character" w:customStyle="1" w:styleId="823">
    <w:name w:val="样式6 Char"/>
    <w:autoRedefine/>
    <w:qFormat/>
    <w:uiPriority w:val="0"/>
    <w:rPr>
      <w:b/>
      <w:bCs/>
      <w:snapToGrid/>
      <w:sz w:val="24"/>
      <w:szCs w:val="24"/>
    </w:rPr>
  </w:style>
  <w:style w:type="character" w:customStyle="1" w:styleId="824">
    <w:name w:val="样式 标题 2 + 黑体 小四 非加粗 Char"/>
    <w:autoRedefine/>
    <w:qFormat/>
    <w:uiPriority w:val="0"/>
    <w:rPr>
      <w:rFonts w:ascii="黑体" w:hAnsi="黑体" w:eastAsia="黑体"/>
      <w:kern w:val="2"/>
      <w:sz w:val="24"/>
      <w:szCs w:val="32"/>
    </w:rPr>
  </w:style>
  <w:style w:type="character" w:customStyle="1" w:styleId="825">
    <w:name w:val="Report Text Char"/>
    <w:autoRedefine/>
    <w:qFormat/>
    <w:uiPriority w:val="0"/>
    <w:rPr>
      <w:rFonts w:ascii="Swis721 BT" w:hAnsi="Swis721 BT" w:eastAsia="PMingLiU"/>
      <w:sz w:val="18"/>
      <w:lang w:val="en-GB" w:eastAsia="en-US"/>
    </w:rPr>
  </w:style>
  <w:style w:type="character" w:customStyle="1" w:styleId="826">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7">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8">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9">
    <w:name w:val="标题 8 Char1"/>
    <w:autoRedefine/>
    <w:semiHidden/>
    <w:qFormat/>
    <w:uiPriority w:val="0"/>
    <w:rPr>
      <w:rFonts w:ascii="Calibri Light" w:hAnsi="Calibri Light" w:eastAsia="宋体" w:cs="Times New Roman"/>
      <w:kern w:val="2"/>
      <w:sz w:val="24"/>
      <w:szCs w:val="24"/>
    </w:rPr>
  </w:style>
  <w:style w:type="character" w:customStyle="1" w:styleId="830">
    <w:name w:val="标题 9 Char1"/>
    <w:autoRedefine/>
    <w:semiHidden/>
    <w:qFormat/>
    <w:uiPriority w:val="0"/>
    <w:rPr>
      <w:rFonts w:ascii="Calibri Light" w:hAnsi="Calibri Light" w:eastAsia="宋体" w:cs="Times New Roman"/>
      <w:kern w:val="2"/>
      <w:sz w:val="21"/>
      <w:szCs w:val="21"/>
    </w:rPr>
  </w:style>
  <w:style w:type="character" w:customStyle="1" w:styleId="831">
    <w:name w:val="页眉 Char1"/>
    <w:autoRedefine/>
    <w:qFormat/>
    <w:uiPriority w:val="99"/>
    <w:rPr>
      <w:kern w:val="2"/>
      <w:sz w:val="18"/>
      <w:szCs w:val="18"/>
    </w:rPr>
  </w:style>
  <w:style w:type="character" w:customStyle="1" w:styleId="832">
    <w:name w:val="正文文本缩进 Char1"/>
    <w:autoRedefine/>
    <w:semiHidden/>
    <w:qFormat/>
    <w:uiPriority w:val="0"/>
    <w:rPr>
      <w:kern w:val="2"/>
      <w:sz w:val="24"/>
      <w:szCs w:val="24"/>
    </w:rPr>
  </w:style>
  <w:style w:type="character" w:customStyle="1" w:styleId="833">
    <w:name w:val="11p1"/>
    <w:autoRedefine/>
    <w:qFormat/>
    <w:uiPriority w:val="0"/>
    <w:rPr>
      <w:sz w:val="26"/>
      <w:szCs w:val="26"/>
    </w:rPr>
  </w:style>
  <w:style w:type="character" w:customStyle="1" w:styleId="834">
    <w:name w:val="普通文字3 Char"/>
    <w:autoRedefine/>
    <w:qFormat/>
    <w:uiPriority w:val="0"/>
    <w:rPr>
      <w:rFonts w:ascii="宋体" w:hAnsi="Courier New" w:eastAsia="宋体" w:cs="Courier New"/>
      <w:kern w:val="2"/>
      <w:sz w:val="21"/>
      <w:szCs w:val="21"/>
      <w:lang w:val="en-US" w:eastAsia="zh-CN" w:bidi="ar-SA"/>
    </w:rPr>
  </w:style>
  <w:style w:type="character" w:customStyle="1" w:styleId="835">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6">
    <w:name w:val="样式 (中文) 仿宋_GB2312 四号"/>
    <w:autoRedefine/>
    <w:qFormat/>
    <w:uiPriority w:val="0"/>
    <w:rPr>
      <w:rFonts w:eastAsia="仿宋_GB2312"/>
      <w:color w:val="FF0000"/>
      <w:kern w:val="2"/>
      <w:sz w:val="24"/>
      <w:szCs w:val="21"/>
      <w:lang w:val="en-US" w:eastAsia="zh-CN" w:bidi="ar-SA"/>
    </w:rPr>
  </w:style>
  <w:style w:type="character" w:customStyle="1" w:styleId="837">
    <w:name w:val="h160bk"/>
    <w:autoRedefine/>
    <w:qFormat/>
    <w:uiPriority w:val="0"/>
  </w:style>
  <w:style w:type="character" w:customStyle="1" w:styleId="838">
    <w:name w:val="普通(网站) Char"/>
    <w:autoRedefine/>
    <w:qFormat/>
    <w:locked/>
    <w:uiPriority w:val="0"/>
    <w:rPr>
      <w:rFonts w:ascii="宋体" w:hAnsi="宋体"/>
      <w:color w:val="000000"/>
      <w:sz w:val="24"/>
      <w:szCs w:val="24"/>
    </w:rPr>
  </w:style>
  <w:style w:type="paragraph" w:customStyle="1" w:styleId="839">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40">
    <w:name w:val="列出段落1"/>
    <w:basedOn w:val="1"/>
    <w:autoRedefine/>
    <w:qFormat/>
    <w:uiPriority w:val="0"/>
    <w:pPr>
      <w:ind w:firstLine="420" w:firstLineChars="200"/>
    </w:pPr>
    <w:rPr>
      <w:rFonts w:ascii="Calibri" w:hAnsi="Calibri"/>
      <w:szCs w:val="22"/>
    </w:rPr>
  </w:style>
  <w:style w:type="paragraph" w:customStyle="1" w:styleId="841">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2">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3">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4">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5">
    <w:name w:val="Char Char Char Char Char Char Char2"/>
    <w:basedOn w:val="1"/>
    <w:autoRedefine/>
    <w:qFormat/>
    <w:uiPriority w:val="0"/>
    <w:rPr>
      <w:sz w:val="24"/>
      <w:szCs w:val="24"/>
    </w:rPr>
  </w:style>
  <w:style w:type="paragraph" w:customStyle="1" w:styleId="846">
    <w:name w:val="CM90"/>
    <w:basedOn w:val="330"/>
    <w:next w:val="330"/>
    <w:autoRedefine/>
    <w:qFormat/>
    <w:uiPriority w:val="0"/>
    <w:rPr>
      <w:rFonts w:ascii="宋体" w:hAnsi="Calibri" w:eastAsia="宋体"/>
      <w:color w:val="auto"/>
    </w:rPr>
  </w:style>
  <w:style w:type="paragraph" w:customStyle="1" w:styleId="847">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8">
    <w:name w:val="xl22"/>
    <w:basedOn w:val="1"/>
    <w:autoRedefine/>
    <w:qFormat/>
    <w:uiPriority w:val="0"/>
    <w:pPr>
      <w:widowControl/>
      <w:spacing w:before="100" w:after="100"/>
      <w:jc w:val="center"/>
    </w:pPr>
    <w:rPr>
      <w:kern w:val="0"/>
      <w:sz w:val="24"/>
      <w:szCs w:val="24"/>
    </w:rPr>
  </w:style>
  <w:style w:type="paragraph" w:customStyle="1" w:styleId="849">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50">
    <w:name w:val="研究1"/>
    <w:basedOn w:val="1"/>
    <w:autoRedefine/>
    <w:qFormat/>
    <w:uiPriority w:val="0"/>
    <w:pPr>
      <w:spacing w:line="500" w:lineRule="exact"/>
      <w:ind w:firstLine="480" w:firstLineChars="200"/>
    </w:pPr>
    <w:rPr>
      <w:sz w:val="24"/>
      <w:szCs w:val="24"/>
    </w:rPr>
  </w:style>
  <w:style w:type="paragraph" w:customStyle="1" w:styleId="851">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3">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4">
    <w:name w:val="Char Char Char Char Char Char Char Char Char1 Char Char Char Char Char Char Char Char Char Char Char Char Char"/>
    <w:basedOn w:val="1"/>
    <w:autoRedefine/>
    <w:qFormat/>
    <w:uiPriority w:val="0"/>
    <w:rPr>
      <w:sz w:val="24"/>
      <w:szCs w:val="24"/>
    </w:rPr>
  </w:style>
  <w:style w:type="paragraph" w:customStyle="1" w:styleId="855">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6">
    <w:name w:val="三级条标题"/>
    <w:basedOn w:val="857"/>
    <w:next w:val="1"/>
    <w:autoRedefine/>
    <w:qFormat/>
    <w:uiPriority w:val="0"/>
    <w:pPr>
      <w:tabs>
        <w:tab w:val="left" w:pos="360"/>
        <w:tab w:val="left" w:pos="1080"/>
        <w:tab w:val="left" w:pos="1740"/>
      </w:tabs>
      <w:outlineLvl w:val="4"/>
    </w:pPr>
  </w:style>
  <w:style w:type="paragraph" w:customStyle="1" w:styleId="857">
    <w:name w:val="二级条标题"/>
    <w:basedOn w:val="858"/>
    <w:next w:val="1"/>
    <w:autoRedefine/>
    <w:qFormat/>
    <w:uiPriority w:val="0"/>
    <w:pPr>
      <w:tabs>
        <w:tab w:val="left" w:pos="360"/>
        <w:tab w:val="left" w:pos="1080"/>
        <w:tab w:val="left" w:pos="1740"/>
      </w:tabs>
      <w:ind w:left="0" w:firstLine="0"/>
      <w:outlineLvl w:val="3"/>
    </w:pPr>
  </w:style>
  <w:style w:type="paragraph" w:customStyle="1" w:styleId="858">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9">
    <w:name w:val="二级无标题条"/>
    <w:basedOn w:val="1"/>
    <w:autoRedefine/>
    <w:qFormat/>
    <w:uiPriority w:val="0"/>
    <w:rPr>
      <w:rFonts w:ascii="Arial" w:hAnsi="Arial"/>
      <w:szCs w:val="24"/>
    </w:rPr>
  </w:style>
  <w:style w:type="paragraph" w:customStyle="1" w:styleId="860">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1">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2">
    <w:name w:val="样式7"/>
    <w:basedOn w:val="21"/>
    <w:autoRedefine/>
    <w:qFormat/>
    <w:uiPriority w:val="0"/>
    <w:pPr>
      <w:widowControl w:val="0"/>
      <w:spacing w:line="264" w:lineRule="auto"/>
      <w:ind w:firstLine="476"/>
    </w:pPr>
    <w:rPr>
      <w:rFonts w:ascii="Arial" w:hAnsi="Arial" w:cs="Arial"/>
      <w:sz w:val="24"/>
      <w:szCs w:val="24"/>
    </w:rPr>
  </w:style>
  <w:style w:type="paragraph" w:customStyle="1" w:styleId="863">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4">
    <w:name w:val="文本框"/>
    <w:basedOn w:val="1"/>
    <w:autoRedefine/>
    <w:qFormat/>
    <w:uiPriority w:val="0"/>
    <w:pPr>
      <w:jc w:val="center"/>
    </w:pPr>
    <w:rPr>
      <w:sz w:val="24"/>
      <w:szCs w:val="24"/>
    </w:rPr>
  </w:style>
  <w:style w:type="paragraph" w:customStyle="1" w:styleId="865">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6">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7">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8">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9">
    <w:name w:val="（空格行"/>
    <w:basedOn w:val="1"/>
    <w:autoRedefine/>
    <w:qFormat/>
    <w:uiPriority w:val="0"/>
    <w:pPr>
      <w:ind w:firstLine="480" w:firstLineChars="200"/>
    </w:pPr>
    <w:rPr>
      <w:rFonts w:eastAsia="仿宋_GB2312"/>
      <w:sz w:val="24"/>
      <w:szCs w:val="24"/>
    </w:rPr>
  </w:style>
  <w:style w:type="paragraph" w:customStyle="1" w:styleId="870">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1">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2">
    <w:name w:val="样式 标题 2Chapter Title节标题 1.1 + (符号) 宋体 小四 加粗 段前: 1.55 磅 段后:..."/>
    <w:basedOn w:val="4"/>
    <w:autoRedefine/>
    <w:qFormat/>
    <w:uiPriority w:val="0"/>
    <w:pPr>
      <w:keepNext w:val="0"/>
      <w:keepLines w:val="0"/>
      <w:numPr>
        <w:ilvl w:val="0"/>
        <w:numId w:val="9"/>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3">
    <w:name w:val="Char Char Char1 Char Char Char Char"/>
    <w:basedOn w:val="1"/>
    <w:autoRedefine/>
    <w:qFormat/>
    <w:uiPriority w:val="0"/>
    <w:rPr>
      <w:rFonts w:ascii="Tahoma" w:hAnsi="Tahoma"/>
      <w:sz w:val="24"/>
      <w:szCs w:val="20"/>
    </w:rPr>
  </w:style>
  <w:style w:type="paragraph" w:customStyle="1" w:styleId="874">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5">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6">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7">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8">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9">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80">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1">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2">
    <w:name w:val="科研究报告标题2"/>
    <w:basedOn w:val="1"/>
    <w:autoRedefine/>
    <w:qFormat/>
    <w:uiPriority w:val="0"/>
    <w:pPr>
      <w:numPr>
        <w:ilvl w:val="0"/>
        <w:numId w:val="10"/>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3">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4">
    <w:name w:val="Char Char Char Char Char Char1 Char Char Char Char"/>
    <w:basedOn w:val="1"/>
    <w:autoRedefine/>
    <w:qFormat/>
    <w:uiPriority w:val="0"/>
    <w:rPr>
      <w:rFonts w:ascii="Arial" w:hAnsi="Arial"/>
      <w:sz w:val="24"/>
      <w:szCs w:val="24"/>
    </w:rPr>
  </w:style>
  <w:style w:type="paragraph" w:customStyle="1" w:styleId="885">
    <w:name w:val="样式4"/>
    <w:basedOn w:val="21"/>
    <w:autoRedefine/>
    <w:qFormat/>
    <w:uiPriority w:val="0"/>
    <w:pPr>
      <w:widowControl w:val="0"/>
    </w:pPr>
    <w:rPr>
      <w:rFonts w:ascii="Arial" w:hAnsi="Arial" w:cs="Arial"/>
      <w:sz w:val="24"/>
      <w:szCs w:val="24"/>
    </w:rPr>
  </w:style>
  <w:style w:type="paragraph" w:customStyle="1" w:styleId="886">
    <w:name w:val="1表格"/>
    <w:basedOn w:val="1"/>
    <w:autoRedefine/>
    <w:qFormat/>
    <w:uiPriority w:val="0"/>
    <w:pPr>
      <w:snapToGrid w:val="0"/>
      <w:jc w:val="center"/>
      <w:outlineLvl w:val="4"/>
    </w:pPr>
    <w:rPr>
      <w:rFonts w:ascii="Arial" w:hAnsi="Arial"/>
      <w:spacing w:val="4"/>
      <w:szCs w:val="24"/>
    </w:rPr>
  </w:style>
  <w:style w:type="paragraph" w:customStyle="1" w:styleId="887">
    <w:name w:val="2级标题"/>
    <w:basedOn w:val="1"/>
    <w:autoRedefine/>
    <w:qFormat/>
    <w:uiPriority w:val="0"/>
    <w:pPr>
      <w:spacing w:before="60" w:line="460" w:lineRule="exact"/>
      <w:outlineLvl w:val="1"/>
    </w:pPr>
    <w:rPr>
      <w:rFonts w:ascii="Arial" w:hAnsi="Arial"/>
      <w:b/>
      <w:sz w:val="28"/>
      <w:szCs w:val="24"/>
    </w:rPr>
  </w:style>
  <w:style w:type="paragraph" w:customStyle="1" w:styleId="888">
    <w:name w:val="三级无标题条"/>
    <w:basedOn w:val="1"/>
    <w:autoRedefine/>
    <w:qFormat/>
    <w:uiPriority w:val="0"/>
    <w:pPr>
      <w:numPr>
        <w:ilvl w:val="4"/>
        <w:numId w:val="11"/>
      </w:numPr>
    </w:pPr>
    <w:rPr>
      <w:szCs w:val="24"/>
    </w:rPr>
  </w:style>
  <w:style w:type="paragraph" w:customStyle="1" w:styleId="88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90">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1">
    <w:name w:val="样式 首行缩进:  0 字符"/>
    <w:basedOn w:val="1"/>
    <w:autoRedefine/>
    <w:qFormat/>
    <w:uiPriority w:val="0"/>
    <w:pPr>
      <w:widowControl/>
      <w:ind w:firstLine="502" w:firstLineChars="200"/>
    </w:pPr>
    <w:rPr>
      <w:snapToGrid w:val="0"/>
      <w:kern w:val="0"/>
      <w:sz w:val="24"/>
      <w:szCs w:val="20"/>
    </w:rPr>
  </w:style>
  <w:style w:type="paragraph" w:customStyle="1" w:styleId="892">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3">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5">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6">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7">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8">
    <w:name w:val="正文中对齐"/>
    <w:basedOn w:val="1"/>
    <w:autoRedefine/>
    <w:qFormat/>
    <w:uiPriority w:val="0"/>
    <w:pPr>
      <w:snapToGrid w:val="0"/>
      <w:spacing w:before="60" w:after="60" w:line="60" w:lineRule="atLeast"/>
      <w:jc w:val="center"/>
    </w:pPr>
    <w:rPr>
      <w:sz w:val="24"/>
    </w:rPr>
  </w:style>
  <w:style w:type="paragraph" w:customStyle="1" w:styleId="899">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900">
    <w:name w:val="目录1"/>
    <w:basedOn w:val="59"/>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1">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2">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3">
    <w:name w:val="item1.1.1"/>
    <w:basedOn w:val="1"/>
    <w:autoRedefine/>
    <w:qFormat/>
    <w:uiPriority w:val="0"/>
    <w:pPr>
      <w:spacing w:before="100" w:after="100"/>
      <w:textAlignment w:val="top"/>
    </w:pPr>
    <w:rPr>
      <w:sz w:val="24"/>
      <w:szCs w:val="24"/>
    </w:rPr>
  </w:style>
  <w:style w:type="paragraph" w:customStyle="1" w:styleId="904">
    <w:name w:val="Char Char2"/>
    <w:basedOn w:val="1"/>
    <w:autoRedefine/>
    <w:qFormat/>
    <w:uiPriority w:val="0"/>
    <w:rPr>
      <w:szCs w:val="24"/>
    </w:rPr>
  </w:style>
  <w:style w:type="paragraph" w:customStyle="1" w:styleId="905">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6">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7">
    <w:name w:val="新表格"/>
    <w:basedOn w:val="1"/>
    <w:autoRedefine/>
    <w:qFormat/>
    <w:uiPriority w:val="0"/>
    <w:pPr>
      <w:ind w:left="420"/>
      <w:jc w:val="center"/>
    </w:pPr>
    <w:rPr>
      <w:b/>
      <w:bCs/>
      <w:sz w:val="24"/>
      <w:szCs w:val="24"/>
    </w:rPr>
  </w:style>
  <w:style w:type="paragraph" w:customStyle="1" w:styleId="908">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9">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10">
    <w:name w:val="文4"/>
    <w:basedOn w:val="1"/>
    <w:autoRedefine/>
    <w:qFormat/>
    <w:uiPriority w:val="0"/>
    <w:pPr>
      <w:adjustRightInd w:val="0"/>
      <w:spacing w:line="500" w:lineRule="atLeast"/>
      <w:textAlignment w:val="baseline"/>
    </w:pPr>
    <w:rPr>
      <w:kern w:val="0"/>
      <w:sz w:val="28"/>
      <w:szCs w:val="20"/>
    </w:rPr>
  </w:style>
  <w:style w:type="paragraph" w:customStyle="1" w:styleId="911">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2">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3">
    <w:name w:val="副题目-封页"/>
    <w:basedOn w:val="1"/>
    <w:next w:val="34"/>
    <w:autoRedefine/>
    <w:qFormat/>
    <w:uiPriority w:val="0"/>
    <w:pPr>
      <w:keepNext/>
      <w:spacing w:after="560"/>
      <w:ind w:left="1800" w:right="1800"/>
      <w:jc w:val="center"/>
    </w:pPr>
    <w:rPr>
      <w:szCs w:val="20"/>
      <w:lang w:bidi="he-IL"/>
    </w:rPr>
  </w:style>
  <w:style w:type="paragraph" w:customStyle="1" w:styleId="914">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5">
    <w:name w:val="单位"/>
    <w:basedOn w:val="1"/>
    <w:autoRedefine/>
    <w:qFormat/>
    <w:uiPriority w:val="0"/>
    <w:pPr>
      <w:spacing w:line="200" w:lineRule="atLeast"/>
      <w:jc w:val="center"/>
    </w:pPr>
    <w:rPr>
      <w:rFonts w:eastAsia="华文宋体"/>
      <w:szCs w:val="24"/>
    </w:rPr>
  </w:style>
  <w:style w:type="paragraph" w:customStyle="1" w:styleId="916">
    <w:name w:val="正文："/>
    <w:basedOn w:val="1"/>
    <w:autoRedefine/>
    <w:qFormat/>
    <w:uiPriority w:val="0"/>
    <w:rPr>
      <w:szCs w:val="24"/>
    </w:rPr>
  </w:style>
  <w:style w:type="paragraph" w:customStyle="1" w:styleId="917">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8">
    <w:name w:val="Char Char Char Char Char Char Char Char Char Char Char Char Char Char1"/>
    <w:basedOn w:val="1"/>
    <w:autoRedefine/>
    <w:qFormat/>
    <w:uiPriority w:val="0"/>
    <w:rPr>
      <w:sz w:val="24"/>
      <w:szCs w:val="24"/>
    </w:rPr>
  </w:style>
  <w:style w:type="paragraph" w:customStyle="1" w:styleId="919">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20">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1">
    <w:name w:val="表格题注"/>
    <w:basedOn w:val="1"/>
    <w:autoRedefine/>
    <w:qFormat/>
    <w:uiPriority w:val="0"/>
    <w:pPr>
      <w:jc w:val="center"/>
    </w:pPr>
    <w:rPr>
      <w:szCs w:val="24"/>
    </w:rPr>
  </w:style>
  <w:style w:type="paragraph" w:customStyle="1" w:styleId="92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3">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4">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5">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6">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7">
    <w:name w:val="页面标题3"/>
    <w:basedOn w:val="928"/>
    <w:autoRedefine/>
    <w:qFormat/>
    <w:uiPriority w:val="0"/>
    <w:pPr>
      <w:ind w:left="200" w:leftChars="200"/>
    </w:pPr>
    <w:rPr>
      <w:sz w:val="32"/>
    </w:rPr>
  </w:style>
  <w:style w:type="paragraph" w:customStyle="1" w:styleId="928">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9">
    <w:name w:val="科研究报告标题2 + 加粗 右侧:  1 字符"/>
    <w:basedOn w:val="882"/>
    <w:autoRedefine/>
    <w:qFormat/>
    <w:uiPriority w:val="0"/>
    <w:pPr>
      <w:numPr>
        <w:numId w:val="0"/>
      </w:numPr>
      <w:ind w:right="210"/>
    </w:pPr>
    <w:rPr>
      <w:rFonts w:cs="宋体"/>
      <w:b/>
      <w:bCs/>
      <w:szCs w:val="20"/>
    </w:rPr>
  </w:style>
  <w:style w:type="paragraph" w:customStyle="1" w:styleId="930">
    <w:name w:val="Char Char Char Char Char Char Char Char Char Char Char Char Char Char Char Char1"/>
    <w:basedOn w:val="1"/>
    <w:next w:val="1"/>
    <w:autoRedefine/>
    <w:qFormat/>
    <w:uiPriority w:val="0"/>
    <w:rPr>
      <w:szCs w:val="24"/>
    </w:rPr>
  </w:style>
  <w:style w:type="paragraph" w:customStyle="1" w:styleId="93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2">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3">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4">
    <w:name w:val="样式 样式 样式 标题 2 + 首行缩进:  0 字符 + (西文) Times New Roman + 首行缩进:  1 字符"/>
    <w:basedOn w:val="402"/>
    <w:autoRedefine/>
    <w:qFormat/>
    <w:uiPriority w:val="0"/>
    <w:pPr>
      <w:ind w:firstLine="0" w:firstLineChars="0"/>
    </w:pPr>
    <w:rPr>
      <w:rFonts w:cs="宋体"/>
      <w:lang w:val="zh-CN"/>
    </w:rPr>
  </w:style>
  <w:style w:type="paragraph" w:customStyle="1" w:styleId="935">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6">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7">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8">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9">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40">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2">
    <w:name w:val="16"/>
    <w:basedOn w:val="1"/>
    <w:next w:val="21"/>
    <w:autoRedefine/>
    <w:qFormat/>
    <w:uiPriority w:val="0"/>
    <w:pPr>
      <w:ind w:firstLine="420" w:firstLineChars="200"/>
    </w:pPr>
    <w:rPr>
      <w:rFonts w:ascii="Arial" w:hAnsi="Arial"/>
      <w:szCs w:val="24"/>
    </w:rPr>
  </w:style>
  <w:style w:type="paragraph" w:customStyle="1" w:styleId="943">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4">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5">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6">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7">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8">
    <w:name w:val="LNG－正文"/>
    <w:basedOn w:val="1"/>
    <w:autoRedefine/>
    <w:qFormat/>
    <w:uiPriority w:val="0"/>
    <w:pPr>
      <w:spacing w:line="360" w:lineRule="auto"/>
    </w:pPr>
    <w:rPr>
      <w:sz w:val="24"/>
      <w:szCs w:val="24"/>
    </w:rPr>
  </w:style>
  <w:style w:type="paragraph" w:customStyle="1" w:styleId="949">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50">
    <w:name w:val="样式 正文缩进正文（首行缩进两字） + 首行缩进:  2 字符"/>
    <w:basedOn w:val="21"/>
    <w:autoRedefine/>
    <w:qFormat/>
    <w:uiPriority w:val="0"/>
    <w:pPr>
      <w:widowControl w:val="0"/>
      <w:tabs>
        <w:tab w:val="left" w:pos="2835"/>
      </w:tabs>
      <w:ind w:firstLine="560"/>
    </w:pPr>
    <w:rPr>
      <w:rFonts w:eastAsia="仿宋_GB2312"/>
      <w:bCs/>
      <w:sz w:val="28"/>
      <w:szCs w:val="22"/>
    </w:rPr>
  </w:style>
  <w:style w:type="paragraph" w:customStyle="1" w:styleId="951">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2">
    <w:name w:val="样式 标题 2 + 四号"/>
    <w:basedOn w:val="1"/>
    <w:autoRedefine/>
    <w:qFormat/>
    <w:uiPriority w:val="0"/>
    <w:pPr>
      <w:spacing w:line="360" w:lineRule="auto"/>
    </w:pPr>
    <w:rPr>
      <w:sz w:val="24"/>
      <w:szCs w:val="24"/>
    </w:rPr>
  </w:style>
  <w:style w:type="paragraph" w:customStyle="1" w:styleId="953">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4">
    <w:name w:val="样式 左  0 字符"/>
    <w:basedOn w:val="1"/>
    <w:autoRedefine/>
    <w:qFormat/>
    <w:uiPriority w:val="0"/>
    <w:pPr>
      <w:spacing w:line="360" w:lineRule="auto"/>
      <w:ind w:firstLine="225" w:firstLineChars="225"/>
    </w:pPr>
    <w:rPr>
      <w:rFonts w:cs="宋体"/>
      <w:sz w:val="24"/>
      <w:szCs w:val="20"/>
    </w:rPr>
  </w:style>
  <w:style w:type="paragraph" w:customStyle="1" w:styleId="955">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6">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7">
    <w:name w:val="2"/>
    <w:basedOn w:val="1"/>
    <w:autoRedefine/>
    <w:qFormat/>
    <w:uiPriority w:val="0"/>
    <w:pPr>
      <w:spacing w:before="240" w:line="440" w:lineRule="exact"/>
    </w:pPr>
    <w:rPr>
      <w:rFonts w:ascii="黑体" w:eastAsia="黑体"/>
      <w:sz w:val="24"/>
      <w:szCs w:val="28"/>
    </w:rPr>
  </w:style>
  <w:style w:type="paragraph" w:customStyle="1" w:styleId="958">
    <w:name w:val="框图"/>
    <w:basedOn w:val="1"/>
    <w:autoRedefine/>
    <w:qFormat/>
    <w:uiPriority w:val="0"/>
    <w:pPr>
      <w:spacing w:line="400" w:lineRule="exact"/>
      <w:jc w:val="center"/>
    </w:pPr>
    <w:rPr>
      <w:bCs/>
      <w:szCs w:val="20"/>
    </w:rPr>
  </w:style>
  <w:style w:type="paragraph" w:customStyle="1" w:styleId="959">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60">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1">
    <w:name w:val="Char Char Char Char Char Char2 Char Char Char Char"/>
    <w:basedOn w:val="1"/>
    <w:autoRedefine/>
    <w:qFormat/>
    <w:uiPriority w:val="0"/>
    <w:rPr>
      <w:rFonts w:ascii="Arial" w:hAnsi="Arial"/>
      <w:szCs w:val="24"/>
    </w:rPr>
  </w:style>
  <w:style w:type="paragraph" w:customStyle="1" w:styleId="962">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3">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4">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5">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6">
    <w:name w:val="4 Char Char Char Char"/>
    <w:basedOn w:val="1"/>
    <w:autoRedefine/>
    <w:qFormat/>
    <w:uiPriority w:val="0"/>
    <w:pPr>
      <w:spacing w:line="360" w:lineRule="auto"/>
      <w:ind w:firstLine="200" w:firstLineChars="200"/>
    </w:pPr>
    <w:rPr>
      <w:kern w:val="0"/>
      <w:sz w:val="20"/>
      <w:szCs w:val="20"/>
    </w:rPr>
  </w:style>
  <w:style w:type="paragraph" w:customStyle="1" w:styleId="967">
    <w:name w:val="Char2 Char Char Char Char Char Char"/>
    <w:basedOn w:val="1"/>
    <w:autoRedefine/>
    <w:qFormat/>
    <w:uiPriority w:val="0"/>
    <w:rPr>
      <w:szCs w:val="24"/>
    </w:rPr>
  </w:style>
  <w:style w:type="paragraph" w:customStyle="1" w:styleId="968">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9">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70">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1">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2">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3">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4">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6">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7">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8">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9">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80">
    <w:name w:val="默认段落字体 Para Char Char Char1 Char Char Char Char Char Char Char Char Char Char"/>
    <w:basedOn w:val="1"/>
    <w:autoRedefine/>
    <w:qFormat/>
    <w:uiPriority w:val="0"/>
    <w:rPr>
      <w:rFonts w:ascii="Arial" w:hAnsi="Arial"/>
      <w:sz w:val="24"/>
      <w:szCs w:val="24"/>
    </w:rPr>
  </w:style>
  <w:style w:type="paragraph" w:customStyle="1" w:styleId="981">
    <w:name w:val="表头样式"/>
    <w:basedOn w:val="1"/>
    <w:autoRedefine/>
    <w:qFormat/>
    <w:uiPriority w:val="0"/>
    <w:pPr>
      <w:numPr>
        <w:ilvl w:val="1"/>
        <w:numId w:val="12"/>
      </w:numPr>
      <w:tabs>
        <w:tab w:val="clear" w:pos="1322"/>
      </w:tabs>
      <w:snapToGrid w:val="0"/>
      <w:spacing w:line="360" w:lineRule="auto"/>
      <w:ind w:left="0" w:firstLine="570"/>
    </w:pPr>
    <w:rPr>
      <w:rFonts w:ascii="黑体" w:eastAsia="黑体"/>
      <w:sz w:val="28"/>
      <w:szCs w:val="20"/>
    </w:rPr>
  </w:style>
  <w:style w:type="paragraph" w:customStyle="1" w:styleId="982">
    <w:name w:val="样式8"/>
    <w:basedOn w:val="21"/>
    <w:autoRedefine/>
    <w:qFormat/>
    <w:uiPriority w:val="0"/>
    <w:pPr>
      <w:widowControl w:val="0"/>
      <w:spacing w:line="264" w:lineRule="auto"/>
      <w:ind w:firstLine="476"/>
    </w:pPr>
    <w:rPr>
      <w:rFonts w:ascii="Arial" w:hAnsi="Arial" w:cs="Arial"/>
      <w:sz w:val="24"/>
      <w:szCs w:val="24"/>
    </w:rPr>
  </w:style>
  <w:style w:type="paragraph" w:customStyle="1" w:styleId="983">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4">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5">
    <w:name w:val="3级标题"/>
    <w:basedOn w:val="1"/>
    <w:autoRedefine/>
    <w:qFormat/>
    <w:uiPriority w:val="0"/>
    <w:pPr>
      <w:spacing w:before="300" w:line="460" w:lineRule="exact"/>
      <w:outlineLvl w:val="2"/>
    </w:pPr>
    <w:rPr>
      <w:rFonts w:ascii="Arial" w:hAnsi="Arial"/>
      <w:b/>
      <w:sz w:val="24"/>
      <w:szCs w:val="24"/>
    </w:rPr>
  </w:style>
  <w:style w:type="paragraph" w:customStyle="1" w:styleId="98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8">
    <w:name w:val="样式 样式 标题 2Chapter Title节标题 1.1 + 首行缩进:  2 字符 + 段前: 1.5 行 段后: 1...."/>
    <w:basedOn w:val="1"/>
    <w:autoRedefine/>
    <w:qFormat/>
    <w:uiPriority w:val="0"/>
    <w:pPr>
      <w:numPr>
        <w:ilvl w:val="1"/>
        <w:numId w:val="13"/>
      </w:numPr>
      <w:adjustRightInd w:val="0"/>
      <w:spacing w:line="360" w:lineRule="auto"/>
      <w:jc w:val="left"/>
      <w:outlineLvl w:val="1"/>
    </w:pPr>
    <w:rPr>
      <w:rFonts w:ascii="宋体" w:hAnsi="Univers" w:cs="宋体"/>
      <w:b/>
      <w:bCs/>
      <w:color w:val="000000"/>
      <w:kern w:val="28"/>
      <w:sz w:val="28"/>
      <w:szCs w:val="20"/>
    </w:rPr>
  </w:style>
  <w:style w:type="paragraph" w:customStyle="1" w:styleId="989">
    <w:name w:val="样式 小四 行距: 固定值 18 磅"/>
    <w:basedOn w:val="1"/>
    <w:autoRedefine/>
    <w:qFormat/>
    <w:uiPriority w:val="0"/>
    <w:pPr>
      <w:numPr>
        <w:ilvl w:val="0"/>
        <w:numId w:val="13"/>
      </w:numPr>
      <w:tabs>
        <w:tab w:val="left" w:pos="757"/>
        <w:tab w:val="clear" w:pos="836"/>
      </w:tabs>
      <w:spacing w:line="360" w:lineRule="exact"/>
    </w:pPr>
    <w:rPr>
      <w:sz w:val="24"/>
      <w:szCs w:val="20"/>
    </w:rPr>
  </w:style>
  <w:style w:type="paragraph" w:customStyle="1" w:styleId="990">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1">
    <w:name w:val="表内容1"/>
    <w:basedOn w:val="992"/>
    <w:autoRedefine/>
    <w:qFormat/>
    <w:uiPriority w:val="0"/>
    <w:pPr>
      <w:widowControl/>
      <w:tabs>
        <w:tab w:val="left" w:pos="0"/>
      </w:tabs>
      <w:adjustRightInd/>
      <w:spacing w:line="264" w:lineRule="auto"/>
      <w:jc w:val="center"/>
    </w:pPr>
    <w:rPr>
      <w:rFonts w:ascii="宋体" w:eastAsia="宋体"/>
      <w:kern w:val="2"/>
    </w:rPr>
  </w:style>
  <w:style w:type="paragraph" w:customStyle="1" w:styleId="992">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3">
    <w:name w:val="表文"/>
    <w:basedOn w:val="1"/>
    <w:autoRedefine/>
    <w:qFormat/>
    <w:uiPriority w:val="0"/>
    <w:pPr>
      <w:tabs>
        <w:tab w:val="left" w:pos="1021"/>
      </w:tabs>
      <w:jc w:val="center"/>
    </w:pPr>
    <w:rPr>
      <w:kern w:val="0"/>
    </w:rPr>
  </w:style>
  <w:style w:type="paragraph" w:customStyle="1" w:styleId="994">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5">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6">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7">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8">
    <w:name w:val="4级标题"/>
    <w:basedOn w:val="134"/>
    <w:autoRedefine/>
    <w:qFormat/>
    <w:uiPriority w:val="0"/>
    <w:pPr>
      <w:ind w:firstLine="200" w:firstLineChars="200"/>
      <w:jc w:val="both"/>
    </w:pPr>
    <w:rPr>
      <w:rFonts w:ascii="Times New Roman" w:hAnsi="Times New Roman" w:eastAsia="Times New Roman"/>
    </w:rPr>
  </w:style>
  <w:style w:type="paragraph" w:customStyle="1" w:styleId="999">
    <w:name w:val="首行缩进 Char Char"/>
    <w:basedOn w:val="1"/>
    <w:autoRedefine/>
    <w:qFormat/>
    <w:uiPriority w:val="0"/>
    <w:pPr>
      <w:snapToGrid w:val="0"/>
      <w:spacing w:line="360" w:lineRule="auto"/>
      <w:ind w:firstLine="499"/>
    </w:pPr>
    <w:rPr>
      <w:rFonts w:ascii="宋体"/>
      <w:sz w:val="24"/>
      <w:szCs w:val="20"/>
    </w:rPr>
  </w:style>
  <w:style w:type="paragraph" w:customStyle="1" w:styleId="1000">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1">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2">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3">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4">
    <w:name w:val="Char Char1"/>
    <w:basedOn w:val="1"/>
    <w:autoRedefine/>
    <w:qFormat/>
    <w:uiPriority w:val="0"/>
    <w:pPr>
      <w:spacing w:line="360" w:lineRule="auto"/>
      <w:ind w:firstLine="200" w:firstLineChars="200"/>
    </w:pPr>
    <w:rPr>
      <w:rFonts w:ascii="Arial" w:hAnsi="Arial"/>
      <w:szCs w:val="20"/>
    </w:rPr>
  </w:style>
  <w:style w:type="paragraph" w:customStyle="1" w:styleId="1005">
    <w:name w:val="正文首行缩进2"/>
    <w:basedOn w:val="87"/>
    <w:autoRedefine/>
    <w:qFormat/>
    <w:uiPriority w:val="0"/>
    <w:pPr>
      <w:ind w:left="0" w:leftChars="0" w:firstLine="210" w:firstLineChars="0"/>
    </w:pPr>
    <w:rPr>
      <w:sz w:val="21"/>
      <w:szCs w:val="20"/>
    </w:rPr>
  </w:style>
  <w:style w:type="paragraph" w:customStyle="1" w:styleId="1006">
    <w:name w:val="表格后文"/>
    <w:basedOn w:val="134"/>
    <w:autoRedefine/>
    <w:qFormat/>
    <w:uiPriority w:val="0"/>
    <w:pPr>
      <w:spacing w:before="300"/>
      <w:ind w:firstLine="200" w:firstLineChars="200"/>
      <w:jc w:val="both"/>
    </w:pPr>
    <w:rPr>
      <w:rFonts w:ascii="Times New Roman" w:hAnsi="Times New Roman"/>
    </w:rPr>
  </w:style>
  <w:style w:type="paragraph" w:customStyle="1" w:styleId="1007">
    <w:name w:val="首页脚样式"/>
    <w:basedOn w:val="55"/>
    <w:autoRedefine/>
    <w:qFormat/>
    <w:uiPriority w:val="0"/>
    <w:pPr>
      <w:keepLines/>
      <w:widowControl/>
      <w:pBdr>
        <w:top w:val="single" w:color="auto" w:sz="6" w:space="1"/>
      </w:pBdr>
      <w:tabs>
        <w:tab w:val="center" w:pos="4320"/>
        <w:tab w:val="clear" w:pos="4153"/>
        <w:tab w:val="clear" w:pos="8306"/>
      </w:tabs>
      <w:snapToGrid/>
      <w:spacing w:line="190" w:lineRule="atLeast"/>
    </w:pPr>
    <w:rPr>
      <w:caps/>
      <w:spacing w:val="-5"/>
      <w:kern w:val="0"/>
      <w:sz w:val="15"/>
      <w:szCs w:val="20"/>
      <w:lang w:bidi="he-IL"/>
    </w:rPr>
  </w:style>
  <w:style w:type="paragraph" w:customStyle="1" w:styleId="1008">
    <w:name w:val="cucd-4"/>
    <w:next w:val="1009"/>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9">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10">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1">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2">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3">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4">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5">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6">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8">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9">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20">
    <w:name w:val="四级条标题"/>
    <w:basedOn w:val="856"/>
    <w:next w:val="1"/>
    <w:autoRedefine/>
    <w:qFormat/>
    <w:uiPriority w:val="0"/>
    <w:pPr>
      <w:outlineLvl w:val="5"/>
    </w:pPr>
  </w:style>
  <w:style w:type="paragraph" w:customStyle="1" w:styleId="1021">
    <w:name w:val="样式2 Char"/>
    <w:basedOn w:val="21"/>
    <w:autoRedefine/>
    <w:qFormat/>
    <w:uiPriority w:val="0"/>
    <w:pPr>
      <w:overflowPunct w:val="0"/>
      <w:autoSpaceDE w:val="0"/>
      <w:autoSpaceDN w:val="0"/>
      <w:adjustRightInd w:val="0"/>
      <w:ind w:firstLine="491"/>
      <w:textAlignment w:val="baseline"/>
    </w:pPr>
    <w:rPr>
      <w:sz w:val="24"/>
      <w:szCs w:val="24"/>
    </w:rPr>
  </w:style>
  <w:style w:type="paragraph" w:customStyle="1" w:styleId="1022">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3">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4">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5">
    <w:name w:val="五号表格"/>
    <w:basedOn w:val="1"/>
    <w:autoRedefine/>
    <w:qFormat/>
    <w:uiPriority w:val="0"/>
    <w:pPr>
      <w:jc w:val="center"/>
    </w:pPr>
    <w:rPr>
      <w:rFonts w:ascii="Arial" w:hAnsi="Arial"/>
      <w:kern w:val="0"/>
      <w:szCs w:val="20"/>
    </w:rPr>
  </w:style>
  <w:style w:type="paragraph" w:customStyle="1" w:styleId="1026">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7">
    <w:name w:val="CM92"/>
    <w:basedOn w:val="330"/>
    <w:next w:val="330"/>
    <w:autoRedefine/>
    <w:qFormat/>
    <w:uiPriority w:val="0"/>
    <w:rPr>
      <w:rFonts w:ascii="宋体" w:hAnsi="Calibri" w:eastAsia="宋体"/>
      <w:color w:val="auto"/>
    </w:rPr>
  </w:style>
  <w:style w:type="paragraph" w:customStyle="1" w:styleId="1028">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30">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1">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2">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3">
    <w:name w:val="正文3"/>
    <w:basedOn w:val="1"/>
    <w:autoRedefine/>
    <w:qFormat/>
    <w:uiPriority w:val="0"/>
    <w:pPr>
      <w:keepNext/>
      <w:adjustRightInd w:val="0"/>
      <w:jc w:val="center"/>
      <w:textAlignment w:val="baseline"/>
    </w:pPr>
    <w:rPr>
      <w:kern w:val="0"/>
      <w:sz w:val="28"/>
      <w:szCs w:val="20"/>
    </w:rPr>
  </w:style>
  <w:style w:type="paragraph" w:customStyle="1" w:styleId="1034">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5">
    <w:name w:val="样式 表格正文 + 段前: 20 磅"/>
    <w:basedOn w:val="1"/>
    <w:autoRedefine/>
    <w:qFormat/>
    <w:uiPriority w:val="0"/>
    <w:pPr>
      <w:spacing w:line="360" w:lineRule="exact"/>
      <w:jc w:val="center"/>
    </w:pPr>
    <w:rPr>
      <w:szCs w:val="24"/>
    </w:rPr>
  </w:style>
  <w:style w:type="paragraph" w:customStyle="1" w:styleId="1036">
    <w:name w:val="内表头"/>
    <w:basedOn w:val="1"/>
    <w:autoRedefine/>
    <w:qFormat/>
    <w:uiPriority w:val="0"/>
    <w:pPr>
      <w:adjustRightInd w:val="0"/>
      <w:snapToGrid w:val="0"/>
      <w:jc w:val="center"/>
    </w:pPr>
    <w:rPr>
      <w:rFonts w:eastAsia="黑体" w:cs="Arial"/>
      <w:sz w:val="20"/>
      <w:szCs w:val="24"/>
    </w:rPr>
  </w:style>
  <w:style w:type="paragraph" w:customStyle="1" w:styleId="1037">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8">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9">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40">
    <w:name w:val="样式5"/>
    <w:basedOn w:val="283"/>
    <w:autoRedefine/>
    <w:qFormat/>
    <w:uiPriority w:val="0"/>
    <w:pPr>
      <w:tabs>
        <w:tab w:val="clear" w:pos="480"/>
      </w:tabs>
      <w:ind w:left="0" w:firstLine="0"/>
    </w:pPr>
    <w:rPr>
      <w:rFonts w:ascii="仿宋_GB2312" w:cs="Arial"/>
      <w:bCs/>
      <w:sz w:val="24"/>
    </w:rPr>
  </w:style>
  <w:style w:type="paragraph" w:customStyle="1" w:styleId="1041">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2">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3">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4">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5">
    <w:name w:val="表问"/>
    <w:basedOn w:val="1"/>
    <w:autoRedefine/>
    <w:qFormat/>
    <w:uiPriority w:val="0"/>
    <w:pPr>
      <w:spacing w:line="240" w:lineRule="atLeast"/>
      <w:jc w:val="center"/>
    </w:pPr>
    <w:rPr>
      <w:szCs w:val="28"/>
    </w:rPr>
  </w:style>
  <w:style w:type="paragraph" w:customStyle="1" w:styleId="1046">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7">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8">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9">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50">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1">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2">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3">
    <w:name w:val="Char1 Char Char Char"/>
    <w:basedOn w:val="1"/>
    <w:autoRedefine/>
    <w:qFormat/>
    <w:uiPriority w:val="0"/>
    <w:rPr>
      <w:rFonts w:ascii="Arial" w:hAnsi="Arial"/>
      <w:szCs w:val="24"/>
    </w:rPr>
  </w:style>
  <w:style w:type="paragraph" w:customStyle="1" w:styleId="1054">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5">
    <w:name w:val="样式 表格 + 行距: 单倍行距"/>
    <w:basedOn w:val="1"/>
    <w:autoRedefine/>
    <w:qFormat/>
    <w:uiPriority w:val="0"/>
    <w:pPr>
      <w:jc w:val="center"/>
    </w:pPr>
    <w:rPr>
      <w:rFonts w:hAnsi="宋体"/>
      <w:color w:val="000000"/>
      <w:kern w:val="0"/>
      <w:szCs w:val="20"/>
    </w:rPr>
  </w:style>
  <w:style w:type="paragraph" w:customStyle="1" w:styleId="1056">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7">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8">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9">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0">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1">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2">
    <w:name w:val="Char Char Char Char Char Char Char Char Char Char Char Char Char Char"/>
    <w:basedOn w:val="1"/>
    <w:autoRedefine/>
    <w:qFormat/>
    <w:uiPriority w:val="0"/>
    <w:rPr>
      <w:sz w:val="24"/>
      <w:szCs w:val="24"/>
    </w:rPr>
  </w:style>
  <w:style w:type="paragraph" w:customStyle="1" w:styleId="1063">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4">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5">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6">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7">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8">
    <w:name w:val="样式 表头 + 行距: 固定值 25 磅"/>
    <w:basedOn w:val="292"/>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9">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70">
    <w:name w:val="MTDisplayEquation"/>
    <w:basedOn w:val="1"/>
    <w:next w:val="1"/>
    <w:autoRedefine/>
    <w:qFormat/>
    <w:uiPriority w:val="0"/>
    <w:pPr>
      <w:tabs>
        <w:tab w:val="center" w:pos="4160"/>
        <w:tab w:val="right" w:pos="8300"/>
      </w:tabs>
    </w:pPr>
    <w:rPr>
      <w:szCs w:val="24"/>
    </w:rPr>
  </w:style>
  <w:style w:type="paragraph" w:customStyle="1" w:styleId="1071">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2">
    <w:name w:val="基准索引样式"/>
    <w:basedOn w:val="1"/>
    <w:autoRedefine/>
    <w:qFormat/>
    <w:uiPriority w:val="0"/>
    <w:pPr>
      <w:tabs>
        <w:tab w:val="right" w:leader="dot" w:pos="3960"/>
      </w:tabs>
      <w:ind w:left="720" w:hanging="720"/>
    </w:pPr>
    <w:rPr>
      <w:sz w:val="20"/>
      <w:szCs w:val="20"/>
      <w:lang w:bidi="he-IL"/>
    </w:rPr>
  </w:style>
  <w:style w:type="paragraph" w:customStyle="1" w:styleId="1073">
    <w:name w:val="（1）名字"/>
    <w:basedOn w:val="1"/>
    <w:autoRedefine/>
    <w:qFormat/>
    <w:uiPriority w:val="0"/>
    <w:pPr>
      <w:spacing w:line="480" w:lineRule="auto"/>
    </w:pPr>
    <w:rPr>
      <w:rFonts w:hAnsi="宋体"/>
      <w:sz w:val="24"/>
      <w:szCs w:val="24"/>
    </w:rPr>
  </w:style>
  <w:style w:type="paragraph" w:customStyle="1" w:styleId="1074">
    <w:name w:val="Char Char Char Char Char Char3 Char Char Char Char Char Char Char"/>
    <w:basedOn w:val="1"/>
    <w:next w:val="1"/>
    <w:autoRedefine/>
    <w:qFormat/>
    <w:uiPriority w:val="0"/>
    <w:rPr>
      <w:rFonts w:eastAsia="黑体"/>
      <w:sz w:val="28"/>
      <w:szCs w:val="24"/>
    </w:rPr>
  </w:style>
  <w:style w:type="paragraph" w:customStyle="1" w:styleId="1075">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6">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7">
    <w:name w:val="样式 LNG-正文 + 首行缩进:  2 字符"/>
    <w:basedOn w:val="1078"/>
    <w:autoRedefine/>
    <w:qFormat/>
    <w:uiPriority w:val="0"/>
    <w:pPr>
      <w:ind w:firstLine="480"/>
    </w:pPr>
    <w:rPr>
      <w:rFonts w:cs="宋体"/>
      <w:szCs w:val="20"/>
    </w:rPr>
  </w:style>
  <w:style w:type="paragraph" w:customStyle="1" w:styleId="1078">
    <w:name w:val="LNG-正文"/>
    <w:basedOn w:val="948"/>
    <w:autoRedefine/>
    <w:qFormat/>
    <w:uiPriority w:val="0"/>
    <w:pPr>
      <w:ind w:firstLine="200" w:firstLineChars="200"/>
    </w:pPr>
    <w:rPr>
      <w:rFonts w:ascii="宋体" w:hAnsi="宋体"/>
      <w:kern w:val="0"/>
    </w:rPr>
  </w:style>
  <w:style w:type="paragraph" w:customStyle="1" w:styleId="1079">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0">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1">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2">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3">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4">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5">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6">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7">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ind w:firstLine="491"/>
      <w:textAlignment w:val="baseline"/>
    </w:pPr>
    <w:rPr>
      <w:kern w:val="0"/>
      <w:sz w:val="24"/>
    </w:rPr>
  </w:style>
  <w:style w:type="paragraph" w:customStyle="1" w:styleId="1089">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90">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1">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2">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3">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4">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5">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6">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7">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8">
    <w:name w:val="样式 正文缩进 + 五号"/>
    <w:basedOn w:val="21"/>
    <w:autoRedefine/>
    <w:qFormat/>
    <w:uiPriority w:val="0"/>
    <w:pPr>
      <w:overflowPunct w:val="0"/>
      <w:autoSpaceDE w:val="0"/>
      <w:autoSpaceDN w:val="0"/>
      <w:adjustRightInd w:val="0"/>
      <w:textAlignment w:val="baseline"/>
    </w:pPr>
    <w:rPr>
      <w:kern w:val="0"/>
      <w:sz w:val="24"/>
    </w:rPr>
  </w:style>
  <w:style w:type="paragraph" w:customStyle="1" w:styleId="1099">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100">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1">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2">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3">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5">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6">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7">
    <w:name w:val="标准条文"/>
    <w:basedOn w:val="1"/>
    <w:qFormat/>
    <w:uiPriority w:val="0"/>
    <w:rPr>
      <w:szCs w:val="20"/>
      <w:lang w:bidi="he-IL"/>
    </w:rPr>
  </w:style>
  <w:style w:type="paragraph" w:customStyle="1" w:styleId="1108">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9">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10">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1">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2">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3">
    <w:name w:val="Char Char Char Char Char Char2 Char Char Char Char1"/>
    <w:basedOn w:val="1"/>
    <w:autoRedefine/>
    <w:qFormat/>
    <w:uiPriority w:val="0"/>
    <w:rPr>
      <w:szCs w:val="24"/>
    </w:rPr>
  </w:style>
  <w:style w:type="paragraph" w:customStyle="1" w:styleId="1114">
    <w:name w:val="样式10"/>
    <w:basedOn w:val="1"/>
    <w:autoRedefine/>
    <w:qFormat/>
    <w:uiPriority w:val="0"/>
    <w:pPr>
      <w:spacing w:line="360" w:lineRule="auto"/>
    </w:pPr>
    <w:rPr>
      <w:rFonts w:ascii="Arial" w:hAnsi="Arial" w:cs="Arial"/>
      <w:b/>
      <w:bCs/>
      <w:sz w:val="24"/>
      <w:szCs w:val="24"/>
      <w:lang w:val="en-GB"/>
    </w:rPr>
  </w:style>
  <w:style w:type="paragraph" w:customStyle="1" w:styleId="1115">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7">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8">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9">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20">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1">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2">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3">
    <w:name w:val="图形"/>
    <w:basedOn w:val="1"/>
    <w:autoRedefine/>
    <w:qFormat/>
    <w:uiPriority w:val="0"/>
    <w:pPr>
      <w:widowControl/>
      <w:adjustRightInd w:val="0"/>
      <w:snapToGrid w:val="0"/>
      <w:jc w:val="center"/>
    </w:pPr>
    <w:rPr>
      <w:kern w:val="24"/>
    </w:rPr>
  </w:style>
  <w:style w:type="paragraph" w:customStyle="1" w:styleId="1124">
    <w:name w:val="标题3.5"/>
    <w:basedOn w:val="1"/>
    <w:autoRedefine/>
    <w:qFormat/>
    <w:uiPriority w:val="0"/>
    <w:rPr>
      <w:rFonts w:ascii="Arial" w:hAnsi="Arial" w:eastAsia="仿宋_GB2312"/>
      <w:sz w:val="24"/>
      <w:szCs w:val="24"/>
    </w:rPr>
  </w:style>
  <w:style w:type="paragraph" w:customStyle="1" w:styleId="1125">
    <w:name w:val="奇页脚样式"/>
    <w:basedOn w:val="55"/>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126">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8">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9">
    <w:name w:val="9"/>
    <w:basedOn w:val="1"/>
    <w:next w:val="51"/>
    <w:autoRedefine/>
    <w:qFormat/>
    <w:uiPriority w:val="0"/>
    <w:pPr>
      <w:spacing w:line="348" w:lineRule="auto"/>
      <w:ind w:firstLine="480" w:firstLineChars="200"/>
    </w:pPr>
    <w:rPr>
      <w:sz w:val="24"/>
    </w:rPr>
  </w:style>
  <w:style w:type="paragraph" w:customStyle="1" w:styleId="1130">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1">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2">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3">
    <w:name w:val="南郊正文"/>
    <w:basedOn w:val="1"/>
    <w:next w:val="1"/>
    <w:autoRedefine/>
    <w:qFormat/>
    <w:uiPriority w:val="0"/>
    <w:rPr>
      <w:sz w:val="24"/>
      <w:szCs w:val="24"/>
    </w:rPr>
  </w:style>
  <w:style w:type="paragraph" w:customStyle="1" w:styleId="1134">
    <w:name w:val="五级条标题"/>
    <w:basedOn w:val="1020"/>
    <w:next w:val="1"/>
    <w:autoRedefine/>
    <w:qFormat/>
    <w:uiPriority w:val="0"/>
    <w:pPr>
      <w:outlineLvl w:val="6"/>
    </w:pPr>
  </w:style>
  <w:style w:type="paragraph" w:customStyle="1" w:styleId="1135">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6">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7">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8">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9">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40">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1">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2">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3">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4">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5">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6">
    <w:name w:val="图"/>
    <w:basedOn w:val="21"/>
    <w:autoRedefine/>
    <w:qFormat/>
    <w:uiPriority w:val="0"/>
    <w:pPr>
      <w:widowControl w:val="0"/>
      <w:autoSpaceDE w:val="0"/>
      <w:autoSpaceDN w:val="0"/>
      <w:adjustRightInd w:val="0"/>
      <w:ind w:left="67" w:leftChars="67" w:firstLine="723" w:firstLineChars="300"/>
      <w:jc w:val="center"/>
    </w:pPr>
    <w:rPr>
      <w:rFonts w:cs="Arial"/>
      <w:b/>
      <w:bCs/>
      <w:kern w:val="0"/>
      <w:sz w:val="24"/>
      <w:szCs w:val="18"/>
    </w:rPr>
  </w:style>
  <w:style w:type="paragraph" w:customStyle="1" w:styleId="114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8">
    <w:name w:val="zihe-2级标题"/>
    <w:basedOn w:val="1"/>
    <w:autoRedefine/>
    <w:qFormat/>
    <w:uiPriority w:val="0"/>
    <w:pPr>
      <w:numPr>
        <w:ilvl w:val="1"/>
        <w:numId w:val="14"/>
      </w:numPr>
      <w:spacing w:before="360" w:line="360" w:lineRule="auto"/>
      <w:outlineLvl w:val="1"/>
    </w:pPr>
    <w:rPr>
      <w:rFonts w:ascii="宋体" w:hAnsi="宋体"/>
      <w:b/>
      <w:sz w:val="30"/>
      <w:szCs w:val="30"/>
    </w:rPr>
  </w:style>
  <w:style w:type="paragraph" w:customStyle="1" w:styleId="1149">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50">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1">
    <w:name w:val="五级无标题条"/>
    <w:basedOn w:val="1"/>
    <w:autoRedefine/>
    <w:qFormat/>
    <w:uiPriority w:val="0"/>
    <w:pPr>
      <w:numPr>
        <w:ilvl w:val="6"/>
        <w:numId w:val="11"/>
      </w:numPr>
    </w:pPr>
    <w:rPr>
      <w:szCs w:val="24"/>
    </w:rPr>
  </w:style>
  <w:style w:type="paragraph" w:customStyle="1" w:styleId="1152">
    <w:name w:val="正文表标题"/>
    <w:next w:val="1"/>
    <w:autoRedefine/>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4">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5">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6">
    <w:name w:val="表格001"/>
    <w:basedOn w:val="1"/>
    <w:autoRedefine/>
    <w:qFormat/>
    <w:uiPriority w:val="0"/>
    <w:pPr>
      <w:jc w:val="center"/>
    </w:pPr>
    <w:rPr>
      <w:rFonts w:ascii="Arial" w:hAnsi="Arial"/>
      <w:szCs w:val="20"/>
    </w:rPr>
  </w:style>
  <w:style w:type="paragraph" w:customStyle="1" w:styleId="1157">
    <w:name w:val="样式 LNG－标题1 + 居中 段前: 0.5 行 段后: 0.5 行1"/>
    <w:autoRedefine/>
    <w:qFormat/>
    <w:uiPriority w:val="0"/>
    <w:pPr>
      <w:numPr>
        <w:ilvl w:val="0"/>
        <w:numId w:val="16"/>
      </w:numPr>
      <w:spacing w:before="156" w:after="156"/>
      <w:jc w:val="center"/>
    </w:pPr>
    <w:rPr>
      <w:rFonts w:ascii="Times New Roman" w:hAnsi="Times New Roman" w:eastAsia="宋体" w:cs="宋体"/>
      <w:b/>
      <w:bCs/>
      <w:sz w:val="32"/>
      <w:lang w:val="en-US" w:eastAsia="zh-CN" w:bidi="ar-SA"/>
    </w:rPr>
  </w:style>
  <w:style w:type="paragraph" w:customStyle="1" w:styleId="1158">
    <w:name w:val="+标题1"/>
    <w:basedOn w:val="3"/>
    <w:autoRedefine/>
    <w:qFormat/>
    <w:uiPriority w:val="0"/>
    <w:pPr>
      <w:keepNext/>
      <w:pageBreakBefore/>
      <w:numPr>
        <w:ilvl w:val="0"/>
        <w:numId w:val="17"/>
      </w:numPr>
      <w:tabs>
        <w:tab w:val="left" w:pos="0"/>
        <w:tab w:val="clear" w:pos="960"/>
      </w:tabs>
      <w:spacing w:before="240" w:after="240" w:line="360" w:lineRule="auto"/>
    </w:pPr>
    <w:rPr>
      <w:rFonts w:eastAsia="黑体"/>
      <w:kern w:val="32"/>
      <w:sz w:val="32"/>
      <w:szCs w:val="32"/>
    </w:rPr>
  </w:style>
  <w:style w:type="paragraph" w:customStyle="1" w:styleId="1159">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60">
    <w:name w:val="列项——"/>
    <w:autoRedefine/>
    <w:qFormat/>
    <w:uiPriority w:val="0"/>
    <w:pPr>
      <w:widowControl w:val="0"/>
      <w:numPr>
        <w:ilvl w:val="0"/>
        <w:numId w:val="1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1">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2">
    <w:name w:val="样式 标题 1 + 字距调整四号"/>
    <w:basedOn w:val="3"/>
    <w:autoRedefine/>
    <w:qFormat/>
    <w:uiPriority w:val="0"/>
    <w:pPr>
      <w:keepNext/>
      <w:numPr>
        <w:ilvl w:val="0"/>
        <w:numId w:val="19"/>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3">
    <w:name w:val="四级无标题条"/>
    <w:basedOn w:val="1"/>
    <w:autoRedefine/>
    <w:qFormat/>
    <w:uiPriority w:val="0"/>
    <w:pPr>
      <w:numPr>
        <w:ilvl w:val="5"/>
        <w:numId w:val="11"/>
      </w:numPr>
    </w:pPr>
    <w:rPr>
      <w:szCs w:val="24"/>
    </w:rPr>
  </w:style>
  <w:style w:type="paragraph" w:customStyle="1" w:styleId="1164">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5">
    <w:name w:val="样式 LNG－标题1 + 居中 段前: 0.5 行 段后: 0.5 行2"/>
    <w:basedOn w:val="877"/>
    <w:autoRedefine/>
    <w:qFormat/>
    <w:uiPriority w:val="0"/>
    <w:pPr>
      <w:numPr>
        <w:ilvl w:val="0"/>
        <w:numId w:val="20"/>
      </w:numPr>
      <w:spacing w:before="156" w:after="156"/>
      <w:jc w:val="center"/>
    </w:pPr>
    <w:rPr>
      <w:rFonts w:cs="宋体"/>
      <w:bCs/>
      <w:szCs w:val="20"/>
    </w:rPr>
  </w:style>
  <w:style w:type="paragraph" w:customStyle="1" w:styleId="1166">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7">
    <w:name w:val="注释"/>
    <w:basedOn w:val="134"/>
    <w:autoRedefine/>
    <w:qFormat/>
    <w:uiPriority w:val="0"/>
    <w:pPr>
      <w:spacing w:before="0" w:line="360" w:lineRule="exact"/>
      <w:ind w:firstLine="200" w:firstLineChars="200"/>
      <w:jc w:val="both"/>
    </w:pPr>
    <w:rPr>
      <w:rFonts w:ascii="Times New Roman" w:hAnsi="Times New Roman"/>
      <w:sz w:val="21"/>
    </w:rPr>
  </w:style>
  <w:style w:type="paragraph" w:customStyle="1" w:styleId="1168">
    <w:name w:val="注解"/>
    <w:basedOn w:val="1"/>
    <w:autoRedefine/>
    <w:qFormat/>
    <w:uiPriority w:val="0"/>
    <w:pPr>
      <w:spacing w:before="60" w:line="360" w:lineRule="exact"/>
      <w:ind w:firstLine="200" w:firstLineChars="200"/>
    </w:pPr>
    <w:rPr>
      <w:rFonts w:ascii="Arial" w:hAnsi="Arial"/>
      <w:szCs w:val="24"/>
    </w:rPr>
  </w:style>
  <w:style w:type="paragraph" w:customStyle="1" w:styleId="1169">
    <w:name w:val="简单回函地址"/>
    <w:basedOn w:val="1"/>
    <w:autoRedefine/>
    <w:qFormat/>
    <w:uiPriority w:val="0"/>
    <w:rPr>
      <w:rFonts w:ascii="Arial" w:hAnsi="Arial"/>
      <w:szCs w:val="20"/>
    </w:rPr>
  </w:style>
  <w:style w:type="paragraph" w:customStyle="1" w:styleId="1170">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1">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2">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3">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4">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5">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6">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7">
    <w:name w:val="样式 样式 标题 2 + Times New Roman + 段前: 0.5 行 段后: 0.5 行1"/>
    <w:basedOn w:val="1178"/>
    <w:autoRedefine/>
    <w:qFormat/>
    <w:uiPriority w:val="0"/>
    <w:pPr>
      <w:spacing w:beforeLines="0"/>
    </w:pPr>
    <w:rPr>
      <w:rFonts w:cs="宋体"/>
      <w:szCs w:val="20"/>
    </w:rPr>
  </w:style>
  <w:style w:type="paragraph" w:customStyle="1" w:styleId="1178">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9">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80">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1">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2">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3">
    <w:name w:val="1文章"/>
    <w:basedOn w:val="1"/>
    <w:autoRedefine/>
    <w:qFormat/>
    <w:uiPriority w:val="0"/>
    <w:pPr>
      <w:snapToGrid w:val="0"/>
      <w:spacing w:line="360" w:lineRule="auto"/>
      <w:ind w:firstLine="573"/>
    </w:pPr>
    <w:rPr>
      <w:rFonts w:eastAsia="仿宋_GB2312"/>
      <w:sz w:val="28"/>
      <w:szCs w:val="20"/>
    </w:rPr>
  </w:style>
  <w:style w:type="paragraph" w:customStyle="1" w:styleId="1184">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5">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6">
    <w:name w:val="批注框文本 Char Char"/>
    <w:basedOn w:val="1"/>
    <w:autoRedefine/>
    <w:qFormat/>
    <w:uiPriority w:val="0"/>
    <w:rPr>
      <w:sz w:val="18"/>
      <w:szCs w:val="20"/>
    </w:rPr>
  </w:style>
  <w:style w:type="paragraph" w:customStyle="1" w:styleId="1187">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8">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9">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90">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1">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2">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3">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4">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5">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6">
    <w:name w:val="黄小林图"/>
    <w:basedOn w:val="1197"/>
    <w:next w:val="1197"/>
    <w:autoRedefine/>
    <w:qFormat/>
    <w:uiPriority w:val="0"/>
    <w:pPr>
      <w:ind w:firstLine="0" w:firstLineChars="0"/>
      <w:jc w:val="center"/>
    </w:pPr>
  </w:style>
  <w:style w:type="paragraph" w:customStyle="1" w:styleId="1197">
    <w:name w:val="黄小林正文"/>
    <w:basedOn w:val="1"/>
    <w:autoRedefine/>
    <w:qFormat/>
    <w:uiPriority w:val="0"/>
    <w:pPr>
      <w:widowControl/>
      <w:ind w:firstLine="520" w:firstLineChars="200"/>
      <w:jc w:val="left"/>
    </w:pPr>
    <w:rPr>
      <w:sz w:val="28"/>
      <w:szCs w:val="20"/>
    </w:rPr>
  </w:style>
  <w:style w:type="paragraph" w:customStyle="1" w:styleId="1198">
    <w:name w:val="表名A"/>
    <w:basedOn w:val="1199"/>
    <w:autoRedefine/>
    <w:qFormat/>
    <w:uiPriority w:val="0"/>
    <w:pPr>
      <w:tabs>
        <w:tab w:val="left" w:pos="0"/>
      </w:tabs>
      <w:spacing w:before="80" w:beforeLines="80" w:after="20" w:afterLines="20"/>
    </w:pPr>
  </w:style>
  <w:style w:type="paragraph" w:customStyle="1" w:styleId="1199">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00">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1">
    <w:name w:val="CM93"/>
    <w:basedOn w:val="330"/>
    <w:next w:val="330"/>
    <w:autoRedefine/>
    <w:qFormat/>
    <w:uiPriority w:val="0"/>
    <w:rPr>
      <w:rFonts w:ascii="宋体" w:hAnsi="Calibri" w:eastAsia="宋体"/>
      <w:color w:val="auto"/>
    </w:rPr>
  </w:style>
  <w:style w:type="paragraph" w:customStyle="1" w:styleId="1202">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3">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4">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5">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6">
    <w:name w:val="表中文字"/>
    <w:basedOn w:val="1"/>
    <w:autoRedefine/>
    <w:qFormat/>
    <w:uiPriority w:val="0"/>
    <w:pPr>
      <w:snapToGrid w:val="0"/>
      <w:jc w:val="center"/>
    </w:pPr>
    <w:rPr>
      <w:szCs w:val="18"/>
    </w:rPr>
  </w:style>
  <w:style w:type="paragraph" w:customStyle="1" w:styleId="1207">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8">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9">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10">
    <w:name w:val="t表格题目"/>
    <w:basedOn w:val="517"/>
    <w:autoRedefine/>
    <w:qFormat/>
    <w:uiPriority w:val="0"/>
    <w:pPr>
      <w:spacing w:line="240" w:lineRule="auto"/>
      <w:ind w:firstLine="0" w:firstLineChars="0"/>
      <w:jc w:val="center"/>
    </w:pPr>
    <w:rPr>
      <w:sz w:val="21"/>
      <w:lang w:val="zh-CN"/>
    </w:rPr>
  </w:style>
  <w:style w:type="paragraph" w:customStyle="1" w:styleId="1211">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2">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3">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4">
    <w:name w:val="Char Char Char Char Char Char Char"/>
    <w:basedOn w:val="1"/>
    <w:autoRedefine/>
    <w:qFormat/>
    <w:uiPriority w:val="0"/>
    <w:rPr>
      <w:rFonts w:ascii="Arial" w:hAnsi="Arial"/>
      <w:sz w:val="24"/>
      <w:szCs w:val="24"/>
    </w:rPr>
  </w:style>
  <w:style w:type="paragraph" w:customStyle="1" w:styleId="1215">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6">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7">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9">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20">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1">
    <w:name w:val="样式 标题 1 + Times New Roman"/>
    <w:basedOn w:val="3"/>
    <w:next w:val="51"/>
    <w:autoRedefine/>
    <w:qFormat/>
    <w:uiPriority w:val="0"/>
    <w:pPr>
      <w:keepNext/>
      <w:tabs>
        <w:tab w:val="left" w:pos="0"/>
        <w:tab w:val="clear" w:pos="960"/>
      </w:tabs>
      <w:spacing w:line="312" w:lineRule="auto"/>
      <w:ind w:left="2127" w:hanging="425"/>
      <w:jc w:val="both"/>
    </w:pPr>
    <w:rPr>
      <w:sz w:val="32"/>
      <w:szCs w:val="21"/>
    </w:rPr>
  </w:style>
  <w:style w:type="paragraph" w:customStyle="1" w:styleId="1222">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3">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4">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5">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6">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7">
    <w:name w:val="样式 正文缩进 + 宋体 小四 首行缩进:  2 字符"/>
    <w:basedOn w:val="21"/>
    <w:autoRedefine/>
    <w:qFormat/>
    <w:uiPriority w:val="0"/>
    <w:pPr>
      <w:adjustRightInd w:val="0"/>
      <w:snapToGrid w:val="0"/>
    </w:pPr>
    <w:rPr>
      <w:snapToGrid w:val="0"/>
      <w:kern w:val="0"/>
      <w:sz w:val="24"/>
      <w:szCs w:val="24"/>
    </w:rPr>
  </w:style>
  <w:style w:type="paragraph" w:customStyle="1" w:styleId="1228">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30">
    <w:name w:val="－正文"/>
    <w:basedOn w:val="1"/>
    <w:autoRedefine/>
    <w:qFormat/>
    <w:uiPriority w:val="0"/>
    <w:pPr>
      <w:spacing w:line="540" w:lineRule="atLeast"/>
      <w:ind w:firstLine="200" w:firstLineChars="200"/>
      <w:jc w:val="left"/>
    </w:pPr>
    <w:rPr>
      <w:spacing w:val="8"/>
      <w:sz w:val="28"/>
      <w:szCs w:val="28"/>
    </w:rPr>
  </w:style>
  <w:style w:type="paragraph" w:customStyle="1" w:styleId="1231">
    <w:name w:val="样式 日期 + 五号 行距: 固定值 20 磅"/>
    <w:basedOn w:val="50"/>
    <w:autoRedefine/>
    <w:qFormat/>
    <w:uiPriority w:val="0"/>
    <w:pPr>
      <w:adjustRightInd w:val="0"/>
      <w:spacing w:line="400" w:lineRule="exact"/>
      <w:ind w:left="0" w:leftChars="0"/>
      <w:textAlignment w:val="baseline"/>
    </w:pPr>
    <w:rPr>
      <w:rFonts w:cs="宋体"/>
      <w:kern w:val="2"/>
      <w:sz w:val="21"/>
    </w:rPr>
  </w:style>
  <w:style w:type="paragraph" w:customStyle="1" w:styleId="1232">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3">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4">
    <w:name w:val="Plain Text1"/>
    <w:basedOn w:val="1"/>
    <w:autoRedefine/>
    <w:qFormat/>
    <w:uiPriority w:val="0"/>
    <w:pPr>
      <w:adjustRightInd w:val="0"/>
      <w:textAlignment w:val="baseline"/>
    </w:pPr>
    <w:rPr>
      <w:rFonts w:ascii="宋体" w:hAnsi="Courier New"/>
      <w:szCs w:val="20"/>
    </w:rPr>
  </w:style>
  <w:style w:type="paragraph" w:customStyle="1" w:styleId="1235">
    <w:name w:val="TABLE2"/>
    <w:basedOn w:val="1202"/>
    <w:autoRedefine/>
    <w:qFormat/>
    <w:uiPriority w:val="0"/>
    <w:rPr>
      <w:rFonts w:eastAsia="宋体"/>
    </w:rPr>
  </w:style>
  <w:style w:type="paragraph" w:customStyle="1" w:styleId="1236">
    <w:name w:val="表格下文正文"/>
    <w:basedOn w:val="1"/>
    <w:autoRedefine/>
    <w:qFormat/>
    <w:uiPriority w:val="0"/>
    <w:pPr>
      <w:spacing w:before="260" w:line="460" w:lineRule="exact"/>
      <w:ind w:firstLine="200" w:firstLineChars="200"/>
    </w:pPr>
    <w:rPr>
      <w:sz w:val="24"/>
      <w:szCs w:val="28"/>
    </w:rPr>
  </w:style>
  <w:style w:type="paragraph" w:customStyle="1" w:styleId="1237">
    <w:name w:val="图件头"/>
    <w:basedOn w:val="1"/>
    <w:autoRedefine/>
    <w:qFormat/>
    <w:uiPriority w:val="0"/>
    <w:pPr>
      <w:spacing w:line="360" w:lineRule="auto"/>
    </w:pPr>
    <w:rPr>
      <w:rFonts w:ascii="Arial" w:hAnsi="Arial"/>
      <w:b/>
      <w:bCs/>
      <w:sz w:val="24"/>
      <w:szCs w:val="24"/>
    </w:rPr>
  </w:style>
  <w:style w:type="paragraph" w:customStyle="1" w:styleId="1238">
    <w:name w:val="日期2"/>
    <w:basedOn w:val="1"/>
    <w:next w:val="1"/>
    <w:autoRedefine/>
    <w:qFormat/>
    <w:uiPriority w:val="0"/>
    <w:pPr>
      <w:adjustRightInd w:val="0"/>
      <w:textAlignment w:val="baseline"/>
    </w:pPr>
    <w:rPr>
      <w:szCs w:val="20"/>
    </w:rPr>
  </w:style>
  <w:style w:type="paragraph" w:customStyle="1" w:styleId="1239">
    <w:name w:val="一级标题-1"/>
    <w:basedOn w:val="308"/>
    <w:autoRedefine/>
    <w:qFormat/>
    <w:uiPriority w:val="0"/>
    <w:pPr>
      <w:outlineLvl w:val="0"/>
    </w:pPr>
    <w:rPr>
      <w:rFonts w:ascii="Times New Roman" w:hAnsi="Times New Roman"/>
      <w:bCs/>
      <w:snapToGrid w:val="0"/>
      <w:color w:val="000000"/>
      <w:kern w:val="0"/>
      <w:sz w:val="32"/>
    </w:rPr>
  </w:style>
  <w:style w:type="paragraph" w:customStyle="1" w:styleId="1240">
    <w:name w:val="列表项目"/>
    <w:basedOn w:val="24"/>
    <w:autoRedefine/>
    <w:qFormat/>
    <w:uiPriority w:val="0"/>
    <w:pPr>
      <w:spacing w:before="120"/>
      <w:ind w:firstLine="210"/>
    </w:pPr>
    <w:rPr>
      <w:b/>
      <w:smallCaps w:val="0"/>
      <w:sz w:val="30"/>
      <w:szCs w:val="20"/>
    </w:rPr>
  </w:style>
  <w:style w:type="paragraph" w:customStyle="1" w:styleId="1241">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2">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3">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4">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6">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7">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8">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9">
    <w:name w:val="Char Char Char1 Char2"/>
    <w:basedOn w:val="1"/>
    <w:autoRedefine/>
    <w:qFormat/>
    <w:uiPriority w:val="0"/>
    <w:rPr>
      <w:szCs w:val="24"/>
    </w:rPr>
  </w:style>
  <w:style w:type="paragraph" w:customStyle="1" w:styleId="1250">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1">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2">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3">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4">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5">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6">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7">
    <w:name w:val="样式 王向东正文 + 首行缩进:  2 字符"/>
    <w:basedOn w:val="1258"/>
    <w:autoRedefine/>
    <w:qFormat/>
    <w:uiPriority w:val="0"/>
    <w:rPr>
      <w:szCs w:val="20"/>
      <w:lang w:val="zh-CN"/>
    </w:rPr>
  </w:style>
  <w:style w:type="paragraph" w:customStyle="1" w:styleId="1258">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9">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60">
    <w:name w:val="表尾"/>
    <w:basedOn w:val="1"/>
    <w:autoRedefine/>
    <w:qFormat/>
    <w:uiPriority w:val="0"/>
    <w:pPr>
      <w:tabs>
        <w:tab w:val="left" w:pos="1021"/>
      </w:tabs>
      <w:spacing w:line="160" w:lineRule="exact"/>
    </w:pPr>
    <w:rPr>
      <w:sz w:val="10"/>
      <w:szCs w:val="20"/>
    </w:rPr>
  </w:style>
  <w:style w:type="paragraph" w:customStyle="1" w:styleId="1261">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2">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3">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4">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5">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6">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7">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8">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9">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70">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1">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2">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3">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4">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6">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7">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8">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9">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8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1">
    <w:name w:val="Char1 Char Char Char1"/>
    <w:basedOn w:val="1"/>
    <w:autoRedefine/>
    <w:qFormat/>
    <w:uiPriority w:val="0"/>
    <w:rPr>
      <w:szCs w:val="24"/>
    </w:rPr>
  </w:style>
  <w:style w:type="paragraph" w:customStyle="1" w:styleId="1282">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3">
    <w:name w:val="四号 正文"/>
    <w:basedOn w:val="1"/>
    <w:autoRedefine/>
    <w:qFormat/>
    <w:uiPriority w:val="0"/>
    <w:pPr>
      <w:ind w:firstLine="584" w:firstLineChars="200"/>
    </w:pPr>
    <w:rPr>
      <w:spacing w:val="6"/>
      <w:sz w:val="28"/>
      <w:szCs w:val="20"/>
    </w:rPr>
  </w:style>
  <w:style w:type="paragraph" w:customStyle="1" w:styleId="1284">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5">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6">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7">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8">
    <w:name w:val="Char Char Char Char Char Char1 Char1"/>
    <w:basedOn w:val="1"/>
    <w:autoRedefine/>
    <w:qFormat/>
    <w:uiPriority w:val="0"/>
    <w:pPr>
      <w:tabs>
        <w:tab w:val="left" w:pos="360"/>
      </w:tabs>
    </w:pPr>
    <w:rPr>
      <w:szCs w:val="24"/>
    </w:rPr>
  </w:style>
  <w:style w:type="paragraph" w:customStyle="1" w:styleId="1289">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90">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1">
    <w:name w:val="样式 表格2 + 行距: 固定值 20 磅"/>
    <w:basedOn w:val="1292"/>
    <w:autoRedefine/>
    <w:qFormat/>
    <w:uiPriority w:val="0"/>
    <w:pPr>
      <w:spacing w:line="400" w:lineRule="exact"/>
    </w:pPr>
    <w:rPr>
      <w:rFonts w:cs="宋体"/>
      <w:szCs w:val="20"/>
    </w:rPr>
  </w:style>
  <w:style w:type="paragraph" w:customStyle="1" w:styleId="1292">
    <w:name w:val="表格2"/>
    <w:basedOn w:val="1"/>
    <w:autoRedefine/>
    <w:qFormat/>
    <w:uiPriority w:val="0"/>
    <w:pPr>
      <w:spacing w:line="360" w:lineRule="atLeast"/>
      <w:jc w:val="center"/>
    </w:pPr>
  </w:style>
  <w:style w:type="paragraph" w:customStyle="1" w:styleId="1293">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4">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5">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6">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7">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8">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9">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00">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1">
    <w:name w:val="文档结构图1"/>
    <w:basedOn w:val="1"/>
    <w:autoRedefine/>
    <w:qFormat/>
    <w:uiPriority w:val="0"/>
    <w:pPr>
      <w:widowControl/>
      <w:shd w:val="clear" w:color="auto" w:fill="000080"/>
      <w:jc w:val="left"/>
    </w:pPr>
    <w:rPr>
      <w:sz w:val="24"/>
      <w:szCs w:val="20"/>
    </w:rPr>
  </w:style>
  <w:style w:type="paragraph" w:customStyle="1" w:styleId="1302">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3">
    <w:name w:val="7"/>
    <w:basedOn w:val="1"/>
    <w:next w:val="51"/>
    <w:autoRedefine/>
    <w:qFormat/>
    <w:uiPriority w:val="0"/>
    <w:pPr>
      <w:spacing w:line="360" w:lineRule="auto"/>
      <w:ind w:firstLine="480" w:firstLineChars="200"/>
    </w:pPr>
    <w:rPr>
      <w:color w:val="000000"/>
      <w:sz w:val="24"/>
      <w:szCs w:val="24"/>
    </w:rPr>
  </w:style>
  <w:style w:type="paragraph" w:customStyle="1" w:styleId="1304">
    <w:name w:val="小区名"/>
    <w:basedOn w:val="1"/>
    <w:autoRedefine/>
    <w:qFormat/>
    <w:uiPriority w:val="0"/>
    <w:pPr>
      <w:spacing w:line="360" w:lineRule="auto"/>
      <w:ind w:firstLine="555"/>
    </w:pPr>
    <w:rPr>
      <w:b/>
      <w:sz w:val="24"/>
      <w:szCs w:val="24"/>
    </w:rPr>
  </w:style>
  <w:style w:type="paragraph" w:customStyle="1" w:styleId="1305">
    <w:name w:val="LNG-标题3"/>
    <w:basedOn w:val="1"/>
    <w:autoRedefine/>
    <w:qFormat/>
    <w:uiPriority w:val="0"/>
    <w:pPr>
      <w:tabs>
        <w:tab w:val="left" w:pos="360"/>
      </w:tabs>
      <w:spacing w:line="360" w:lineRule="auto"/>
      <w:outlineLvl w:val="2"/>
    </w:pPr>
    <w:rPr>
      <w:b/>
      <w:sz w:val="24"/>
      <w:szCs w:val="24"/>
    </w:rPr>
  </w:style>
  <w:style w:type="paragraph" w:customStyle="1" w:styleId="1306">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7">
    <w:name w:val="样式 样式 标题 3 + 段前: 0.5 行 段后: 0.5 行 + 段前: 0.5 行 段后: 0.5 行"/>
    <w:basedOn w:val="1"/>
    <w:autoRedefine/>
    <w:qFormat/>
    <w:uiPriority w:val="0"/>
  </w:style>
  <w:style w:type="paragraph" w:customStyle="1" w:styleId="1308">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9">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10">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1">
    <w:name w:val="报告表头"/>
    <w:basedOn w:val="1"/>
    <w:next w:val="1"/>
    <w:autoRedefine/>
    <w:qFormat/>
    <w:uiPriority w:val="0"/>
    <w:pPr>
      <w:widowControl/>
      <w:jc w:val="center"/>
    </w:pPr>
    <w:rPr>
      <w:rFonts w:eastAsia="黑体"/>
      <w:b/>
      <w:sz w:val="18"/>
      <w:szCs w:val="20"/>
    </w:rPr>
  </w:style>
  <w:style w:type="paragraph" w:customStyle="1" w:styleId="1312">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3">
    <w:name w:val="段落1"/>
    <w:basedOn w:val="1"/>
    <w:autoRedefine/>
    <w:qFormat/>
    <w:uiPriority w:val="0"/>
    <w:pPr>
      <w:spacing w:line="580" w:lineRule="exact"/>
      <w:ind w:firstLine="200" w:firstLineChars="200"/>
    </w:pPr>
    <w:rPr>
      <w:spacing w:val="6"/>
      <w:sz w:val="28"/>
      <w:szCs w:val="24"/>
    </w:rPr>
  </w:style>
  <w:style w:type="paragraph" w:customStyle="1" w:styleId="1314">
    <w:name w:val="样式 Char Char Char Char Char Char Char Char Char Char Char Char Char Char"/>
    <w:basedOn w:val="21"/>
    <w:autoRedefine/>
    <w:qFormat/>
    <w:uiPriority w:val="0"/>
    <w:pPr>
      <w:overflowPunct w:val="0"/>
      <w:autoSpaceDE w:val="0"/>
      <w:autoSpaceDN w:val="0"/>
      <w:adjustRightInd w:val="0"/>
      <w:ind w:firstLine="491"/>
      <w:textAlignment w:val="baseline"/>
    </w:pPr>
    <w:rPr>
      <w:kern w:val="0"/>
      <w:sz w:val="24"/>
      <w:szCs w:val="24"/>
    </w:rPr>
  </w:style>
  <w:style w:type="paragraph" w:customStyle="1" w:styleId="1315">
    <w:name w:val="Char Char Char Char Char Char1 Char"/>
    <w:basedOn w:val="1"/>
    <w:autoRedefine/>
    <w:qFormat/>
    <w:uiPriority w:val="0"/>
    <w:pPr>
      <w:tabs>
        <w:tab w:val="left" w:pos="360"/>
      </w:tabs>
    </w:pPr>
    <w:rPr>
      <w:szCs w:val="24"/>
    </w:rPr>
  </w:style>
  <w:style w:type="paragraph" w:customStyle="1" w:styleId="1316">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7">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8">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9">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20">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3">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4">
    <w:name w:val="LNG－表格"/>
    <w:basedOn w:val="1"/>
    <w:autoRedefine/>
    <w:qFormat/>
    <w:uiPriority w:val="0"/>
    <w:pPr>
      <w:spacing w:line="360" w:lineRule="auto"/>
      <w:jc w:val="center"/>
    </w:pPr>
    <w:rPr>
      <w:kern w:val="0"/>
    </w:rPr>
  </w:style>
  <w:style w:type="paragraph" w:customStyle="1" w:styleId="1325">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6">
    <w:name w:val="科研报告标题3"/>
    <w:basedOn w:val="882"/>
    <w:autoRedefine/>
    <w:qFormat/>
    <w:uiPriority w:val="0"/>
    <w:pPr>
      <w:numPr>
        <w:numId w:val="0"/>
      </w:numPr>
      <w:ind w:left="420" w:leftChars="100" w:right="210"/>
    </w:pPr>
    <w:rPr>
      <w:b/>
      <w:sz w:val="28"/>
    </w:rPr>
  </w:style>
  <w:style w:type="paragraph" w:customStyle="1" w:styleId="1327">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8">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9">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30">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1">
    <w:name w:val="样式 样式 标题 2 + Times New Roman + 段前: 0.5 行 段后: 0.5 行"/>
    <w:basedOn w:val="1178"/>
    <w:autoRedefine/>
    <w:qFormat/>
    <w:uiPriority w:val="0"/>
    <w:rPr>
      <w:rFonts w:cs="宋体"/>
      <w:szCs w:val="20"/>
    </w:rPr>
  </w:style>
  <w:style w:type="paragraph" w:customStyle="1" w:styleId="1332">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4">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5">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6">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7">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样式 左侧:  2 字符"/>
    <w:basedOn w:val="1"/>
    <w:autoRedefine/>
    <w:qFormat/>
    <w:uiPriority w:val="0"/>
    <w:pPr>
      <w:spacing w:line="360" w:lineRule="auto"/>
      <w:ind w:firstLine="480" w:firstLineChars="200"/>
    </w:pPr>
    <w:rPr>
      <w:sz w:val="24"/>
      <w:szCs w:val="20"/>
    </w:rPr>
  </w:style>
  <w:style w:type="paragraph" w:customStyle="1" w:styleId="1339">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40">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1">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2">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3">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4">
    <w:name w:val="样式13"/>
    <w:basedOn w:val="430"/>
    <w:autoRedefine/>
    <w:qFormat/>
    <w:uiPriority w:val="0"/>
    <w:pPr>
      <w:ind w:firstLine="480"/>
    </w:pPr>
    <w:rPr>
      <w:rFonts w:eastAsia="宋体" w:cs="Times New Roman"/>
      <w:spacing w:val="0"/>
      <w:szCs w:val="24"/>
      <w:lang w:val="zh-CN"/>
    </w:rPr>
  </w:style>
  <w:style w:type="paragraph" w:customStyle="1" w:styleId="1345">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6">
    <w:name w:val="章节题目"/>
    <w:basedOn w:val="1"/>
    <w:next w:val="1347"/>
    <w:autoRedefine/>
    <w:qFormat/>
    <w:uiPriority w:val="0"/>
    <w:pPr>
      <w:keepNext/>
      <w:keepLines/>
      <w:spacing w:before="560" w:after="560"/>
      <w:jc w:val="center"/>
    </w:pPr>
    <w:rPr>
      <w:caps/>
      <w:spacing w:val="2"/>
      <w:kern w:val="28"/>
      <w:szCs w:val="20"/>
      <w:lang w:bidi="he-IL"/>
    </w:rPr>
  </w:style>
  <w:style w:type="paragraph" w:customStyle="1" w:styleId="1347">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8">
    <w:name w:val="流程图文字"/>
    <w:basedOn w:val="1"/>
    <w:autoRedefine/>
    <w:qFormat/>
    <w:uiPriority w:val="0"/>
    <w:pPr>
      <w:spacing w:before="100" w:after="40"/>
      <w:jc w:val="center"/>
    </w:pPr>
    <w:rPr>
      <w:szCs w:val="20"/>
    </w:rPr>
  </w:style>
  <w:style w:type="paragraph" w:customStyle="1" w:styleId="1349">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50">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1">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2">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3">
    <w:name w:val="首行缩进:  2 字符"/>
    <w:basedOn w:val="1"/>
    <w:autoRedefine/>
    <w:qFormat/>
    <w:uiPriority w:val="0"/>
    <w:pPr>
      <w:spacing w:line="300" w:lineRule="auto"/>
      <w:ind w:firstLine="480" w:firstLineChars="200"/>
    </w:pPr>
    <w:rPr>
      <w:sz w:val="24"/>
      <w:szCs w:val="20"/>
    </w:rPr>
  </w:style>
  <w:style w:type="paragraph" w:customStyle="1" w:styleId="1354">
    <w:name w:val="Plain Text2"/>
    <w:basedOn w:val="1"/>
    <w:autoRedefine/>
    <w:qFormat/>
    <w:uiPriority w:val="0"/>
    <w:pPr>
      <w:adjustRightInd w:val="0"/>
      <w:textAlignment w:val="baseline"/>
    </w:pPr>
    <w:rPr>
      <w:rFonts w:ascii="宋体" w:hAnsi="Courier New"/>
      <w:szCs w:val="20"/>
    </w:rPr>
  </w:style>
  <w:style w:type="paragraph" w:customStyle="1" w:styleId="1355">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6">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7">
    <w:name w:val="偶页脚样式"/>
    <w:basedOn w:val="55"/>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358">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9">
    <w:name w:val="样式 正文文本缩进 2 + Times New Roman 首行缩进:  1.06 厘米 行距: 固定值 30 磅"/>
    <w:basedOn w:val="51"/>
    <w:autoRedefine/>
    <w:qFormat/>
    <w:uiPriority w:val="0"/>
    <w:pPr>
      <w:spacing w:after="0" w:line="540" w:lineRule="exact"/>
      <w:ind w:left="0" w:leftChars="0" w:firstLine="601"/>
    </w:pPr>
    <w:rPr>
      <w:rFonts w:ascii="Times New Roman" w:hAnsi="Times New Roman"/>
      <w:sz w:val="28"/>
      <w:szCs w:val="28"/>
    </w:rPr>
  </w:style>
  <w:style w:type="paragraph" w:customStyle="1" w:styleId="1360">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1">
    <w:name w:val="陈光的正文"/>
    <w:basedOn w:val="1"/>
    <w:autoRedefine/>
    <w:qFormat/>
    <w:uiPriority w:val="0"/>
    <w:pPr>
      <w:spacing w:line="360" w:lineRule="auto"/>
      <w:ind w:firstLine="567"/>
    </w:pPr>
    <w:rPr>
      <w:rFonts w:ascii="Arial" w:hAnsi="Arial"/>
      <w:sz w:val="28"/>
      <w:szCs w:val="20"/>
    </w:rPr>
  </w:style>
  <w:style w:type="paragraph" w:customStyle="1" w:styleId="1362">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3">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4">
    <w:name w:val="列出段落2"/>
    <w:basedOn w:val="1"/>
    <w:autoRedefine/>
    <w:qFormat/>
    <w:uiPriority w:val="0"/>
    <w:pPr>
      <w:ind w:firstLine="420" w:firstLineChars="200"/>
    </w:pPr>
    <w:rPr>
      <w:rFonts w:ascii="Calibri" w:hAnsi="Calibri"/>
      <w:szCs w:val="22"/>
    </w:rPr>
  </w:style>
  <w:style w:type="paragraph" w:customStyle="1" w:styleId="1365">
    <w:name w:val="基准页眉样式"/>
    <w:basedOn w:val="1"/>
    <w:autoRedefine/>
    <w:qFormat/>
    <w:uiPriority w:val="0"/>
    <w:pPr>
      <w:keepLines/>
      <w:tabs>
        <w:tab w:val="center" w:pos="4320"/>
      </w:tabs>
      <w:jc w:val="center"/>
    </w:pPr>
    <w:rPr>
      <w:szCs w:val="20"/>
      <w:lang w:bidi="he-IL"/>
    </w:rPr>
  </w:style>
  <w:style w:type="paragraph" w:customStyle="1" w:styleId="1366">
    <w:name w:val="日期1"/>
    <w:basedOn w:val="1"/>
    <w:next w:val="1"/>
    <w:autoRedefine/>
    <w:qFormat/>
    <w:uiPriority w:val="0"/>
    <w:pPr>
      <w:adjustRightInd w:val="0"/>
      <w:textAlignment w:val="baseline"/>
    </w:pPr>
    <w:rPr>
      <w:szCs w:val="20"/>
    </w:rPr>
  </w:style>
  <w:style w:type="paragraph" w:customStyle="1" w:styleId="1367">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8">
    <w:name w:val="Char Char Char Char Char Char1"/>
    <w:basedOn w:val="1"/>
    <w:next w:val="1"/>
    <w:autoRedefine/>
    <w:qFormat/>
    <w:uiPriority w:val="0"/>
    <w:pPr>
      <w:spacing w:line="360" w:lineRule="auto"/>
    </w:pPr>
    <w:rPr>
      <w:b/>
      <w:sz w:val="28"/>
      <w:szCs w:val="28"/>
    </w:rPr>
  </w:style>
  <w:style w:type="paragraph" w:customStyle="1" w:styleId="1369">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表格小五号正文"/>
    <w:basedOn w:val="269"/>
    <w:autoRedefine/>
    <w:qFormat/>
    <w:uiPriority w:val="0"/>
    <w:pPr>
      <w:spacing w:line="320" w:lineRule="exact"/>
    </w:pPr>
    <w:rPr>
      <w:snapToGrid w:val="0"/>
      <w:kern w:val="0"/>
      <w:sz w:val="18"/>
    </w:rPr>
  </w:style>
  <w:style w:type="paragraph" w:customStyle="1" w:styleId="1371">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2">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3">
    <w:name w:val="cucd-2"/>
    <w:next w:val="1374"/>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4">
    <w:name w:val="cucd-3"/>
    <w:next w:val="1008"/>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5">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6">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7">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8">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9">
    <w:name w:val="表格01"/>
    <w:basedOn w:val="1"/>
    <w:autoRedefine/>
    <w:qFormat/>
    <w:uiPriority w:val="0"/>
    <w:pPr>
      <w:jc w:val="center"/>
    </w:pPr>
    <w:rPr>
      <w:sz w:val="24"/>
      <w:szCs w:val="20"/>
    </w:rPr>
  </w:style>
  <w:style w:type="paragraph" w:customStyle="1" w:styleId="1380">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1">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2">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3">
    <w:name w:val="Char Char110"/>
    <w:basedOn w:val="1"/>
    <w:autoRedefine/>
    <w:qFormat/>
    <w:uiPriority w:val="0"/>
    <w:pPr>
      <w:spacing w:line="360" w:lineRule="auto"/>
      <w:ind w:firstLine="200" w:firstLineChars="200"/>
    </w:pPr>
    <w:rPr>
      <w:szCs w:val="20"/>
    </w:rPr>
  </w:style>
  <w:style w:type="paragraph" w:customStyle="1" w:styleId="1384">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5">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6">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7">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8">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9">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90">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1">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2">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3">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4">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5">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6">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7">
    <w:name w:val="Char2 Char Char Char"/>
    <w:basedOn w:val="1"/>
    <w:autoRedefine/>
    <w:qFormat/>
    <w:uiPriority w:val="0"/>
    <w:rPr>
      <w:sz w:val="24"/>
      <w:szCs w:val="24"/>
    </w:rPr>
  </w:style>
  <w:style w:type="paragraph" w:customStyle="1" w:styleId="1398">
    <w:name w:val="正文文本缩进1"/>
    <w:basedOn w:val="1"/>
    <w:autoRedefine/>
    <w:qFormat/>
    <w:uiPriority w:val="0"/>
    <w:pPr>
      <w:spacing w:line="540" w:lineRule="exact"/>
      <w:ind w:firstLine="567"/>
    </w:pPr>
    <w:rPr>
      <w:rFonts w:ascii="宋体"/>
      <w:b/>
      <w:bCs/>
      <w:sz w:val="28"/>
      <w:szCs w:val="28"/>
    </w:rPr>
  </w:style>
  <w:style w:type="paragraph" w:customStyle="1" w:styleId="1399">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400">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1">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2">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3">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4">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5">
    <w:name w:val="Char21"/>
    <w:basedOn w:val="1"/>
    <w:qFormat/>
    <w:uiPriority w:val="0"/>
    <w:pPr>
      <w:spacing w:line="360" w:lineRule="auto"/>
      <w:ind w:firstLine="200" w:firstLineChars="200"/>
    </w:pPr>
    <w:rPr>
      <w:rFonts w:ascii="宋体" w:hAnsi="宋体" w:cs="宋体"/>
      <w:sz w:val="24"/>
      <w:szCs w:val="24"/>
    </w:rPr>
  </w:style>
  <w:style w:type="paragraph" w:customStyle="1" w:styleId="1406">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7">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8">
    <w:name w:val="标题001"/>
    <w:basedOn w:val="1"/>
    <w:qFormat/>
    <w:uiPriority w:val="0"/>
    <w:pPr>
      <w:spacing w:before="60" w:line="480" w:lineRule="exact"/>
      <w:outlineLvl w:val="0"/>
    </w:pPr>
    <w:rPr>
      <w:b/>
      <w:sz w:val="32"/>
      <w:szCs w:val="20"/>
    </w:rPr>
  </w:style>
  <w:style w:type="paragraph" w:customStyle="1" w:styleId="1409">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10">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1">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2">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3">
    <w:name w:val="Char Char Char Char Char Char1 Char Char Char Char1"/>
    <w:basedOn w:val="1"/>
    <w:autoRedefine/>
    <w:qFormat/>
    <w:uiPriority w:val="0"/>
    <w:rPr>
      <w:sz w:val="24"/>
      <w:szCs w:val="24"/>
    </w:rPr>
  </w:style>
  <w:style w:type="paragraph" w:customStyle="1" w:styleId="1414">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5">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6">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7">
    <w:name w:val="正文五"/>
    <w:basedOn w:val="1"/>
    <w:autoRedefine/>
    <w:qFormat/>
    <w:uiPriority w:val="0"/>
    <w:pPr>
      <w:snapToGrid w:val="0"/>
      <w:jc w:val="center"/>
    </w:pPr>
    <w:rPr>
      <w:szCs w:val="28"/>
    </w:rPr>
  </w:style>
  <w:style w:type="paragraph" w:customStyle="1" w:styleId="1418">
    <w:name w:val="1.0"/>
    <w:basedOn w:val="84"/>
    <w:next w:val="84"/>
    <w:qFormat/>
    <w:uiPriority w:val="0"/>
    <w:pPr>
      <w:spacing w:before="320" w:after="320" w:line="500" w:lineRule="exact"/>
      <w:jc w:val="left"/>
    </w:pPr>
    <w:rPr>
      <w:rFonts w:cs="宋体"/>
      <w:bCs w:val="0"/>
      <w:sz w:val="30"/>
      <w:szCs w:val="20"/>
    </w:rPr>
  </w:style>
  <w:style w:type="paragraph" w:customStyle="1" w:styleId="1419">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20">
    <w:name w:val="参加人员"/>
    <w:basedOn w:val="1"/>
    <w:autoRedefine/>
    <w:qFormat/>
    <w:uiPriority w:val="0"/>
    <w:rPr>
      <w:sz w:val="24"/>
      <w:szCs w:val="24"/>
    </w:rPr>
  </w:style>
  <w:style w:type="paragraph" w:customStyle="1" w:styleId="1421">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2">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3">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4">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5">
    <w:name w:val="Char Char Char1 Char"/>
    <w:basedOn w:val="1"/>
    <w:autoRedefine/>
    <w:qFormat/>
    <w:uiPriority w:val="0"/>
    <w:rPr>
      <w:szCs w:val="24"/>
    </w:rPr>
  </w:style>
  <w:style w:type="paragraph" w:customStyle="1" w:styleId="1426">
    <w:name w:val="标题03"/>
    <w:basedOn w:val="1"/>
    <w:next w:val="1"/>
    <w:autoRedefine/>
    <w:qFormat/>
    <w:uiPriority w:val="0"/>
    <w:pPr>
      <w:spacing w:line="480" w:lineRule="atLeast"/>
      <w:ind w:firstLine="480"/>
    </w:pPr>
    <w:rPr>
      <w:b/>
      <w:sz w:val="24"/>
      <w:szCs w:val="20"/>
    </w:rPr>
  </w:style>
  <w:style w:type="paragraph" w:customStyle="1" w:styleId="1427">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8">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9">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30">
    <w:name w:val="wenjian"/>
    <w:basedOn w:val="1428"/>
    <w:autoRedefine/>
    <w:qFormat/>
    <w:uiPriority w:val="0"/>
    <w:pPr>
      <w:ind w:firstLine="512"/>
    </w:pPr>
    <w:rPr>
      <w:sz w:val="21"/>
    </w:rPr>
  </w:style>
  <w:style w:type="paragraph" w:customStyle="1" w:styleId="1431">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4">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5">
    <w:name w:val="Char Char Char Char Char Char Char11"/>
    <w:basedOn w:val="1"/>
    <w:autoRedefine/>
    <w:qFormat/>
    <w:uiPriority w:val="0"/>
    <w:pPr>
      <w:tabs>
        <w:tab w:val="left" w:pos="360"/>
      </w:tabs>
    </w:pPr>
    <w:rPr>
      <w:szCs w:val="24"/>
    </w:rPr>
  </w:style>
  <w:style w:type="paragraph" w:customStyle="1" w:styleId="1436">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7">
    <w:name w:val="Char Char Char1 Char1"/>
    <w:basedOn w:val="1"/>
    <w:autoRedefine/>
    <w:qFormat/>
    <w:uiPriority w:val="0"/>
    <w:rPr>
      <w:szCs w:val="24"/>
    </w:rPr>
  </w:style>
  <w:style w:type="paragraph" w:customStyle="1" w:styleId="1438">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0">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1">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3">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4">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5">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7">
    <w:name w:val="批注主题 Char Char"/>
    <w:basedOn w:val="28"/>
    <w:next w:val="28"/>
    <w:qFormat/>
    <w:uiPriority w:val="0"/>
    <w:rPr>
      <w:b/>
      <w:szCs w:val="20"/>
      <w:lang w:val="zh-CN"/>
    </w:rPr>
  </w:style>
  <w:style w:type="paragraph" w:customStyle="1" w:styleId="1448">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9">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0">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1">
    <w:name w:val="表格内文字"/>
    <w:basedOn w:val="1"/>
    <w:autoRedefine/>
    <w:qFormat/>
    <w:uiPriority w:val="0"/>
    <w:pPr>
      <w:spacing w:line="320" w:lineRule="exact"/>
      <w:jc w:val="center"/>
    </w:pPr>
  </w:style>
  <w:style w:type="paragraph" w:customStyle="1" w:styleId="1452">
    <w:name w:val="Char Char Char Char Char Char Char Char Char Char Char Char Char Char Char Char"/>
    <w:basedOn w:val="1"/>
    <w:next w:val="1"/>
    <w:autoRedefine/>
    <w:qFormat/>
    <w:uiPriority w:val="0"/>
    <w:rPr>
      <w:szCs w:val="24"/>
    </w:rPr>
  </w:style>
  <w:style w:type="paragraph" w:customStyle="1" w:styleId="1453">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4">
    <w:name w:val="CM38"/>
    <w:basedOn w:val="330"/>
    <w:next w:val="330"/>
    <w:qFormat/>
    <w:uiPriority w:val="0"/>
    <w:pPr>
      <w:spacing w:line="460" w:lineRule="atLeast"/>
    </w:pPr>
    <w:rPr>
      <w:rFonts w:ascii="宋体" w:hAnsi="Calibri" w:eastAsia="宋体"/>
      <w:color w:val="auto"/>
    </w:rPr>
  </w:style>
  <w:style w:type="paragraph" w:customStyle="1" w:styleId="1455">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6">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7">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8">
    <w:name w:val="样式 参考文献正文 + 左侧:  0 厘米 悬挂缩进: 2.2 字符"/>
    <w:basedOn w:val="892"/>
    <w:autoRedefine/>
    <w:qFormat/>
    <w:uiPriority w:val="0"/>
    <w:pPr>
      <w:ind w:left="220" w:hanging="220"/>
    </w:pPr>
    <w:rPr>
      <w:szCs w:val="20"/>
    </w:rPr>
  </w:style>
  <w:style w:type="paragraph" w:customStyle="1" w:styleId="1459">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60">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1">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2">
    <w:name w:val="报告参考文献标题"/>
    <w:basedOn w:val="493"/>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4">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5">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6">
    <w:name w:val="(i)正文"/>
    <w:basedOn w:val="1467"/>
    <w:autoRedefine/>
    <w:qFormat/>
    <w:uiPriority w:val="0"/>
    <w:pPr>
      <w:tabs>
        <w:tab w:val="left" w:pos="2381"/>
        <w:tab w:val="left" w:pos="2959"/>
      </w:tabs>
      <w:ind w:left="2959" w:hanging="420"/>
    </w:pPr>
    <w:rPr>
      <w:rFonts w:ascii="Times New Roman" w:hAnsi="Times New Roman"/>
      <w:spacing w:val="0"/>
    </w:rPr>
  </w:style>
  <w:style w:type="paragraph" w:customStyle="1" w:styleId="1467">
    <w:name w:val="(a)正文"/>
    <w:basedOn w:val="1468"/>
    <w:autoRedefine/>
    <w:qFormat/>
    <w:uiPriority w:val="0"/>
  </w:style>
  <w:style w:type="paragraph" w:customStyle="1" w:styleId="1468">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9">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70">
    <w:name w:val="标题003"/>
    <w:basedOn w:val="1"/>
    <w:autoRedefine/>
    <w:qFormat/>
    <w:uiPriority w:val="0"/>
    <w:pPr>
      <w:spacing w:before="300" w:line="460" w:lineRule="exact"/>
      <w:outlineLvl w:val="2"/>
    </w:pPr>
    <w:rPr>
      <w:b/>
      <w:sz w:val="24"/>
      <w:szCs w:val="20"/>
    </w:rPr>
  </w:style>
  <w:style w:type="paragraph" w:customStyle="1" w:styleId="1471">
    <w:name w:val="样式 样式 标题 1 + 自动设置 + 段前: 0.5 行 段后: 0.5 行"/>
    <w:basedOn w:val="1091"/>
    <w:autoRedefine/>
    <w:qFormat/>
    <w:uiPriority w:val="0"/>
    <w:pPr>
      <w:spacing w:beforeLines="0"/>
    </w:pPr>
    <w:rPr>
      <w:rFonts w:cs="宋体"/>
      <w:szCs w:val="20"/>
    </w:rPr>
  </w:style>
  <w:style w:type="paragraph" w:customStyle="1" w:styleId="1472">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3">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4">
    <w:name w:val="式样"/>
    <w:basedOn w:val="1"/>
    <w:next w:val="55"/>
    <w:autoRedefine/>
    <w:qFormat/>
    <w:uiPriority w:val="0"/>
    <w:rPr>
      <w:szCs w:val="20"/>
    </w:rPr>
  </w:style>
  <w:style w:type="paragraph" w:customStyle="1" w:styleId="1475">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6">
    <w:name w:val="cucd-1"/>
    <w:next w:val="1373"/>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7">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8">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9">
    <w:name w:val="正文文本缩进11"/>
    <w:basedOn w:val="1"/>
    <w:autoRedefine/>
    <w:qFormat/>
    <w:uiPriority w:val="0"/>
    <w:pPr>
      <w:spacing w:line="540" w:lineRule="exact"/>
      <w:ind w:firstLine="567"/>
    </w:pPr>
    <w:rPr>
      <w:rFonts w:ascii="宋体"/>
      <w:b/>
      <w:bCs/>
      <w:sz w:val="28"/>
      <w:szCs w:val="28"/>
    </w:rPr>
  </w:style>
  <w:style w:type="paragraph" w:customStyle="1" w:styleId="1480">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1">
    <w:name w:val="LNG－文本框 Char"/>
    <w:basedOn w:val="1"/>
    <w:qFormat/>
    <w:uiPriority w:val="0"/>
    <w:pPr>
      <w:jc w:val="center"/>
    </w:pPr>
  </w:style>
  <w:style w:type="paragraph" w:customStyle="1" w:styleId="1482">
    <w:name w:val="Char Char Char Char Char Char Char1"/>
    <w:basedOn w:val="1"/>
    <w:autoRedefine/>
    <w:qFormat/>
    <w:uiPriority w:val="0"/>
    <w:pPr>
      <w:tabs>
        <w:tab w:val="left" w:pos="360"/>
      </w:tabs>
    </w:pPr>
    <w:rPr>
      <w:szCs w:val="24"/>
    </w:rPr>
  </w:style>
  <w:style w:type="paragraph" w:customStyle="1" w:styleId="1483">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4">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5">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6">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7">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8">
    <w:name w:val="样式 正文文本缩进 2 + 首行缩进:  2 字符 段前: 0.5 行 段后: 0.5 行"/>
    <w:basedOn w:val="51"/>
    <w:qFormat/>
    <w:uiPriority w:val="0"/>
    <w:pPr>
      <w:spacing w:after="0" w:line="348" w:lineRule="auto"/>
      <w:ind w:left="0" w:leftChars="0" w:firstLine="200" w:firstLineChars="200"/>
    </w:pPr>
    <w:rPr>
      <w:rFonts w:ascii="Times New Roman" w:hAnsi="Times New Roman"/>
      <w:szCs w:val="20"/>
    </w:rPr>
  </w:style>
  <w:style w:type="paragraph" w:customStyle="1" w:styleId="1489">
    <w:name w:val="中表格"/>
    <w:basedOn w:val="1"/>
    <w:autoRedefine/>
    <w:qFormat/>
    <w:uiPriority w:val="0"/>
    <w:pPr>
      <w:spacing w:line="420" w:lineRule="exact"/>
      <w:jc w:val="center"/>
    </w:pPr>
    <w:rPr>
      <w:rFonts w:ascii="宋体" w:hAnsi="Arial"/>
      <w:sz w:val="24"/>
      <w:szCs w:val="20"/>
    </w:rPr>
  </w:style>
  <w:style w:type="paragraph" w:customStyle="1" w:styleId="1490">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1">
    <w:name w:val="样式 样式 LNG－标题1 + 段前: 0.5 行 段后: 0.5 行 + 段前: 0.5 行 段后: 0.5 行"/>
    <w:basedOn w:val="1492"/>
    <w:autoRedefine/>
    <w:qFormat/>
    <w:uiPriority w:val="0"/>
    <w:pPr>
      <w:tabs>
        <w:tab w:val="left" w:pos="425"/>
      </w:tabs>
      <w:spacing w:before="156" w:after="156"/>
      <w:ind w:left="425" w:hanging="425"/>
    </w:pPr>
    <w:rPr>
      <w:szCs w:val="20"/>
    </w:rPr>
  </w:style>
  <w:style w:type="paragraph" w:customStyle="1" w:styleId="1492">
    <w:name w:val="样式 LNG－标题1 + 段前: 0.5 行 段后: 0.5 行"/>
    <w:basedOn w:val="877"/>
    <w:autoRedefine/>
    <w:qFormat/>
    <w:uiPriority w:val="0"/>
    <w:pPr>
      <w:adjustRightInd w:val="0"/>
      <w:jc w:val="center"/>
      <w:outlineLvl w:val="0"/>
    </w:pPr>
    <w:rPr>
      <w:rFonts w:cs="宋体"/>
      <w:bCs/>
    </w:rPr>
  </w:style>
  <w:style w:type="paragraph" w:customStyle="1" w:styleId="1493">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4">
    <w:name w:val="一级无标题条"/>
    <w:basedOn w:val="1"/>
    <w:autoRedefine/>
    <w:qFormat/>
    <w:uiPriority w:val="0"/>
    <w:rPr>
      <w:szCs w:val="24"/>
    </w:rPr>
  </w:style>
  <w:style w:type="paragraph" w:customStyle="1" w:styleId="1495">
    <w:name w:val="bg"/>
    <w:basedOn w:val="1"/>
    <w:autoRedefine/>
    <w:qFormat/>
    <w:uiPriority w:val="0"/>
    <w:pPr>
      <w:widowControl/>
      <w:jc w:val="left"/>
    </w:pPr>
    <w:rPr>
      <w:kern w:val="0"/>
      <w:sz w:val="24"/>
      <w:szCs w:val="20"/>
    </w:rPr>
  </w:style>
  <w:style w:type="paragraph" w:customStyle="1" w:styleId="1496">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7">
    <w:name w:val="四级标题"/>
    <w:basedOn w:val="1"/>
    <w:autoRedefine/>
    <w:qFormat/>
    <w:uiPriority w:val="0"/>
    <w:pPr>
      <w:spacing w:before="60" w:line="460" w:lineRule="exact"/>
    </w:pPr>
    <w:rPr>
      <w:sz w:val="24"/>
      <w:szCs w:val="20"/>
    </w:rPr>
  </w:style>
  <w:style w:type="paragraph" w:customStyle="1" w:styleId="1498">
    <w:name w:val="6"/>
    <w:basedOn w:val="1"/>
    <w:next w:val="51"/>
    <w:autoRedefine/>
    <w:qFormat/>
    <w:uiPriority w:val="0"/>
    <w:pPr>
      <w:spacing w:after="120" w:afterLines="50" w:line="348" w:lineRule="auto"/>
      <w:ind w:firstLine="480" w:firstLineChars="200"/>
    </w:pPr>
    <w:rPr>
      <w:sz w:val="24"/>
    </w:rPr>
  </w:style>
  <w:style w:type="paragraph" w:customStyle="1" w:styleId="1499">
    <w:name w:val="核正文"/>
    <w:basedOn w:val="21"/>
    <w:qFormat/>
    <w:uiPriority w:val="0"/>
    <w:pPr>
      <w:ind w:firstLine="0"/>
    </w:pPr>
    <w:rPr>
      <w:sz w:val="28"/>
    </w:rPr>
  </w:style>
  <w:style w:type="paragraph" w:customStyle="1" w:styleId="1500">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1">
    <w:name w:val="首行缩进3"/>
    <w:basedOn w:val="1"/>
    <w:autoRedefine/>
    <w:qFormat/>
    <w:uiPriority w:val="0"/>
    <w:pPr>
      <w:snapToGrid w:val="0"/>
      <w:ind w:firstLine="425"/>
    </w:pPr>
    <w:rPr>
      <w:rFonts w:ascii="宋体"/>
      <w:sz w:val="24"/>
      <w:szCs w:val="20"/>
    </w:rPr>
  </w:style>
  <w:style w:type="paragraph" w:customStyle="1" w:styleId="1502">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3">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4">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5">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6">
    <w:name w:val="表样式1"/>
    <w:basedOn w:val="1"/>
    <w:qFormat/>
    <w:uiPriority w:val="0"/>
    <w:pPr>
      <w:snapToGrid w:val="0"/>
      <w:spacing w:line="420" w:lineRule="exact"/>
      <w:ind w:left="-21" w:leftChars="-10" w:right="-21" w:rightChars="-10"/>
    </w:pPr>
    <w:rPr>
      <w:spacing w:val="-4"/>
    </w:rPr>
  </w:style>
  <w:style w:type="paragraph" w:customStyle="1" w:styleId="1507">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8">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9">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10">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1">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2">
    <w:name w:val="宏福正文-2"/>
    <w:basedOn w:val="86"/>
    <w:qFormat/>
    <w:uiPriority w:val="0"/>
    <w:pPr>
      <w:snapToGrid w:val="0"/>
      <w:spacing w:before="240" w:after="0" w:line="400" w:lineRule="atLeast"/>
      <w:ind w:firstLine="567" w:firstLineChars="0"/>
    </w:pPr>
    <w:rPr>
      <w:sz w:val="28"/>
      <w:szCs w:val="28"/>
    </w:rPr>
  </w:style>
  <w:style w:type="paragraph" w:customStyle="1" w:styleId="1513">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4">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5">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6">
    <w:name w:val="名称一"/>
    <w:basedOn w:val="1"/>
    <w:autoRedefine/>
    <w:qFormat/>
    <w:uiPriority w:val="0"/>
    <w:pPr>
      <w:spacing w:line="360" w:lineRule="auto"/>
      <w:ind w:right="-180" w:rightChars="-75"/>
      <w:jc w:val="center"/>
    </w:pPr>
    <w:rPr>
      <w:b/>
      <w:sz w:val="44"/>
      <w:szCs w:val="13"/>
    </w:rPr>
  </w:style>
  <w:style w:type="paragraph" w:customStyle="1" w:styleId="1517">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8">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9">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20">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1">
    <w:name w:val="新叶眉"/>
    <w:basedOn w:val="57"/>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2">
    <w:name w:val="WW-普通文字"/>
    <w:basedOn w:val="1"/>
    <w:qFormat/>
    <w:uiPriority w:val="0"/>
    <w:pPr>
      <w:suppressAutoHyphens/>
    </w:pPr>
    <w:rPr>
      <w:rFonts w:ascii="宋体" w:hAnsi="宋体"/>
      <w:kern w:val="1"/>
      <w:sz w:val="24"/>
      <w:szCs w:val="20"/>
    </w:rPr>
  </w:style>
  <w:style w:type="paragraph" w:customStyle="1" w:styleId="1523">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4">
    <w:name w:val="Char Char Char Char Char Char Char Char Char Char Char Char"/>
    <w:basedOn w:val="1"/>
    <w:autoRedefine/>
    <w:qFormat/>
    <w:uiPriority w:val="0"/>
    <w:pPr>
      <w:tabs>
        <w:tab w:val="left" w:pos="360"/>
      </w:tabs>
    </w:pPr>
    <w:rPr>
      <w:szCs w:val="24"/>
    </w:rPr>
  </w:style>
  <w:style w:type="paragraph" w:customStyle="1" w:styleId="1525">
    <w:name w:val="8"/>
    <w:basedOn w:val="1"/>
    <w:next w:val="51"/>
    <w:autoRedefine/>
    <w:qFormat/>
    <w:uiPriority w:val="0"/>
    <w:pPr>
      <w:spacing w:line="348" w:lineRule="auto"/>
      <w:ind w:firstLine="480" w:firstLineChars="200"/>
    </w:pPr>
    <w:rPr>
      <w:sz w:val="24"/>
    </w:rPr>
  </w:style>
  <w:style w:type="paragraph" w:customStyle="1" w:styleId="1526">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7">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8">
    <w:name w:val="样式0表换行"/>
    <w:basedOn w:val="1"/>
    <w:qFormat/>
    <w:uiPriority w:val="0"/>
    <w:pPr>
      <w:spacing w:line="300" w:lineRule="auto"/>
      <w:jc w:val="center"/>
    </w:pPr>
    <w:rPr>
      <w:szCs w:val="20"/>
    </w:rPr>
  </w:style>
  <w:style w:type="paragraph" w:customStyle="1" w:styleId="1529">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30">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1">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2">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3">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4">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5">
    <w:name w:val="样式 科研究报告标题2 + 加粗 右侧:  1 字符"/>
    <w:basedOn w:val="882"/>
    <w:autoRedefine/>
    <w:qFormat/>
    <w:uiPriority w:val="0"/>
    <w:pPr>
      <w:numPr>
        <w:numId w:val="0"/>
      </w:numPr>
      <w:ind w:right="210"/>
    </w:pPr>
    <w:rPr>
      <w:rFonts w:cs="宋体"/>
      <w:b/>
      <w:bCs/>
      <w:szCs w:val="20"/>
    </w:rPr>
  </w:style>
  <w:style w:type="paragraph" w:customStyle="1" w:styleId="1536">
    <w:name w:val="样式 表头 + 黑色 行距: 固定值 25 磅"/>
    <w:basedOn w:val="292"/>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7">
    <w:name w:val="题目封页"/>
    <w:basedOn w:val="1523"/>
    <w:next w:val="913"/>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8">
    <w:name w:val="宏福4"/>
    <w:basedOn w:val="1512"/>
    <w:autoRedefine/>
    <w:qFormat/>
    <w:uiPriority w:val="0"/>
    <w:pPr>
      <w:spacing w:before="0"/>
    </w:pPr>
  </w:style>
  <w:style w:type="paragraph" w:customStyle="1" w:styleId="1539">
    <w:name w:val="基准目录样式"/>
    <w:basedOn w:val="1"/>
    <w:autoRedefine/>
    <w:qFormat/>
    <w:uiPriority w:val="0"/>
    <w:pPr>
      <w:tabs>
        <w:tab w:val="right" w:leader="dot" w:pos="8640"/>
      </w:tabs>
    </w:pPr>
    <w:rPr>
      <w:szCs w:val="20"/>
      <w:lang w:bidi="he-IL"/>
    </w:rPr>
  </w:style>
  <w:style w:type="paragraph" w:customStyle="1" w:styleId="1540">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1">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2">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3">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4">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5">
    <w:name w:val="Char Char Char2 Char"/>
    <w:basedOn w:val="1"/>
    <w:qFormat/>
    <w:uiPriority w:val="0"/>
    <w:pPr>
      <w:tabs>
        <w:tab w:val="left" w:pos="432"/>
      </w:tabs>
      <w:ind w:left="432" w:hanging="432"/>
    </w:pPr>
    <w:rPr>
      <w:szCs w:val="24"/>
    </w:rPr>
  </w:style>
  <w:style w:type="paragraph" w:customStyle="1" w:styleId="1546">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7">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8">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9">
    <w:name w:val="样式 日期 + 左侧:  25 字符"/>
    <w:basedOn w:val="50"/>
    <w:autoRedefine/>
    <w:qFormat/>
    <w:uiPriority w:val="0"/>
    <w:pPr>
      <w:ind w:left="0" w:leftChars="0"/>
      <w:jc w:val="center"/>
    </w:pPr>
    <w:rPr>
      <w:rFonts w:eastAsia="华文细黑"/>
      <w:b/>
      <w:kern w:val="2"/>
      <w:sz w:val="28"/>
      <w:szCs w:val="28"/>
    </w:rPr>
  </w:style>
  <w:style w:type="paragraph" w:customStyle="1" w:styleId="1550">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1">
    <w:name w:val="首行缩进1"/>
    <w:basedOn w:val="1"/>
    <w:autoRedefine/>
    <w:qFormat/>
    <w:uiPriority w:val="0"/>
    <w:pPr>
      <w:snapToGrid w:val="0"/>
      <w:ind w:firstLine="425"/>
    </w:pPr>
    <w:rPr>
      <w:rFonts w:ascii="宋体"/>
      <w:sz w:val="24"/>
      <w:szCs w:val="20"/>
    </w:rPr>
  </w:style>
  <w:style w:type="paragraph" w:customStyle="1" w:styleId="1552">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3">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4">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5">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6">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7">
    <w:name w:val="_Style 17"/>
    <w:basedOn w:val="1"/>
    <w:autoRedefine/>
    <w:qFormat/>
    <w:uiPriority w:val="0"/>
    <w:rPr>
      <w:rFonts w:eastAsia="仿宋_GB2312"/>
      <w:sz w:val="28"/>
      <w:szCs w:val="20"/>
    </w:rPr>
  </w:style>
  <w:style w:type="paragraph" w:customStyle="1" w:styleId="1558">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9">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60">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1">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2">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3">
    <w:name w:val="样式 Char Char Char Char Char Char Char Char Char Char Char Char Char Char Char"/>
    <w:basedOn w:val="21"/>
    <w:qFormat/>
    <w:uiPriority w:val="0"/>
    <w:pPr>
      <w:overflowPunct w:val="0"/>
      <w:autoSpaceDE w:val="0"/>
      <w:autoSpaceDN w:val="0"/>
      <w:adjustRightInd w:val="0"/>
      <w:ind w:firstLine="491"/>
      <w:textAlignment w:val="baseline"/>
    </w:pPr>
    <w:rPr>
      <w:kern w:val="0"/>
      <w:sz w:val="24"/>
      <w:szCs w:val="24"/>
    </w:rPr>
  </w:style>
  <w:style w:type="paragraph" w:customStyle="1" w:styleId="1564">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7">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8">
    <w:name w:val="首页脚注"/>
    <w:basedOn w:val="55"/>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9">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70">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1">
    <w:name w:val="样式 LNG－标题1 + 居中 段前: 0.5 行 段后: 0.5 行"/>
    <w:basedOn w:val="877"/>
    <w:autoRedefine/>
    <w:qFormat/>
    <w:uiPriority w:val="0"/>
    <w:pPr>
      <w:tabs>
        <w:tab w:val="left" w:pos="425"/>
      </w:tabs>
      <w:spacing w:before="156" w:after="156"/>
      <w:ind w:left="425" w:hanging="425"/>
      <w:jc w:val="center"/>
    </w:pPr>
    <w:rPr>
      <w:rFonts w:cs="宋体"/>
      <w:bCs/>
      <w:szCs w:val="20"/>
    </w:rPr>
  </w:style>
  <w:style w:type="paragraph" w:customStyle="1" w:styleId="1572">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3">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4">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5">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6">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7">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pPr>
    <w:rPr>
      <w:kern w:val="0"/>
      <w:sz w:val="24"/>
      <w:szCs w:val="24"/>
    </w:rPr>
  </w:style>
  <w:style w:type="paragraph" w:customStyle="1" w:styleId="1578">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9">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80">
    <w:name w:val="条目"/>
    <w:basedOn w:val="408"/>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1">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2">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4">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5">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6">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8">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9">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90">
    <w:name w:val="表图题"/>
    <w:basedOn w:val="1"/>
    <w:autoRedefine/>
    <w:qFormat/>
    <w:uiPriority w:val="0"/>
    <w:pPr>
      <w:spacing w:line="440" w:lineRule="exact"/>
      <w:ind w:firstLine="200" w:firstLineChars="200"/>
      <w:jc w:val="center"/>
    </w:pPr>
    <w:rPr>
      <w:rFonts w:eastAsia="华文细黑"/>
      <w:b/>
    </w:rPr>
  </w:style>
  <w:style w:type="paragraph" w:customStyle="1" w:styleId="1591">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2">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3">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4">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5">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6">
    <w:name w:val="正文5"/>
    <w:qFormat/>
    <w:uiPriority w:val="0"/>
    <w:pPr>
      <w:jc w:val="both"/>
    </w:pPr>
    <w:rPr>
      <w:rFonts w:ascii="Calibri" w:hAnsi="Calibri" w:eastAsia="宋体" w:cs="宋体"/>
      <w:kern w:val="2"/>
      <w:sz w:val="21"/>
      <w:szCs w:val="21"/>
      <w:lang w:val="en-US" w:eastAsia="zh-CN" w:bidi="ar-SA"/>
    </w:rPr>
  </w:style>
  <w:style w:type="paragraph" w:customStyle="1" w:styleId="1597">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8">
    <w:name w:val="样式 样式 标题 4表格1 + 两端对齐 段前: 0.5 行 段后: 0.5 行 + 段前: 0.5 行 段后: 0.5 行"/>
    <w:basedOn w:val="920"/>
    <w:autoRedefine/>
    <w:qFormat/>
    <w:uiPriority w:val="0"/>
    <w:pPr>
      <w:tabs>
        <w:tab w:val="left" w:pos="0"/>
        <w:tab w:val="left" w:pos="1080"/>
        <w:tab w:val="left" w:pos="1134"/>
        <w:tab w:val="clear" w:pos="420"/>
      </w:tabs>
    </w:pPr>
  </w:style>
  <w:style w:type="paragraph" w:customStyle="1" w:styleId="1599">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00">
    <w:name w:val="CM16"/>
    <w:basedOn w:val="330"/>
    <w:next w:val="330"/>
    <w:autoRedefine/>
    <w:qFormat/>
    <w:uiPriority w:val="0"/>
    <w:pPr>
      <w:spacing w:line="463" w:lineRule="atLeast"/>
    </w:pPr>
    <w:rPr>
      <w:rFonts w:ascii="宋体" w:hAnsi="Calibri" w:eastAsia="宋体"/>
      <w:color w:val="auto"/>
    </w:rPr>
  </w:style>
  <w:style w:type="paragraph" w:customStyle="1" w:styleId="1601">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2">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3">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4">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5">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6">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7">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8">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9">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10">
    <w:name w:val="CM13"/>
    <w:basedOn w:val="330"/>
    <w:next w:val="330"/>
    <w:autoRedefine/>
    <w:qFormat/>
    <w:uiPriority w:val="0"/>
    <w:pPr>
      <w:spacing w:line="463" w:lineRule="atLeast"/>
    </w:pPr>
    <w:rPr>
      <w:rFonts w:ascii="宋体" w:hAnsi="Calibri" w:eastAsia="宋体"/>
      <w:color w:val="auto"/>
    </w:rPr>
  </w:style>
  <w:style w:type="paragraph" w:customStyle="1" w:styleId="1611">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2">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3">
    <w:name w:val="表前文字"/>
    <w:basedOn w:val="1"/>
    <w:autoRedefine/>
    <w:qFormat/>
    <w:uiPriority w:val="0"/>
    <w:pPr>
      <w:ind w:firstLine="210"/>
      <w:jc w:val="center"/>
    </w:pPr>
    <w:rPr>
      <w:rFonts w:ascii="宋体" w:hAnsi="宋体" w:cs="宋体"/>
      <w:b/>
      <w:bCs/>
      <w:kern w:val="0"/>
      <w:sz w:val="24"/>
      <w:szCs w:val="24"/>
    </w:rPr>
  </w:style>
  <w:style w:type="paragraph" w:customStyle="1" w:styleId="1614">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5">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6">
    <w:name w:val="表格正文-小五号"/>
    <w:basedOn w:val="1"/>
    <w:autoRedefine/>
    <w:qFormat/>
    <w:uiPriority w:val="0"/>
    <w:pPr>
      <w:spacing w:line="320" w:lineRule="exact"/>
      <w:jc w:val="center"/>
    </w:pPr>
    <w:rPr>
      <w:snapToGrid w:val="0"/>
      <w:kern w:val="0"/>
      <w:sz w:val="18"/>
      <w:szCs w:val="18"/>
    </w:rPr>
  </w:style>
  <w:style w:type="paragraph" w:customStyle="1" w:styleId="1617">
    <w:name w:val="表格说明"/>
    <w:basedOn w:val="1"/>
    <w:next w:val="1"/>
    <w:autoRedefine/>
    <w:qFormat/>
    <w:uiPriority w:val="0"/>
    <w:pPr>
      <w:adjustRightInd w:val="0"/>
      <w:spacing w:line="360" w:lineRule="auto"/>
      <w:ind w:firstLine="200"/>
    </w:pPr>
    <w:rPr>
      <w:sz w:val="24"/>
      <w:szCs w:val="24"/>
    </w:rPr>
  </w:style>
  <w:style w:type="paragraph" w:customStyle="1" w:styleId="1618">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0">
    <w:name w:val="图名"/>
    <w:basedOn w:val="273"/>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1">
    <w:name w:val="Char Char Char Char Char Char Char Char Char Char Char Char Char Char Char"/>
    <w:basedOn w:val="1"/>
    <w:autoRedefine/>
    <w:qFormat/>
    <w:uiPriority w:val="0"/>
    <w:pPr>
      <w:tabs>
        <w:tab w:val="left" w:pos="360"/>
      </w:tabs>
    </w:pPr>
    <w:rPr>
      <w:szCs w:val="24"/>
    </w:rPr>
  </w:style>
  <w:style w:type="paragraph" w:customStyle="1" w:styleId="1622">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3">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4">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5">
    <w:name w:val="1表格头"/>
    <w:basedOn w:val="886"/>
    <w:qFormat/>
    <w:uiPriority w:val="0"/>
    <w:pPr>
      <w:widowControl/>
      <w:spacing w:line="420" w:lineRule="auto"/>
      <w:outlineLvl w:val="3"/>
    </w:pPr>
    <w:rPr>
      <w:rFonts w:ascii="Times New Roman" w:hAnsi="Times New Roman" w:eastAsia="黑体"/>
      <w:b/>
      <w:sz w:val="24"/>
      <w:szCs w:val="20"/>
    </w:rPr>
  </w:style>
  <w:style w:type="paragraph" w:customStyle="1" w:styleId="1626">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7">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8">
    <w:name w:val="偶页页眉样式"/>
    <w:basedOn w:val="57"/>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9">
    <w:name w:val="首页页眉样式"/>
    <w:basedOn w:val="57"/>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30">
    <w:name w:val="奇页页眉样式"/>
    <w:basedOn w:val="57"/>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1">
    <w:name w:val="节标签"/>
    <w:basedOn w:val="1523"/>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2">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3">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4">
    <w:name w:val="样式 样式 参考文献正文 + 左侧:  0 厘米 悬挂缩进: 2.2 字符 + 左侧:  0 厘米 悬挂缩进: 2.2 字符"/>
    <w:basedOn w:val="1458"/>
    <w:autoRedefine/>
    <w:qFormat/>
    <w:uiPriority w:val="0"/>
    <w:pPr>
      <w:ind w:left="528" w:hanging="528"/>
    </w:pPr>
    <w:rPr>
      <w:sz w:val="21"/>
      <w:szCs w:val="21"/>
    </w:rPr>
  </w:style>
  <w:style w:type="paragraph" w:customStyle="1" w:styleId="1635">
    <w:name w:val="样式 样式 样式 参考文献正文 + 左侧:  0 厘米 悬挂缩进: 2.2 字符 + 左侧:  0 厘米 悬挂缩进: 2.2 字..."/>
    <w:basedOn w:val="1634"/>
    <w:autoRedefine/>
    <w:qFormat/>
    <w:uiPriority w:val="0"/>
    <w:pPr>
      <w:spacing w:line="240" w:lineRule="auto"/>
      <w:ind w:left="462" w:hanging="462"/>
    </w:pPr>
    <w:rPr>
      <w:szCs w:val="20"/>
    </w:rPr>
  </w:style>
  <w:style w:type="paragraph" w:customStyle="1" w:styleId="1636">
    <w:name w:val="单位名称"/>
    <w:basedOn w:val="1"/>
    <w:autoRedefine/>
    <w:qFormat/>
    <w:uiPriority w:val="0"/>
    <w:pPr>
      <w:jc w:val="center"/>
    </w:pPr>
    <w:rPr>
      <w:rFonts w:ascii="黑体" w:eastAsia="黑体"/>
      <w:b/>
      <w:sz w:val="30"/>
      <w:szCs w:val="30"/>
    </w:rPr>
  </w:style>
  <w:style w:type="paragraph" w:customStyle="1" w:styleId="1637">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8">
    <w:name w:val="仿宋表格正文"/>
    <w:basedOn w:val="1"/>
    <w:autoRedefine/>
    <w:qFormat/>
    <w:uiPriority w:val="0"/>
    <w:pPr>
      <w:spacing w:line="360" w:lineRule="exact"/>
      <w:jc w:val="center"/>
    </w:pPr>
    <w:rPr>
      <w:rFonts w:eastAsia="仿宋_GB2312"/>
      <w:sz w:val="24"/>
      <w:szCs w:val="70"/>
    </w:rPr>
  </w:style>
  <w:style w:type="paragraph" w:customStyle="1" w:styleId="1639">
    <w:name w:val="zihe-图名"/>
    <w:basedOn w:val="1"/>
    <w:autoRedefine/>
    <w:qFormat/>
    <w:uiPriority w:val="0"/>
    <w:pPr>
      <w:spacing w:beforeLines="100" w:line="360" w:lineRule="auto"/>
    </w:pPr>
    <w:rPr>
      <w:rFonts w:ascii="宋体" w:hAnsi="宋体"/>
      <w:bCs/>
      <w:sz w:val="24"/>
      <w:szCs w:val="24"/>
    </w:rPr>
  </w:style>
  <w:style w:type="paragraph" w:customStyle="1" w:styleId="1640">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1">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2">
    <w:name w:val="bhq标高"/>
    <w:basedOn w:val="133"/>
    <w:autoRedefine/>
    <w:qFormat/>
    <w:uiPriority w:val="0"/>
    <w:pPr>
      <w:adjustRightInd w:val="0"/>
      <w:snapToGrid w:val="0"/>
      <w:textAlignment w:val="baseline"/>
    </w:pPr>
    <w:rPr>
      <w:kern w:val="0"/>
      <w:szCs w:val="21"/>
    </w:rPr>
  </w:style>
  <w:style w:type="paragraph" w:customStyle="1" w:styleId="1643">
    <w:name w:val="xl186"/>
    <w:basedOn w:val="1"/>
    <w:autoRedefine/>
    <w:qFormat/>
    <w:uiPriority w:val="0"/>
    <w:pPr>
      <w:widowControl/>
      <w:spacing w:before="100" w:beforeAutospacing="1" w:after="100" w:afterAutospacing="1"/>
      <w:jc w:val="left"/>
    </w:pPr>
    <w:rPr>
      <w:kern w:val="0"/>
      <w:sz w:val="24"/>
      <w:szCs w:val="24"/>
    </w:rPr>
  </w:style>
  <w:style w:type="paragraph" w:customStyle="1" w:styleId="1644">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6">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7">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8">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9">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0">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1">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2">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3">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4">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5">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7">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8">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9">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0">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1">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3">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5">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6">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7">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8">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9">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70">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1">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2">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3">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4">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5">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6">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7">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8">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9">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0">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1">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2">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3">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4">
    <w:name w:val="标题 20"/>
    <w:basedOn w:val="1"/>
    <w:autoRedefine/>
    <w:qFormat/>
    <w:uiPriority w:val="0"/>
    <w:pPr>
      <w:tabs>
        <w:tab w:val="left" w:pos="600"/>
      </w:tabs>
      <w:spacing w:line="360" w:lineRule="auto"/>
      <w:ind w:left="600"/>
    </w:pPr>
    <w:rPr>
      <w:rFonts w:ascii="Arial" w:hAnsi="Arial"/>
      <w:szCs w:val="22"/>
    </w:rPr>
  </w:style>
  <w:style w:type="paragraph" w:customStyle="1" w:styleId="1685">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6">
    <w:name w:val="表格内部的标题"/>
    <w:basedOn w:val="1"/>
    <w:autoRedefine/>
    <w:qFormat/>
    <w:uiPriority w:val="0"/>
    <w:pPr>
      <w:keepNext/>
      <w:keepLines/>
      <w:jc w:val="center"/>
    </w:pPr>
    <w:rPr>
      <w:rFonts w:ascii="黑体" w:eastAsia="黑体" w:cs="黑体"/>
      <w:sz w:val="20"/>
      <w:szCs w:val="20"/>
    </w:rPr>
  </w:style>
  <w:style w:type="paragraph" w:customStyle="1" w:styleId="1687">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8">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9">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90">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1">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3">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5">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6">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7">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8">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9">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0">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1">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2">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3">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4">
    <w:name w:val="INE Normal"/>
    <w:basedOn w:val="1"/>
    <w:autoRedefine/>
    <w:qFormat/>
    <w:uiPriority w:val="0"/>
    <w:pPr>
      <w:widowControl/>
      <w:jc w:val="center"/>
    </w:pPr>
    <w:rPr>
      <w:rFonts w:ascii="宋体" w:hAnsi="宋体"/>
      <w:kern w:val="0"/>
      <w:sz w:val="24"/>
      <w:szCs w:val="20"/>
    </w:rPr>
  </w:style>
  <w:style w:type="paragraph" w:customStyle="1" w:styleId="1705">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6">
    <w:name w:val="标4"/>
    <w:basedOn w:val="1"/>
    <w:autoRedefine/>
    <w:qFormat/>
    <w:uiPriority w:val="0"/>
    <w:pPr>
      <w:widowControl/>
      <w:ind w:firstLine="3372"/>
      <w:jc w:val="left"/>
    </w:pPr>
    <w:rPr>
      <w:rFonts w:ascii="黑体" w:hAnsi="华文楷体" w:eastAsia="黑体"/>
      <w:sz w:val="36"/>
      <w:szCs w:val="20"/>
    </w:rPr>
  </w:style>
  <w:style w:type="paragraph" w:customStyle="1" w:styleId="1707">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8">
    <w:name w:val="黄小林图题"/>
    <w:basedOn w:val="1"/>
    <w:qFormat/>
    <w:uiPriority w:val="0"/>
    <w:pPr>
      <w:widowControl/>
      <w:jc w:val="center"/>
      <w:outlineLvl w:val="0"/>
    </w:pPr>
    <w:rPr>
      <w:sz w:val="28"/>
      <w:szCs w:val="20"/>
    </w:rPr>
  </w:style>
  <w:style w:type="paragraph" w:customStyle="1" w:styleId="1709">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10">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1">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2">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3">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4">
    <w:name w:val="md表格题目"/>
    <w:basedOn w:val="1"/>
    <w:autoRedefine/>
    <w:qFormat/>
    <w:uiPriority w:val="0"/>
    <w:pPr>
      <w:widowControl/>
      <w:overflowPunct w:val="0"/>
      <w:jc w:val="center"/>
    </w:pPr>
    <w:rPr>
      <w:rFonts w:eastAsia="仿宋_GB2312"/>
      <w:kern w:val="0"/>
      <w:sz w:val="24"/>
      <w:szCs w:val="20"/>
    </w:rPr>
  </w:style>
  <w:style w:type="paragraph" w:customStyle="1" w:styleId="1715">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6">
    <w:name w:val="报告参考文献"/>
    <w:basedOn w:val="1"/>
    <w:autoRedefine/>
    <w:qFormat/>
    <w:uiPriority w:val="0"/>
    <w:pPr>
      <w:widowControl/>
      <w:spacing w:line="400" w:lineRule="exact"/>
      <w:ind w:left="425" w:hanging="425"/>
      <w:jc w:val="left"/>
    </w:pPr>
    <w:rPr>
      <w:sz w:val="24"/>
      <w:szCs w:val="20"/>
    </w:rPr>
  </w:style>
  <w:style w:type="paragraph" w:customStyle="1" w:styleId="1717">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8">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9">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20">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2">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3">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4">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5">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7">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8">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9">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30">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1">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2">
    <w:name w:val="t14"/>
    <w:basedOn w:val="1"/>
    <w:autoRedefine/>
    <w:qFormat/>
    <w:uiPriority w:val="0"/>
    <w:pPr>
      <w:widowControl/>
      <w:spacing w:line="240" w:lineRule="atLeast"/>
      <w:jc w:val="left"/>
    </w:pPr>
    <w:rPr>
      <w:kern w:val="0"/>
      <w:sz w:val="24"/>
      <w:szCs w:val="20"/>
    </w:rPr>
  </w:style>
  <w:style w:type="paragraph" w:customStyle="1" w:styleId="1733">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4">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5">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6">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7">
    <w:name w:val="正文文字一"/>
    <w:basedOn w:val="1"/>
    <w:autoRedefine/>
    <w:qFormat/>
    <w:uiPriority w:val="0"/>
    <w:pPr>
      <w:widowControl/>
      <w:spacing w:line="520" w:lineRule="exact"/>
      <w:ind w:firstLine="567"/>
      <w:jc w:val="left"/>
    </w:pPr>
    <w:rPr>
      <w:sz w:val="28"/>
      <w:szCs w:val="20"/>
    </w:rPr>
  </w:style>
  <w:style w:type="paragraph" w:customStyle="1" w:styleId="1738">
    <w:name w:val="小四"/>
    <w:basedOn w:val="1"/>
    <w:autoRedefine/>
    <w:qFormat/>
    <w:uiPriority w:val="0"/>
    <w:pPr>
      <w:widowControl/>
      <w:spacing w:line="360" w:lineRule="auto"/>
      <w:jc w:val="center"/>
    </w:pPr>
    <w:rPr>
      <w:rFonts w:ascii="宋体" w:hAnsi="宋体"/>
      <w:sz w:val="24"/>
      <w:szCs w:val="20"/>
    </w:rPr>
  </w:style>
  <w:style w:type="paragraph" w:customStyle="1" w:styleId="1739">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40">
    <w:name w:val="p19"/>
    <w:basedOn w:val="1"/>
    <w:autoRedefine/>
    <w:qFormat/>
    <w:uiPriority w:val="0"/>
    <w:pPr>
      <w:widowControl/>
      <w:snapToGrid w:val="0"/>
      <w:ind w:firstLine="567"/>
      <w:jc w:val="left"/>
    </w:pPr>
    <w:rPr>
      <w:kern w:val="0"/>
      <w:sz w:val="28"/>
      <w:szCs w:val="28"/>
    </w:rPr>
  </w:style>
  <w:style w:type="paragraph" w:customStyle="1" w:styleId="1741">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2">
    <w:name w:val="p21"/>
    <w:basedOn w:val="1"/>
    <w:autoRedefine/>
    <w:qFormat/>
    <w:uiPriority w:val="0"/>
    <w:pPr>
      <w:widowControl/>
      <w:snapToGrid w:val="0"/>
      <w:jc w:val="center"/>
    </w:pPr>
    <w:rPr>
      <w:rFonts w:ascii="宋体" w:hAnsi="宋体" w:cs="宋体"/>
      <w:kern w:val="0"/>
    </w:rPr>
  </w:style>
  <w:style w:type="paragraph" w:customStyle="1" w:styleId="1743">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4">
    <w:name w:val="p16"/>
    <w:basedOn w:val="1"/>
    <w:autoRedefine/>
    <w:qFormat/>
    <w:uiPriority w:val="0"/>
    <w:pPr>
      <w:widowControl/>
      <w:spacing w:line="420" w:lineRule="atLeast"/>
      <w:ind w:firstLine="480"/>
      <w:jc w:val="left"/>
    </w:pPr>
    <w:rPr>
      <w:kern w:val="0"/>
      <w:sz w:val="28"/>
      <w:szCs w:val="28"/>
    </w:rPr>
  </w:style>
  <w:style w:type="paragraph" w:customStyle="1" w:styleId="1745">
    <w:name w:val="p17"/>
    <w:basedOn w:val="1"/>
    <w:autoRedefine/>
    <w:qFormat/>
    <w:uiPriority w:val="0"/>
    <w:pPr>
      <w:widowControl/>
      <w:snapToGrid w:val="0"/>
      <w:ind w:firstLine="567"/>
      <w:jc w:val="left"/>
    </w:pPr>
    <w:rPr>
      <w:kern w:val="0"/>
      <w:sz w:val="28"/>
      <w:szCs w:val="28"/>
    </w:rPr>
  </w:style>
  <w:style w:type="paragraph" w:customStyle="1" w:styleId="1746">
    <w:name w:val="p22"/>
    <w:basedOn w:val="1"/>
    <w:autoRedefine/>
    <w:qFormat/>
    <w:uiPriority w:val="0"/>
    <w:pPr>
      <w:widowControl/>
      <w:snapToGrid w:val="0"/>
      <w:ind w:firstLine="567"/>
      <w:jc w:val="left"/>
    </w:pPr>
    <w:rPr>
      <w:kern w:val="0"/>
      <w:sz w:val="28"/>
      <w:szCs w:val="28"/>
    </w:rPr>
  </w:style>
  <w:style w:type="paragraph" w:customStyle="1" w:styleId="1747">
    <w:name w:val="表中文"/>
    <w:basedOn w:val="1"/>
    <w:autoRedefine/>
    <w:qFormat/>
    <w:uiPriority w:val="0"/>
    <w:pPr>
      <w:widowControl/>
      <w:spacing w:before="20" w:beforeLines="20" w:after="20" w:afterLines="20"/>
      <w:jc w:val="center"/>
    </w:pPr>
    <w:rPr>
      <w:szCs w:val="20"/>
    </w:rPr>
  </w:style>
  <w:style w:type="paragraph" w:customStyle="1" w:styleId="1748">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9">
    <w:name w:val="首行缩进2"/>
    <w:basedOn w:val="1"/>
    <w:autoRedefine/>
    <w:semiHidden/>
    <w:qFormat/>
    <w:uiPriority w:val="0"/>
    <w:pPr>
      <w:widowControl/>
      <w:spacing w:line="360" w:lineRule="auto"/>
      <w:ind w:firstLine="567"/>
      <w:jc w:val="left"/>
    </w:pPr>
    <w:rPr>
      <w:sz w:val="24"/>
      <w:szCs w:val="20"/>
    </w:rPr>
  </w:style>
  <w:style w:type="paragraph" w:customStyle="1" w:styleId="1750">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1">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2">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3">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4">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5">
    <w:name w:val="msolistparagraph"/>
    <w:basedOn w:val="1"/>
    <w:qFormat/>
    <w:uiPriority w:val="0"/>
    <w:pPr>
      <w:ind w:firstLine="420" w:firstLineChars="200"/>
    </w:pPr>
    <w:rPr>
      <w:rFonts w:ascii="Calibri" w:hAnsi="Calibri"/>
      <w:szCs w:val="22"/>
    </w:rPr>
  </w:style>
  <w:style w:type="paragraph" w:customStyle="1" w:styleId="1756">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7">
    <w:name w:val="Char Char Char Char Char Char3 Char Char Char Char Char Char Char1"/>
    <w:basedOn w:val="1"/>
    <w:next w:val="1"/>
    <w:autoRedefine/>
    <w:qFormat/>
    <w:uiPriority w:val="0"/>
    <w:pPr>
      <w:widowControl/>
      <w:jc w:val="left"/>
    </w:pPr>
    <w:rPr>
      <w:szCs w:val="24"/>
    </w:rPr>
  </w:style>
  <w:style w:type="paragraph" w:customStyle="1" w:styleId="1758">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9">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60">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2">
    <w:name w:val="生态表格正文"/>
    <w:basedOn w:val="1"/>
    <w:autoRedefine/>
    <w:qFormat/>
    <w:uiPriority w:val="99"/>
    <w:pPr>
      <w:widowControl/>
      <w:spacing w:line="400" w:lineRule="exact"/>
      <w:jc w:val="center"/>
    </w:pPr>
    <w:rPr>
      <w:rFonts w:eastAsia="仿宋_GB2312"/>
      <w:kern w:val="0"/>
      <w:sz w:val="24"/>
    </w:rPr>
  </w:style>
  <w:style w:type="paragraph" w:customStyle="1" w:styleId="1763">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4">
    <w:name w:val="CM131"/>
    <w:basedOn w:val="330"/>
    <w:next w:val="330"/>
    <w:autoRedefine/>
    <w:qFormat/>
    <w:uiPriority w:val="0"/>
    <w:rPr>
      <w:rFonts w:ascii="宋体" w:eastAsia="宋体"/>
      <w:color w:val="auto"/>
    </w:rPr>
  </w:style>
  <w:style w:type="paragraph" w:customStyle="1" w:styleId="1765">
    <w:name w:val="标题 121"/>
    <w:basedOn w:val="1"/>
    <w:qFormat/>
    <w:uiPriority w:val="0"/>
    <w:rPr>
      <w:szCs w:val="24"/>
    </w:rPr>
  </w:style>
  <w:style w:type="paragraph" w:customStyle="1" w:styleId="1766">
    <w:name w:val="列表标题"/>
    <w:basedOn w:val="1"/>
    <w:next w:val="1"/>
    <w:autoRedefine/>
    <w:qFormat/>
    <w:uiPriority w:val="0"/>
    <w:pPr>
      <w:jc w:val="center"/>
    </w:pPr>
    <w:rPr>
      <w:sz w:val="24"/>
      <w:szCs w:val="24"/>
    </w:rPr>
  </w:style>
  <w:style w:type="paragraph" w:customStyle="1" w:styleId="1767">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autoRedefine/>
    <w:qFormat/>
    <w:uiPriority w:val="0"/>
    <w:pPr>
      <w:spacing w:line="360" w:lineRule="exact"/>
      <w:jc w:val="center"/>
    </w:pPr>
    <w:rPr>
      <w:kern w:val="0"/>
    </w:rPr>
  </w:style>
  <w:style w:type="paragraph" w:customStyle="1" w:styleId="1769">
    <w:name w:val="列表1"/>
    <w:basedOn w:val="1"/>
    <w:next w:val="66"/>
    <w:autoRedefine/>
    <w:qFormat/>
    <w:uiPriority w:val="0"/>
    <w:pPr>
      <w:spacing w:before="60" w:line="240" w:lineRule="exact"/>
      <w:jc w:val="center"/>
    </w:pPr>
    <w:rPr>
      <w:rFonts w:ascii="宋体" w:hAnsi="宋体"/>
      <w:sz w:val="24"/>
      <w:szCs w:val="20"/>
    </w:rPr>
  </w:style>
  <w:style w:type="paragraph" w:customStyle="1" w:styleId="1770">
    <w:name w:val="12"/>
    <w:basedOn w:val="134"/>
    <w:qFormat/>
    <w:uiPriority w:val="0"/>
    <w:pPr>
      <w:jc w:val="both"/>
    </w:pPr>
    <w:rPr>
      <w:rFonts w:ascii="Times New Roman" w:hAnsi="Times New Roman"/>
      <w:bCs/>
    </w:rPr>
  </w:style>
  <w:style w:type="paragraph" w:customStyle="1" w:styleId="1771">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2">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4">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8">
    <w:name w:val="图注"/>
    <w:basedOn w:val="1"/>
    <w:next w:val="1"/>
    <w:autoRedefine/>
    <w:qFormat/>
    <w:uiPriority w:val="0"/>
    <w:pPr>
      <w:spacing w:before="60"/>
      <w:jc w:val="center"/>
    </w:pPr>
    <w:rPr>
      <w:rFonts w:ascii="宋体" w:hAnsi="宋体"/>
      <w:color w:val="0000FF"/>
      <w:sz w:val="24"/>
      <w:szCs w:val="20"/>
    </w:rPr>
  </w:style>
  <w:style w:type="paragraph" w:customStyle="1" w:styleId="1779">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80">
    <w:name w:val="表文字"/>
    <w:basedOn w:val="1"/>
    <w:autoRedefine/>
    <w:qFormat/>
    <w:uiPriority w:val="0"/>
    <w:pPr>
      <w:spacing w:line="320" w:lineRule="exact"/>
      <w:jc w:val="center"/>
    </w:pPr>
    <w:rPr>
      <w:szCs w:val="20"/>
    </w:rPr>
  </w:style>
  <w:style w:type="paragraph" w:customStyle="1" w:styleId="1781">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4">
    <w:name w:val="样式 表格 + 左侧:  -0.5 字符 首行缩进:  0.74 厘米 右侧:  -0.5 字符"/>
    <w:basedOn w:val="133"/>
    <w:autoRedefine/>
    <w:qFormat/>
    <w:uiPriority w:val="0"/>
    <w:pPr>
      <w:ind w:left="-50" w:leftChars="-50" w:right="-50" w:rightChars="-50"/>
    </w:pPr>
    <w:rPr>
      <w:rFonts w:cs="宋体"/>
      <w:spacing w:val="-4"/>
      <w:kern w:val="0"/>
    </w:rPr>
  </w:style>
  <w:style w:type="paragraph" w:customStyle="1" w:styleId="1785">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autoRedefine/>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1"/>
    <w:autoRedefine/>
    <w:qFormat/>
    <w:uiPriority w:val="0"/>
    <w:pPr>
      <w:widowControl w:val="0"/>
      <w:ind w:firstLine="200"/>
    </w:pPr>
    <w:rPr>
      <w:rFonts w:eastAsia="黑体"/>
      <w:b/>
      <w:bCs/>
      <w:szCs w:val="24"/>
    </w:rPr>
  </w:style>
  <w:style w:type="paragraph" w:customStyle="1" w:styleId="1791">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2">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5">
    <w:name w:val="附录二级条标题"/>
    <w:basedOn w:val="1794"/>
    <w:next w:val="1"/>
    <w:autoRedefine/>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autoRedefine/>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autoRedefine/>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autoRedefine/>
    <w:qFormat/>
    <w:uiPriority w:val="0"/>
    <w:pPr>
      <w:tabs>
        <w:tab w:val="left" w:pos="435"/>
        <w:tab w:val="left" w:pos="2940"/>
        <w:tab w:val="clear" w:pos="960"/>
      </w:tabs>
      <w:ind w:left="435" w:hanging="165"/>
      <w:outlineLvl w:val="6"/>
    </w:pPr>
  </w:style>
  <w:style w:type="paragraph" w:customStyle="1" w:styleId="1799">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00">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autoRedefine/>
    <w:qFormat/>
    <w:uiPriority w:val="0"/>
    <w:pPr>
      <w:spacing w:after="0" w:line="360" w:lineRule="auto"/>
      <w:ind w:firstLine="480" w:firstLineChars="200"/>
    </w:pPr>
  </w:style>
  <w:style w:type="paragraph" w:customStyle="1" w:styleId="1802">
    <w:name w:val="(a表格"/>
    <w:basedOn w:val="1"/>
    <w:autoRedefine/>
    <w:qFormat/>
    <w:uiPriority w:val="0"/>
    <w:pPr>
      <w:jc w:val="center"/>
    </w:pPr>
    <w:rPr>
      <w:rFonts w:eastAsia="仿宋_GB2312"/>
      <w:color w:val="000000"/>
    </w:rPr>
  </w:style>
  <w:style w:type="paragraph" w:customStyle="1" w:styleId="1803">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4">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5">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3">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4">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5">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6">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7">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8">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9">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1">
    <w:name w:val="样式 标题3"/>
    <w:basedOn w:val="1"/>
    <w:autoRedefine/>
    <w:qFormat/>
    <w:uiPriority w:val="0"/>
    <w:pPr>
      <w:spacing w:line="440" w:lineRule="exact"/>
      <w:outlineLvl w:val="2"/>
    </w:pPr>
    <w:rPr>
      <w:rFonts w:eastAsia="仿宋_GB2312" w:cs="宋体"/>
      <w:sz w:val="24"/>
      <w:szCs w:val="20"/>
    </w:rPr>
  </w:style>
  <w:style w:type="paragraph" w:customStyle="1" w:styleId="1822">
    <w:name w:val="样式 表名"/>
    <w:basedOn w:val="1"/>
    <w:autoRedefine/>
    <w:qFormat/>
    <w:uiPriority w:val="0"/>
    <w:pPr>
      <w:jc w:val="center"/>
    </w:pPr>
    <w:rPr>
      <w:rFonts w:eastAsia="黑体"/>
      <w:szCs w:val="24"/>
    </w:rPr>
  </w:style>
  <w:style w:type="paragraph" w:customStyle="1" w:styleId="1823">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autoRedefine/>
    <w:qFormat/>
    <w:uiPriority w:val="0"/>
    <w:pPr>
      <w:jc w:val="center"/>
    </w:pPr>
    <w:rPr>
      <w:rFonts w:eastAsia="仿宋_GB2312" w:cs="宋体"/>
      <w:kern w:val="0"/>
      <w:szCs w:val="20"/>
    </w:rPr>
  </w:style>
  <w:style w:type="paragraph" w:customStyle="1" w:styleId="1825">
    <w:name w:val="表内的表头"/>
    <w:basedOn w:val="1"/>
    <w:autoRedefine/>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7">
    <w:name w:val="样式 仿宋_GB2312 四号 首行缩进:  1.01 厘米"/>
    <w:basedOn w:val="1"/>
    <w:autoRedefine/>
    <w:qFormat/>
    <w:uiPriority w:val="0"/>
    <w:pPr>
      <w:ind w:firstLine="573"/>
    </w:pPr>
    <w:rPr>
      <w:rFonts w:eastAsia="仿宋_GB2312"/>
      <w:sz w:val="28"/>
      <w:szCs w:val="28"/>
    </w:rPr>
  </w:style>
  <w:style w:type="paragraph" w:customStyle="1" w:styleId="1828">
    <w:name w:val="样式 正文01 + 首行缩进:  2 字符 段前: 0 磅 行距: 1.5 倍行距"/>
    <w:basedOn w:val="134"/>
    <w:autoRedefine/>
    <w:qFormat/>
    <w:uiPriority w:val="0"/>
    <w:pPr>
      <w:spacing w:before="0" w:line="360" w:lineRule="auto"/>
      <w:ind w:firstLine="480" w:firstLineChars="200"/>
      <w:jc w:val="both"/>
    </w:pPr>
    <w:rPr>
      <w:rFonts w:ascii="Times New Roman" w:hAnsi="Times New Roman"/>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83"/>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3">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autoRedefine/>
    <w:qFormat/>
    <w:uiPriority w:val="0"/>
    <w:pPr>
      <w:spacing w:beforeLines="50" w:line="360" w:lineRule="auto"/>
      <w:ind w:left="-119" w:right="-119" w:firstLine="482"/>
    </w:pPr>
  </w:style>
  <w:style w:type="paragraph" w:customStyle="1" w:styleId="1838">
    <w:name w:val="正文 首行缩进:  2 字符"/>
    <w:basedOn w:val="1"/>
    <w:autoRedefine/>
    <w:qFormat/>
    <w:uiPriority w:val="0"/>
    <w:pPr>
      <w:spacing w:line="360" w:lineRule="auto"/>
      <w:ind w:firstLine="480" w:firstLineChars="200"/>
      <w:jc w:val="left"/>
    </w:pPr>
    <w:rPr>
      <w:sz w:val="24"/>
      <w:szCs w:val="24"/>
    </w:rPr>
  </w:style>
  <w:style w:type="paragraph" w:customStyle="1" w:styleId="1839">
    <w:name w:val="正文表格居中"/>
    <w:basedOn w:val="1"/>
    <w:autoRedefine/>
    <w:qFormat/>
    <w:uiPriority w:val="0"/>
    <w:pPr>
      <w:spacing w:line="440" w:lineRule="exact"/>
      <w:jc w:val="center"/>
    </w:pPr>
    <w:rPr>
      <w:rFonts w:eastAsia="仿宋_GB2312"/>
      <w:sz w:val="24"/>
      <w:szCs w:val="20"/>
    </w:rPr>
  </w:style>
  <w:style w:type="paragraph" w:customStyle="1" w:styleId="1840">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1">
    <w:name w:val="－列表2"/>
    <w:basedOn w:val="1"/>
    <w:autoRedefine/>
    <w:qFormat/>
    <w:uiPriority w:val="0"/>
    <w:pPr>
      <w:jc w:val="center"/>
    </w:pPr>
    <w:rPr>
      <w:szCs w:val="20"/>
    </w:rPr>
  </w:style>
  <w:style w:type="paragraph" w:customStyle="1" w:styleId="1842">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4">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5">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6">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7">
    <w:name w:val="标题4-1"/>
    <w:basedOn w:val="1"/>
    <w:qFormat/>
    <w:uiPriority w:val="0"/>
    <w:pPr>
      <w:spacing w:line="360" w:lineRule="auto"/>
      <w:ind w:firstLine="482" w:firstLineChars="200"/>
    </w:pPr>
    <w:rPr>
      <w:rFonts w:cs="宋体"/>
      <w:b/>
      <w:bCs/>
      <w:sz w:val="24"/>
      <w:szCs w:val="20"/>
    </w:rPr>
  </w:style>
  <w:style w:type="paragraph" w:customStyle="1" w:styleId="1848">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9">
    <w:name w:val="主体无缩进"/>
    <w:basedOn w:val="580"/>
    <w:autoRedefine/>
    <w:qFormat/>
    <w:uiPriority w:val="0"/>
    <w:pPr>
      <w:ind w:firstLine="0" w:firstLineChars="0"/>
    </w:pPr>
    <w:rPr>
      <w:rFonts w:cs="宋体"/>
      <w:bCs w:val="0"/>
      <w:szCs w:val="20"/>
    </w:rPr>
  </w:style>
  <w:style w:type="paragraph" w:customStyle="1" w:styleId="1850">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2">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3">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4">
    <w:name w:val="Char Char Char1 Char Char Char Char Char Char Char Char Char Char"/>
    <w:basedOn w:val="1"/>
    <w:autoRedefine/>
    <w:qFormat/>
    <w:uiPriority w:val="0"/>
    <w:rPr>
      <w:szCs w:val="24"/>
    </w:rPr>
  </w:style>
  <w:style w:type="paragraph" w:customStyle="1" w:styleId="1855">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7">
    <w:name w:val="小四表格"/>
    <w:basedOn w:val="1"/>
    <w:qFormat/>
    <w:uiPriority w:val="0"/>
    <w:pPr>
      <w:snapToGrid w:val="0"/>
      <w:jc w:val="center"/>
    </w:pPr>
    <w:rPr>
      <w:kern w:val="0"/>
      <w:sz w:val="24"/>
      <w:szCs w:val="20"/>
    </w:rPr>
  </w:style>
  <w:style w:type="paragraph" w:customStyle="1" w:styleId="1858">
    <w:name w:val="表格内容001"/>
    <w:basedOn w:val="1"/>
    <w:autoRedefine/>
    <w:qFormat/>
    <w:uiPriority w:val="0"/>
    <w:pPr>
      <w:widowControl/>
      <w:snapToGrid w:val="0"/>
      <w:jc w:val="center"/>
    </w:pPr>
    <w:rPr>
      <w:kern w:val="0"/>
      <w:szCs w:val="20"/>
    </w:rPr>
  </w:style>
  <w:style w:type="paragraph" w:customStyle="1" w:styleId="1859">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2">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3">
    <w:name w:val="默认段落字体 Para Char Char"/>
    <w:basedOn w:val="1"/>
    <w:autoRedefine/>
    <w:semiHidden/>
    <w:qFormat/>
    <w:uiPriority w:val="0"/>
    <w:rPr>
      <w:rFonts w:ascii="新宋体" w:hAnsi="新宋体" w:eastAsia="汉鼎简书宋" w:cs="新宋体"/>
      <w:szCs w:val="24"/>
    </w:rPr>
  </w:style>
  <w:style w:type="paragraph" w:customStyle="1" w:styleId="1864">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5">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9">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0">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3">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6">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7">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8">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9">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0">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2">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3">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4">
    <w:name w:val="表格文本"/>
    <w:basedOn w:val="1"/>
    <w:next w:val="1"/>
    <w:autoRedefine/>
    <w:qFormat/>
    <w:uiPriority w:val="0"/>
    <w:pPr>
      <w:spacing w:line="240" w:lineRule="exact"/>
      <w:jc w:val="center"/>
    </w:pPr>
    <w:rPr>
      <w:rFonts w:eastAsia="Times New Roman"/>
      <w:szCs w:val="20"/>
    </w:rPr>
  </w:style>
  <w:style w:type="paragraph" w:customStyle="1" w:styleId="1885">
    <w:name w:val="Char1 Char Char Char2"/>
    <w:basedOn w:val="1"/>
    <w:autoRedefine/>
    <w:qFormat/>
    <w:uiPriority w:val="0"/>
    <w:rPr>
      <w:szCs w:val="24"/>
    </w:rPr>
  </w:style>
  <w:style w:type="paragraph" w:customStyle="1" w:styleId="1886">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7">
    <w:name w:val="Style 表格内容 + Line spacing:  Multiple 1.2 li"/>
    <w:basedOn w:val="287"/>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8">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9">
    <w:name w:val="表4.3-1"/>
    <w:basedOn w:val="1"/>
    <w:autoRedefine/>
    <w:qFormat/>
    <w:uiPriority w:val="0"/>
    <w:pPr>
      <w:tabs>
        <w:tab w:val="left" w:pos="0"/>
        <w:tab w:val="left" w:pos="720"/>
      </w:tabs>
      <w:jc w:val="center"/>
    </w:pPr>
    <w:rPr>
      <w:b/>
      <w:kern w:val="0"/>
    </w:rPr>
  </w:style>
  <w:style w:type="paragraph" w:customStyle="1" w:styleId="1890">
    <w:name w:val="正文表格"/>
    <w:basedOn w:val="1"/>
    <w:autoRedefine/>
    <w:qFormat/>
    <w:uiPriority w:val="0"/>
    <w:pPr>
      <w:adjustRightInd w:val="0"/>
      <w:snapToGrid w:val="0"/>
      <w:jc w:val="center"/>
    </w:pPr>
    <w:rPr>
      <w:rFonts w:eastAsia="楷体_GB2312"/>
      <w:bCs/>
      <w:sz w:val="24"/>
      <w:szCs w:val="20"/>
    </w:rPr>
  </w:style>
  <w:style w:type="paragraph" w:customStyle="1" w:styleId="1891">
    <w:name w:val="环评正文"/>
    <w:basedOn w:val="1"/>
    <w:qFormat/>
    <w:uiPriority w:val="0"/>
    <w:pPr>
      <w:spacing w:line="360" w:lineRule="auto"/>
      <w:ind w:firstLine="480" w:firstLineChars="200"/>
    </w:pPr>
    <w:rPr>
      <w:sz w:val="24"/>
      <w:szCs w:val="24"/>
    </w:rPr>
  </w:style>
  <w:style w:type="paragraph" w:customStyle="1" w:styleId="1892">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4">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6">
    <w:name w:val="表格正文8"/>
    <w:basedOn w:val="1"/>
    <w:autoRedefine/>
    <w:qFormat/>
    <w:uiPriority w:val="0"/>
    <w:pPr>
      <w:spacing w:line="360" w:lineRule="exact"/>
      <w:jc w:val="center"/>
    </w:pPr>
    <w:rPr>
      <w:snapToGrid w:val="0"/>
      <w:kern w:val="0"/>
    </w:rPr>
  </w:style>
  <w:style w:type="paragraph" w:customStyle="1" w:styleId="1897">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8">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9">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900">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1">
    <w:name w:val="正文文本2"/>
    <w:basedOn w:val="1"/>
    <w:autoRedefine/>
    <w:unhideWhenUsed/>
    <w:qFormat/>
    <w:uiPriority w:val="0"/>
    <w:rPr>
      <w:b/>
      <w:szCs w:val="20"/>
    </w:rPr>
  </w:style>
  <w:style w:type="paragraph" w:customStyle="1" w:styleId="190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3">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4">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5">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6">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7">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8">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1">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3">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5">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6">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8">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0">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1">
    <w:name w:val="列表 3 字符"/>
    <w:autoRedefine/>
    <w:qFormat/>
    <w:uiPriority w:val="99"/>
    <w:rPr>
      <w:rFonts w:ascii="Arial" w:hAnsi="Arial"/>
      <w:kern w:val="2"/>
      <w:sz w:val="24"/>
      <w:szCs w:val="24"/>
      <w:lang w:val="zh-CN"/>
    </w:rPr>
  </w:style>
  <w:style w:type="character" w:customStyle="1" w:styleId="1922">
    <w:name w:val="普通(网站) 字符"/>
    <w:autoRedefine/>
    <w:qFormat/>
    <w:uiPriority w:val="99"/>
    <w:rPr>
      <w:rFonts w:ascii="Courier New" w:hAnsi="Courier New"/>
      <w:sz w:val="24"/>
      <w:szCs w:val="24"/>
    </w:rPr>
  </w:style>
  <w:style w:type="character" w:customStyle="1" w:styleId="1923">
    <w:name w:val="正文缩进 字符4"/>
    <w:autoRedefine/>
    <w:qFormat/>
    <w:uiPriority w:val="0"/>
    <w:rPr>
      <w:rFonts w:ascii="Arial" w:hAnsi="Arial" w:cs="Arial"/>
      <w:spacing w:val="10"/>
      <w:kern w:val="2"/>
      <w:sz w:val="24"/>
    </w:rPr>
  </w:style>
  <w:style w:type="character" w:customStyle="1" w:styleId="1924">
    <w:name w:val="标题 4 字符3"/>
    <w:autoRedefine/>
    <w:qFormat/>
    <w:uiPriority w:val="0"/>
    <w:rPr>
      <w:rFonts w:ascii="Arial" w:hAnsi="Arial" w:eastAsia="黑体"/>
      <w:b/>
      <w:bCs/>
      <w:kern w:val="2"/>
      <w:sz w:val="28"/>
      <w:szCs w:val="28"/>
      <w:lang w:val="zh-CN"/>
    </w:rPr>
  </w:style>
  <w:style w:type="character" w:customStyle="1" w:styleId="1925">
    <w:name w:val="15"/>
    <w:basedOn w:val="98"/>
    <w:autoRedefine/>
    <w:qFormat/>
    <w:uiPriority w:val="0"/>
    <w:rPr>
      <w:rFonts w:hint="eastAsia" w:ascii="宋体" w:hAnsi="宋体" w:eastAsia="宋体"/>
      <w:color w:val="000000"/>
      <w:sz w:val="22"/>
      <w:szCs w:val="22"/>
    </w:rPr>
  </w:style>
  <w:style w:type="character" w:customStyle="1" w:styleId="1926">
    <w:name w:val="17"/>
    <w:basedOn w:val="98"/>
    <w:autoRedefine/>
    <w:qFormat/>
    <w:uiPriority w:val="0"/>
    <w:rPr>
      <w:rFonts w:hint="default" w:ascii="Arial" w:hAnsi="Arial" w:cs="Arial"/>
      <w:color w:val="000000"/>
      <w:sz w:val="22"/>
      <w:szCs w:val="22"/>
    </w:rPr>
  </w:style>
  <w:style w:type="character" w:customStyle="1" w:styleId="1927">
    <w:name w:val="18"/>
    <w:basedOn w:val="98"/>
    <w:autoRedefine/>
    <w:qFormat/>
    <w:uiPriority w:val="0"/>
    <w:rPr>
      <w:rFonts w:hint="eastAsia" w:ascii="宋体" w:hAnsi="宋体" w:eastAsia="宋体"/>
      <w:color w:val="FF0000"/>
      <w:sz w:val="21"/>
      <w:szCs w:val="21"/>
    </w:rPr>
  </w:style>
  <w:style w:type="character" w:customStyle="1" w:styleId="1928">
    <w:name w:val="批注文字 字符4"/>
    <w:autoRedefine/>
    <w:qFormat/>
    <w:uiPriority w:val="0"/>
    <w:rPr>
      <w:sz w:val="24"/>
    </w:rPr>
  </w:style>
  <w:style w:type="paragraph" w:customStyle="1" w:styleId="1929">
    <w:name w:val="分区图"/>
    <w:next w:val="327"/>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30">
    <w:name w:val="表格标题"/>
    <w:basedOn w:val="1"/>
    <w:autoRedefine/>
    <w:qFormat/>
    <w:uiPriority w:val="99"/>
    <w:pPr>
      <w:widowControl/>
      <w:spacing w:before="120" w:line="360" w:lineRule="auto"/>
      <w:jc w:val="center"/>
    </w:pPr>
    <w:rPr>
      <w:rFonts w:ascii="宋体" w:hAnsi="Calibri"/>
      <w:szCs w:val="20"/>
    </w:rPr>
  </w:style>
  <w:style w:type="character" w:customStyle="1" w:styleId="1931">
    <w:name w:val="编号字符"/>
    <w:autoRedefine/>
    <w:qFormat/>
    <w:uiPriority w:val="0"/>
  </w:style>
  <w:style w:type="character" w:customStyle="1" w:styleId="1932">
    <w:name w:val="text11"/>
    <w:autoRedefine/>
    <w:qFormat/>
    <w:uiPriority w:val="0"/>
    <w:rPr>
      <w:rFonts w:hint="default" w:ascii="ˎ̥" w:hAnsi="ˎ̥"/>
      <w:color w:val="000000"/>
      <w:sz w:val="24"/>
      <w:szCs w:val="24"/>
      <w:u w:val="none"/>
    </w:rPr>
  </w:style>
  <w:style w:type="character" w:customStyle="1" w:styleId="1933">
    <w:name w:val="aboutus1"/>
    <w:qFormat/>
    <w:uiPriority w:val="0"/>
    <w:rPr>
      <w:rFonts w:hint="default" w:ascii="ˎ̥" w:hAnsi="ˎ̥"/>
      <w:color w:val="000000"/>
      <w:sz w:val="18"/>
      <w:szCs w:val="18"/>
      <w:u w:val="none"/>
    </w:rPr>
  </w:style>
  <w:style w:type="character" w:customStyle="1" w:styleId="1934">
    <w:name w:val="style171"/>
    <w:autoRedefine/>
    <w:qFormat/>
    <w:uiPriority w:val="0"/>
    <w:rPr>
      <w:b/>
      <w:bCs/>
      <w:sz w:val="24"/>
      <w:szCs w:val="24"/>
    </w:rPr>
  </w:style>
  <w:style w:type="paragraph" w:customStyle="1" w:styleId="1935">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6">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7">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8">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9">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40">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1">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2">
    <w:name w:val="Table Normal1"/>
    <w:autoRedefine/>
    <w:unhideWhenUsed/>
    <w:qFormat/>
    <w:uiPriority w:val="2"/>
    <w:tblPr>
      <w:tblCellMar>
        <w:top w:w="0" w:type="dxa"/>
        <w:left w:w="0" w:type="dxa"/>
        <w:bottom w:w="0" w:type="dxa"/>
        <w:right w:w="0" w:type="dxa"/>
      </w:tblCellMar>
    </w:tblPr>
  </w:style>
  <w:style w:type="character" w:customStyle="1" w:styleId="1943">
    <w:name w:val="批注文字 Char4"/>
    <w:autoRedefine/>
    <w:qFormat/>
    <w:locked/>
    <w:uiPriority w:val="0"/>
    <w:rPr>
      <w:rFonts w:ascii="Times New Roman" w:hAnsi="Times New Roman" w:eastAsia="宋体"/>
      <w:sz w:val="24"/>
    </w:rPr>
  </w:style>
  <w:style w:type="character" w:customStyle="1" w:styleId="1944">
    <w:name w:val="列表 3 Char1"/>
    <w:autoRedefine/>
    <w:qFormat/>
    <w:uiPriority w:val="0"/>
    <w:rPr>
      <w:rFonts w:ascii="Arial" w:hAnsi="Arial"/>
      <w:kern w:val="2"/>
      <w:sz w:val="24"/>
      <w:szCs w:val="24"/>
      <w:lang w:val="zh-CN"/>
    </w:rPr>
  </w:style>
  <w:style w:type="character" w:customStyle="1" w:styleId="1945">
    <w:name w:val="列出段落 Char1"/>
    <w:qFormat/>
    <w:locked/>
    <w:uiPriority w:val="34"/>
    <w:rPr>
      <w:kern w:val="2"/>
      <w:sz w:val="21"/>
      <w:szCs w:val="24"/>
    </w:rPr>
  </w:style>
  <w:style w:type="character" w:customStyle="1" w:styleId="1946">
    <w:name w:val="列表 3 字符2"/>
    <w:autoRedefine/>
    <w:qFormat/>
    <w:uiPriority w:val="0"/>
    <w:rPr>
      <w:rFonts w:ascii="Arial" w:hAnsi="Arial"/>
      <w:kern w:val="2"/>
      <w:sz w:val="24"/>
      <w:szCs w:val="24"/>
      <w:lang w:val="zh-CN"/>
    </w:rPr>
  </w:style>
  <w:style w:type="character" w:customStyle="1" w:styleId="1947">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8">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9">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50">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1">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2">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4">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7">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6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4">
    <w:name w:val="表后正文"/>
    <w:basedOn w:val="51"/>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5">
    <w:name w:val="表格内容 Char"/>
    <w:autoRedefine/>
    <w:qFormat/>
    <w:uiPriority w:val="0"/>
    <w:rPr>
      <w:kern w:val="0"/>
      <w:sz w:val="21"/>
      <w:szCs w:val="20"/>
    </w:rPr>
  </w:style>
  <w:style w:type="paragraph" w:customStyle="1" w:styleId="1966">
    <w:name w:val="WPSOffice手动目录 1"/>
    <w:qFormat/>
    <w:uiPriority w:val="0"/>
    <w:rPr>
      <w:rFonts w:ascii="Times New Roman" w:hAnsi="Times New Roman" w:eastAsia="宋体" w:cs="Times New Roman"/>
      <w:lang w:val="en-US" w:eastAsia="zh-CN" w:bidi="ar-SA"/>
    </w:rPr>
  </w:style>
  <w:style w:type="paragraph" w:customStyle="1" w:styleId="196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968">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2.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header" Target="header1.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83</Pages>
  <Words>3286</Words>
  <Characters>3754</Characters>
  <Lines>191</Lines>
  <Paragraphs>53</Paragraphs>
  <TotalTime>0</TotalTime>
  <ScaleCrop>false</ScaleCrop>
  <LinksUpToDate>false</LinksUpToDate>
  <CharactersWithSpaces>3886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2024-04-23T08:57:00Z</dcterms:created>
  <dc:creator>H</dc:creator>
  <cp:lastModifiedBy>王禹哲</cp:lastModifiedBy>
  <dcterms:modified xsi:type="dcterms:W3CDTF">2025-10-29T01:48:58Z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50AABC1C111E4DE6A116027B51DABCE1</vt:lpwstr>
  </property>
  <property fmtid="{D5CDD505-2E9C-101B-9397-08002B2CF9AE}" pid="4" name="KSOTemplateDocerSaveRecord">
    <vt:lpwstr>eyJoZGlkIjoiMzEwNTM5NzYwMDRjMzkwZTVkZjY2ODkwMGIxNGU0OTUiLCJ1c2VySWQiOiI0MzUwNDU1NDcifQ==</vt:lpwstr>
  </property>
</Properties>
</file>