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B0C1D">
      <w:pPr>
        <w:pStyle w:val="22"/>
        <w:adjustRightInd w:val="0"/>
        <w:snapToGrid w:val="0"/>
        <w:spacing w:line="360" w:lineRule="auto"/>
        <w:ind w:firstLine="0" w:firstLineChars="0"/>
        <w:jc w:val="center"/>
        <w:rPr>
          <w:rFonts w:hint="eastAsia" w:ascii="Times New Roman" w:hAnsi="Times New Roman" w:eastAsia="宋体"/>
          <w:b/>
          <w:color w:val="auto"/>
          <w:sz w:val="32"/>
          <w:szCs w:val="32"/>
        </w:rPr>
      </w:pPr>
      <w:bookmarkStart w:id="14" w:name="_GoBack"/>
      <w:r>
        <w:rPr>
          <w:rFonts w:hint="eastAsia" w:ascii="Times New Roman" w:hAnsi="Times New Roman" w:eastAsia="宋体"/>
          <w:b/>
          <w:color w:val="auto"/>
          <w:sz w:val="32"/>
          <w:szCs w:val="32"/>
          <w:lang w:val="en-US" w:eastAsia="zh-CN"/>
        </w:rPr>
        <w:t xml:space="preserve">杭州美盾新材料有限公司年产1万吨高阻隔等新材料及厂房 </w:t>
      </w:r>
    </w:p>
    <w:p w14:paraId="19152FC4">
      <w:pPr>
        <w:pStyle w:val="22"/>
        <w:adjustRightInd w:val="0"/>
        <w:snapToGrid w:val="0"/>
        <w:spacing w:line="360" w:lineRule="auto"/>
        <w:ind w:firstLine="0" w:firstLineChars="0"/>
        <w:jc w:val="center"/>
        <w:rPr>
          <w:rFonts w:ascii="Times New Roman" w:hAnsi="Times New Roman" w:eastAsia="宋体"/>
          <w:b/>
          <w:color w:val="auto"/>
          <w:sz w:val="32"/>
          <w:szCs w:val="32"/>
        </w:rPr>
      </w:pPr>
      <w:r>
        <w:rPr>
          <w:rFonts w:hint="eastAsia" w:ascii="Times New Roman" w:hAnsi="Times New Roman" w:eastAsia="宋体"/>
          <w:b/>
          <w:color w:val="auto"/>
          <w:sz w:val="32"/>
          <w:szCs w:val="32"/>
          <w:lang w:val="en-US" w:eastAsia="zh-CN"/>
        </w:rPr>
        <w:t>建设项目</w:t>
      </w:r>
      <w:r>
        <w:rPr>
          <w:rFonts w:hint="eastAsia" w:ascii="Times New Roman" w:hAnsi="Times New Roman" w:eastAsia="宋体"/>
          <w:b/>
          <w:color w:val="auto"/>
          <w:sz w:val="32"/>
          <w:szCs w:val="32"/>
        </w:rPr>
        <w:t>情况说明</w:t>
      </w:r>
    </w:p>
    <w:p w14:paraId="19E152F2">
      <w:pPr>
        <w:pStyle w:val="2"/>
        <w:numPr>
          <w:ilvl w:val="0"/>
          <w:numId w:val="5"/>
        </w:numPr>
        <w:spacing w:line="360" w:lineRule="auto"/>
        <w:jc w:val="left"/>
        <w:rPr>
          <w:rFonts w:hint="eastAsia"/>
          <w:color w:val="auto"/>
        </w:rPr>
      </w:pPr>
      <w:r>
        <w:rPr>
          <w:rFonts w:hint="eastAsia"/>
          <w:color w:val="auto"/>
        </w:rPr>
        <w:t>建设项目环境影响分类管理名录对照</w:t>
      </w:r>
    </w:p>
    <w:p w14:paraId="36AFDCCC">
      <w:pPr>
        <w:pStyle w:val="22"/>
        <w:adjustRightInd w:val="0"/>
        <w:snapToGrid w:val="0"/>
        <w:spacing w:line="360" w:lineRule="auto"/>
        <w:ind w:firstLine="420"/>
        <w:rPr>
          <w:rFonts w:ascii="Times New Roman" w:hAnsi="Times New Roman" w:eastAsia="宋体"/>
          <w:color w:val="auto"/>
          <w:sz w:val="24"/>
        </w:rPr>
      </w:pPr>
      <w:r>
        <w:rPr>
          <w:rFonts w:hint="eastAsia" w:ascii="Times New Roman" w:hAnsi="Times New Roman" w:eastAsia="宋体"/>
          <w:color w:val="auto"/>
          <w:sz w:val="24"/>
        </w:rPr>
        <w:t>本项目主要</w:t>
      </w:r>
      <w:r>
        <w:rPr>
          <w:rFonts w:hint="eastAsia" w:ascii="Times New Roman" w:hAnsi="Times New Roman" w:eastAsia="宋体"/>
          <w:color w:val="auto"/>
          <w:sz w:val="24"/>
          <w:lang w:val="en-US" w:eastAsia="zh-CN"/>
        </w:rPr>
        <w:t>生产PE薄膜</w:t>
      </w:r>
      <w:r>
        <w:rPr>
          <w:rFonts w:hint="eastAsia" w:ascii="Times New Roman" w:hAnsi="Times New Roman" w:eastAsia="宋体"/>
          <w:color w:val="auto"/>
          <w:sz w:val="24"/>
        </w:rPr>
        <w:t>，根据建设项目环境影响评价分类管理名录（2021年版），项目属于“二十六、橡胶和塑料制品业”中第</w:t>
      </w:r>
      <w:r>
        <w:rPr>
          <w:rFonts w:hint="eastAsia" w:ascii="Times New Roman" w:hAnsi="Times New Roman" w:eastAsia="宋体"/>
          <w:color w:val="auto"/>
          <w:sz w:val="24"/>
          <w:lang w:val="en-US" w:eastAsia="zh-CN"/>
        </w:rPr>
        <w:t>53</w:t>
      </w:r>
      <w:r>
        <w:rPr>
          <w:rFonts w:hint="eastAsia" w:ascii="Times New Roman" w:hAnsi="Times New Roman" w:eastAsia="宋体"/>
          <w:color w:val="auto"/>
          <w:sz w:val="24"/>
        </w:rPr>
        <w:t>项“塑料制品业292”</w:t>
      </w:r>
      <w:r>
        <w:rPr>
          <w:rFonts w:hint="eastAsia" w:ascii="Times New Roman" w:hAnsi="Times New Roman" w:eastAsia="宋体"/>
          <w:color w:val="auto"/>
          <w:sz w:val="24"/>
          <w:lang w:eastAsia="zh-CN"/>
        </w:rPr>
        <w:t>中“其他”项目</w:t>
      </w:r>
      <w:r>
        <w:rPr>
          <w:rFonts w:hint="eastAsia" w:ascii="Times New Roman" w:hAnsi="Times New Roman" w:eastAsia="宋体"/>
          <w:color w:val="auto"/>
          <w:sz w:val="24"/>
        </w:rPr>
        <w:t>，因此环评类别为报告表。</w:t>
      </w:r>
    </w:p>
    <w:p w14:paraId="13B6442C">
      <w:pPr>
        <w:pStyle w:val="20"/>
        <w:numPr>
          <w:ilvl w:val="0"/>
          <w:numId w:val="6"/>
        </w:numPr>
        <w:rPr>
          <w:color w:val="auto"/>
        </w:rPr>
      </w:pPr>
      <w:r>
        <w:rPr>
          <w:rFonts w:hint="eastAsia"/>
          <w:color w:val="auto"/>
        </w:rPr>
        <w:t>建设项目环境影响评价分类管理名录（2021年版）</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2892"/>
        <w:gridCol w:w="1922"/>
        <w:gridCol w:w="2268"/>
        <w:gridCol w:w="788"/>
      </w:tblGrid>
      <w:tr w14:paraId="27EFE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8" w:type="dxa"/>
            <w:gridSpan w:val="2"/>
            <w:tcBorders>
              <w:tl2br w:val="single" w:color="auto" w:sz="4" w:space="0"/>
            </w:tcBorders>
          </w:tcPr>
          <w:p w14:paraId="5261F917">
            <w:pPr>
              <w:ind w:left="-105" w:leftChars="-50" w:right="-105" w:rightChars="-50"/>
              <w:jc w:val="right"/>
              <w:rPr>
                <w:color w:val="auto"/>
                <w:sz w:val="21"/>
              </w:rPr>
            </w:pPr>
            <w:r>
              <w:rPr>
                <w:color w:val="auto"/>
                <w:sz w:val="21"/>
              </w:rPr>
              <w:t>环评类别</w:t>
            </w:r>
          </w:p>
          <w:p w14:paraId="139DCE89">
            <w:pPr>
              <w:ind w:left="-105" w:leftChars="-50" w:right="-105" w:rightChars="-50"/>
              <w:rPr>
                <w:color w:val="auto"/>
                <w:sz w:val="21"/>
              </w:rPr>
            </w:pPr>
            <w:r>
              <w:rPr>
                <w:color w:val="auto"/>
                <w:sz w:val="21"/>
              </w:rPr>
              <w:t>项目类别</w:t>
            </w:r>
          </w:p>
        </w:tc>
        <w:tc>
          <w:tcPr>
            <w:tcW w:w="1922" w:type="dxa"/>
            <w:vAlign w:val="center"/>
          </w:tcPr>
          <w:p w14:paraId="280915D1">
            <w:pPr>
              <w:ind w:left="-105" w:leftChars="-50" w:right="-105" w:rightChars="-50"/>
              <w:jc w:val="center"/>
              <w:rPr>
                <w:color w:val="auto"/>
                <w:sz w:val="21"/>
              </w:rPr>
            </w:pPr>
            <w:r>
              <w:rPr>
                <w:color w:val="auto"/>
                <w:sz w:val="21"/>
              </w:rPr>
              <w:t>报告书</w:t>
            </w:r>
          </w:p>
        </w:tc>
        <w:tc>
          <w:tcPr>
            <w:tcW w:w="2268" w:type="dxa"/>
            <w:vAlign w:val="center"/>
          </w:tcPr>
          <w:p w14:paraId="7F96C7AB">
            <w:pPr>
              <w:ind w:left="-105" w:leftChars="-50" w:right="-105" w:rightChars="-50"/>
              <w:jc w:val="center"/>
              <w:rPr>
                <w:color w:val="auto"/>
                <w:sz w:val="21"/>
              </w:rPr>
            </w:pPr>
            <w:r>
              <w:rPr>
                <w:color w:val="auto"/>
                <w:sz w:val="21"/>
              </w:rPr>
              <w:t>报告表</w:t>
            </w:r>
          </w:p>
        </w:tc>
        <w:tc>
          <w:tcPr>
            <w:tcW w:w="788" w:type="dxa"/>
            <w:vAlign w:val="center"/>
          </w:tcPr>
          <w:p w14:paraId="5676D5AB">
            <w:pPr>
              <w:ind w:left="-105" w:leftChars="-50" w:right="-105" w:rightChars="-50"/>
              <w:jc w:val="center"/>
              <w:rPr>
                <w:color w:val="auto"/>
                <w:sz w:val="21"/>
              </w:rPr>
            </w:pPr>
            <w:r>
              <w:rPr>
                <w:color w:val="auto"/>
                <w:sz w:val="21"/>
              </w:rPr>
              <w:t>登记表</w:t>
            </w:r>
          </w:p>
        </w:tc>
      </w:tr>
      <w:tr w14:paraId="6B27F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8296" w:type="dxa"/>
            <w:gridSpan w:val="5"/>
          </w:tcPr>
          <w:p w14:paraId="3964CD62">
            <w:pPr>
              <w:ind w:right="-105" w:rightChars="-50"/>
              <w:rPr>
                <w:rFonts w:hint="default" w:eastAsia="宋体"/>
                <w:color w:val="auto"/>
                <w:sz w:val="21"/>
                <w:lang w:val="en-US" w:eastAsia="zh-CN"/>
              </w:rPr>
            </w:pPr>
            <w:r>
              <w:rPr>
                <w:color w:val="auto"/>
                <w:sz w:val="21"/>
              </w:rPr>
              <w:t>二十六、橡胶和塑料制品业</w:t>
            </w:r>
            <w:r>
              <w:rPr>
                <w:rFonts w:hint="eastAsia"/>
                <w:color w:val="auto"/>
                <w:sz w:val="21"/>
                <w:lang w:val="en-US" w:eastAsia="zh-CN"/>
              </w:rPr>
              <w:t xml:space="preserve"> 29</w:t>
            </w:r>
          </w:p>
        </w:tc>
      </w:tr>
      <w:tr w14:paraId="509DC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26" w:type="dxa"/>
            <w:vAlign w:val="center"/>
          </w:tcPr>
          <w:p w14:paraId="76FE5139">
            <w:pPr>
              <w:autoSpaceDE w:val="0"/>
              <w:autoSpaceDN w:val="0"/>
              <w:adjustRightInd w:val="0"/>
              <w:snapToGrid w:val="0"/>
              <w:jc w:val="center"/>
              <w:rPr>
                <w:rFonts w:hint="default" w:eastAsia="宋体"/>
                <w:color w:val="auto"/>
                <w:sz w:val="21"/>
                <w:lang w:val="en-US" w:eastAsia="zh-CN"/>
              </w:rPr>
            </w:pPr>
            <w:r>
              <w:rPr>
                <w:rFonts w:hint="eastAsia"/>
                <w:color w:val="auto"/>
                <w:sz w:val="21"/>
                <w:lang w:val="en-US" w:eastAsia="zh-CN" w:bidi="ar"/>
              </w:rPr>
              <w:t>53</w:t>
            </w:r>
          </w:p>
        </w:tc>
        <w:tc>
          <w:tcPr>
            <w:tcW w:w="2892" w:type="dxa"/>
            <w:vAlign w:val="center"/>
          </w:tcPr>
          <w:p w14:paraId="157EEBA0">
            <w:pPr>
              <w:autoSpaceDE w:val="0"/>
              <w:autoSpaceDN w:val="0"/>
              <w:adjustRightInd w:val="0"/>
              <w:snapToGrid w:val="0"/>
              <w:rPr>
                <w:color w:val="auto"/>
                <w:sz w:val="21"/>
              </w:rPr>
            </w:pPr>
            <w:r>
              <w:rPr>
                <w:color w:val="auto"/>
                <w:sz w:val="21"/>
              </w:rPr>
              <w:t>塑料制品业292</w:t>
            </w:r>
          </w:p>
        </w:tc>
        <w:tc>
          <w:tcPr>
            <w:tcW w:w="1922" w:type="dxa"/>
            <w:vAlign w:val="center"/>
          </w:tcPr>
          <w:p w14:paraId="41220C9A">
            <w:pPr>
              <w:autoSpaceDE w:val="0"/>
              <w:autoSpaceDN w:val="0"/>
              <w:adjustRightInd w:val="0"/>
              <w:snapToGrid w:val="0"/>
              <w:rPr>
                <w:color w:val="auto"/>
                <w:sz w:val="21"/>
              </w:rPr>
            </w:pPr>
            <w:r>
              <w:rPr>
                <w:color w:val="auto"/>
                <w:sz w:val="21"/>
              </w:rPr>
              <w:t>以再生塑料为原料生产的；有电镀工艺的；年用溶剂型胶粘剂</w:t>
            </w:r>
            <w:r>
              <w:rPr>
                <w:rFonts w:hint="eastAsia"/>
                <w:color w:val="auto"/>
                <w:sz w:val="21"/>
              </w:rPr>
              <w:t>10吨及以上的；年用溶剂型涂料（含稀释剂）10吨及以上的</w:t>
            </w:r>
          </w:p>
        </w:tc>
        <w:tc>
          <w:tcPr>
            <w:tcW w:w="2268" w:type="dxa"/>
            <w:vAlign w:val="center"/>
          </w:tcPr>
          <w:p w14:paraId="524A419E">
            <w:pPr>
              <w:autoSpaceDE w:val="0"/>
              <w:autoSpaceDN w:val="0"/>
              <w:adjustRightInd w:val="0"/>
              <w:snapToGrid w:val="0"/>
              <w:jc w:val="center"/>
              <w:rPr>
                <w:color w:val="auto"/>
                <w:sz w:val="21"/>
              </w:rPr>
            </w:pPr>
            <w:r>
              <w:rPr>
                <w:b/>
                <w:bCs/>
                <w:color w:val="auto"/>
                <w:sz w:val="21"/>
              </w:rPr>
              <w:t>其他（年用非溶剂型低</w:t>
            </w:r>
            <w:r>
              <w:rPr>
                <w:rFonts w:hint="eastAsia"/>
                <w:b/>
                <w:bCs/>
                <w:color w:val="auto"/>
                <w:sz w:val="21"/>
              </w:rPr>
              <w:t>VOCs含量涂料10吨以下的除外）</w:t>
            </w:r>
          </w:p>
        </w:tc>
        <w:tc>
          <w:tcPr>
            <w:tcW w:w="788" w:type="dxa"/>
            <w:vAlign w:val="center"/>
          </w:tcPr>
          <w:p w14:paraId="05C423CB">
            <w:pPr>
              <w:autoSpaceDE w:val="0"/>
              <w:autoSpaceDN w:val="0"/>
              <w:adjustRightInd w:val="0"/>
              <w:snapToGrid w:val="0"/>
              <w:jc w:val="center"/>
              <w:rPr>
                <w:color w:val="auto"/>
                <w:sz w:val="21"/>
              </w:rPr>
            </w:pPr>
            <w:r>
              <w:rPr>
                <w:color w:val="auto"/>
                <w:sz w:val="21"/>
                <w:lang w:bidi="ar"/>
              </w:rPr>
              <w:t>/</w:t>
            </w:r>
          </w:p>
        </w:tc>
      </w:tr>
    </w:tbl>
    <w:p w14:paraId="61D3441B">
      <w:pPr>
        <w:pStyle w:val="2"/>
        <w:spacing w:line="360" w:lineRule="auto"/>
        <w:jc w:val="left"/>
        <w:rPr>
          <w:color w:val="auto"/>
        </w:rPr>
      </w:pPr>
      <w:r>
        <w:rPr>
          <w:rFonts w:hint="eastAsia"/>
          <w:color w:val="auto"/>
          <w:lang w:val="en-US" w:eastAsia="zh-CN"/>
        </w:rPr>
        <w:t>二</w:t>
      </w:r>
      <w:r>
        <w:rPr>
          <w:rFonts w:hint="eastAsia"/>
          <w:color w:val="auto"/>
        </w:rPr>
        <w:t>、</w:t>
      </w:r>
      <w:r>
        <w:rPr>
          <w:color w:val="auto"/>
        </w:rPr>
        <w:t>许可证管理等级判定</w:t>
      </w:r>
    </w:p>
    <w:p w14:paraId="7FDA7C8D">
      <w:pPr>
        <w:pStyle w:val="22"/>
        <w:adjustRightInd w:val="0"/>
        <w:snapToGrid w:val="0"/>
        <w:spacing w:line="360" w:lineRule="auto"/>
        <w:rPr>
          <w:rFonts w:ascii="Times New Roman" w:hAnsi="Times New Roman" w:eastAsia="宋体"/>
          <w:color w:val="auto"/>
        </w:rPr>
      </w:pPr>
      <w:r>
        <w:rPr>
          <w:rFonts w:ascii="Times New Roman" w:hAnsi="Times New Roman" w:eastAsia="宋体"/>
          <w:color w:val="auto"/>
        </w:rPr>
        <w:t>根据《固定污染源排污许可分类管理名录》（2019年版），</w:t>
      </w:r>
      <w:r>
        <w:rPr>
          <w:rFonts w:hint="eastAsia" w:ascii="Times New Roman" w:hAnsi="Times New Roman" w:eastAsia="宋体"/>
          <w:color w:val="auto"/>
        </w:rPr>
        <w:t>本项目管理类别判定见下表</w:t>
      </w:r>
      <w:r>
        <w:rPr>
          <w:rFonts w:ascii="Times New Roman" w:hAnsi="Times New Roman" w:eastAsia="宋体"/>
          <w:color w:val="auto"/>
        </w:rPr>
        <w:t>。</w:t>
      </w:r>
    </w:p>
    <w:p w14:paraId="29B55608">
      <w:pPr>
        <w:pStyle w:val="20"/>
        <w:numPr>
          <w:ilvl w:val="0"/>
          <w:numId w:val="6"/>
        </w:numPr>
        <w:spacing w:before="156"/>
        <w:rPr>
          <w:b w:val="0"/>
          <w:bCs/>
          <w:color w:val="auto"/>
        </w:rPr>
      </w:pPr>
      <w:r>
        <w:rPr>
          <w:rFonts w:hint="eastAsia"/>
          <w:color w:val="auto"/>
        </w:rPr>
        <w:t>企业排污许可管理类别归类表</w:t>
      </w:r>
    </w:p>
    <w:tbl>
      <w:tblPr>
        <w:tblStyle w:val="15"/>
        <w:tblW w:w="5006"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79"/>
        <w:gridCol w:w="1000"/>
        <w:gridCol w:w="1474"/>
        <w:gridCol w:w="2631"/>
        <w:gridCol w:w="1627"/>
        <w:gridCol w:w="1015"/>
      </w:tblGrid>
      <w:tr w14:paraId="38ACBD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8" w:type="dxa"/>
            <w:vAlign w:val="center"/>
          </w:tcPr>
          <w:p w14:paraId="4DC82CBE">
            <w:pPr>
              <w:adjustRightInd w:val="0"/>
              <w:snapToGrid w:val="0"/>
              <w:jc w:val="center"/>
              <w:rPr>
                <w:color w:val="auto"/>
              </w:rPr>
            </w:pPr>
            <w:r>
              <w:rPr>
                <w:color w:val="auto"/>
              </w:rPr>
              <w:t>序号</w:t>
            </w:r>
          </w:p>
        </w:tc>
        <w:tc>
          <w:tcPr>
            <w:tcW w:w="999" w:type="dxa"/>
            <w:vAlign w:val="center"/>
          </w:tcPr>
          <w:p w14:paraId="74E3EC4D">
            <w:pPr>
              <w:adjustRightInd w:val="0"/>
              <w:snapToGrid w:val="0"/>
              <w:jc w:val="center"/>
              <w:rPr>
                <w:color w:val="auto"/>
              </w:rPr>
            </w:pPr>
            <w:r>
              <w:rPr>
                <w:color w:val="auto"/>
              </w:rPr>
              <w:t>行业类别</w:t>
            </w:r>
          </w:p>
        </w:tc>
        <w:tc>
          <w:tcPr>
            <w:tcW w:w="1472" w:type="dxa"/>
            <w:vAlign w:val="center"/>
          </w:tcPr>
          <w:p w14:paraId="082C3628">
            <w:pPr>
              <w:adjustRightInd w:val="0"/>
              <w:snapToGrid w:val="0"/>
              <w:jc w:val="center"/>
              <w:rPr>
                <w:color w:val="auto"/>
              </w:rPr>
            </w:pPr>
            <w:r>
              <w:rPr>
                <w:color w:val="auto"/>
              </w:rPr>
              <w:t>重点管理</w:t>
            </w:r>
          </w:p>
        </w:tc>
        <w:tc>
          <w:tcPr>
            <w:tcW w:w="2628" w:type="dxa"/>
            <w:vAlign w:val="center"/>
          </w:tcPr>
          <w:p w14:paraId="3BE0EDBF">
            <w:pPr>
              <w:adjustRightInd w:val="0"/>
              <w:snapToGrid w:val="0"/>
              <w:jc w:val="center"/>
              <w:rPr>
                <w:color w:val="auto"/>
              </w:rPr>
            </w:pPr>
            <w:r>
              <w:rPr>
                <w:color w:val="auto"/>
              </w:rPr>
              <w:t>简化管理</w:t>
            </w:r>
          </w:p>
        </w:tc>
        <w:tc>
          <w:tcPr>
            <w:tcW w:w="1625" w:type="dxa"/>
            <w:vAlign w:val="center"/>
          </w:tcPr>
          <w:p w14:paraId="0B694C35">
            <w:pPr>
              <w:adjustRightInd w:val="0"/>
              <w:snapToGrid w:val="0"/>
              <w:jc w:val="center"/>
              <w:rPr>
                <w:color w:val="auto"/>
              </w:rPr>
            </w:pPr>
            <w:r>
              <w:rPr>
                <w:color w:val="auto"/>
              </w:rPr>
              <w:t>登记管理</w:t>
            </w:r>
          </w:p>
        </w:tc>
        <w:tc>
          <w:tcPr>
            <w:tcW w:w="1014" w:type="dxa"/>
            <w:vAlign w:val="center"/>
          </w:tcPr>
          <w:p w14:paraId="188AF187">
            <w:pPr>
              <w:adjustRightInd w:val="0"/>
              <w:snapToGrid w:val="0"/>
              <w:jc w:val="center"/>
              <w:rPr>
                <w:color w:val="auto"/>
              </w:rPr>
            </w:pPr>
            <w:r>
              <w:rPr>
                <w:rFonts w:hint="eastAsia"/>
                <w:color w:val="auto"/>
              </w:rPr>
              <w:t>本项目管</w:t>
            </w:r>
          </w:p>
          <w:p w14:paraId="529831F8">
            <w:pPr>
              <w:adjustRightInd w:val="0"/>
              <w:snapToGrid w:val="0"/>
              <w:jc w:val="center"/>
              <w:rPr>
                <w:color w:val="auto"/>
              </w:rPr>
            </w:pPr>
            <w:r>
              <w:rPr>
                <w:rFonts w:hint="eastAsia"/>
                <w:color w:val="auto"/>
              </w:rPr>
              <w:t>理类别</w:t>
            </w:r>
          </w:p>
        </w:tc>
      </w:tr>
      <w:tr w14:paraId="0F07A4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8316" w:type="dxa"/>
            <w:gridSpan w:val="6"/>
            <w:vAlign w:val="center"/>
          </w:tcPr>
          <w:p w14:paraId="53BF1E63">
            <w:pPr>
              <w:adjustRightInd w:val="0"/>
              <w:snapToGrid w:val="0"/>
              <w:rPr>
                <w:rFonts w:hint="eastAsia" w:eastAsia="宋体"/>
                <w:color w:val="auto"/>
                <w:lang w:eastAsia="zh-CN"/>
              </w:rPr>
            </w:pPr>
            <w:r>
              <w:rPr>
                <w:rFonts w:hint="eastAsia" w:cs="宋体"/>
                <w:color w:val="auto"/>
                <w:kern w:val="0"/>
                <w:lang w:val="en-US" w:eastAsia="zh-CN"/>
              </w:rPr>
              <w:t>二十四</w:t>
            </w:r>
            <w:r>
              <w:rPr>
                <w:rFonts w:hint="eastAsia" w:cs="宋体"/>
                <w:color w:val="auto"/>
                <w:kern w:val="0"/>
              </w:rPr>
              <w:t>、</w:t>
            </w:r>
            <w:r>
              <w:rPr>
                <w:rFonts w:hint="eastAsia" w:cs="宋体"/>
                <w:color w:val="auto"/>
                <w:kern w:val="0"/>
                <w:lang w:val="en-US" w:eastAsia="zh-CN"/>
              </w:rPr>
              <w:t>橡胶和塑料制品业</w:t>
            </w:r>
            <w:r>
              <w:rPr>
                <w:rFonts w:cs="宋体"/>
                <w:color w:val="auto"/>
                <w:kern w:val="0"/>
              </w:rPr>
              <w:t>2</w:t>
            </w:r>
            <w:r>
              <w:rPr>
                <w:rFonts w:hint="eastAsia" w:cs="宋体"/>
                <w:color w:val="auto"/>
                <w:kern w:val="0"/>
                <w:lang w:val="en-US" w:eastAsia="zh-CN"/>
              </w:rPr>
              <w:t>9</w:t>
            </w:r>
          </w:p>
        </w:tc>
      </w:tr>
      <w:tr w14:paraId="638B76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jc w:val="center"/>
        </w:trPr>
        <w:tc>
          <w:tcPr>
            <w:tcW w:w="578" w:type="dxa"/>
            <w:vAlign w:val="center"/>
          </w:tcPr>
          <w:p w14:paraId="3A80E302">
            <w:pPr>
              <w:adjustRightInd w:val="0"/>
              <w:snapToGrid w:val="0"/>
              <w:jc w:val="center"/>
              <w:rPr>
                <w:rFonts w:hint="default" w:eastAsia="宋体"/>
                <w:color w:val="auto"/>
                <w:lang w:val="en-US" w:eastAsia="zh-CN"/>
              </w:rPr>
            </w:pPr>
            <w:r>
              <w:rPr>
                <w:rFonts w:hint="eastAsia"/>
                <w:color w:val="auto"/>
                <w:lang w:val="en-US" w:eastAsia="zh-CN"/>
              </w:rPr>
              <w:t>62</w:t>
            </w:r>
          </w:p>
        </w:tc>
        <w:tc>
          <w:tcPr>
            <w:tcW w:w="999" w:type="dxa"/>
            <w:vAlign w:val="center"/>
          </w:tcPr>
          <w:p w14:paraId="3E52095F">
            <w:pPr>
              <w:adjustRightInd w:val="0"/>
              <w:snapToGrid w:val="0"/>
              <w:jc w:val="center"/>
              <w:rPr>
                <w:color w:val="auto"/>
              </w:rPr>
            </w:pPr>
            <w:r>
              <w:rPr>
                <w:rFonts w:hint="eastAsia"/>
                <w:color w:val="auto"/>
                <w:lang w:val="en-US" w:eastAsia="zh-CN"/>
              </w:rPr>
              <w:t>塑料制品业 292</w:t>
            </w:r>
          </w:p>
        </w:tc>
        <w:tc>
          <w:tcPr>
            <w:tcW w:w="1472" w:type="dxa"/>
            <w:vAlign w:val="center"/>
          </w:tcPr>
          <w:p w14:paraId="1250BCBC">
            <w:pPr>
              <w:adjustRightInd w:val="0"/>
              <w:snapToGrid w:val="0"/>
              <w:jc w:val="center"/>
              <w:rPr>
                <w:color w:val="auto"/>
              </w:rPr>
            </w:pPr>
            <w:r>
              <w:rPr>
                <w:rFonts w:hint="eastAsia"/>
                <w:color w:val="auto"/>
                <w:lang w:val="en-US" w:eastAsia="zh-CN"/>
              </w:rPr>
              <w:t>塑料人造革、合成革制造 2925</w:t>
            </w:r>
          </w:p>
        </w:tc>
        <w:tc>
          <w:tcPr>
            <w:tcW w:w="2628" w:type="dxa"/>
            <w:vAlign w:val="center"/>
          </w:tcPr>
          <w:p w14:paraId="6EBE4A6A">
            <w:pPr>
              <w:autoSpaceDE w:val="0"/>
              <w:autoSpaceDN w:val="0"/>
              <w:adjustRightInd w:val="0"/>
              <w:snapToGrid w:val="0"/>
              <w:jc w:val="left"/>
              <w:rPr>
                <w:b/>
                <w:bCs/>
                <w:color w:val="auto"/>
              </w:rPr>
            </w:pPr>
            <w:r>
              <w:rPr>
                <w:rFonts w:hint="eastAsia"/>
                <w:b/>
                <w:bCs/>
                <w:color w:val="auto"/>
                <w:lang w:val="en-US" w:eastAsia="zh-CN"/>
              </w:rPr>
              <w:t xml:space="preserve">年产 1 万吨及以上的泡沫塑料制造 2924，年产 1 万吨及以上涉及改性的塑料薄膜制造 2921、塑料板、管、 </w:t>
            </w:r>
          </w:p>
          <w:p w14:paraId="76195FCF">
            <w:pPr>
              <w:autoSpaceDE w:val="0"/>
              <w:autoSpaceDN w:val="0"/>
              <w:adjustRightInd w:val="0"/>
              <w:snapToGrid w:val="0"/>
              <w:jc w:val="left"/>
              <w:rPr>
                <w:b/>
                <w:bCs/>
                <w:color w:val="auto"/>
              </w:rPr>
            </w:pPr>
            <w:r>
              <w:rPr>
                <w:rFonts w:hint="eastAsia"/>
                <w:b/>
                <w:bCs/>
                <w:color w:val="auto"/>
                <w:lang w:val="en-US" w:eastAsia="zh-CN"/>
              </w:rPr>
              <w:t xml:space="preserve">型材制造 2922、塑料丝、绳和编织品制造 2923、塑料包装箱及容器制造 2926、日用塑料品制造 2927、人造草坪制造 2928、塑料零件及其他 </w:t>
            </w:r>
          </w:p>
          <w:p w14:paraId="519AA8AA">
            <w:pPr>
              <w:autoSpaceDE w:val="0"/>
              <w:autoSpaceDN w:val="0"/>
              <w:adjustRightInd w:val="0"/>
              <w:snapToGrid w:val="0"/>
              <w:jc w:val="left"/>
              <w:rPr>
                <w:color w:val="auto"/>
              </w:rPr>
            </w:pPr>
            <w:r>
              <w:rPr>
                <w:rFonts w:hint="eastAsia"/>
                <w:b/>
                <w:bCs/>
                <w:color w:val="auto"/>
                <w:lang w:val="en-US" w:eastAsia="zh-CN"/>
              </w:rPr>
              <w:t>塑料制品制造 2929</w:t>
            </w:r>
          </w:p>
        </w:tc>
        <w:tc>
          <w:tcPr>
            <w:tcW w:w="1625" w:type="dxa"/>
            <w:vAlign w:val="center"/>
          </w:tcPr>
          <w:p w14:paraId="4D04F97C">
            <w:pPr>
              <w:adjustRightInd w:val="0"/>
              <w:snapToGrid w:val="0"/>
              <w:jc w:val="center"/>
              <w:rPr>
                <w:bCs/>
                <w:color w:val="auto"/>
              </w:rPr>
            </w:pPr>
            <w:r>
              <w:rPr>
                <w:rFonts w:hint="eastAsia"/>
                <w:bCs/>
                <w:color w:val="auto"/>
              </w:rPr>
              <w:t>其他</w:t>
            </w:r>
          </w:p>
        </w:tc>
        <w:tc>
          <w:tcPr>
            <w:tcW w:w="1014" w:type="dxa"/>
            <w:vAlign w:val="center"/>
          </w:tcPr>
          <w:p w14:paraId="110FC324">
            <w:pPr>
              <w:adjustRightInd w:val="0"/>
              <w:snapToGrid w:val="0"/>
              <w:jc w:val="center"/>
              <w:rPr>
                <w:bCs/>
                <w:color w:val="auto"/>
              </w:rPr>
            </w:pPr>
            <w:r>
              <w:rPr>
                <w:rFonts w:hint="eastAsia"/>
                <w:bCs/>
                <w:color w:val="auto"/>
                <w:lang w:val="en-US" w:eastAsia="zh-CN"/>
              </w:rPr>
              <w:t>简化</w:t>
            </w:r>
            <w:r>
              <w:rPr>
                <w:bCs/>
                <w:color w:val="auto"/>
              </w:rPr>
              <w:t>管理</w:t>
            </w:r>
          </w:p>
        </w:tc>
      </w:tr>
    </w:tbl>
    <w:p w14:paraId="1CDF3B02">
      <w:pPr>
        <w:pStyle w:val="24"/>
        <w:adjustRightInd w:val="0"/>
        <w:snapToGrid w:val="0"/>
        <w:ind w:firstLine="480"/>
        <w:rPr>
          <w:color w:val="auto"/>
        </w:rPr>
      </w:pPr>
      <w:r>
        <w:rPr>
          <w:rFonts w:hint="eastAsia"/>
          <w:color w:val="auto"/>
          <w:lang w:val="en-US" w:eastAsia="zh-CN"/>
        </w:rPr>
        <w:t>杭州美盾新材料有限公司年产1万吨高阻隔等新材料及厂房建设项目属于“</w:t>
      </w:r>
      <w:r>
        <w:rPr>
          <w:rFonts w:hint="eastAsia"/>
          <w:color w:val="auto"/>
        </w:rPr>
        <w:t>年产1万吨及以上涉及改性的塑料薄膜制造2921</w:t>
      </w:r>
      <w:r>
        <w:rPr>
          <w:rFonts w:hint="eastAsia"/>
          <w:color w:val="auto"/>
          <w:lang w:val="en-US" w:eastAsia="zh-CN"/>
        </w:rPr>
        <w:t>”</w:t>
      </w:r>
      <w:r>
        <w:rPr>
          <w:rFonts w:hint="eastAsia"/>
          <w:color w:val="auto"/>
        </w:rPr>
        <w:t>，</w:t>
      </w:r>
      <w:r>
        <w:rPr>
          <w:color w:val="auto"/>
        </w:rPr>
        <w:t>根据上表判定可得</w:t>
      </w:r>
      <w:r>
        <w:rPr>
          <w:rFonts w:hint="eastAsia"/>
          <w:color w:val="auto"/>
        </w:rPr>
        <w:t>，本项目</w:t>
      </w:r>
      <w:r>
        <w:rPr>
          <w:color w:val="auto"/>
        </w:rPr>
        <w:t>属于</w:t>
      </w:r>
      <w:r>
        <w:rPr>
          <w:rFonts w:hint="eastAsia"/>
          <w:color w:val="auto"/>
          <w:lang w:val="en-US" w:eastAsia="zh-CN"/>
        </w:rPr>
        <w:t>简化</w:t>
      </w:r>
      <w:r>
        <w:rPr>
          <w:rFonts w:hint="eastAsia"/>
          <w:color w:val="auto"/>
        </w:rPr>
        <w:t>管理</w:t>
      </w:r>
      <w:r>
        <w:rPr>
          <w:color w:val="auto"/>
        </w:rPr>
        <w:t>类</w:t>
      </w:r>
      <w:r>
        <w:rPr>
          <w:rFonts w:hint="eastAsia"/>
          <w:color w:val="auto"/>
        </w:rPr>
        <w:t>。</w:t>
      </w:r>
    </w:p>
    <w:p w14:paraId="47D0978E">
      <w:pPr>
        <w:pStyle w:val="2"/>
        <w:spacing w:line="360" w:lineRule="auto"/>
        <w:jc w:val="left"/>
        <w:rPr>
          <w:rFonts w:hint="eastAsia"/>
          <w:color w:val="auto"/>
        </w:rPr>
      </w:pPr>
      <w:r>
        <w:rPr>
          <w:rFonts w:hint="eastAsia"/>
          <w:color w:val="auto"/>
          <w:lang w:val="en-US" w:eastAsia="zh-CN"/>
        </w:rPr>
        <w:t>三</w:t>
      </w:r>
      <w:r>
        <w:rPr>
          <w:rFonts w:hint="eastAsia"/>
          <w:color w:val="auto"/>
        </w:rPr>
        <w:t>、位置图（具体见附图1、附图2、附图3、附图4）</w:t>
      </w:r>
    </w:p>
    <w:p w14:paraId="49529383">
      <w:pPr>
        <w:pStyle w:val="24"/>
        <w:ind w:firstLine="422"/>
        <w:rPr>
          <w:b/>
          <w:color w:val="auto"/>
        </w:rPr>
      </w:pPr>
      <w:r>
        <w:rPr>
          <w:rFonts w:hint="eastAsia"/>
          <w:b/>
          <w:color w:val="auto"/>
        </w:rPr>
        <w:t>1、环境保护目标</w:t>
      </w:r>
    </w:p>
    <w:p w14:paraId="7FF1F17D">
      <w:pPr>
        <w:pStyle w:val="24"/>
        <w:ind w:firstLine="422"/>
        <w:rPr>
          <w:b/>
          <w:color w:val="auto"/>
          <w:highlight w:val="none"/>
        </w:rPr>
      </w:pPr>
      <w:r>
        <w:rPr>
          <w:rFonts w:hint="eastAsia"/>
          <w:b/>
          <w:color w:val="auto"/>
          <w:highlight w:val="none"/>
        </w:rPr>
        <w:t>（1）大气环境</w:t>
      </w:r>
    </w:p>
    <w:p w14:paraId="248A73E4">
      <w:pPr>
        <w:spacing w:line="360" w:lineRule="auto"/>
        <w:ind w:firstLine="480" w:firstLineChars="200"/>
        <w:rPr>
          <w:color w:val="auto"/>
          <w:highlight w:val="none"/>
          <w:lang w:val="zh-CN"/>
        </w:rPr>
      </w:pPr>
      <w:r>
        <w:rPr>
          <w:rFonts w:hint="eastAsia"/>
          <w:color w:val="auto"/>
          <w:sz w:val="24"/>
          <w:szCs w:val="24"/>
          <w:highlight w:val="none"/>
        </w:rPr>
        <w:t>根据调查，</w:t>
      </w:r>
      <w:r>
        <w:rPr>
          <w:rFonts w:hint="eastAsia"/>
          <w:color w:val="auto"/>
          <w:sz w:val="24"/>
          <w:szCs w:val="24"/>
        </w:rPr>
        <w:t>项目厂界外500m范围内</w:t>
      </w:r>
      <w:r>
        <w:rPr>
          <w:color w:val="auto"/>
          <w:sz w:val="24"/>
          <w:szCs w:val="24"/>
        </w:rPr>
        <w:t>大气环境评价范围内保护目标见下表</w:t>
      </w:r>
      <w:r>
        <w:rPr>
          <w:rFonts w:hint="eastAsia"/>
          <w:color w:val="auto"/>
          <w:sz w:val="24"/>
          <w:szCs w:val="24"/>
          <w:highlight w:val="none"/>
        </w:rPr>
        <w:t>。</w:t>
      </w:r>
    </w:p>
    <w:p w14:paraId="70F730D4">
      <w:pPr>
        <w:pStyle w:val="20"/>
        <w:numPr>
          <w:ilvl w:val="0"/>
          <w:numId w:val="6"/>
        </w:numPr>
        <w:spacing w:before="156"/>
        <w:rPr>
          <w:rFonts w:hint="eastAsia" w:ascii="Times New Roman" w:hAnsi="Times New Roman" w:eastAsia="宋体" w:cs="Times New Roman"/>
          <w:b/>
          <w:color w:val="auto"/>
        </w:rPr>
      </w:pPr>
      <w:r>
        <w:rPr>
          <w:rFonts w:hint="eastAsia" w:ascii="Times New Roman" w:hAnsi="Times New Roman" w:eastAsia="宋体" w:cs="Times New Roman"/>
          <w:b/>
          <w:color w:val="auto"/>
        </w:rPr>
        <w:t>大气环境保护目标基本情况</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30"/>
        <w:gridCol w:w="763"/>
        <w:gridCol w:w="889"/>
        <w:gridCol w:w="739"/>
        <w:gridCol w:w="945"/>
        <w:gridCol w:w="799"/>
        <w:gridCol w:w="924"/>
        <w:gridCol w:w="1048"/>
        <w:gridCol w:w="833"/>
        <w:gridCol w:w="945"/>
      </w:tblGrid>
      <w:tr w14:paraId="3EC9C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17" w:type="pct"/>
            <w:gridSpan w:val="2"/>
            <w:vMerge w:val="restart"/>
            <w:noWrap w:val="0"/>
            <w:vAlign w:val="center"/>
          </w:tcPr>
          <w:p w14:paraId="36C7D623">
            <w:pPr>
              <w:widowControl/>
              <w:jc w:val="center"/>
              <w:rPr>
                <w:color w:val="auto"/>
                <w:kern w:val="0"/>
                <w:sz w:val="21"/>
                <w:szCs w:val="21"/>
                <w:highlight w:val="none"/>
              </w:rPr>
            </w:pPr>
            <w:r>
              <w:rPr>
                <w:color w:val="auto"/>
                <w:kern w:val="0"/>
                <w:sz w:val="21"/>
                <w:szCs w:val="21"/>
                <w:highlight w:val="none"/>
              </w:rPr>
              <w:t>保护目标名称</w:t>
            </w:r>
          </w:p>
        </w:tc>
        <w:tc>
          <w:tcPr>
            <w:tcW w:w="978" w:type="pct"/>
            <w:gridSpan w:val="2"/>
            <w:noWrap w:val="0"/>
            <w:vAlign w:val="center"/>
          </w:tcPr>
          <w:p w14:paraId="40196490">
            <w:pPr>
              <w:widowControl/>
              <w:jc w:val="center"/>
              <w:rPr>
                <w:color w:val="auto"/>
                <w:kern w:val="0"/>
                <w:sz w:val="21"/>
                <w:szCs w:val="21"/>
                <w:highlight w:val="none"/>
              </w:rPr>
            </w:pPr>
            <w:r>
              <w:rPr>
                <w:rFonts w:hint="eastAsia"/>
                <w:color w:val="auto"/>
                <w:kern w:val="0"/>
                <w:sz w:val="21"/>
                <w:szCs w:val="21"/>
                <w:highlight w:val="none"/>
              </w:rPr>
              <w:t>UTM</w:t>
            </w:r>
            <w:r>
              <w:rPr>
                <w:color w:val="auto"/>
                <w:kern w:val="0"/>
                <w:sz w:val="21"/>
                <w:szCs w:val="21"/>
                <w:highlight w:val="none"/>
              </w:rPr>
              <w:t>坐标/m</w:t>
            </w:r>
          </w:p>
        </w:tc>
        <w:tc>
          <w:tcPr>
            <w:tcW w:w="568" w:type="pct"/>
            <w:vMerge w:val="restart"/>
            <w:noWrap w:val="0"/>
            <w:vAlign w:val="center"/>
          </w:tcPr>
          <w:p w14:paraId="0C3E20C7">
            <w:pPr>
              <w:widowControl/>
              <w:jc w:val="center"/>
              <w:rPr>
                <w:color w:val="auto"/>
                <w:kern w:val="0"/>
                <w:sz w:val="21"/>
                <w:szCs w:val="21"/>
                <w:highlight w:val="none"/>
              </w:rPr>
            </w:pPr>
            <w:r>
              <w:rPr>
                <w:color w:val="auto"/>
                <w:kern w:val="0"/>
                <w:sz w:val="21"/>
                <w:szCs w:val="21"/>
                <w:highlight w:val="none"/>
              </w:rPr>
              <w:t>保护对象</w:t>
            </w:r>
          </w:p>
        </w:tc>
        <w:tc>
          <w:tcPr>
            <w:tcW w:w="480" w:type="pct"/>
            <w:vMerge w:val="restart"/>
            <w:noWrap w:val="0"/>
            <w:vAlign w:val="center"/>
          </w:tcPr>
          <w:p w14:paraId="7E8A5DF3">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500m内规模</w:t>
            </w:r>
          </w:p>
        </w:tc>
        <w:tc>
          <w:tcPr>
            <w:tcW w:w="555" w:type="pct"/>
            <w:vMerge w:val="restart"/>
            <w:noWrap w:val="0"/>
            <w:vAlign w:val="center"/>
          </w:tcPr>
          <w:p w14:paraId="055D3B95">
            <w:pPr>
              <w:widowControl/>
              <w:jc w:val="center"/>
              <w:rPr>
                <w:color w:val="auto"/>
                <w:kern w:val="0"/>
                <w:sz w:val="21"/>
                <w:szCs w:val="21"/>
                <w:highlight w:val="none"/>
              </w:rPr>
            </w:pPr>
            <w:r>
              <w:rPr>
                <w:color w:val="auto"/>
                <w:kern w:val="0"/>
                <w:sz w:val="21"/>
                <w:szCs w:val="21"/>
                <w:highlight w:val="none"/>
              </w:rPr>
              <w:t>保护内容</w:t>
            </w:r>
          </w:p>
        </w:tc>
        <w:tc>
          <w:tcPr>
            <w:tcW w:w="630" w:type="pct"/>
            <w:vMerge w:val="restart"/>
            <w:noWrap w:val="0"/>
            <w:vAlign w:val="center"/>
          </w:tcPr>
          <w:p w14:paraId="64D3EEAD">
            <w:pPr>
              <w:widowControl/>
              <w:jc w:val="center"/>
              <w:rPr>
                <w:color w:val="auto"/>
                <w:kern w:val="0"/>
                <w:sz w:val="21"/>
                <w:szCs w:val="21"/>
                <w:highlight w:val="none"/>
              </w:rPr>
            </w:pPr>
            <w:r>
              <w:rPr>
                <w:color w:val="auto"/>
                <w:kern w:val="0"/>
                <w:sz w:val="21"/>
                <w:szCs w:val="21"/>
                <w:highlight w:val="none"/>
              </w:rPr>
              <w:t>环境功能区</w:t>
            </w:r>
          </w:p>
        </w:tc>
        <w:tc>
          <w:tcPr>
            <w:tcW w:w="501" w:type="pct"/>
            <w:vMerge w:val="restart"/>
            <w:noWrap w:val="0"/>
            <w:vAlign w:val="center"/>
          </w:tcPr>
          <w:p w14:paraId="2899AF65">
            <w:pPr>
              <w:widowControl/>
              <w:jc w:val="center"/>
              <w:rPr>
                <w:color w:val="auto"/>
                <w:kern w:val="0"/>
                <w:sz w:val="21"/>
                <w:szCs w:val="21"/>
                <w:highlight w:val="none"/>
              </w:rPr>
            </w:pPr>
            <w:r>
              <w:rPr>
                <w:color w:val="auto"/>
                <w:kern w:val="0"/>
                <w:sz w:val="21"/>
                <w:szCs w:val="21"/>
                <w:highlight w:val="none"/>
              </w:rPr>
              <w:t>相对厂址方位</w:t>
            </w:r>
          </w:p>
        </w:tc>
        <w:tc>
          <w:tcPr>
            <w:tcW w:w="568" w:type="pct"/>
            <w:vMerge w:val="restart"/>
            <w:noWrap w:val="0"/>
            <w:vAlign w:val="center"/>
          </w:tcPr>
          <w:p w14:paraId="72579D98">
            <w:pPr>
              <w:widowControl/>
              <w:jc w:val="center"/>
              <w:rPr>
                <w:color w:val="auto"/>
                <w:kern w:val="0"/>
                <w:sz w:val="21"/>
                <w:szCs w:val="21"/>
                <w:highlight w:val="none"/>
              </w:rPr>
            </w:pPr>
            <w:r>
              <w:rPr>
                <w:color w:val="auto"/>
                <w:kern w:val="0"/>
                <w:sz w:val="21"/>
                <w:szCs w:val="21"/>
                <w:highlight w:val="none"/>
              </w:rPr>
              <w:t>相对厂界距离/m</w:t>
            </w:r>
          </w:p>
        </w:tc>
      </w:tr>
      <w:tr w14:paraId="68A7B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717" w:type="pct"/>
            <w:gridSpan w:val="2"/>
            <w:vMerge w:val="continue"/>
            <w:noWrap w:val="0"/>
            <w:vAlign w:val="center"/>
          </w:tcPr>
          <w:p w14:paraId="1CB1F45D">
            <w:pPr>
              <w:widowControl/>
              <w:jc w:val="center"/>
              <w:rPr>
                <w:color w:val="auto"/>
                <w:kern w:val="0"/>
                <w:sz w:val="21"/>
                <w:szCs w:val="21"/>
                <w:highlight w:val="none"/>
              </w:rPr>
            </w:pPr>
          </w:p>
        </w:tc>
        <w:tc>
          <w:tcPr>
            <w:tcW w:w="534" w:type="pct"/>
            <w:noWrap w:val="0"/>
            <w:vAlign w:val="center"/>
          </w:tcPr>
          <w:p w14:paraId="4FEDE4B9">
            <w:pPr>
              <w:widowControl/>
              <w:jc w:val="center"/>
              <w:rPr>
                <w:color w:val="auto"/>
                <w:kern w:val="0"/>
                <w:sz w:val="21"/>
                <w:szCs w:val="21"/>
                <w:highlight w:val="none"/>
              </w:rPr>
            </w:pPr>
            <w:r>
              <w:rPr>
                <w:color w:val="auto"/>
                <w:kern w:val="0"/>
                <w:sz w:val="21"/>
                <w:szCs w:val="21"/>
                <w:highlight w:val="none"/>
              </w:rPr>
              <w:t>X</w:t>
            </w:r>
          </w:p>
        </w:tc>
        <w:tc>
          <w:tcPr>
            <w:tcW w:w="444" w:type="pct"/>
            <w:noWrap w:val="0"/>
            <w:vAlign w:val="center"/>
          </w:tcPr>
          <w:p w14:paraId="13DB1CA8">
            <w:pPr>
              <w:widowControl/>
              <w:jc w:val="center"/>
              <w:rPr>
                <w:color w:val="auto"/>
                <w:kern w:val="0"/>
                <w:sz w:val="21"/>
                <w:szCs w:val="21"/>
                <w:highlight w:val="none"/>
              </w:rPr>
            </w:pPr>
            <w:r>
              <w:rPr>
                <w:color w:val="auto"/>
                <w:kern w:val="0"/>
                <w:sz w:val="21"/>
                <w:szCs w:val="21"/>
                <w:highlight w:val="none"/>
              </w:rPr>
              <w:t>Y</w:t>
            </w:r>
          </w:p>
        </w:tc>
        <w:tc>
          <w:tcPr>
            <w:tcW w:w="568" w:type="pct"/>
            <w:vMerge w:val="continue"/>
            <w:noWrap w:val="0"/>
            <w:vAlign w:val="center"/>
          </w:tcPr>
          <w:p w14:paraId="5D0514DC">
            <w:pPr>
              <w:widowControl/>
              <w:jc w:val="center"/>
              <w:rPr>
                <w:color w:val="auto"/>
                <w:kern w:val="0"/>
                <w:sz w:val="21"/>
                <w:szCs w:val="21"/>
                <w:highlight w:val="none"/>
              </w:rPr>
            </w:pPr>
          </w:p>
        </w:tc>
        <w:tc>
          <w:tcPr>
            <w:tcW w:w="480" w:type="pct"/>
            <w:vMerge w:val="continue"/>
            <w:noWrap w:val="0"/>
            <w:vAlign w:val="center"/>
          </w:tcPr>
          <w:p w14:paraId="19E2836A">
            <w:pPr>
              <w:widowControl/>
              <w:jc w:val="center"/>
              <w:rPr>
                <w:color w:val="auto"/>
                <w:kern w:val="0"/>
                <w:sz w:val="21"/>
                <w:szCs w:val="21"/>
                <w:highlight w:val="none"/>
              </w:rPr>
            </w:pPr>
          </w:p>
        </w:tc>
        <w:tc>
          <w:tcPr>
            <w:tcW w:w="555" w:type="pct"/>
            <w:vMerge w:val="continue"/>
            <w:noWrap w:val="0"/>
            <w:vAlign w:val="center"/>
          </w:tcPr>
          <w:p w14:paraId="4890EEEF">
            <w:pPr>
              <w:widowControl/>
              <w:jc w:val="center"/>
              <w:rPr>
                <w:color w:val="auto"/>
                <w:kern w:val="0"/>
                <w:sz w:val="21"/>
                <w:szCs w:val="21"/>
                <w:highlight w:val="none"/>
              </w:rPr>
            </w:pPr>
          </w:p>
        </w:tc>
        <w:tc>
          <w:tcPr>
            <w:tcW w:w="630" w:type="pct"/>
            <w:vMerge w:val="continue"/>
            <w:noWrap w:val="0"/>
            <w:vAlign w:val="center"/>
          </w:tcPr>
          <w:p w14:paraId="059412A9">
            <w:pPr>
              <w:widowControl/>
              <w:jc w:val="center"/>
              <w:rPr>
                <w:color w:val="auto"/>
                <w:kern w:val="0"/>
                <w:sz w:val="21"/>
                <w:szCs w:val="21"/>
                <w:highlight w:val="none"/>
              </w:rPr>
            </w:pPr>
          </w:p>
        </w:tc>
        <w:tc>
          <w:tcPr>
            <w:tcW w:w="501" w:type="pct"/>
            <w:vMerge w:val="continue"/>
            <w:noWrap w:val="0"/>
            <w:vAlign w:val="center"/>
          </w:tcPr>
          <w:p w14:paraId="64585EF6">
            <w:pPr>
              <w:widowControl/>
              <w:jc w:val="center"/>
              <w:rPr>
                <w:color w:val="auto"/>
                <w:kern w:val="0"/>
                <w:sz w:val="21"/>
                <w:szCs w:val="21"/>
                <w:highlight w:val="none"/>
              </w:rPr>
            </w:pPr>
          </w:p>
        </w:tc>
        <w:tc>
          <w:tcPr>
            <w:tcW w:w="568" w:type="pct"/>
            <w:vMerge w:val="continue"/>
            <w:noWrap w:val="0"/>
            <w:vAlign w:val="center"/>
          </w:tcPr>
          <w:p w14:paraId="5A6BEDA1">
            <w:pPr>
              <w:widowControl/>
              <w:jc w:val="center"/>
              <w:rPr>
                <w:color w:val="auto"/>
                <w:kern w:val="0"/>
                <w:sz w:val="21"/>
                <w:szCs w:val="21"/>
                <w:highlight w:val="none"/>
              </w:rPr>
            </w:pPr>
          </w:p>
        </w:tc>
      </w:tr>
      <w:tr w14:paraId="615E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46" w:hRule="atLeast"/>
          <w:jc w:val="center"/>
        </w:trPr>
        <w:tc>
          <w:tcPr>
            <w:tcW w:w="717" w:type="pct"/>
            <w:gridSpan w:val="2"/>
            <w:noWrap w:val="0"/>
            <w:vAlign w:val="center"/>
          </w:tcPr>
          <w:p w14:paraId="3B09D772">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河西棣村</w:t>
            </w:r>
          </w:p>
        </w:tc>
        <w:tc>
          <w:tcPr>
            <w:tcW w:w="534" w:type="pct"/>
            <w:noWrap w:val="0"/>
            <w:vAlign w:val="center"/>
          </w:tcPr>
          <w:p w14:paraId="7757A35A">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3372019</w:t>
            </w:r>
          </w:p>
        </w:tc>
        <w:tc>
          <w:tcPr>
            <w:tcW w:w="444" w:type="pct"/>
            <w:noWrap w:val="0"/>
            <w:vAlign w:val="center"/>
          </w:tcPr>
          <w:p w14:paraId="1B8E157D">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227876</w:t>
            </w:r>
          </w:p>
        </w:tc>
        <w:tc>
          <w:tcPr>
            <w:tcW w:w="568" w:type="pct"/>
            <w:noWrap w:val="0"/>
            <w:vAlign w:val="center"/>
          </w:tcPr>
          <w:p w14:paraId="72594D5E">
            <w:pPr>
              <w:widowControl/>
              <w:jc w:val="center"/>
              <w:rPr>
                <w:rFonts w:hint="eastAsia"/>
                <w:color w:val="auto"/>
                <w:kern w:val="0"/>
                <w:sz w:val="21"/>
                <w:szCs w:val="21"/>
                <w:highlight w:val="none"/>
              </w:rPr>
            </w:pPr>
            <w:r>
              <w:rPr>
                <w:rFonts w:hint="eastAsia"/>
                <w:color w:val="auto"/>
                <w:kern w:val="0"/>
                <w:sz w:val="21"/>
                <w:szCs w:val="21"/>
                <w:highlight w:val="none"/>
                <w:lang w:val="en-US" w:eastAsia="zh-CN"/>
              </w:rPr>
              <w:t>居民</w:t>
            </w:r>
          </w:p>
        </w:tc>
        <w:tc>
          <w:tcPr>
            <w:tcW w:w="480" w:type="pct"/>
            <w:noWrap w:val="0"/>
            <w:vAlign w:val="center"/>
          </w:tcPr>
          <w:p w14:paraId="199972B2">
            <w:pPr>
              <w:widowControl/>
              <w:jc w:val="center"/>
              <w:rPr>
                <w:rFonts w:hint="eastAsia"/>
                <w:color w:val="auto"/>
                <w:kern w:val="0"/>
                <w:sz w:val="21"/>
                <w:szCs w:val="21"/>
                <w:highlight w:val="none"/>
              </w:rPr>
            </w:pPr>
            <w:r>
              <w:rPr>
                <w:rFonts w:hint="eastAsia"/>
                <w:color w:val="auto"/>
                <w:kern w:val="0"/>
                <w:sz w:val="21"/>
                <w:szCs w:val="21"/>
                <w:highlight w:val="none"/>
                <w:lang w:val="en-US" w:eastAsia="zh-CN"/>
              </w:rPr>
              <w:t>约80户</w:t>
            </w:r>
          </w:p>
        </w:tc>
        <w:tc>
          <w:tcPr>
            <w:tcW w:w="555" w:type="pct"/>
            <w:vMerge w:val="restart"/>
            <w:noWrap w:val="0"/>
            <w:vAlign w:val="center"/>
          </w:tcPr>
          <w:p w14:paraId="1465B8E9">
            <w:pPr>
              <w:widowControl/>
              <w:jc w:val="center"/>
              <w:rPr>
                <w:rFonts w:hint="eastAsia"/>
                <w:color w:val="auto"/>
                <w:kern w:val="0"/>
                <w:sz w:val="21"/>
                <w:szCs w:val="21"/>
                <w:highlight w:val="none"/>
              </w:rPr>
            </w:pPr>
            <w:r>
              <w:rPr>
                <w:rFonts w:hint="eastAsia"/>
                <w:color w:val="auto"/>
                <w:kern w:val="0"/>
                <w:sz w:val="21"/>
                <w:szCs w:val="21"/>
                <w:highlight w:val="none"/>
              </w:rPr>
              <w:t>环境空气人群健康</w:t>
            </w:r>
          </w:p>
        </w:tc>
        <w:tc>
          <w:tcPr>
            <w:tcW w:w="630" w:type="pct"/>
            <w:vMerge w:val="restart"/>
            <w:noWrap w:val="0"/>
            <w:vAlign w:val="center"/>
          </w:tcPr>
          <w:p w14:paraId="1ECD72BA">
            <w:pPr>
              <w:widowControl/>
              <w:jc w:val="center"/>
              <w:rPr>
                <w:color w:val="auto"/>
                <w:kern w:val="0"/>
                <w:sz w:val="21"/>
                <w:szCs w:val="21"/>
                <w:highlight w:val="none"/>
              </w:rPr>
            </w:pPr>
            <w:r>
              <w:rPr>
                <w:color w:val="auto"/>
                <w:kern w:val="0"/>
                <w:sz w:val="21"/>
                <w:szCs w:val="21"/>
                <w:highlight w:val="none"/>
              </w:rPr>
              <w:t>环境空气二类区</w:t>
            </w:r>
          </w:p>
        </w:tc>
        <w:tc>
          <w:tcPr>
            <w:tcW w:w="501" w:type="pct"/>
            <w:noWrap w:val="0"/>
            <w:vAlign w:val="center"/>
          </w:tcPr>
          <w:p w14:paraId="62BFF4D0">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东南侧</w:t>
            </w:r>
          </w:p>
        </w:tc>
        <w:tc>
          <w:tcPr>
            <w:tcW w:w="568" w:type="pct"/>
            <w:noWrap w:val="0"/>
            <w:vAlign w:val="center"/>
          </w:tcPr>
          <w:p w14:paraId="7B91DC11">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360</w:t>
            </w:r>
          </w:p>
        </w:tc>
      </w:tr>
      <w:tr w14:paraId="7B546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58" w:type="pct"/>
            <w:vMerge w:val="restart"/>
            <w:noWrap w:val="0"/>
            <w:vAlign w:val="center"/>
          </w:tcPr>
          <w:p w14:paraId="09FDAB9E">
            <w:pPr>
              <w:widowControl/>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莫家桥村</w:t>
            </w:r>
          </w:p>
        </w:tc>
        <w:tc>
          <w:tcPr>
            <w:tcW w:w="458" w:type="pct"/>
            <w:noWrap w:val="0"/>
            <w:vAlign w:val="center"/>
          </w:tcPr>
          <w:p w14:paraId="79CCC358">
            <w:pPr>
              <w:widowControl/>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莫家桥村</w:t>
            </w:r>
          </w:p>
        </w:tc>
        <w:tc>
          <w:tcPr>
            <w:tcW w:w="534" w:type="pct"/>
            <w:noWrap w:val="0"/>
            <w:vAlign w:val="center"/>
          </w:tcPr>
          <w:p w14:paraId="665B1751">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3372184</w:t>
            </w:r>
          </w:p>
        </w:tc>
        <w:tc>
          <w:tcPr>
            <w:tcW w:w="444" w:type="pct"/>
            <w:noWrap w:val="0"/>
            <w:vAlign w:val="center"/>
          </w:tcPr>
          <w:p w14:paraId="44A31883">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227394</w:t>
            </w:r>
          </w:p>
        </w:tc>
        <w:tc>
          <w:tcPr>
            <w:tcW w:w="568" w:type="pct"/>
            <w:noWrap w:val="0"/>
            <w:vAlign w:val="center"/>
          </w:tcPr>
          <w:p w14:paraId="5301C108">
            <w:pPr>
              <w:widowControl/>
              <w:jc w:val="center"/>
              <w:rPr>
                <w:rFonts w:hint="eastAsia"/>
                <w:color w:val="auto"/>
                <w:kern w:val="0"/>
                <w:sz w:val="21"/>
                <w:szCs w:val="21"/>
                <w:highlight w:val="none"/>
              </w:rPr>
            </w:pPr>
            <w:r>
              <w:rPr>
                <w:rFonts w:hint="eastAsia"/>
                <w:color w:val="auto"/>
                <w:kern w:val="0"/>
                <w:sz w:val="21"/>
                <w:szCs w:val="21"/>
                <w:highlight w:val="none"/>
                <w:lang w:val="en-US" w:eastAsia="zh-CN"/>
              </w:rPr>
              <w:t>居民</w:t>
            </w:r>
          </w:p>
        </w:tc>
        <w:tc>
          <w:tcPr>
            <w:tcW w:w="480" w:type="pct"/>
            <w:noWrap w:val="0"/>
            <w:vAlign w:val="center"/>
          </w:tcPr>
          <w:p w14:paraId="604FA6CD">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约150户</w:t>
            </w:r>
          </w:p>
        </w:tc>
        <w:tc>
          <w:tcPr>
            <w:tcW w:w="555" w:type="pct"/>
            <w:vMerge w:val="continue"/>
            <w:noWrap w:val="0"/>
            <w:vAlign w:val="center"/>
          </w:tcPr>
          <w:p w14:paraId="2D6A6C37">
            <w:pPr>
              <w:widowControl/>
              <w:jc w:val="center"/>
              <w:rPr>
                <w:rFonts w:hint="eastAsia"/>
                <w:color w:val="auto"/>
                <w:kern w:val="0"/>
                <w:sz w:val="21"/>
                <w:szCs w:val="21"/>
                <w:highlight w:val="none"/>
              </w:rPr>
            </w:pPr>
          </w:p>
        </w:tc>
        <w:tc>
          <w:tcPr>
            <w:tcW w:w="630" w:type="pct"/>
            <w:vMerge w:val="continue"/>
            <w:noWrap w:val="0"/>
            <w:vAlign w:val="center"/>
          </w:tcPr>
          <w:p w14:paraId="0CB8EB3C">
            <w:pPr>
              <w:widowControl/>
              <w:jc w:val="center"/>
              <w:rPr>
                <w:color w:val="auto"/>
                <w:kern w:val="0"/>
                <w:sz w:val="21"/>
                <w:szCs w:val="21"/>
                <w:highlight w:val="none"/>
              </w:rPr>
            </w:pPr>
          </w:p>
        </w:tc>
        <w:tc>
          <w:tcPr>
            <w:tcW w:w="501" w:type="pct"/>
            <w:noWrap w:val="0"/>
            <w:vAlign w:val="center"/>
          </w:tcPr>
          <w:p w14:paraId="2B6CE6C7">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西南侧</w:t>
            </w:r>
          </w:p>
        </w:tc>
        <w:tc>
          <w:tcPr>
            <w:tcW w:w="568" w:type="pct"/>
            <w:noWrap w:val="0"/>
            <w:vAlign w:val="center"/>
          </w:tcPr>
          <w:p w14:paraId="7B4D5769">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55</w:t>
            </w:r>
          </w:p>
        </w:tc>
      </w:tr>
      <w:tr w14:paraId="193FF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258" w:type="pct"/>
            <w:vMerge w:val="continue"/>
            <w:noWrap w:val="0"/>
            <w:vAlign w:val="center"/>
          </w:tcPr>
          <w:p w14:paraId="67449209">
            <w:pPr>
              <w:widowControl/>
              <w:jc w:val="center"/>
              <w:rPr>
                <w:rFonts w:hint="eastAsia" w:eastAsia="宋体"/>
                <w:color w:val="auto"/>
                <w:kern w:val="0"/>
                <w:sz w:val="21"/>
                <w:szCs w:val="21"/>
                <w:highlight w:val="none"/>
                <w:lang w:val="en-US" w:eastAsia="zh-CN"/>
              </w:rPr>
            </w:pPr>
          </w:p>
        </w:tc>
        <w:tc>
          <w:tcPr>
            <w:tcW w:w="458" w:type="pct"/>
            <w:noWrap w:val="0"/>
            <w:vAlign w:val="center"/>
          </w:tcPr>
          <w:p w14:paraId="48E746AB">
            <w:pPr>
              <w:widowControl/>
              <w:jc w:val="center"/>
              <w:rPr>
                <w:rFonts w:hint="eastAsia" w:eastAsia="宋体"/>
                <w:color w:val="auto"/>
                <w:kern w:val="0"/>
                <w:sz w:val="21"/>
                <w:szCs w:val="21"/>
                <w:highlight w:val="none"/>
                <w:lang w:val="en-US" w:eastAsia="zh-CN"/>
              </w:rPr>
            </w:pPr>
            <w:r>
              <w:rPr>
                <w:rFonts w:hint="eastAsia" w:eastAsia="宋体"/>
                <w:color w:val="auto"/>
                <w:kern w:val="0"/>
                <w:sz w:val="21"/>
                <w:szCs w:val="21"/>
                <w:highlight w:val="none"/>
                <w:lang w:val="en-US" w:eastAsia="zh-CN"/>
              </w:rPr>
              <w:t>长坝</w:t>
            </w:r>
          </w:p>
        </w:tc>
        <w:tc>
          <w:tcPr>
            <w:tcW w:w="534" w:type="pct"/>
            <w:noWrap w:val="0"/>
            <w:vAlign w:val="center"/>
          </w:tcPr>
          <w:p w14:paraId="607EA56F">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3372311</w:t>
            </w:r>
          </w:p>
        </w:tc>
        <w:tc>
          <w:tcPr>
            <w:tcW w:w="444" w:type="pct"/>
            <w:noWrap w:val="0"/>
            <w:vAlign w:val="center"/>
          </w:tcPr>
          <w:p w14:paraId="6907E5E3">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227176</w:t>
            </w:r>
          </w:p>
        </w:tc>
        <w:tc>
          <w:tcPr>
            <w:tcW w:w="568" w:type="pct"/>
            <w:noWrap w:val="0"/>
            <w:vAlign w:val="center"/>
          </w:tcPr>
          <w:p w14:paraId="22220C6E">
            <w:pPr>
              <w:widowControl/>
              <w:jc w:val="center"/>
              <w:rPr>
                <w:rFonts w:hint="eastAsia"/>
                <w:color w:val="auto"/>
                <w:kern w:val="0"/>
                <w:sz w:val="21"/>
                <w:szCs w:val="21"/>
                <w:highlight w:val="none"/>
              </w:rPr>
            </w:pPr>
            <w:r>
              <w:rPr>
                <w:rFonts w:hint="eastAsia"/>
                <w:color w:val="auto"/>
                <w:kern w:val="0"/>
                <w:sz w:val="21"/>
                <w:szCs w:val="21"/>
                <w:highlight w:val="none"/>
                <w:lang w:val="en-US" w:eastAsia="zh-CN"/>
              </w:rPr>
              <w:t>居民</w:t>
            </w:r>
          </w:p>
        </w:tc>
        <w:tc>
          <w:tcPr>
            <w:tcW w:w="480" w:type="pct"/>
            <w:noWrap w:val="0"/>
            <w:vAlign w:val="center"/>
          </w:tcPr>
          <w:p w14:paraId="5F0225C3">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约50户</w:t>
            </w:r>
          </w:p>
        </w:tc>
        <w:tc>
          <w:tcPr>
            <w:tcW w:w="555" w:type="pct"/>
            <w:vMerge w:val="continue"/>
            <w:noWrap w:val="0"/>
            <w:vAlign w:val="center"/>
          </w:tcPr>
          <w:p w14:paraId="4A723495">
            <w:pPr>
              <w:widowControl/>
              <w:jc w:val="center"/>
              <w:rPr>
                <w:rFonts w:hint="eastAsia"/>
                <w:color w:val="auto"/>
                <w:kern w:val="0"/>
                <w:sz w:val="21"/>
                <w:szCs w:val="21"/>
                <w:highlight w:val="none"/>
              </w:rPr>
            </w:pPr>
          </w:p>
        </w:tc>
        <w:tc>
          <w:tcPr>
            <w:tcW w:w="630" w:type="pct"/>
            <w:vMerge w:val="continue"/>
            <w:noWrap w:val="0"/>
            <w:vAlign w:val="center"/>
          </w:tcPr>
          <w:p w14:paraId="22D95B6F">
            <w:pPr>
              <w:widowControl/>
              <w:jc w:val="center"/>
              <w:rPr>
                <w:color w:val="auto"/>
                <w:kern w:val="0"/>
                <w:sz w:val="21"/>
                <w:szCs w:val="21"/>
                <w:highlight w:val="none"/>
              </w:rPr>
            </w:pPr>
          </w:p>
        </w:tc>
        <w:tc>
          <w:tcPr>
            <w:tcW w:w="501" w:type="pct"/>
            <w:noWrap w:val="0"/>
            <w:vAlign w:val="center"/>
          </w:tcPr>
          <w:p w14:paraId="72A69FFD">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西侧</w:t>
            </w:r>
          </w:p>
        </w:tc>
        <w:tc>
          <w:tcPr>
            <w:tcW w:w="568" w:type="pct"/>
            <w:noWrap w:val="0"/>
            <w:vAlign w:val="center"/>
          </w:tcPr>
          <w:p w14:paraId="3A4EB1EF">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270</w:t>
            </w:r>
          </w:p>
        </w:tc>
      </w:tr>
    </w:tbl>
    <w:p w14:paraId="3CD2570A">
      <w:pPr>
        <w:autoSpaceDE w:val="0"/>
        <w:autoSpaceDN w:val="0"/>
        <w:adjustRightInd w:val="0"/>
        <w:spacing w:line="360" w:lineRule="auto"/>
        <w:ind w:firstLine="482" w:firstLineChars="200"/>
        <w:rPr>
          <w:b/>
          <w:color w:val="auto"/>
          <w:kern w:val="0"/>
          <w:sz w:val="24"/>
          <w:szCs w:val="24"/>
          <w:highlight w:val="none"/>
        </w:rPr>
      </w:pPr>
      <w:r>
        <w:rPr>
          <w:rFonts w:hint="eastAsia"/>
          <w:b/>
          <w:color w:val="auto"/>
          <w:kern w:val="0"/>
          <w:sz w:val="24"/>
          <w:szCs w:val="24"/>
          <w:highlight w:val="none"/>
          <w:lang w:eastAsia="zh-CN"/>
        </w:rPr>
        <w:t>（</w:t>
      </w:r>
      <w:r>
        <w:rPr>
          <w:rFonts w:hint="eastAsia"/>
          <w:b/>
          <w:color w:val="auto"/>
          <w:kern w:val="0"/>
          <w:sz w:val="24"/>
          <w:szCs w:val="24"/>
          <w:highlight w:val="none"/>
          <w:lang w:val="en-US" w:eastAsia="zh-CN"/>
        </w:rPr>
        <w:t>2</w:t>
      </w:r>
      <w:r>
        <w:rPr>
          <w:rFonts w:hint="eastAsia"/>
          <w:b/>
          <w:color w:val="auto"/>
          <w:kern w:val="0"/>
          <w:sz w:val="24"/>
          <w:szCs w:val="24"/>
          <w:highlight w:val="none"/>
          <w:lang w:eastAsia="zh-CN"/>
        </w:rPr>
        <w:t>）</w:t>
      </w:r>
      <w:r>
        <w:rPr>
          <w:b/>
          <w:color w:val="auto"/>
          <w:kern w:val="0"/>
          <w:sz w:val="24"/>
          <w:szCs w:val="24"/>
          <w:highlight w:val="none"/>
        </w:rPr>
        <w:t>声环境</w:t>
      </w:r>
    </w:p>
    <w:p w14:paraId="4DDFA9F5">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根据现场勘查，项目厂界外50m范围内不涉及声环境保护目标。</w:t>
      </w:r>
    </w:p>
    <w:p w14:paraId="31E1CBB1">
      <w:pPr>
        <w:autoSpaceDE w:val="0"/>
        <w:autoSpaceDN w:val="0"/>
        <w:adjustRightInd w:val="0"/>
        <w:spacing w:line="360" w:lineRule="auto"/>
        <w:ind w:firstLine="482" w:firstLineChars="200"/>
        <w:rPr>
          <w:b/>
          <w:color w:val="auto"/>
          <w:kern w:val="0"/>
          <w:sz w:val="24"/>
          <w:szCs w:val="24"/>
          <w:highlight w:val="none"/>
        </w:rPr>
      </w:pPr>
      <w:r>
        <w:rPr>
          <w:rFonts w:hint="eastAsia"/>
          <w:b/>
          <w:color w:val="auto"/>
          <w:kern w:val="0"/>
          <w:sz w:val="24"/>
          <w:szCs w:val="24"/>
          <w:highlight w:val="none"/>
          <w:lang w:eastAsia="zh-CN"/>
        </w:rPr>
        <w:t>（</w:t>
      </w:r>
      <w:r>
        <w:rPr>
          <w:rFonts w:hint="eastAsia"/>
          <w:b/>
          <w:color w:val="auto"/>
          <w:kern w:val="0"/>
          <w:sz w:val="24"/>
          <w:szCs w:val="24"/>
          <w:highlight w:val="none"/>
          <w:lang w:val="en-US" w:eastAsia="zh-CN"/>
        </w:rPr>
        <w:t>3</w:t>
      </w:r>
      <w:r>
        <w:rPr>
          <w:rFonts w:hint="eastAsia"/>
          <w:b/>
          <w:color w:val="auto"/>
          <w:kern w:val="0"/>
          <w:sz w:val="24"/>
          <w:szCs w:val="24"/>
          <w:highlight w:val="none"/>
          <w:lang w:eastAsia="zh-CN"/>
        </w:rPr>
        <w:t>）</w:t>
      </w:r>
      <w:r>
        <w:rPr>
          <w:b/>
          <w:color w:val="auto"/>
          <w:kern w:val="0"/>
          <w:sz w:val="24"/>
          <w:szCs w:val="24"/>
          <w:highlight w:val="none"/>
        </w:rPr>
        <w:t>地下水环境</w:t>
      </w:r>
    </w:p>
    <w:p w14:paraId="2BFC96E8">
      <w:pPr>
        <w:adjustRightInd w:val="0"/>
        <w:snapToGrid w:val="0"/>
        <w:spacing w:line="360" w:lineRule="auto"/>
        <w:ind w:firstLine="480" w:firstLineChars="200"/>
        <w:rPr>
          <w:color w:val="auto"/>
          <w:kern w:val="0"/>
          <w:sz w:val="24"/>
          <w:szCs w:val="24"/>
          <w:highlight w:val="none"/>
        </w:rPr>
      </w:pPr>
      <w:r>
        <w:rPr>
          <w:color w:val="auto"/>
          <w:kern w:val="0"/>
          <w:sz w:val="24"/>
          <w:szCs w:val="24"/>
          <w:highlight w:val="none"/>
        </w:rPr>
        <w:t>项目厂界外500 m范围内无地下水集中式饮用水水源和热水、矿泉水、温泉等特殊地下水资源。因此本项目不涉及地下水环境保护目标。</w:t>
      </w:r>
    </w:p>
    <w:p w14:paraId="1D5C8384">
      <w:pPr>
        <w:autoSpaceDE/>
        <w:autoSpaceDN/>
        <w:adjustRightInd w:val="0"/>
        <w:spacing w:line="360" w:lineRule="auto"/>
        <w:ind w:firstLine="482" w:firstLineChars="200"/>
        <w:rPr>
          <w:rFonts w:hint="eastAsia" w:ascii="Times New Roman" w:hAnsi="Times New Roman" w:eastAsia="宋体" w:cs="Times New Roman"/>
          <w:b/>
          <w:color w:val="auto"/>
          <w:kern w:val="0"/>
          <w:sz w:val="24"/>
          <w:szCs w:val="24"/>
          <w:highlight w:val="none"/>
        </w:rPr>
      </w:pP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lang w:val="en-US" w:eastAsia="zh-CN"/>
        </w:rPr>
        <w:t>4</w:t>
      </w: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rPr>
        <w:t>生态环境</w:t>
      </w:r>
    </w:p>
    <w:p w14:paraId="2C152C57">
      <w:pPr>
        <w:adjustRightInd w:val="0"/>
        <w:snapToGrid w:val="0"/>
        <w:spacing w:line="360" w:lineRule="auto"/>
        <w:ind w:firstLine="480" w:firstLineChars="200"/>
        <w:rPr>
          <w:rFonts w:hint="eastAsia" w:ascii="Times New Roman" w:hAnsi="Times New Roman" w:eastAsia="宋体" w:cs="Times New Roman"/>
          <w:color w:val="auto"/>
          <w:kern w:val="0"/>
          <w:sz w:val="24"/>
          <w:szCs w:val="24"/>
          <w:highlight w:val="none"/>
        </w:rPr>
      </w:pPr>
      <w:r>
        <w:rPr>
          <w:rFonts w:hint="default" w:ascii="Times New Roman" w:hAnsi="Times New Roman" w:eastAsia="宋体" w:cs="Times New Roman"/>
          <w:color w:val="auto"/>
          <w:kern w:val="0"/>
          <w:sz w:val="24"/>
          <w:szCs w:val="24"/>
          <w:highlight w:val="none"/>
        </w:rPr>
        <w:t>本项目</w:t>
      </w:r>
      <w:r>
        <w:rPr>
          <w:rFonts w:hint="default" w:ascii="Times New Roman" w:hAnsi="Times New Roman" w:eastAsia="宋体" w:cs="Times New Roman"/>
          <w:color w:val="auto"/>
          <w:kern w:val="0"/>
          <w:sz w:val="24"/>
          <w:szCs w:val="24"/>
          <w:highlight w:val="none"/>
          <w:lang w:val="en-US" w:eastAsia="zh-CN"/>
        </w:rPr>
        <w:t>位于</w:t>
      </w:r>
      <w:r>
        <w:rPr>
          <w:rFonts w:hint="default" w:ascii="Times New Roman" w:hAnsi="Times New Roman" w:eastAsia="宋体" w:cs="Times New Roman"/>
          <w:color w:val="auto"/>
          <w:kern w:val="0"/>
          <w:sz w:val="24"/>
          <w:szCs w:val="24"/>
          <w:highlight w:val="none"/>
        </w:rPr>
        <w:t>塘栖装备机械产业园区，不新增</w:t>
      </w:r>
      <w:r>
        <w:rPr>
          <w:rFonts w:hint="eastAsia" w:ascii="Times New Roman" w:hAnsi="Times New Roman" w:eastAsia="宋体" w:cs="Times New Roman"/>
          <w:color w:val="auto"/>
          <w:kern w:val="0"/>
          <w:sz w:val="24"/>
          <w:szCs w:val="24"/>
          <w:highlight w:val="none"/>
          <w:lang w:val="en-US" w:eastAsia="zh-CN"/>
        </w:rPr>
        <w:t>园区外</w:t>
      </w:r>
      <w:r>
        <w:rPr>
          <w:rFonts w:hint="default" w:ascii="Times New Roman" w:hAnsi="Times New Roman" w:eastAsia="宋体" w:cs="Times New Roman"/>
          <w:color w:val="auto"/>
          <w:kern w:val="0"/>
          <w:sz w:val="24"/>
          <w:szCs w:val="24"/>
          <w:highlight w:val="none"/>
        </w:rPr>
        <w:t>用地</w:t>
      </w:r>
      <w:r>
        <w:rPr>
          <w:rFonts w:hint="eastAsia" w:ascii="Times New Roman" w:hAnsi="Times New Roman" w:eastAsia="宋体" w:cs="Times New Roman"/>
          <w:color w:val="auto"/>
          <w:kern w:val="0"/>
          <w:sz w:val="24"/>
          <w:szCs w:val="24"/>
          <w:highlight w:val="none"/>
        </w:rPr>
        <w:t>，用地范围内不涉及生态环境保护目标。</w:t>
      </w:r>
    </w:p>
    <w:p w14:paraId="6BE9B37A">
      <w:pPr>
        <w:pStyle w:val="24"/>
        <w:ind w:firstLine="422"/>
        <w:rPr>
          <w:b/>
          <w:color w:val="auto"/>
        </w:rPr>
      </w:pPr>
      <w:r>
        <w:rPr>
          <w:rFonts w:hint="eastAsia"/>
          <w:b/>
          <w:color w:val="auto"/>
          <w:lang w:val="en-US" w:eastAsia="zh-CN"/>
        </w:rPr>
        <w:t>2</w:t>
      </w:r>
      <w:r>
        <w:rPr>
          <w:rFonts w:hint="eastAsia"/>
          <w:b/>
          <w:color w:val="auto"/>
        </w:rPr>
        <w:t>、污染物排放标准</w:t>
      </w:r>
    </w:p>
    <w:p w14:paraId="383FA485">
      <w:pPr>
        <w:autoSpaceDE w:val="0"/>
        <w:autoSpaceDN w:val="0"/>
        <w:adjustRightInd w:val="0"/>
        <w:spacing w:line="360" w:lineRule="auto"/>
        <w:ind w:firstLine="482" w:firstLineChars="200"/>
        <w:rPr>
          <w:b/>
          <w:color w:val="auto"/>
          <w:kern w:val="0"/>
          <w:sz w:val="24"/>
          <w:szCs w:val="24"/>
          <w:highlight w:val="none"/>
        </w:rPr>
      </w:pPr>
      <w:r>
        <w:rPr>
          <w:rFonts w:hint="eastAsia"/>
          <w:b/>
          <w:color w:val="auto"/>
          <w:kern w:val="0"/>
          <w:sz w:val="24"/>
          <w:szCs w:val="24"/>
          <w:highlight w:val="none"/>
          <w:lang w:eastAsia="zh-CN"/>
        </w:rPr>
        <w:t>（</w:t>
      </w:r>
      <w:r>
        <w:rPr>
          <w:rFonts w:hint="eastAsia"/>
          <w:b/>
          <w:color w:val="auto"/>
          <w:kern w:val="0"/>
          <w:sz w:val="24"/>
          <w:szCs w:val="24"/>
          <w:highlight w:val="none"/>
          <w:lang w:val="en-US" w:eastAsia="zh-CN"/>
        </w:rPr>
        <w:t>1</w:t>
      </w:r>
      <w:r>
        <w:rPr>
          <w:rFonts w:hint="eastAsia"/>
          <w:b/>
          <w:color w:val="auto"/>
          <w:kern w:val="0"/>
          <w:sz w:val="24"/>
          <w:szCs w:val="24"/>
          <w:highlight w:val="none"/>
          <w:lang w:eastAsia="zh-CN"/>
        </w:rPr>
        <w:t>）</w:t>
      </w:r>
      <w:r>
        <w:rPr>
          <w:b/>
          <w:color w:val="auto"/>
          <w:kern w:val="0"/>
          <w:sz w:val="24"/>
          <w:szCs w:val="24"/>
          <w:highlight w:val="none"/>
        </w:rPr>
        <w:t>废气排放标准</w:t>
      </w:r>
    </w:p>
    <w:p w14:paraId="17410B6D">
      <w:pPr>
        <w:autoSpaceDE w:val="0"/>
        <w:autoSpaceDN w:val="0"/>
        <w:adjustRightInd w:val="0"/>
        <w:spacing w:line="360" w:lineRule="auto"/>
        <w:ind w:firstLine="480" w:firstLineChars="200"/>
        <w:rPr>
          <w:rFonts w:hint="eastAsia"/>
          <w:b w:val="0"/>
          <w:bCs/>
          <w:color w:val="auto"/>
          <w:kern w:val="0"/>
          <w:sz w:val="24"/>
          <w:szCs w:val="24"/>
          <w:highlight w:val="none"/>
        </w:rPr>
      </w:pPr>
      <w:r>
        <w:rPr>
          <w:rFonts w:hint="eastAsia"/>
          <w:b w:val="0"/>
          <w:bCs/>
          <w:color w:val="auto"/>
          <w:kern w:val="0"/>
          <w:sz w:val="24"/>
          <w:szCs w:val="24"/>
          <w:highlight w:val="none"/>
          <w:lang w:val="en-US" w:eastAsia="zh-CN"/>
        </w:rPr>
        <w:t>①有组织废气</w:t>
      </w:r>
    </w:p>
    <w:p w14:paraId="16E84C30">
      <w:pPr>
        <w:spacing w:line="360" w:lineRule="auto"/>
        <w:ind w:firstLine="480" w:firstLineChars="200"/>
        <w:rPr>
          <w:rFonts w:hint="eastAsia"/>
          <w:color w:val="auto"/>
          <w:sz w:val="24"/>
          <w:szCs w:val="24"/>
          <w:highlight w:val="none"/>
          <w:lang w:val="en-US" w:eastAsia="zh-CN"/>
        </w:rPr>
      </w:pPr>
      <w:r>
        <w:rPr>
          <w:rFonts w:hint="eastAsia"/>
          <w:color w:val="auto"/>
          <w:sz w:val="24"/>
          <w:szCs w:val="24"/>
          <w:highlight w:val="none"/>
          <w:lang w:val="en-US" w:eastAsia="zh-CN"/>
        </w:rPr>
        <w:t>本项目产生的废气主要为熔融挤出废气（非甲烷总烃、氨、臭气浓度、臭气浓度）和投料过程产生的少量粉尘。熔融挤出废气中</w:t>
      </w:r>
      <w:r>
        <w:rPr>
          <w:rFonts w:hint="eastAsia"/>
          <w:color w:val="auto"/>
          <w:sz w:val="24"/>
          <w:szCs w:val="24"/>
          <w:highlight w:val="none"/>
        </w:rPr>
        <w:t>非甲烷总烃</w:t>
      </w:r>
      <w:r>
        <w:rPr>
          <w:rFonts w:hint="eastAsia"/>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氨</w:t>
      </w:r>
      <w:r>
        <w:rPr>
          <w:rFonts w:hint="eastAsia" w:ascii="Times New Roman" w:hAnsi="Times New Roman" w:eastAsia="宋体" w:cs="Times New Roman"/>
          <w:color w:val="auto"/>
          <w:sz w:val="24"/>
          <w:szCs w:val="24"/>
          <w:highlight w:val="none"/>
        </w:rPr>
        <w:t>有</w:t>
      </w:r>
      <w:r>
        <w:rPr>
          <w:rFonts w:hint="eastAsia"/>
          <w:color w:val="auto"/>
          <w:sz w:val="24"/>
          <w:szCs w:val="24"/>
          <w:highlight w:val="none"/>
        </w:rPr>
        <w:t>组织排放执行《合成树脂工业污染物排放标准》</w:t>
      </w:r>
      <w:r>
        <w:rPr>
          <w:rFonts w:hint="eastAsia"/>
          <w:color w:val="auto"/>
          <w:sz w:val="24"/>
          <w:szCs w:val="24"/>
          <w:highlight w:val="none"/>
          <w:lang w:eastAsia="zh-CN"/>
        </w:rPr>
        <w:t>（</w:t>
      </w:r>
      <w:r>
        <w:rPr>
          <w:rFonts w:hint="eastAsia"/>
          <w:color w:val="auto"/>
          <w:sz w:val="24"/>
          <w:szCs w:val="24"/>
          <w:highlight w:val="none"/>
        </w:rPr>
        <w:t>GB31572-2015</w:t>
      </w:r>
      <w:r>
        <w:rPr>
          <w:rFonts w:hint="eastAsia"/>
          <w:color w:val="auto"/>
          <w:sz w:val="24"/>
          <w:szCs w:val="24"/>
          <w:highlight w:val="none"/>
          <w:lang w:eastAsia="zh-CN"/>
        </w:rPr>
        <w:t>，</w:t>
      </w:r>
      <w:r>
        <w:rPr>
          <w:rFonts w:hint="eastAsia"/>
          <w:color w:val="auto"/>
          <w:sz w:val="24"/>
          <w:szCs w:val="24"/>
          <w:highlight w:val="none"/>
          <w:lang w:val="en-US" w:eastAsia="zh-CN"/>
        </w:rPr>
        <w:t>含2024年修改单</w:t>
      </w:r>
      <w:r>
        <w:rPr>
          <w:rFonts w:hint="eastAsia"/>
          <w:color w:val="auto"/>
          <w:sz w:val="24"/>
          <w:szCs w:val="24"/>
          <w:highlight w:val="none"/>
          <w:lang w:eastAsia="zh-CN"/>
        </w:rPr>
        <w:t>）</w:t>
      </w:r>
      <w:r>
        <w:rPr>
          <w:rFonts w:hint="eastAsia"/>
          <w:color w:val="auto"/>
          <w:sz w:val="24"/>
          <w:szCs w:val="24"/>
          <w:highlight w:val="none"/>
        </w:rPr>
        <w:t>表5中大气污染物特别排放限值</w:t>
      </w:r>
      <w:r>
        <w:rPr>
          <w:rFonts w:hint="eastAsia"/>
          <w:color w:val="auto"/>
          <w:sz w:val="24"/>
          <w:szCs w:val="24"/>
          <w:highlight w:val="none"/>
          <w:lang w:eastAsia="zh-CN"/>
        </w:rPr>
        <w:t>，</w:t>
      </w:r>
      <w:r>
        <w:rPr>
          <w:rFonts w:hint="eastAsia" w:ascii="Times New Roman" w:hAnsi="Times New Roman" w:cs="Times New Roman"/>
          <w:bCs/>
          <w:color w:val="auto"/>
          <w:sz w:val="24"/>
          <w:szCs w:val="24"/>
          <w:highlight w:val="none"/>
          <w:lang w:eastAsia="zh-CN"/>
        </w:rPr>
        <w:t>臭气浓度执行《恶臭污染物排放标准》（GB14554-1993）。</w:t>
      </w:r>
      <w:r>
        <w:rPr>
          <w:rFonts w:hint="eastAsia"/>
          <w:color w:val="auto"/>
          <w:sz w:val="24"/>
          <w:szCs w:val="24"/>
          <w:highlight w:val="none"/>
          <w:lang w:val="en-US" w:eastAsia="zh-CN"/>
        </w:rPr>
        <w:t>详见下表。</w:t>
      </w:r>
    </w:p>
    <w:p w14:paraId="70D9FD11">
      <w:pPr>
        <w:pStyle w:val="20"/>
        <w:numPr>
          <w:ilvl w:val="0"/>
          <w:numId w:val="6"/>
        </w:numPr>
        <w:spacing w:before="156"/>
        <w:rPr>
          <w:rFonts w:hint="eastAsia" w:ascii="Times New Roman" w:hAnsi="Times New Roman" w:eastAsia="宋体" w:cs="Times New Roman"/>
          <w:b/>
          <w:color w:val="auto"/>
          <w:lang w:val="en-US"/>
        </w:rPr>
      </w:pPr>
      <w:r>
        <w:rPr>
          <w:rFonts w:hint="eastAsia" w:ascii="Times New Roman" w:hAnsi="Times New Roman" w:eastAsia="宋体" w:cs="Times New Roman"/>
          <w:b/>
          <w:color w:val="auto"/>
          <w:lang w:val="en-US"/>
        </w:rPr>
        <w:t>有组织废气排放标准</w:t>
      </w:r>
    </w:p>
    <w:tbl>
      <w:tblPr>
        <w:tblStyle w:val="15"/>
        <w:tblW w:w="512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81"/>
        <w:gridCol w:w="1485"/>
        <w:gridCol w:w="1095"/>
        <w:gridCol w:w="1150"/>
        <w:gridCol w:w="1086"/>
        <w:gridCol w:w="2731"/>
      </w:tblGrid>
      <w:tr w14:paraId="2BE9B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5" w:type="pct"/>
            <w:noWrap w:val="0"/>
            <w:vAlign w:val="center"/>
          </w:tcPr>
          <w:p w14:paraId="1301A4D2">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序号</w:t>
            </w:r>
          </w:p>
        </w:tc>
        <w:tc>
          <w:tcPr>
            <w:tcW w:w="870" w:type="pct"/>
            <w:noWrap w:val="0"/>
            <w:vAlign w:val="center"/>
          </w:tcPr>
          <w:p w14:paraId="584C67D9">
            <w:pPr>
              <w:jc w:val="center"/>
              <w:rPr>
                <w:rFonts w:eastAsia="Times New Roman"/>
                <w:color w:val="auto"/>
                <w:sz w:val="21"/>
                <w:szCs w:val="21"/>
                <w:highlight w:val="none"/>
              </w:rPr>
            </w:pPr>
            <w:r>
              <w:rPr>
                <w:color w:val="auto"/>
                <w:sz w:val="21"/>
                <w:szCs w:val="21"/>
                <w:highlight w:val="none"/>
              </w:rPr>
              <w:t>污染物名称</w:t>
            </w:r>
          </w:p>
        </w:tc>
        <w:tc>
          <w:tcPr>
            <w:tcW w:w="642" w:type="pct"/>
            <w:noWrap w:val="0"/>
            <w:vAlign w:val="center"/>
          </w:tcPr>
          <w:p w14:paraId="68441615">
            <w:pPr>
              <w:jc w:val="center"/>
              <w:rPr>
                <w:rFonts w:eastAsia="Times New Roman"/>
                <w:color w:val="auto"/>
                <w:sz w:val="21"/>
                <w:szCs w:val="21"/>
                <w:highlight w:val="none"/>
              </w:rPr>
            </w:pPr>
            <w:r>
              <w:rPr>
                <w:rFonts w:eastAsia="Times New Roman"/>
                <w:color w:val="auto"/>
                <w:sz w:val="21"/>
                <w:szCs w:val="21"/>
                <w:highlight w:val="none"/>
              </w:rPr>
              <w:t>废气种类</w:t>
            </w:r>
          </w:p>
        </w:tc>
        <w:tc>
          <w:tcPr>
            <w:tcW w:w="674" w:type="pct"/>
            <w:noWrap w:val="0"/>
            <w:vAlign w:val="center"/>
          </w:tcPr>
          <w:p w14:paraId="4BF0F91B">
            <w:pPr>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排气筒高度（m）</w:t>
            </w:r>
          </w:p>
        </w:tc>
        <w:tc>
          <w:tcPr>
            <w:tcW w:w="636" w:type="pct"/>
            <w:noWrap w:val="0"/>
            <w:vAlign w:val="center"/>
          </w:tcPr>
          <w:p w14:paraId="293C1652">
            <w:pPr>
              <w:jc w:val="center"/>
              <w:rPr>
                <w:color w:val="auto"/>
                <w:sz w:val="21"/>
                <w:szCs w:val="21"/>
                <w:highlight w:val="none"/>
              </w:rPr>
            </w:pPr>
            <w:r>
              <w:rPr>
                <w:rFonts w:hint="eastAsia"/>
                <w:color w:val="auto"/>
                <w:sz w:val="21"/>
                <w:szCs w:val="21"/>
                <w:highlight w:val="none"/>
                <w:lang w:val="en-US" w:eastAsia="zh-CN"/>
              </w:rPr>
              <w:t>排放限值</w:t>
            </w:r>
            <w:r>
              <w:rPr>
                <w:rFonts w:eastAsia="Times New Roman"/>
                <w:color w:val="auto"/>
                <w:sz w:val="21"/>
                <w:szCs w:val="21"/>
                <w:highlight w:val="none"/>
              </w:rPr>
              <w:t>(mg/m</w:t>
            </w:r>
            <w:r>
              <w:rPr>
                <w:rFonts w:eastAsia="Times New Roman"/>
                <w:color w:val="auto"/>
                <w:sz w:val="21"/>
                <w:szCs w:val="21"/>
                <w:highlight w:val="none"/>
                <w:vertAlign w:val="superscript"/>
              </w:rPr>
              <w:t>3</w:t>
            </w:r>
            <w:r>
              <w:rPr>
                <w:rFonts w:eastAsia="Times New Roman"/>
                <w:color w:val="auto"/>
                <w:sz w:val="21"/>
                <w:szCs w:val="21"/>
                <w:highlight w:val="none"/>
              </w:rPr>
              <w:t>)</w:t>
            </w:r>
          </w:p>
        </w:tc>
        <w:tc>
          <w:tcPr>
            <w:tcW w:w="1601" w:type="pct"/>
            <w:noWrap w:val="0"/>
            <w:vAlign w:val="center"/>
          </w:tcPr>
          <w:p w14:paraId="096AFD5F">
            <w:pPr>
              <w:jc w:val="center"/>
              <w:rPr>
                <w:color w:val="auto"/>
                <w:sz w:val="21"/>
                <w:szCs w:val="21"/>
                <w:highlight w:val="none"/>
              </w:rPr>
            </w:pPr>
            <w:r>
              <w:rPr>
                <w:color w:val="auto"/>
                <w:sz w:val="21"/>
                <w:szCs w:val="21"/>
                <w:highlight w:val="none"/>
              </w:rPr>
              <w:t>本项目执行标准</w:t>
            </w:r>
          </w:p>
        </w:tc>
      </w:tr>
      <w:tr w14:paraId="3FC21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5" w:type="pct"/>
            <w:vMerge w:val="restart"/>
            <w:noWrap w:val="0"/>
            <w:vAlign w:val="center"/>
          </w:tcPr>
          <w:p w14:paraId="3E3848C3">
            <w:pPr>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DA001</w:t>
            </w:r>
          </w:p>
        </w:tc>
        <w:tc>
          <w:tcPr>
            <w:tcW w:w="870" w:type="pct"/>
            <w:noWrap w:val="0"/>
            <w:vAlign w:val="center"/>
          </w:tcPr>
          <w:p w14:paraId="39F5621D">
            <w:pPr>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氨</w:t>
            </w:r>
          </w:p>
        </w:tc>
        <w:tc>
          <w:tcPr>
            <w:tcW w:w="642" w:type="pct"/>
            <w:vMerge w:val="restart"/>
            <w:noWrap w:val="0"/>
            <w:vAlign w:val="center"/>
          </w:tcPr>
          <w:p w14:paraId="1DB6C2E7">
            <w:pPr>
              <w:widowControl/>
              <w:jc w:val="center"/>
              <w:rPr>
                <w:rFonts w:hint="default" w:eastAsia="宋体"/>
                <w:color w:val="auto"/>
                <w:sz w:val="21"/>
                <w:szCs w:val="21"/>
                <w:highlight w:val="none"/>
                <w:lang w:val="en-US" w:eastAsia="zh-CN"/>
              </w:rPr>
            </w:pPr>
            <w:r>
              <w:rPr>
                <w:rFonts w:hint="default" w:eastAsia="宋体"/>
                <w:color w:val="auto"/>
                <w:sz w:val="21"/>
                <w:szCs w:val="21"/>
                <w:highlight w:val="none"/>
                <w:lang w:val="en-US" w:eastAsia="zh-CN"/>
              </w:rPr>
              <w:t>熔融挤出废气</w:t>
            </w:r>
          </w:p>
        </w:tc>
        <w:tc>
          <w:tcPr>
            <w:tcW w:w="674" w:type="pct"/>
            <w:noWrap w:val="0"/>
            <w:vAlign w:val="center"/>
          </w:tcPr>
          <w:p w14:paraId="6A89AD79">
            <w:pPr>
              <w:widowControl/>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45</w:t>
            </w:r>
          </w:p>
        </w:tc>
        <w:tc>
          <w:tcPr>
            <w:tcW w:w="636" w:type="pct"/>
            <w:noWrap w:val="0"/>
            <w:vAlign w:val="center"/>
          </w:tcPr>
          <w:p w14:paraId="5717A4DF">
            <w:pPr>
              <w:widowControl/>
              <w:jc w:val="center"/>
              <w:rPr>
                <w:rFonts w:hint="eastAsia"/>
                <w:color w:val="auto"/>
                <w:sz w:val="21"/>
                <w:szCs w:val="21"/>
                <w:highlight w:val="none"/>
                <w:lang w:val="en-US" w:eastAsia="zh-CN"/>
              </w:rPr>
            </w:pPr>
            <w:r>
              <w:rPr>
                <w:rFonts w:hint="eastAsia" w:eastAsia="宋体"/>
                <w:color w:val="auto"/>
                <w:sz w:val="21"/>
                <w:szCs w:val="21"/>
                <w:highlight w:val="none"/>
                <w:lang w:val="en-US" w:eastAsia="zh-CN"/>
              </w:rPr>
              <w:t>20</w:t>
            </w:r>
          </w:p>
        </w:tc>
        <w:tc>
          <w:tcPr>
            <w:tcW w:w="1601" w:type="pct"/>
            <w:vMerge w:val="restart"/>
            <w:noWrap w:val="0"/>
            <w:vAlign w:val="center"/>
          </w:tcPr>
          <w:p w14:paraId="4F66903D">
            <w:pPr>
              <w:widowControl/>
              <w:jc w:val="center"/>
              <w:rPr>
                <w:rFonts w:hint="eastAsia"/>
                <w:color w:val="auto"/>
                <w:sz w:val="21"/>
                <w:szCs w:val="21"/>
                <w:highlight w:val="none"/>
                <w:lang w:val="en-US" w:eastAsia="zh-CN"/>
              </w:rPr>
            </w:pPr>
            <w:r>
              <w:rPr>
                <w:rFonts w:hint="eastAsia"/>
                <w:color w:val="auto"/>
                <w:sz w:val="21"/>
                <w:szCs w:val="21"/>
                <w:lang w:eastAsia="zh-CN"/>
              </w:rPr>
              <w:t>《合成树脂工业污染物排放标准》（GB31572-2015，含2024年修改单）</w:t>
            </w:r>
          </w:p>
        </w:tc>
      </w:tr>
      <w:tr w14:paraId="577ED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5" w:type="pct"/>
            <w:vMerge w:val="continue"/>
            <w:noWrap w:val="0"/>
            <w:vAlign w:val="center"/>
          </w:tcPr>
          <w:p w14:paraId="044D2896">
            <w:pPr>
              <w:widowControl/>
              <w:jc w:val="center"/>
              <w:rPr>
                <w:rFonts w:hint="eastAsia" w:eastAsia="宋体"/>
                <w:color w:val="auto"/>
                <w:sz w:val="21"/>
                <w:szCs w:val="21"/>
                <w:highlight w:val="none"/>
                <w:lang w:val="en-US" w:eastAsia="zh-CN"/>
              </w:rPr>
            </w:pPr>
          </w:p>
        </w:tc>
        <w:tc>
          <w:tcPr>
            <w:tcW w:w="870" w:type="pct"/>
            <w:noWrap w:val="0"/>
            <w:vAlign w:val="center"/>
          </w:tcPr>
          <w:p w14:paraId="74666BAD">
            <w:pPr>
              <w:widowControl/>
              <w:jc w:val="center"/>
              <w:rPr>
                <w:rFonts w:hint="default"/>
                <w:color w:val="auto"/>
                <w:sz w:val="21"/>
                <w:szCs w:val="21"/>
                <w:highlight w:val="none"/>
                <w:lang w:val="en-US"/>
              </w:rPr>
            </w:pPr>
            <w:r>
              <w:rPr>
                <w:rFonts w:hint="eastAsia"/>
                <w:color w:val="auto"/>
                <w:sz w:val="21"/>
                <w:szCs w:val="21"/>
                <w:highlight w:val="none"/>
                <w:lang w:val="en-US" w:eastAsia="zh-CN"/>
              </w:rPr>
              <w:t>非甲烷总烃</w:t>
            </w:r>
          </w:p>
        </w:tc>
        <w:tc>
          <w:tcPr>
            <w:tcW w:w="642" w:type="pct"/>
            <w:vMerge w:val="continue"/>
            <w:noWrap w:val="0"/>
            <w:vAlign w:val="center"/>
          </w:tcPr>
          <w:p w14:paraId="30D7239C">
            <w:pPr>
              <w:widowControl/>
              <w:jc w:val="center"/>
              <w:rPr>
                <w:rFonts w:hint="default" w:eastAsia="宋体"/>
                <w:color w:val="auto"/>
                <w:sz w:val="21"/>
                <w:szCs w:val="21"/>
                <w:highlight w:val="none"/>
                <w:lang w:val="en-US" w:eastAsia="zh-CN"/>
              </w:rPr>
            </w:pPr>
          </w:p>
        </w:tc>
        <w:tc>
          <w:tcPr>
            <w:tcW w:w="674" w:type="pct"/>
            <w:noWrap w:val="0"/>
            <w:vAlign w:val="center"/>
          </w:tcPr>
          <w:p w14:paraId="4DEC9F4E">
            <w:pPr>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45</w:t>
            </w:r>
          </w:p>
        </w:tc>
        <w:tc>
          <w:tcPr>
            <w:tcW w:w="636" w:type="pct"/>
            <w:noWrap w:val="0"/>
            <w:vAlign w:val="center"/>
          </w:tcPr>
          <w:p w14:paraId="05676B28">
            <w:pPr>
              <w:widowControl/>
              <w:jc w:val="center"/>
              <w:rPr>
                <w:color w:val="auto"/>
                <w:sz w:val="21"/>
                <w:szCs w:val="21"/>
                <w:highlight w:val="none"/>
              </w:rPr>
            </w:pPr>
            <w:r>
              <w:rPr>
                <w:rFonts w:hint="eastAsia"/>
                <w:color w:val="auto"/>
                <w:sz w:val="21"/>
                <w:szCs w:val="21"/>
                <w:highlight w:val="none"/>
                <w:lang w:val="en-US" w:eastAsia="zh-CN"/>
              </w:rPr>
              <w:t>60</w:t>
            </w:r>
          </w:p>
        </w:tc>
        <w:tc>
          <w:tcPr>
            <w:tcW w:w="1601" w:type="pct"/>
            <w:vMerge w:val="continue"/>
            <w:noWrap w:val="0"/>
            <w:vAlign w:val="center"/>
          </w:tcPr>
          <w:p w14:paraId="3501AAAE">
            <w:pPr>
              <w:widowControl/>
              <w:jc w:val="center"/>
              <w:rPr>
                <w:color w:val="auto"/>
                <w:sz w:val="21"/>
                <w:szCs w:val="21"/>
                <w:highlight w:val="none"/>
              </w:rPr>
            </w:pPr>
          </w:p>
        </w:tc>
      </w:tr>
      <w:tr w14:paraId="68862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575" w:type="pct"/>
            <w:vMerge w:val="continue"/>
            <w:noWrap w:val="0"/>
            <w:vAlign w:val="center"/>
          </w:tcPr>
          <w:p w14:paraId="2BF9B305">
            <w:pPr>
              <w:widowControl/>
              <w:jc w:val="center"/>
              <w:rPr>
                <w:rFonts w:hint="eastAsia" w:eastAsia="宋体"/>
                <w:color w:val="auto"/>
                <w:sz w:val="21"/>
                <w:szCs w:val="21"/>
                <w:highlight w:val="none"/>
                <w:lang w:eastAsia="zh-CN"/>
              </w:rPr>
            </w:pPr>
          </w:p>
        </w:tc>
        <w:tc>
          <w:tcPr>
            <w:tcW w:w="870" w:type="pct"/>
            <w:noWrap w:val="0"/>
            <w:vAlign w:val="center"/>
          </w:tcPr>
          <w:p w14:paraId="08616FF6">
            <w:pPr>
              <w:widowControl/>
              <w:jc w:val="center"/>
              <w:rPr>
                <w:rFonts w:hint="default"/>
                <w:color w:val="auto"/>
                <w:sz w:val="21"/>
                <w:szCs w:val="21"/>
                <w:highlight w:val="none"/>
                <w:lang w:val="en-US" w:eastAsia="zh-CN"/>
              </w:rPr>
            </w:pPr>
            <w:r>
              <w:rPr>
                <w:rFonts w:hint="default"/>
                <w:color w:val="auto"/>
                <w:sz w:val="21"/>
                <w:szCs w:val="21"/>
                <w:highlight w:val="none"/>
                <w:lang w:val="en-US" w:eastAsia="zh-CN"/>
              </w:rPr>
              <w:t>臭气浓度</w:t>
            </w:r>
          </w:p>
        </w:tc>
        <w:tc>
          <w:tcPr>
            <w:tcW w:w="642" w:type="pct"/>
            <w:vMerge w:val="continue"/>
            <w:noWrap w:val="0"/>
            <w:vAlign w:val="center"/>
          </w:tcPr>
          <w:p w14:paraId="6EFF24C6">
            <w:pPr>
              <w:widowControl/>
              <w:jc w:val="center"/>
              <w:rPr>
                <w:rFonts w:hint="default" w:eastAsia="宋体"/>
                <w:color w:val="auto"/>
                <w:sz w:val="21"/>
                <w:szCs w:val="21"/>
                <w:highlight w:val="none"/>
                <w:lang w:val="en-US" w:eastAsia="zh-CN"/>
              </w:rPr>
            </w:pPr>
          </w:p>
        </w:tc>
        <w:tc>
          <w:tcPr>
            <w:tcW w:w="674" w:type="pct"/>
            <w:noWrap w:val="0"/>
            <w:vAlign w:val="center"/>
          </w:tcPr>
          <w:p w14:paraId="193B999F">
            <w:pPr>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45</w:t>
            </w:r>
          </w:p>
        </w:tc>
        <w:tc>
          <w:tcPr>
            <w:tcW w:w="636" w:type="pct"/>
            <w:noWrap w:val="0"/>
            <w:vAlign w:val="center"/>
          </w:tcPr>
          <w:p w14:paraId="1EE85399">
            <w:pPr>
              <w:widowControl/>
              <w:jc w:val="center"/>
              <w:rPr>
                <w:rFonts w:hint="eastAsia"/>
                <w:color w:val="auto"/>
                <w:sz w:val="21"/>
                <w:szCs w:val="21"/>
                <w:highlight w:val="none"/>
                <w:lang w:val="en-US" w:eastAsia="zh-CN"/>
              </w:rPr>
            </w:pPr>
            <w:r>
              <w:rPr>
                <w:rFonts w:hint="eastAsia"/>
                <w:color w:val="auto"/>
                <w:sz w:val="21"/>
                <w:szCs w:val="21"/>
                <w:highlight w:val="none"/>
                <w:lang w:val="en-US" w:eastAsia="zh-CN"/>
              </w:rPr>
              <w:t>40000</w:t>
            </w:r>
          </w:p>
          <w:p w14:paraId="091618CE">
            <w:pPr>
              <w:widowControl/>
              <w:jc w:val="center"/>
              <w:rPr>
                <w:color w:val="auto"/>
                <w:sz w:val="21"/>
                <w:szCs w:val="21"/>
                <w:highlight w:val="none"/>
              </w:rPr>
            </w:pPr>
            <w:r>
              <w:rPr>
                <w:rFonts w:hint="eastAsia"/>
                <w:color w:val="auto"/>
                <w:sz w:val="21"/>
                <w:szCs w:val="21"/>
                <w:highlight w:val="none"/>
                <w:lang w:val="en-US" w:eastAsia="zh-CN"/>
              </w:rPr>
              <w:t>（无量纲）</w:t>
            </w:r>
          </w:p>
        </w:tc>
        <w:tc>
          <w:tcPr>
            <w:tcW w:w="1601" w:type="pct"/>
            <w:noWrap w:val="0"/>
            <w:vAlign w:val="center"/>
          </w:tcPr>
          <w:p w14:paraId="2D3FA624">
            <w:pPr>
              <w:contextualSpacing/>
              <w:jc w:val="center"/>
              <w:rPr>
                <w:color w:val="auto"/>
                <w:sz w:val="21"/>
                <w:szCs w:val="21"/>
                <w:highlight w:val="none"/>
              </w:rPr>
            </w:pPr>
            <w:r>
              <w:rPr>
                <w:color w:val="auto"/>
                <w:sz w:val="21"/>
                <w:szCs w:val="21"/>
              </w:rPr>
              <w:t>《恶臭污染物排放标准》（GB14554-1993）</w:t>
            </w:r>
          </w:p>
        </w:tc>
      </w:tr>
    </w:tbl>
    <w:p w14:paraId="33BEA261">
      <w:pPr>
        <w:pStyle w:val="8"/>
        <w:widowControl/>
        <w:numPr>
          <w:ilvl w:val="0"/>
          <w:numId w:val="0"/>
        </w:numPr>
        <w:tabs>
          <w:tab w:val="left" w:pos="4515"/>
          <w:tab w:val="left" w:pos="5883"/>
          <w:tab w:val="left" w:pos="8718"/>
        </w:tabs>
        <w:adjustRightInd w:val="0"/>
        <w:snapToGrid w:val="0"/>
        <w:spacing w:line="360" w:lineRule="auto"/>
        <w:ind w:firstLine="480" w:firstLineChars="200"/>
        <w:jc w:val="both"/>
        <w:rPr>
          <w:bCs/>
          <w:color w:val="auto"/>
          <w:sz w:val="24"/>
          <w:szCs w:val="24"/>
          <w:highlight w:val="none"/>
        </w:rPr>
      </w:pPr>
      <w:r>
        <w:rPr>
          <w:rFonts w:hint="eastAsia"/>
          <w:bCs/>
          <w:color w:val="auto"/>
          <w:sz w:val="24"/>
          <w:szCs w:val="24"/>
          <w:highlight w:val="none"/>
          <w:lang w:val="en-US" w:eastAsia="zh-CN"/>
        </w:rPr>
        <w:t>②</w:t>
      </w:r>
      <w:r>
        <w:rPr>
          <w:rFonts w:hint="eastAsia"/>
          <w:bCs/>
          <w:color w:val="auto"/>
          <w:sz w:val="24"/>
          <w:szCs w:val="24"/>
          <w:highlight w:val="none"/>
        </w:rPr>
        <w:t>无组织废气</w:t>
      </w:r>
    </w:p>
    <w:p w14:paraId="45C65237">
      <w:pPr>
        <w:pStyle w:val="8"/>
        <w:widowControl/>
        <w:numPr>
          <w:ilvl w:val="0"/>
          <w:numId w:val="0"/>
        </w:numPr>
        <w:tabs>
          <w:tab w:val="left" w:pos="4515"/>
          <w:tab w:val="left" w:pos="5883"/>
          <w:tab w:val="left" w:pos="8718"/>
        </w:tabs>
        <w:adjustRightInd w:val="0"/>
        <w:snapToGrid w:val="0"/>
        <w:spacing w:line="360" w:lineRule="auto"/>
        <w:ind w:firstLine="480" w:firstLineChars="200"/>
        <w:jc w:val="both"/>
        <w:rPr>
          <w:rFonts w:hint="default" w:ascii="Times New Roman" w:hAnsi="Times New Roman" w:eastAsia="宋体" w:cs="Times New Roman"/>
          <w:b/>
          <w:color w:val="auto"/>
          <w:sz w:val="24"/>
          <w:szCs w:val="24"/>
          <w:highlight w:val="none"/>
          <w:lang w:val="en-US" w:eastAsia="zh-CN"/>
        </w:rPr>
      </w:pPr>
      <w:r>
        <w:rPr>
          <w:rFonts w:hint="eastAsia"/>
          <w:bCs/>
          <w:color w:val="auto"/>
          <w:sz w:val="24"/>
          <w:szCs w:val="24"/>
          <w:highlight w:val="none"/>
          <w:lang w:val="en-US" w:eastAsia="zh-CN"/>
        </w:rPr>
        <w:t>项目</w:t>
      </w:r>
      <w:r>
        <w:rPr>
          <w:bCs/>
          <w:color w:val="auto"/>
          <w:sz w:val="24"/>
          <w:szCs w:val="24"/>
          <w:highlight w:val="none"/>
        </w:rPr>
        <w:t>颗粒物</w:t>
      </w:r>
      <w:r>
        <w:rPr>
          <w:rFonts w:hint="eastAsia"/>
          <w:bCs/>
          <w:color w:val="auto"/>
          <w:sz w:val="24"/>
          <w:szCs w:val="24"/>
          <w:highlight w:val="none"/>
        </w:rPr>
        <w:t>、</w:t>
      </w:r>
      <w:r>
        <w:rPr>
          <w:bCs/>
          <w:color w:val="auto"/>
          <w:sz w:val="24"/>
          <w:szCs w:val="24"/>
          <w:highlight w:val="none"/>
        </w:rPr>
        <w:t>非甲烷总烃的厂界</w:t>
      </w:r>
      <w:r>
        <w:rPr>
          <w:rFonts w:hint="eastAsia"/>
          <w:bCs/>
          <w:color w:val="auto"/>
          <w:sz w:val="24"/>
          <w:szCs w:val="24"/>
          <w:highlight w:val="none"/>
        </w:rPr>
        <w:t>无组织</w:t>
      </w:r>
      <w:r>
        <w:rPr>
          <w:rFonts w:hint="eastAsia"/>
          <w:bCs/>
          <w:color w:val="auto"/>
          <w:sz w:val="24"/>
          <w:szCs w:val="24"/>
          <w:highlight w:val="none"/>
          <w:lang w:val="en-US" w:eastAsia="zh-CN"/>
        </w:rPr>
        <w:t>排放</w:t>
      </w:r>
      <w:r>
        <w:rPr>
          <w:bCs/>
          <w:color w:val="auto"/>
          <w:sz w:val="24"/>
          <w:szCs w:val="24"/>
          <w:highlight w:val="none"/>
        </w:rPr>
        <w:t>执行《合成树脂工业污染物排放标准》</w:t>
      </w:r>
      <w:r>
        <w:rPr>
          <w:rFonts w:hint="default" w:ascii="Times New Roman" w:hAnsi="Times New Roman" w:cs="Times New Roman"/>
          <w:bCs/>
          <w:color w:val="auto"/>
          <w:sz w:val="24"/>
          <w:szCs w:val="24"/>
          <w:highlight w:val="none"/>
          <w:lang w:eastAsia="zh-CN"/>
        </w:rPr>
        <w:t>（GB31572-2015，</w:t>
      </w:r>
      <w:r>
        <w:rPr>
          <w:rFonts w:hint="default" w:ascii="Times New Roman" w:hAnsi="Times New Roman" w:cs="Times New Roman"/>
          <w:bCs/>
          <w:color w:val="auto"/>
          <w:sz w:val="24"/>
          <w:szCs w:val="24"/>
          <w:highlight w:val="none"/>
          <w:lang w:val="en-US" w:eastAsia="zh-CN"/>
        </w:rPr>
        <w:t>含2024年修改单</w:t>
      </w:r>
      <w:r>
        <w:rPr>
          <w:rFonts w:hint="default" w:ascii="Times New Roman" w:hAnsi="Times New Roman" w:cs="Times New Roman"/>
          <w:bCs/>
          <w:color w:val="auto"/>
          <w:sz w:val="24"/>
          <w:szCs w:val="24"/>
          <w:highlight w:val="none"/>
          <w:lang w:eastAsia="zh-CN"/>
        </w:rPr>
        <w:t>）</w:t>
      </w:r>
      <w:r>
        <w:rPr>
          <w:rFonts w:ascii="Times New Roman" w:hAnsi="Times New Roman" w:cs="Times New Roman"/>
          <w:bCs/>
          <w:color w:val="auto"/>
          <w:sz w:val="24"/>
          <w:szCs w:val="24"/>
          <w:highlight w:val="none"/>
        </w:rPr>
        <w:t>表9的排放限值</w:t>
      </w:r>
      <w:r>
        <w:rPr>
          <w:rFonts w:hint="eastAsia" w:ascii="Times New Roman" w:hAnsi="Times New Roman" w:cs="Times New Roman"/>
          <w:bCs/>
          <w:color w:val="auto"/>
          <w:sz w:val="24"/>
          <w:szCs w:val="24"/>
          <w:highlight w:val="none"/>
          <w:lang w:eastAsia="zh-CN"/>
        </w:rPr>
        <w:t>；</w:t>
      </w:r>
      <w:r>
        <w:rPr>
          <w:rFonts w:hint="eastAsia" w:ascii="Times New Roman" w:hAnsi="Times New Roman" w:cs="Times New Roman"/>
          <w:bCs/>
          <w:color w:val="auto"/>
          <w:sz w:val="24"/>
          <w:szCs w:val="24"/>
          <w:highlight w:val="none"/>
          <w:lang w:val="en-US" w:eastAsia="zh-CN"/>
        </w:rPr>
        <w:t>氨、</w:t>
      </w:r>
      <w:r>
        <w:rPr>
          <w:rFonts w:hint="eastAsia" w:ascii="Times New Roman" w:hAnsi="Times New Roman" w:cs="Times New Roman"/>
          <w:bCs/>
          <w:color w:val="auto"/>
          <w:sz w:val="24"/>
          <w:szCs w:val="24"/>
          <w:highlight w:val="none"/>
          <w:lang w:eastAsia="zh-CN"/>
        </w:rPr>
        <w:t>臭气浓度执行《恶臭污染物排放标准》（GB14554-1993）。</w:t>
      </w:r>
      <w:r>
        <w:rPr>
          <w:rFonts w:hint="eastAsia" w:ascii="Times New Roman" w:hAnsi="Times New Roman" w:cs="Times New Roman"/>
          <w:bCs/>
          <w:color w:val="auto"/>
          <w:sz w:val="24"/>
          <w:szCs w:val="24"/>
          <w:highlight w:val="none"/>
          <w:lang w:val="en-US" w:eastAsia="zh-CN"/>
        </w:rPr>
        <w:t>具体见下表。</w:t>
      </w:r>
    </w:p>
    <w:p w14:paraId="1519877B">
      <w:pPr>
        <w:pStyle w:val="20"/>
        <w:numPr>
          <w:ilvl w:val="0"/>
          <w:numId w:val="6"/>
        </w:numPr>
        <w:spacing w:before="156"/>
        <w:rPr>
          <w:rFonts w:hint="eastAsia" w:ascii="Times New Roman" w:hAnsi="Times New Roman" w:eastAsia="宋体" w:cs="Times New Roman"/>
          <w:b/>
          <w:color w:val="auto"/>
          <w:lang w:val="en-US"/>
        </w:rPr>
      </w:pPr>
      <w:r>
        <w:rPr>
          <w:rFonts w:hint="eastAsia" w:ascii="Times New Roman" w:hAnsi="Times New Roman" w:eastAsia="宋体" w:cs="Times New Roman"/>
          <w:b/>
          <w:color w:val="auto"/>
          <w:lang w:val="en-US"/>
        </w:rPr>
        <w:t>无组织废气排放标准</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4"/>
        <w:gridCol w:w="1268"/>
        <w:gridCol w:w="2186"/>
        <w:gridCol w:w="3454"/>
      </w:tblGrid>
      <w:tr w14:paraId="31B7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4" w:type="dxa"/>
            <w:vMerge w:val="restart"/>
            <w:noWrap/>
            <w:vAlign w:val="center"/>
          </w:tcPr>
          <w:p w14:paraId="13C06F2C">
            <w:pPr>
              <w:jc w:val="center"/>
              <w:rPr>
                <w:color w:val="auto"/>
                <w:kern w:val="0"/>
                <w:sz w:val="21"/>
                <w:szCs w:val="21"/>
              </w:rPr>
            </w:pPr>
            <w:r>
              <w:rPr>
                <w:color w:val="auto"/>
                <w:sz w:val="21"/>
                <w:szCs w:val="21"/>
              </w:rPr>
              <w:t>污染物项目</w:t>
            </w:r>
          </w:p>
        </w:tc>
        <w:tc>
          <w:tcPr>
            <w:tcW w:w="3454" w:type="dxa"/>
            <w:gridSpan w:val="2"/>
            <w:noWrap/>
            <w:vAlign w:val="center"/>
          </w:tcPr>
          <w:p w14:paraId="5875ABF2">
            <w:pPr>
              <w:jc w:val="center"/>
              <w:rPr>
                <w:color w:val="auto"/>
                <w:kern w:val="0"/>
                <w:sz w:val="21"/>
                <w:szCs w:val="21"/>
              </w:rPr>
            </w:pPr>
            <w:r>
              <w:rPr>
                <w:rFonts w:hint="eastAsia"/>
                <w:color w:val="auto"/>
                <w:kern w:val="0"/>
                <w:sz w:val="21"/>
                <w:szCs w:val="21"/>
              </w:rPr>
              <w:t>无组织</w:t>
            </w:r>
            <w:r>
              <w:rPr>
                <w:color w:val="auto"/>
                <w:kern w:val="0"/>
                <w:sz w:val="21"/>
                <w:szCs w:val="21"/>
              </w:rPr>
              <w:t>排放监控浓度限值</w:t>
            </w:r>
          </w:p>
        </w:tc>
        <w:tc>
          <w:tcPr>
            <w:tcW w:w="3454" w:type="dxa"/>
            <w:vMerge w:val="restart"/>
            <w:noWrap/>
            <w:vAlign w:val="center"/>
          </w:tcPr>
          <w:p w14:paraId="35524F43">
            <w:pPr>
              <w:jc w:val="center"/>
              <w:rPr>
                <w:color w:val="auto"/>
                <w:kern w:val="0"/>
                <w:sz w:val="21"/>
                <w:szCs w:val="21"/>
              </w:rPr>
            </w:pPr>
            <w:r>
              <w:rPr>
                <w:rFonts w:hint="eastAsia"/>
                <w:color w:val="auto"/>
                <w:kern w:val="0"/>
                <w:sz w:val="21"/>
                <w:szCs w:val="21"/>
              </w:rPr>
              <w:t>本项目执行标准</w:t>
            </w:r>
          </w:p>
        </w:tc>
      </w:tr>
      <w:tr w14:paraId="4F87EC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4" w:type="dxa"/>
            <w:vMerge w:val="continue"/>
            <w:noWrap/>
            <w:vAlign w:val="center"/>
          </w:tcPr>
          <w:p w14:paraId="692FE867">
            <w:pPr>
              <w:jc w:val="center"/>
              <w:rPr>
                <w:color w:val="auto"/>
                <w:kern w:val="0"/>
                <w:sz w:val="21"/>
                <w:szCs w:val="21"/>
              </w:rPr>
            </w:pPr>
          </w:p>
        </w:tc>
        <w:tc>
          <w:tcPr>
            <w:tcW w:w="1268" w:type="dxa"/>
            <w:noWrap/>
            <w:vAlign w:val="center"/>
          </w:tcPr>
          <w:p w14:paraId="6DF39573">
            <w:pPr>
              <w:jc w:val="center"/>
              <w:rPr>
                <w:color w:val="auto"/>
                <w:kern w:val="0"/>
                <w:sz w:val="21"/>
                <w:szCs w:val="21"/>
              </w:rPr>
            </w:pPr>
            <w:r>
              <w:rPr>
                <w:rFonts w:hint="eastAsia"/>
                <w:color w:val="auto"/>
                <w:kern w:val="0"/>
                <w:sz w:val="21"/>
                <w:szCs w:val="21"/>
              </w:rPr>
              <w:t>监控点</w:t>
            </w:r>
          </w:p>
        </w:tc>
        <w:tc>
          <w:tcPr>
            <w:tcW w:w="2186" w:type="dxa"/>
            <w:noWrap/>
            <w:vAlign w:val="center"/>
          </w:tcPr>
          <w:p w14:paraId="34B95B68">
            <w:pPr>
              <w:jc w:val="center"/>
              <w:rPr>
                <w:color w:val="auto"/>
                <w:kern w:val="0"/>
                <w:sz w:val="21"/>
                <w:szCs w:val="21"/>
              </w:rPr>
            </w:pPr>
            <w:r>
              <w:rPr>
                <w:rFonts w:hint="eastAsia"/>
                <w:color w:val="auto"/>
                <w:kern w:val="0"/>
                <w:sz w:val="21"/>
                <w:szCs w:val="21"/>
              </w:rPr>
              <w:t>浓度</w:t>
            </w:r>
            <w:r>
              <w:rPr>
                <w:color w:val="auto"/>
                <w:kern w:val="0"/>
                <w:sz w:val="21"/>
                <w:szCs w:val="21"/>
              </w:rPr>
              <w:t>限值（</w:t>
            </w:r>
            <w:r>
              <w:rPr>
                <w:rFonts w:hint="eastAsia"/>
                <w:color w:val="auto"/>
                <w:kern w:val="0"/>
                <w:sz w:val="21"/>
                <w:szCs w:val="21"/>
              </w:rPr>
              <w:t>mg/m</w:t>
            </w:r>
            <w:r>
              <w:rPr>
                <w:color w:val="auto"/>
                <w:kern w:val="0"/>
                <w:sz w:val="21"/>
                <w:szCs w:val="21"/>
                <w:vertAlign w:val="superscript"/>
              </w:rPr>
              <w:t>3</w:t>
            </w:r>
            <w:r>
              <w:rPr>
                <w:color w:val="auto"/>
                <w:kern w:val="0"/>
                <w:sz w:val="21"/>
                <w:szCs w:val="21"/>
              </w:rPr>
              <w:t>）</w:t>
            </w:r>
          </w:p>
        </w:tc>
        <w:tc>
          <w:tcPr>
            <w:tcW w:w="3454" w:type="dxa"/>
            <w:vMerge w:val="continue"/>
            <w:noWrap/>
            <w:vAlign w:val="center"/>
          </w:tcPr>
          <w:p w14:paraId="45F47DB9">
            <w:pPr>
              <w:jc w:val="center"/>
              <w:rPr>
                <w:color w:val="auto"/>
                <w:kern w:val="0"/>
                <w:sz w:val="21"/>
                <w:szCs w:val="21"/>
              </w:rPr>
            </w:pPr>
          </w:p>
        </w:tc>
      </w:tr>
      <w:tr w14:paraId="5F369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1614" w:type="dxa"/>
            <w:noWrap/>
            <w:vAlign w:val="center"/>
          </w:tcPr>
          <w:p w14:paraId="2C9B6407">
            <w:pPr>
              <w:jc w:val="center"/>
              <w:rPr>
                <w:color w:val="auto"/>
                <w:kern w:val="0"/>
                <w:sz w:val="21"/>
                <w:szCs w:val="21"/>
              </w:rPr>
            </w:pPr>
            <w:r>
              <w:rPr>
                <w:rFonts w:hint="eastAsia"/>
                <w:color w:val="auto"/>
                <w:kern w:val="0"/>
                <w:sz w:val="21"/>
                <w:szCs w:val="21"/>
              </w:rPr>
              <w:t>颗粒物</w:t>
            </w:r>
          </w:p>
        </w:tc>
        <w:tc>
          <w:tcPr>
            <w:tcW w:w="1268" w:type="dxa"/>
            <w:vMerge w:val="restart"/>
            <w:noWrap/>
            <w:vAlign w:val="center"/>
          </w:tcPr>
          <w:p w14:paraId="60592A45">
            <w:pPr>
              <w:contextualSpacing/>
              <w:jc w:val="center"/>
              <w:rPr>
                <w:color w:val="auto"/>
                <w:sz w:val="21"/>
                <w:szCs w:val="21"/>
              </w:rPr>
            </w:pPr>
            <w:r>
              <w:rPr>
                <w:color w:val="auto"/>
                <w:sz w:val="21"/>
                <w:szCs w:val="21"/>
              </w:rPr>
              <w:t>周界外浓度最高点</w:t>
            </w:r>
          </w:p>
        </w:tc>
        <w:tc>
          <w:tcPr>
            <w:tcW w:w="2186" w:type="dxa"/>
            <w:noWrap/>
            <w:vAlign w:val="center"/>
          </w:tcPr>
          <w:p w14:paraId="57B78F14">
            <w:pPr>
              <w:contextualSpacing/>
              <w:jc w:val="center"/>
              <w:rPr>
                <w:color w:val="auto"/>
                <w:sz w:val="21"/>
                <w:szCs w:val="21"/>
              </w:rPr>
            </w:pPr>
            <w:r>
              <w:rPr>
                <w:color w:val="auto"/>
                <w:sz w:val="21"/>
                <w:szCs w:val="21"/>
              </w:rPr>
              <w:t>1.0</w:t>
            </w:r>
          </w:p>
        </w:tc>
        <w:tc>
          <w:tcPr>
            <w:tcW w:w="3454" w:type="dxa"/>
            <w:vMerge w:val="restart"/>
            <w:noWrap/>
            <w:vAlign w:val="center"/>
          </w:tcPr>
          <w:p w14:paraId="37F8CF54">
            <w:pPr>
              <w:contextualSpacing/>
              <w:jc w:val="center"/>
              <w:rPr>
                <w:rFonts w:hint="eastAsia"/>
                <w:color w:val="auto"/>
                <w:sz w:val="21"/>
                <w:szCs w:val="21"/>
              </w:rPr>
            </w:pPr>
            <w:r>
              <w:rPr>
                <w:rFonts w:hint="eastAsia"/>
                <w:color w:val="auto"/>
                <w:sz w:val="21"/>
                <w:szCs w:val="21"/>
                <w:lang w:eastAsia="zh-CN"/>
              </w:rPr>
              <w:t>《合成树脂工业污染物排放标准》（GB31572-2015，含2024年修改单）</w:t>
            </w:r>
          </w:p>
        </w:tc>
      </w:tr>
      <w:tr w14:paraId="03782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614" w:type="dxa"/>
            <w:noWrap/>
            <w:vAlign w:val="center"/>
          </w:tcPr>
          <w:p w14:paraId="4BD5865F">
            <w:pPr>
              <w:jc w:val="center"/>
              <w:rPr>
                <w:color w:val="auto"/>
                <w:kern w:val="0"/>
                <w:sz w:val="21"/>
                <w:szCs w:val="21"/>
              </w:rPr>
            </w:pPr>
            <w:r>
              <w:rPr>
                <w:rFonts w:hint="eastAsia"/>
                <w:color w:val="auto"/>
                <w:kern w:val="0"/>
                <w:sz w:val="21"/>
                <w:szCs w:val="21"/>
              </w:rPr>
              <w:t>非甲烷</w:t>
            </w:r>
            <w:r>
              <w:rPr>
                <w:color w:val="auto"/>
                <w:kern w:val="0"/>
                <w:sz w:val="21"/>
                <w:szCs w:val="21"/>
              </w:rPr>
              <w:t>总烃</w:t>
            </w:r>
          </w:p>
        </w:tc>
        <w:tc>
          <w:tcPr>
            <w:tcW w:w="1268" w:type="dxa"/>
            <w:vMerge w:val="continue"/>
            <w:noWrap/>
            <w:vAlign w:val="center"/>
          </w:tcPr>
          <w:p w14:paraId="5990C8D8">
            <w:pPr>
              <w:contextualSpacing/>
              <w:jc w:val="center"/>
              <w:rPr>
                <w:color w:val="auto"/>
                <w:sz w:val="21"/>
                <w:szCs w:val="21"/>
              </w:rPr>
            </w:pPr>
          </w:p>
        </w:tc>
        <w:tc>
          <w:tcPr>
            <w:tcW w:w="2186" w:type="dxa"/>
            <w:noWrap/>
            <w:vAlign w:val="center"/>
          </w:tcPr>
          <w:p w14:paraId="2275FA9C">
            <w:pPr>
              <w:contextualSpacing/>
              <w:jc w:val="center"/>
              <w:rPr>
                <w:color w:val="auto"/>
                <w:sz w:val="21"/>
                <w:szCs w:val="21"/>
              </w:rPr>
            </w:pPr>
            <w:r>
              <w:rPr>
                <w:rFonts w:hint="eastAsia"/>
                <w:color w:val="auto"/>
                <w:sz w:val="21"/>
                <w:szCs w:val="21"/>
              </w:rPr>
              <w:t>4.0</w:t>
            </w:r>
          </w:p>
        </w:tc>
        <w:tc>
          <w:tcPr>
            <w:tcW w:w="3454" w:type="dxa"/>
            <w:vMerge w:val="continue"/>
            <w:noWrap/>
            <w:vAlign w:val="center"/>
          </w:tcPr>
          <w:p w14:paraId="231BFAFB">
            <w:pPr>
              <w:contextualSpacing/>
              <w:jc w:val="center"/>
              <w:rPr>
                <w:color w:val="auto"/>
                <w:sz w:val="21"/>
                <w:szCs w:val="21"/>
              </w:rPr>
            </w:pPr>
          </w:p>
        </w:tc>
      </w:tr>
      <w:tr w14:paraId="46D20C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14" w:type="dxa"/>
            <w:noWrap/>
            <w:vAlign w:val="center"/>
          </w:tcPr>
          <w:p w14:paraId="34774C51">
            <w:pPr>
              <w:jc w:val="center"/>
              <w:rPr>
                <w:color w:val="auto"/>
                <w:kern w:val="0"/>
                <w:sz w:val="21"/>
                <w:szCs w:val="21"/>
              </w:rPr>
            </w:pPr>
            <w:r>
              <w:rPr>
                <w:color w:val="auto"/>
                <w:sz w:val="21"/>
                <w:szCs w:val="21"/>
              </w:rPr>
              <w:t>臭气浓度</w:t>
            </w:r>
          </w:p>
        </w:tc>
        <w:tc>
          <w:tcPr>
            <w:tcW w:w="1268" w:type="dxa"/>
            <w:vMerge w:val="restart"/>
            <w:noWrap/>
            <w:vAlign w:val="center"/>
          </w:tcPr>
          <w:p w14:paraId="5FB782B6">
            <w:pPr>
              <w:contextualSpacing/>
              <w:jc w:val="center"/>
              <w:rPr>
                <w:color w:val="auto"/>
                <w:sz w:val="21"/>
                <w:szCs w:val="21"/>
              </w:rPr>
            </w:pPr>
            <w:r>
              <w:rPr>
                <w:rFonts w:hint="eastAsia"/>
                <w:color w:val="auto"/>
                <w:sz w:val="21"/>
                <w:szCs w:val="21"/>
              </w:rPr>
              <w:t>厂界</w:t>
            </w:r>
          </w:p>
        </w:tc>
        <w:tc>
          <w:tcPr>
            <w:tcW w:w="2186" w:type="dxa"/>
            <w:noWrap/>
            <w:vAlign w:val="center"/>
          </w:tcPr>
          <w:p w14:paraId="1E1E5E4E">
            <w:pPr>
              <w:contextualSpacing/>
              <w:jc w:val="center"/>
              <w:rPr>
                <w:color w:val="auto"/>
                <w:sz w:val="21"/>
                <w:szCs w:val="21"/>
              </w:rPr>
            </w:pPr>
            <w:r>
              <w:rPr>
                <w:rFonts w:hint="eastAsia"/>
                <w:color w:val="auto"/>
                <w:sz w:val="21"/>
                <w:szCs w:val="21"/>
              </w:rPr>
              <w:t>20(无量纲)</w:t>
            </w:r>
          </w:p>
        </w:tc>
        <w:tc>
          <w:tcPr>
            <w:tcW w:w="3454" w:type="dxa"/>
            <w:vMerge w:val="restart"/>
            <w:noWrap/>
            <w:vAlign w:val="center"/>
          </w:tcPr>
          <w:p w14:paraId="0E14962E">
            <w:pPr>
              <w:contextualSpacing/>
              <w:jc w:val="center"/>
              <w:rPr>
                <w:b/>
                <w:bCs/>
                <w:color w:val="auto"/>
                <w:sz w:val="21"/>
                <w:szCs w:val="21"/>
              </w:rPr>
            </w:pPr>
            <w:r>
              <w:rPr>
                <w:color w:val="auto"/>
                <w:sz w:val="21"/>
                <w:szCs w:val="21"/>
              </w:rPr>
              <w:t>《恶臭污染物排放标准》（GB14554-1993）</w:t>
            </w:r>
          </w:p>
        </w:tc>
      </w:tr>
      <w:tr w14:paraId="62561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614" w:type="dxa"/>
            <w:noWrap/>
            <w:vAlign w:val="center"/>
          </w:tcPr>
          <w:p w14:paraId="1F6504CD">
            <w:pPr>
              <w:contextualSpacing/>
              <w:jc w:val="center"/>
              <w:rPr>
                <w:rFonts w:hint="default" w:eastAsia="宋体"/>
                <w:color w:val="auto"/>
                <w:sz w:val="21"/>
                <w:szCs w:val="21"/>
                <w:lang w:val="en-US" w:eastAsia="zh-CN"/>
              </w:rPr>
            </w:pPr>
            <w:r>
              <w:rPr>
                <w:rFonts w:hint="eastAsia"/>
                <w:color w:val="auto"/>
                <w:sz w:val="21"/>
                <w:szCs w:val="21"/>
                <w:lang w:val="en-US" w:eastAsia="zh-CN"/>
              </w:rPr>
              <w:t>氨</w:t>
            </w:r>
          </w:p>
        </w:tc>
        <w:tc>
          <w:tcPr>
            <w:tcW w:w="1268" w:type="dxa"/>
            <w:vMerge w:val="continue"/>
            <w:noWrap/>
            <w:vAlign w:val="center"/>
          </w:tcPr>
          <w:p w14:paraId="0728B7F3">
            <w:pPr>
              <w:contextualSpacing/>
              <w:jc w:val="center"/>
              <w:rPr>
                <w:color w:val="auto"/>
                <w:sz w:val="21"/>
                <w:szCs w:val="21"/>
              </w:rPr>
            </w:pPr>
          </w:p>
        </w:tc>
        <w:tc>
          <w:tcPr>
            <w:tcW w:w="2186" w:type="dxa"/>
            <w:noWrap/>
            <w:vAlign w:val="center"/>
          </w:tcPr>
          <w:p w14:paraId="47EF985A">
            <w:pPr>
              <w:contextualSpacing/>
              <w:jc w:val="center"/>
              <w:rPr>
                <w:rFonts w:hint="eastAsia" w:eastAsia="宋体"/>
                <w:color w:val="auto"/>
                <w:sz w:val="21"/>
                <w:szCs w:val="21"/>
                <w:lang w:eastAsia="zh-CN"/>
              </w:rPr>
            </w:pPr>
            <w:r>
              <w:rPr>
                <w:rFonts w:hint="eastAsia"/>
                <w:color w:val="auto"/>
                <w:sz w:val="21"/>
                <w:szCs w:val="21"/>
                <w:lang w:val="en-US" w:eastAsia="zh-CN"/>
              </w:rPr>
              <w:t>1.5</w:t>
            </w:r>
          </w:p>
        </w:tc>
        <w:tc>
          <w:tcPr>
            <w:tcW w:w="3454" w:type="dxa"/>
            <w:vMerge w:val="continue"/>
            <w:noWrap/>
            <w:vAlign w:val="center"/>
          </w:tcPr>
          <w:p w14:paraId="1404BAFE">
            <w:pPr>
              <w:contextualSpacing/>
              <w:jc w:val="center"/>
              <w:rPr>
                <w:color w:val="auto"/>
                <w:sz w:val="21"/>
                <w:szCs w:val="21"/>
              </w:rPr>
            </w:pPr>
          </w:p>
        </w:tc>
      </w:tr>
    </w:tbl>
    <w:p w14:paraId="7CA399DF">
      <w:pPr>
        <w:pStyle w:val="8"/>
        <w:widowControl/>
        <w:numPr>
          <w:ilvl w:val="0"/>
          <w:numId w:val="0"/>
        </w:numPr>
        <w:tabs>
          <w:tab w:val="left" w:pos="4515"/>
          <w:tab w:val="left" w:pos="5883"/>
          <w:tab w:val="left" w:pos="8718"/>
        </w:tabs>
        <w:adjustRightInd w:val="0"/>
        <w:snapToGrid w:val="0"/>
        <w:spacing w:line="360" w:lineRule="auto"/>
        <w:ind w:firstLine="480" w:firstLineChars="200"/>
        <w:jc w:val="both"/>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③厂区内废气</w:t>
      </w:r>
    </w:p>
    <w:p w14:paraId="5AB12C82">
      <w:pPr>
        <w:pStyle w:val="8"/>
        <w:widowControl/>
        <w:numPr>
          <w:ilvl w:val="0"/>
          <w:numId w:val="0"/>
        </w:numPr>
        <w:tabs>
          <w:tab w:val="left" w:pos="4515"/>
          <w:tab w:val="left" w:pos="5883"/>
          <w:tab w:val="left" w:pos="8718"/>
        </w:tabs>
        <w:adjustRightInd w:val="0"/>
        <w:snapToGrid w:val="0"/>
        <w:spacing w:line="360" w:lineRule="auto"/>
        <w:ind w:firstLine="480" w:firstLineChars="200"/>
        <w:jc w:val="both"/>
        <w:rPr>
          <w:rFonts w:ascii="Times New Roman" w:hAnsi="Times New Roman" w:cs="Times New Roman"/>
          <w:b/>
          <w:color w:val="auto"/>
          <w:sz w:val="24"/>
          <w:szCs w:val="24"/>
          <w:highlight w:val="none"/>
        </w:rPr>
      </w:pPr>
      <w:r>
        <w:rPr>
          <w:rFonts w:hint="eastAsia" w:ascii="Times New Roman" w:hAnsi="Times New Roman" w:eastAsia="宋体" w:cs="Times New Roman"/>
          <w:color w:val="auto"/>
          <w:sz w:val="24"/>
          <w:szCs w:val="24"/>
          <w:highlight w:val="none"/>
        </w:rPr>
        <w:t>此外，厂区内的VOCs无组织排放需执行《挥发性有机物无组织排放控制标准》</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GB37822-2019</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表A.1</w:t>
      </w:r>
      <w:r>
        <w:rPr>
          <w:rFonts w:hint="eastAsia" w:ascii="Times New Roman" w:hAnsi="Times New Roman" w:eastAsia="宋体" w:cs="Times New Roman"/>
          <w:color w:val="auto"/>
          <w:sz w:val="24"/>
          <w:szCs w:val="24"/>
          <w:highlight w:val="none"/>
          <w:lang w:val="en-US" w:eastAsia="zh-CN"/>
        </w:rPr>
        <w:t>中</w:t>
      </w:r>
      <w:r>
        <w:rPr>
          <w:rFonts w:hint="eastAsia" w:ascii="Times New Roman" w:hAnsi="Times New Roman" w:eastAsia="宋体" w:cs="Times New Roman"/>
          <w:color w:val="auto"/>
          <w:sz w:val="24"/>
          <w:szCs w:val="24"/>
          <w:highlight w:val="none"/>
        </w:rPr>
        <w:t>的特别排放限值</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详见下表</w:t>
      </w:r>
      <w:r>
        <w:rPr>
          <w:rFonts w:hint="eastAsia" w:ascii="Times New Roman" w:hAnsi="Times New Roman" w:eastAsia="宋体" w:cs="Times New Roman"/>
          <w:color w:val="auto"/>
          <w:sz w:val="24"/>
          <w:szCs w:val="24"/>
          <w:highlight w:val="none"/>
        </w:rPr>
        <w:t>。</w:t>
      </w:r>
    </w:p>
    <w:p w14:paraId="28231318">
      <w:pPr>
        <w:pStyle w:val="20"/>
        <w:numPr>
          <w:ilvl w:val="0"/>
          <w:numId w:val="6"/>
        </w:numPr>
        <w:spacing w:before="156"/>
        <w:rPr>
          <w:rFonts w:hint="eastAsia" w:ascii="Times New Roman" w:hAnsi="Times New Roman" w:eastAsia="宋体" w:cs="Times New Roman"/>
          <w:b/>
          <w:color w:val="auto"/>
          <w:lang w:val="en-US"/>
        </w:rPr>
      </w:pPr>
      <w:r>
        <w:rPr>
          <w:rFonts w:hint="eastAsia" w:ascii="Times New Roman" w:hAnsi="Times New Roman" w:eastAsia="宋体" w:cs="Times New Roman"/>
          <w:b/>
          <w:color w:val="auto"/>
          <w:lang w:val="en-US"/>
        </w:rPr>
        <w:t>《挥发性有机物无组织排放控制标准》</w:t>
      </w:r>
      <w:r>
        <w:rPr>
          <w:rFonts w:hint="eastAsia" w:ascii="Times New Roman" w:hAnsi="Times New Roman" w:eastAsia="宋体" w:cs="Times New Roman"/>
          <w:b/>
          <w:color w:val="auto"/>
          <w:lang w:val="en-US" w:eastAsia="zh-CN"/>
        </w:rPr>
        <w:t>（GB37822-2019）</w:t>
      </w:r>
      <w:r>
        <w:rPr>
          <w:rFonts w:hint="eastAsia" w:ascii="Times New Roman" w:hAnsi="Times New Roman" w:eastAsia="宋体" w:cs="Times New Roman"/>
          <w:b/>
          <w:color w:val="auto"/>
          <w:lang w:val="en-US"/>
        </w:rPr>
        <w:t xml:space="preserve">  </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31"/>
        <w:gridCol w:w="1415"/>
        <w:gridCol w:w="3429"/>
        <w:gridCol w:w="1747"/>
      </w:tblGrid>
      <w:tr w14:paraId="29ACC4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32" w:type="pct"/>
            <w:tcBorders>
              <w:top w:val="single" w:color="auto" w:sz="4" w:space="0"/>
              <w:left w:val="single" w:color="auto" w:sz="4" w:space="0"/>
              <w:bottom w:val="single" w:color="auto" w:sz="4" w:space="0"/>
              <w:right w:val="single" w:color="auto" w:sz="4" w:space="0"/>
            </w:tcBorders>
            <w:noWrap w:val="0"/>
            <w:vAlign w:val="center"/>
          </w:tcPr>
          <w:p w14:paraId="46D60AC2">
            <w:pPr>
              <w:jc w:val="center"/>
              <w:rPr>
                <w:color w:val="auto"/>
                <w:sz w:val="21"/>
                <w:szCs w:val="21"/>
                <w:highlight w:val="none"/>
              </w:rPr>
            </w:pPr>
            <w:r>
              <w:rPr>
                <w:color w:val="auto"/>
                <w:sz w:val="21"/>
                <w:szCs w:val="21"/>
                <w:highlight w:val="none"/>
              </w:rPr>
              <w:t>污染物项目</w:t>
            </w:r>
          </w:p>
        </w:tc>
        <w:tc>
          <w:tcPr>
            <w:tcW w:w="830" w:type="pct"/>
            <w:tcBorders>
              <w:top w:val="single" w:color="auto" w:sz="4" w:space="0"/>
              <w:left w:val="single" w:color="auto" w:sz="4" w:space="0"/>
              <w:bottom w:val="single" w:color="auto" w:sz="4" w:space="0"/>
              <w:right w:val="single" w:color="auto" w:sz="4" w:space="0"/>
            </w:tcBorders>
            <w:noWrap w:val="0"/>
            <w:vAlign w:val="center"/>
          </w:tcPr>
          <w:p w14:paraId="0678DBC6">
            <w:pPr>
              <w:jc w:val="center"/>
              <w:rPr>
                <w:rFonts w:hint="eastAsia"/>
                <w:color w:val="auto"/>
                <w:sz w:val="21"/>
                <w:szCs w:val="21"/>
                <w:highlight w:val="none"/>
              </w:rPr>
            </w:pPr>
            <w:r>
              <w:rPr>
                <w:rFonts w:hint="eastAsia"/>
                <w:color w:val="auto"/>
                <w:sz w:val="21"/>
                <w:szCs w:val="21"/>
                <w:highlight w:val="none"/>
              </w:rPr>
              <w:t>特别排放限值</w:t>
            </w:r>
            <w:r>
              <w:rPr>
                <w:rFonts w:eastAsia="Times New Roman"/>
                <w:color w:val="auto"/>
                <w:sz w:val="21"/>
                <w:szCs w:val="21"/>
                <w:highlight w:val="none"/>
              </w:rPr>
              <w:t>(mg/m</w:t>
            </w:r>
            <w:r>
              <w:rPr>
                <w:rFonts w:eastAsia="Times New Roman"/>
                <w:color w:val="auto"/>
                <w:sz w:val="21"/>
                <w:szCs w:val="21"/>
                <w:highlight w:val="none"/>
                <w:vertAlign w:val="superscript"/>
              </w:rPr>
              <w:t>3</w:t>
            </w:r>
            <w:r>
              <w:rPr>
                <w:rFonts w:eastAsia="Times New Roman"/>
                <w:color w:val="auto"/>
                <w:sz w:val="21"/>
                <w:szCs w:val="21"/>
                <w:highlight w:val="none"/>
              </w:rPr>
              <w:t>)</w:t>
            </w:r>
          </w:p>
        </w:tc>
        <w:tc>
          <w:tcPr>
            <w:tcW w:w="2011" w:type="pct"/>
            <w:tcBorders>
              <w:top w:val="single" w:color="auto" w:sz="4" w:space="0"/>
              <w:left w:val="single" w:color="auto" w:sz="4" w:space="0"/>
              <w:bottom w:val="single" w:color="auto" w:sz="4" w:space="0"/>
              <w:right w:val="single" w:color="auto" w:sz="4" w:space="0"/>
            </w:tcBorders>
            <w:noWrap w:val="0"/>
            <w:vAlign w:val="center"/>
          </w:tcPr>
          <w:p w14:paraId="083CA39E">
            <w:pPr>
              <w:jc w:val="center"/>
              <w:rPr>
                <w:color w:val="auto"/>
                <w:sz w:val="21"/>
                <w:szCs w:val="21"/>
                <w:highlight w:val="none"/>
              </w:rPr>
            </w:pPr>
            <w:r>
              <w:rPr>
                <w:color w:val="auto"/>
                <w:sz w:val="21"/>
                <w:szCs w:val="21"/>
                <w:highlight w:val="none"/>
              </w:rPr>
              <w:t>限值含义</w:t>
            </w:r>
          </w:p>
        </w:tc>
        <w:tc>
          <w:tcPr>
            <w:tcW w:w="1024" w:type="pct"/>
            <w:tcBorders>
              <w:top w:val="single" w:color="auto" w:sz="4" w:space="0"/>
              <w:left w:val="single" w:color="auto" w:sz="4" w:space="0"/>
              <w:bottom w:val="single" w:color="auto" w:sz="4" w:space="0"/>
              <w:right w:val="single" w:color="auto" w:sz="4" w:space="0"/>
            </w:tcBorders>
            <w:noWrap w:val="0"/>
            <w:vAlign w:val="center"/>
          </w:tcPr>
          <w:p w14:paraId="4A067958">
            <w:pPr>
              <w:jc w:val="center"/>
              <w:rPr>
                <w:color w:val="auto"/>
                <w:sz w:val="21"/>
                <w:szCs w:val="21"/>
                <w:highlight w:val="none"/>
              </w:rPr>
            </w:pPr>
            <w:r>
              <w:rPr>
                <w:color w:val="auto"/>
                <w:sz w:val="21"/>
                <w:szCs w:val="21"/>
                <w:highlight w:val="none"/>
              </w:rPr>
              <w:t>无组织排放监控位置</w:t>
            </w:r>
          </w:p>
        </w:tc>
      </w:tr>
      <w:tr w14:paraId="1149E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32" w:type="pct"/>
            <w:vMerge w:val="restart"/>
            <w:tcBorders>
              <w:top w:val="nil"/>
              <w:left w:val="single" w:color="auto" w:sz="4" w:space="0"/>
              <w:bottom w:val="single" w:color="auto" w:sz="4" w:space="0"/>
              <w:right w:val="single" w:color="auto" w:sz="4" w:space="0"/>
            </w:tcBorders>
            <w:noWrap w:val="0"/>
            <w:vAlign w:val="center"/>
          </w:tcPr>
          <w:p w14:paraId="08D7E179">
            <w:pPr>
              <w:jc w:val="center"/>
              <w:rPr>
                <w:color w:val="auto"/>
                <w:sz w:val="21"/>
                <w:szCs w:val="21"/>
                <w:highlight w:val="none"/>
              </w:rPr>
            </w:pPr>
            <w:r>
              <w:rPr>
                <w:color w:val="auto"/>
                <w:sz w:val="21"/>
                <w:szCs w:val="21"/>
                <w:highlight w:val="none"/>
              </w:rPr>
              <w:t>非甲烷总烃</w:t>
            </w:r>
          </w:p>
        </w:tc>
        <w:tc>
          <w:tcPr>
            <w:tcW w:w="830" w:type="pct"/>
            <w:tcBorders>
              <w:top w:val="single" w:color="auto" w:sz="4" w:space="0"/>
              <w:left w:val="single" w:color="auto" w:sz="4" w:space="0"/>
              <w:bottom w:val="single" w:color="auto" w:sz="4" w:space="0"/>
              <w:right w:val="single" w:color="auto" w:sz="4" w:space="0"/>
            </w:tcBorders>
            <w:noWrap w:val="0"/>
            <w:vAlign w:val="center"/>
          </w:tcPr>
          <w:p w14:paraId="4EE8AE97">
            <w:pPr>
              <w:jc w:val="center"/>
              <w:rPr>
                <w:color w:val="auto"/>
                <w:sz w:val="21"/>
                <w:szCs w:val="21"/>
                <w:highlight w:val="none"/>
              </w:rPr>
            </w:pPr>
            <w:r>
              <w:rPr>
                <w:color w:val="auto"/>
                <w:sz w:val="21"/>
                <w:szCs w:val="21"/>
                <w:highlight w:val="none"/>
              </w:rPr>
              <w:t>6</w:t>
            </w:r>
          </w:p>
        </w:tc>
        <w:tc>
          <w:tcPr>
            <w:tcW w:w="2011" w:type="pct"/>
            <w:tcBorders>
              <w:top w:val="single" w:color="auto" w:sz="4" w:space="0"/>
              <w:left w:val="single" w:color="auto" w:sz="4" w:space="0"/>
              <w:bottom w:val="single" w:color="auto" w:sz="4" w:space="0"/>
              <w:right w:val="single" w:color="auto" w:sz="4" w:space="0"/>
            </w:tcBorders>
            <w:noWrap w:val="0"/>
            <w:vAlign w:val="center"/>
          </w:tcPr>
          <w:p w14:paraId="12E5B465">
            <w:pPr>
              <w:jc w:val="center"/>
              <w:rPr>
                <w:color w:val="auto"/>
                <w:sz w:val="21"/>
                <w:szCs w:val="21"/>
                <w:highlight w:val="none"/>
              </w:rPr>
            </w:pPr>
            <w:r>
              <w:rPr>
                <w:color w:val="auto"/>
                <w:sz w:val="21"/>
                <w:szCs w:val="21"/>
                <w:highlight w:val="none"/>
              </w:rPr>
              <w:t>监控点处1小时平均浓度限值</w:t>
            </w:r>
          </w:p>
        </w:tc>
        <w:tc>
          <w:tcPr>
            <w:tcW w:w="1024" w:type="pct"/>
            <w:vMerge w:val="restart"/>
            <w:tcBorders>
              <w:top w:val="nil"/>
              <w:left w:val="single" w:color="auto" w:sz="4" w:space="0"/>
              <w:bottom w:val="single" w:color="auto" w:sz="4" w:space="0"/>
              <w:right w:val="single" w:color="auto" w:sz="4" w:space="0"/>
            </w:tcBorders>
            <w:noWrap w:val="0"/>
            <w:vAlign w:val="center"/>
          </w:tcPr>
          <w:p w14:paraId="2380A739">
            <w:pPr>
              <w:jc w:val="center"/>
              <w:rPr>
                <w:color w:val="auto"/>
                <w:sz w:val="21"/>
                <w:szCs w:val="21"/>
                <w:highlight w:val="none"/>
              </w:rPr>
            </w:pPr>
            <w:r>
              <w:rPr>
                <w:color w:val="auto"/>
                <w:sz w:val="21"/>
                <w:szCs w:val="21"/>
                <w:highlight w:val="none"/>
              </w:rPr>
              <w:t>在厂房外设置监控点</w:t>
            </w:r>
          </w:p>
        </w:tc>
      </w:tr>
      <w:tr w14:paraId="002F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132" w:type="pct"/>
            <w:vMerge w:val="continue"/>
            <w:tcBorders>
              <w:top w:val="nil"/>
              <w:left w:val="single" w:color="auto" w:sz="4" w:space="0"/>
              <w:bottom w:val="single" w:color="auto" w:sz="4" w:space="0"/>
              <w:right w:val="single" w:color="auto" w:sz="4" w:space="0"/>
            </w:tcBorders>
            <w:noWrap w:val="0"/>
            <w:vAlign w:val="center"/>
          </w:tcPr>
          <w:p w14:paraId="28D04403">
            <w:pPr>
              <w:widowControl/>
              <w:jc w:val="center"/>
              <w:rPr>
                <w:color w:val="auto"/>
                <w:sz w:val="21"/>
                <w:szCs w:val="21"/>
                <w:highlight w:val="none"/>
              </w:rPr>
            </w:pPr>
          </w:p>
        </w:tc>
        <w:tc>
          <w:tcPr>
            <w:tcW w:w="830" w:type="pct"/>
            <w:tcBorders>
              <w:top w:val="single" w:color="auto" w:sz="4" w:space="0"/>
              <w:left w:val="single" w:color="auto" w:sz="4" w:space="0"/>
              <w:bottom w:val="single" w:color="auto" w:sz="4" w:space="0"/>
              <w:right w:val="single" w:color="auto" w:sz="4" w:space="0"/>
            </w:tcBorders>
            <w:noWrap w:val="0"/>
            <w:vAlign w:val="center"/>
          </w:tcPr>
          <w:p w14:paraId="6C0ABC21">
            <w:pPr>
              <w:jc w:val="center"/>
              <w:rPr>
                <w:color w:val="auto"/>
                <w:sz w:val="21"/>
                <w:szCs w:val="21"/>
                <w:highlight w:val="none"/>
              </w:rPr>
            </w:pPr>
            <w:r>
              <w:rPr>
                <w:color w:val="auto"/>
                <w:sz w:val="21"/>
                <w:szCs w:val="21"/>
                <w:highlight w:val="none"/>
              </w:rPr>
              <w:t>20</w:t>
            </w:r>
          </w:p>
        </w:tc>
        <w:tc>
          <w:tcPr>
            <w:tcW w:w="2011" w:type="pct"/>
            <w:tcBorders>
              <w:top w:val="single" w:color="auto" w:sz="4" w:space="0"/>
              <w:left w:val="single" w:color="auto" w:sz="4" w:space="0"/>
              <w:bottom w:val="single" w:color="auto" w:sz="4" w:space="0"/>
              <w:right w:val="single" w:color="auto" w:sz="4" w:space="0"/>
            </w:tcBorders>
            <w:noWrap w:val="0"/>
            <w:vAlign w:val="center"/>
          </w:tcPr>
          <w:p w14:paraId="10A567A6">
            <w:pPr>
              <w:jc w:val="center"/>
              <w:rPr>
                <w:color w:val="auto"/>
                <w:sz w:val="21"/>
                <w:szCs w:val="21"/>
                <w:highlight w:val="none"/>
              </w:rPr>
            </w:pPr>
            <w:r>
              <w:rPr>
                <w:color w:val="auto"/>
                <w:sz w:val="21"/>
                <w:szCs w:val="21"/>
                <w:highlight w:val="none"/>
              </w:rPr>
              <w:t>监控点处任意一次浓度限值</w:t>
            </w:r>
          </w:p>
        </w:tc>
        <w:tc>
          <w:tcPr>
            <w:tcW w:w="1024" w:type="pct"/>
            <w:vMerge w:val="continue"/>
            <w:tcBorders>
              <w:top w:val="nil"/>
              <w:left w:val="single" w:color="auto" w:sz="4" w:space="0"/>
              <w:bottom w:val="single" w:color="auto" w:sz="4" w:space="0"/>
              <w:right w:val="single" w:color="auto" w:sz="4" w:space="0"/>
            </w:tcBorders>
            <w:noWrap w:val="0"/>
            <w:vAlign w:val="center"/>
          </w:tcPr>
          <w:p w14:paraId="58E459B3">
            <w:pPr>
              <w:widowControl/>
              <w:jc w:val="center"/>
              <w:rPr>
                <w:color w:val="auto"/>
                <w:sz w:val="21"/>
                <w:szCs w:val="21"/>
                <w:highlight w:val="none"/>
              </w:rPr>
            </w:pPr>
          </w:p>
        </w:tc>
      </w:tr>
    </w:tbl>
    <w:p w14:paraId="57D41F4C">
      <w:pPr>
        <w:autoSpaceDE w:val="0"/>
        <w:autoSpaceDN w:val="0"/>
        <w:adjustRightInd w:val="0"/>
        <w:spacing w:line="360" w:lineRule="auto"/>
        <w:ind w:firstLine="482" w:firstLineChars="200"/>
        <w:rPr>
          <w:b/>
          <w:color w:val="auto"/>
          <w:kern w:val="0"/>
          <w:sz w:val="24"/>
          <w:szCs w:val="24"/>
          <w:highlight w:val="none"/>
        </w:rPr>
      </w:pPr>
      <w:r>
        <w:rPr>
          <w:rFonts w:hint="eastAsia"/>
          <w:b/>
          <w:color w:val="auto"/>
          <w:kern w:val="0"/>
          <w:sz w:val="24"/>
          <w:szCs w:val="24"/>
          <w:highlight w:val="none"/>
          <w:lang w:eastAsia="zh-CN"/>
        </w:rPr>
        <w:t>（</w:t>
      </w:r>
      <w:r>
        <w:rPr>
          <w:rFonts w:hint="eastAsia"/>
          <w:b/>
          <w:color w:val="auto"/>
          <w:kern w:val="0"/>
          <w:sz w:val="24"/>
          <w:szCs w:val="24"/>
          <w:highlight w:val="none"/>
          <w:lang w:val="en-US" w:eastAsia="zh-CN"/>
        </w:rPr>
        <w:t>2</w:t>
      </w:r>
      <w:r>
        <w:rPr>
          <w:rFonts w:hint="eastAsia"/>
          <w:b/>
          <w:color w:val="auto"/>
          <w:kern w:val="0"/>
          <w:sz w:val="24"/>
          <w:szCs w:val="24"/>
          <w:highlight w:val="none"/>
          <w:lang w:eastAsia="zh-CN"/>
        </w:rPr>
        <w:t>）</w:t>
      </w:r>
      <w:r>
        <w:rPr>
          <w:b/>
          <w:color w:val="auto"/>
          <w:kern w:val="0"/>
          <w:sz w:val="24"/>
          <w:szCs w:val="24"/>
          <w:highlight w:val="none"/>
        </w:rPr>
        <w:t>废水排放标准</w:t>
      </w:r>
    </w:p>
    <w:p w14:paraId="070FBC78">
      <w:pPr>
        <w:spacing w:line="360" w:lineRule="auto"/>
        <w:ind w:firstLine="480" w:firstLineChars="200"/>
        <w:rPr>
          <w:color w:val="auto"/>
          <w:sz w:val="24"/>
          <w:szCs w:val="24"/>
          <w:highlight w:val="none"/>
        </w:rPr>
      </w:pPr>
      <w:r>
        <w:rPr>
          <w:rFonts w:hint="eastAsia" w:ascii="Arial" w:hAnsi="Arial" w:cs="Arial"/>
          <w:color w:val="auto"/>
          <w:sz w:val="24"/>
          <w:szCs w:val="24"/>
          <w:highlight w:val="none"/>
          <w:lang w:val="en-US" w:eastAsia="zh-CN"/>
        </w:rPr>
        <w:t>本项目无生产废水排放，外排废水仅为员工生活污水，</w:t>
      </w:r>
      <w:r>
        <w:rPr>
          <w:rFonts w:ascii="Arial" w:hAnsi="Arial" w:cs="Arial"/>
          <w:color w:val="auto"/>
          <w:sz w:val="24"/>
          <w:szCs w:val="24"/>
          <w:highlight w:val="none"/>
        </w:rPr>
        <w:t>经</w:t>
      </w:r>
      <w:r>
        <w:rPr>
          <w:rFonts w:hint="eastAsia" w:ascii="Arial" w:hAnsi="Arial" w:cs="Arial"/>
          <w:color w:val="auto"/>
          <w:sz w:val="24"/>
          <w:szCs w:val="24"/>
          <w:highlight w:val="none"/>
          <w:lang w:val="en-US" w:eastAsia="zh-CN"/>
        </w:rPr>
        <w:t>化粪池预</w:t>
      </w:r>
      <w:r>
        <w:rPr>
          <w:rFonts w:ascii="Arial" w:hAnsi="Arial" w:cs="Arial"/>
          <w:color w:val="auto"/>
          <w:sz w:val="24"/>
          <w:szCs w:val="24"/>
          <w:highlight w:val="none"/>
        </w:rPr>
        <w:t>处理</w:t>
      </w:r>
      <w:r>
        <w:rPr>
          <w:rFonts w:hint="eastAsia" w:ascii="Arial" w:hAnsi="Arial" w:cs="Arial"/>
          <w:color w:val="auto"/>
          <w:sz w:val="24"/>
          <w:szCs w:val="24"/>
          <w:highlight w:val="none"/>
        </w:rPr>
        <w:t>达标后纳入市政污水管网，</w:t>
      </w:r>
      <w:r>
        <w:rPr>
          <w:color w:val="auto"/>
          <w:sz w:val="24"/>
          <w:szCs w:val="24"/>
          <w:highlight w:val="none"/>
        </w:rPr>
        <w:t>送至塘栖污水处理厂集中处置后达标排放，废水纳管水质执行《污水综合排放标准》（GB8978-1996）三级标准（其中氨氮、总磷执行《工业企业废水氮、磷污染物间接排放限值》（DB33/887-2013））；塘栖污水处理厂出水COD</w:t>
      </w:r>
      <w:r>
        <w:rPr>
          <w:color w:val="auto"/>
          <w:sz w:val="24"/>
          <w:szCs w:val="24"/>
          <w:highlight w:val="none"/>
          <w:vertAlign w:val="subscript"/>
        </w:rPr>
        <w:t>Cr</w:t>
      </w:r>
      <w:r>
        <w:rPr>
          <w:color w:val="auto"/>
          <w:sz w:val="24"/>
          <w:szCs w:val="24"/>
          <w:highlight w:val="none"/>
        </w:rPr>
        <w:t>、氨氮、总氮、总磷执行《城镇污水处理厂主要水污染物排放标准》</w:t>
      </w:r>
      <w:r>
        <w:rPr>
          <w:rFonts w:hint="eastAsia"/>
          <w:color w:val="auto"/>
          <w:sz w:val="24"/>
          <w:szCs w:val="24"/>
          <w:highlight w:val="none"/>
          <w:lang w:eastAsia="zh-CN"/>
        </w:rPr>
        <w:t>（DB33/2169-2018）</w:t>
      </w:r>
      <w:r>
        <w:rPr>
          <w:color w:val="auto"/>
          <w:sz w:val="24"/>
          <w:szCs w:val="24"/>
          <w:highlight w:val="none"/>
        </w:rPr>
        <w:t>中的表1排放限值，其余指标执行《城镇污水处理厂污染物排放标准》</w:t>
      </w:r>
      <w:r>
        <w:rPr>
          <w:rFonts w:hint="eastAsia"/>
          <w:color w:val="auto"/>
          <w:sz w:val="24"/>
          <w:szCs w:val="24"/>
          <w:highlight w:val="none"/>
          <w:lang w:eastAsia="zh-CN"/>
        </w:rPr>
        <w:t>（GB18918-2002）</w:t>
      </w:r>
      <w:r>
        <w:rPr>
          <w:color w:val="auto"/>
          <w:sz w:val="24"/>
          <w:szCs w:val="24"/>
          <w:highlight w:val="none"/>
        </w:rPr>
        <w:t>一级A类标准。具体标准见下表。</w:t>
      </w:r>
    </w:p>
    <w:p w14:paraId="6624E804">
      <w:pPr>
        <w:pStyle w:val="20"/>
        <w:numPr>
          <w:ilvl w:val="0"/>
          <w:numId w:val="6"/>
        </w:numPr>
        <w:spacing w:before="156"/>
        <w:rPr>
          <w:rFonts w:hint="eastAsia" w:ascii="Times New Roman" w:hAnsi="Times New Roman" w:eastAsia="宋体" w:cs="Times New Roman"/>
          <w:b/>
          <w:color w:val="auto"/>
          <w:lang w:val="en-US"/>
        </w:rPr>
      </w:pPr>
      <w:r>
        <w:rPr>
          <w:rFonts w:hint="eastAsia" w:ascii="Times New Roman" w:hAnsi="Times New Roman" w:eastAsia="宋体" w:cs="Times New Roman"/>
          <w:b/>
          <w:color w:val="auto"/>
          <w:lang w:val="en-US"/>
        </w:rPr>
        <w:t>废水排放标准  单位：mg/L,除pH外</w:t>
      </w:r>
    </w:p>
    <w:tbl>
      <w:tblPr>
        <w:tblStyle w:val="1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2672"/>
        <w:gridCol w:w="827"/>
        <w:gridCol w:w="865"/>
        <w:gridCol w:w="865"/>
        <w:gridCol w:w="1403"/>
        <w:gridCol w:w="1681"/>
      </w:tblGrid>
      <w:tr w14:paraId="6F6E3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607" w:type="pct"/>
            <w:noWrap w:val="0"/>
            <w:vAlign w:val="center"/>
          </w:tcPr>
          <w:p w14:paraId="5F4AED23">
            <w:pPr>
              <w:adjustRightInd w:val="0"/>
              <w:snapToGrid w:val="0"/>
              <w:jc w:val="center"/>
              <w:rPr>
                <w:bCs/>
                <w:color w:val="auto"/>
                <w:sz w:val="21"/>
                <w:szCs w:val="21"/>
                <w:highlight w:val="none"/>
              </w:rPr>
            </w:pPr>
            <w:r>
              <w:rPr>
                <w:bCs/>
                <w:color w:val="auto"/>
                <w:sz w:val="21"/>
                <w:szCs w:val="21"/>
                <w:highlight w:val="none"/>
              </w:rPr>
              <w:t>指标</w:t>
            </w:r>
          </w:p>
        </w:tc>
        <w:tc>
          <w:tcPr>
            <w:tcW w:w="497" w:type="pct"/>
            <w:noWrap w:val="0"/>
            <w:vAlign w:val="center"/>
          </w:tcPr>
          <w:p w14:paraId="0CD2BB49">
            <w:pPr>
              <w:adjustRightInd w:val="0"/>
              <w:snapToGrid w:val="0"/>
              <w:jc w:val="center"/>
              <w:rPr>
                <w:bCs/>
                <w:color w:val="auto"/>
                <w:sz w:val="21"/>
                <w:szCs w:val="21"/>
                <w:highlight w:val="none"/>
              </w:rPr>
            </w:pPr>
            <w:r>
              <w:rPr>
                <w:bCs/>
                <w:color w:val="auto"/>
                <w:sz w:val="21"/>
                <w:szCs w:val="21"/>
                <w:highlight w:val="none"/>
              </w:rPr>
              <w:t>pH</w:t>
            </w:r>
          </w:p>
        </w:tc>
        <w:tc>
          <w:tcPr>
            <w:tcW w:w="520" w:type="pct"/>
            <w:noWrap w:val="0"/>
            <w:vAlign w:val="center"/>
          </w:tcPr>
          <w:p w14:paraId="0F7A38F0">
            <w:pPr>
              <w:adjustRightInd w:val="0"/>
              <w:snapToGrid w:val="0"/>
              <w:jc w:val="center"/>
              <w:rPr>
                <w:bCs/>
                <w:color w:val="auto"/>
                <w:sz w:val="21"/>
                <w:szCs w:val="21"/>
                <w:highlight w:val="none"/>
                <w:vertAlign w:val="subscript"/>
              </w:rPr>
            </w:pPr>
            <w:r>
              <w:rPr>
                <w:bCs/>
                <w:color w:val="auto"/>
                <w:sz w:val="21"/>
                <w:szCs w:val="21"/>
                <w:highlight w:val="none"/>
              </w:rPr>
              <w:t>COD</w:t>
            </w:r>
          </w:p>
        </w:tc>
        <w:tc>
          <w:tcPr>
            <w:tcW w:w="520" w:type="pct"/>
            <w:noWrap w:val="0"/>
            <w:vAlign w:val="center"/>
          </w:tcPr>
          <w:p w14:paraId="6EF60FBA">
            <w:pPr>
              <w:adjustRightInd w:val="0"/>
              <w:snapToGrid w:val="0"/>
              <w:jc w:val="center"/>
              <w:rPr>
                <w:bCs/>
                <w:color w:val="auto"/>
                <w:sz w:val="21"/>
                <w:szCs w:val="21"/>
                <w:highlight w:val="none"/>
              </w:rPr>
            </w:pPr>
            <w:r>
              <w:rPr>
                <w:bCs/>
                <w:color w:val="auto"/>
                <w:sz w:val="21"/>
                <w:szCs w:val="21"/>
                <w:highlight w:val="none"/>
              </w:rPr>
              <w:t>SS</w:t>
            </w:r>
          </w:p>
        </w:tc>
        <w:tc>
          <w:tcPr>
            <w:tcW w:w="844" w:type="pct"/>
            <w:noWrap w:val="0"/>
            <w:vAlign w:val="center"/>
          </w:tcPr>
          <w:p w14:paraId="7714B947">
            <w:pPr>
              <w:adjustRightInd w:val="0"/>
              <w:snapToGrid w:val="0"/>
              <w:jc w:val="center"/>
              <w:rPr>
                <w:bCs/>
                <w:color w:val="auto"/>
                <w:sz w:val="21"/>
                <w:szCs w:val="21"/>
                <w:highlight w:val="none"/>
              </w:rPr>
            </w:pPr>
            <w:r>
              <w:rPr>
                <w:bCs/>
                <w:color w:val="auto"/>
                <w:sz w:val="21"/>
                <w:szCs w:val="21"/>
                <w:highlight w:val="none"/>
              </w:rPr>
              <w:t>氨氮</w:t>
            </w:r>
          </w:p>
        </w:tc>
        <w:tc>
          <w:tcPr>
            <w:tcW w:w="1011" w:type="pct"/>
            <w:noWrap w:val="0"/>
            <w:vAlign w:val="center"/>
          </w:tcPr>
          <w:p w14:paraId="7885034B">
            <w:pPr>
              <w:adjustRightInd w:val="0"/>
              <w:snapToGrid w:val="0"/>
              <w:jc w:val="center"/>
              <w:rPr>
                <w:bCs/>
                <w:color w:val="auto"/>
                <w:sz w:val="21"/>
                <w:szCs w:val="21"/>
                <w:highlight w:val="none"/>
              </w:rPr>
            </w:pPr>
            <w:r>
              <w:rPr>
                <w:bCs/>
                <w:color w:val="auto"/>
                <w:sz w:val="21"/>
                <w:szCs w:val="21"/>
                <w:highlight w:val="none"/>
              </w:rPr>
              <w:t>TP</w:t>
            </w:r>
          </w:p>
        </w:tc>
      </w:tr>
      <w:tr w14:paraId="246F7B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607" w:type="pct"/>
            <w:noWrap w:val="0"/>
            <w:vAlign w:val="center"/>
          </w:tcPr>
          <w:p w14:paraId="1F412FF3">
            <w:pPr>
              <w:adjustRightInd w:val="0"/>
              <w:snapToGrid w:val="0"/>
              <w:jc w:val="center"/>
              <w:rPr>
                <w:bCs/>
                <w:color w:val="auto"/>
                <w:sz w:val="21"/>
                <w:szCs w:val="21"/>
                <w:highlight w:val="none"/>
              </w:rPr>
            </w:pPr>
            <w:r>
              <w:rPr>
                <w:color w:val="auto"/>
                <w:sz w:val="21"/>
                <w:szCs w:val="21"/>
                <w:highlight w:val="none"/>
              </w:rPr>
              <w:t>GB8978-1996</w:t>
            </w:r>
            <w:r>
              <w:rPr>
                <w:bCs/>
                <w:color w:val="auto"/>
                <w:sz w:val="21"/>
                <w:szCs w:val="21"/>
                <w:highlight w:val="none"/>
              </w:rPr>
              <w:t>三级排放标准</w:t>
            </w:r>
          </w:p>
        </w:tc>
        <w:tc>
          <w:tcPr>
            <w:tcW w:w="497" w:type="pct"/>
            <w:noWrap w:val="0"/>
            <w:vAlign w:val="center"/>
          </w:tcPr>
          <w:p w14:paraId="60D105A3">
            <w:pPr>
              <w:adjustRightInd w:val="0"/>
              <w:snapToGrid w:val="0"/>
              <w:jc w:val="center"/>
              <w:rPr>
                <w:bCs/>
                <w:color w:val="auto"/>
                <w:sz w:val="21"/>
                <w:szCs w:val="21"/>
                <w:highlight w:val="none"/>
              </w:rPr>
            </w:pPr>
            <w:r>
              <w:rPr>
                <w:bCs/>
                <w:color w:val="auto"/>
                <w:sz w:val="21"/>
                <w:szCs w:val="21"/>
                <w:highlight w:val="none"/>
              </w:rPr>
              <w:t>6~9</w:t>
            </w:r>
          </w:p>
        </w:tc>
        <w:tc>
          <w:tcPr>
            <w:tcW w:w="520" w:type="pct"/>
            <w:noWrap w:val="0"/>
            <w:vAlign w:val="center"/>
          </w:tcPr>
          <w:p w14:paraId="55D1D9D9">
            <w:pPr>
              <w:adjustRightInd w:val="0"/>
              <w:snapToGrid w:val="0"/>
              <w:jc w:val="center"/>
              <w:rPr>
                <w:bCs/>
                <w:color w:val="auto"/>
                <w:sz w:val="21"/>
                <w:szCs w:val="21"/>
                <w:highlight w:val="none"/>
              </w:rPr>
            </w:pPr>
            <w:r>
              <w:rPr>
                <w:bCs/>
                <w:color w:val="auto"/>
                <w:sz w:val="21"/>
                <w:szCs w:val="21"/>
                <w:highlight w:val="none"/>
              </w:rPr>
              <w:t>500</w:t>
            </w:r>
          </w:p>
        </w:tc>
        <w:tc>
          <w:tcPr>
            <w:tcW w:w="520" w:type="pct"/>
            <w:noWrap w:val="0"/>
            <w:vAlign w:val="center"/>
          </w:tcPr>
          <w:p w14:paraId="06CFA87D">
            <w:pPr>
              <w:adjustRightInd w:val="0"/>
              <w:snapToGrid w:val="0"/>
              <w:jc w:val="center"/>
              <w:rPr>
                <w:bCs/>
                <w:color w:val="auto"/>
                <w:sz w:val="21"/>
                <w:szCs w:val="21"/>
                <w:highlight w:val="none"/>
              </w:rPr>
            </w:pPr>
            <w:r>
              <w:rPr>
                <w:bCs/>
                <w:color w:val="auto"/>
                <w:sz w:val="21"/>
                <w:szCs w:val="21"/>
                <w:highlight w:val="none"/>
              </w:rPr>
              <w:t>400</w:t>
            </w:r>
          </w:p>
        </w:tc>
        <w:tc>
          <w:tcPr>
            <w:tcW w:w="844" w:type="pct"/>
            <w:noWrap w:val="0"/>
            <w:vAlign w:val="center"/>
          </w:tcPr>
          <w:p w14:paraId="11D7C67E">
            <w:pPr>
              <w:adjustRightInd w:val="0"/>
              <w:snapToGrid w:val="0"/>
              <w:jc w:val="center"/>
              <w:rPr>
                <w:bCs/>
                <w:color w:val="auto"/>
                <w:sz w:val="21"/>
                <w:szCs w:val="21"/>
                <w:highlight w:val="none"/>
              </w:rPr>
            </w:pPr>
            <w:r>
              <w:rPr>
                <w:bCs/>
                <w:color w:val="auto"/>
                <w:sz w:val="21"/>
                <w:szCs w:val="21"/>
                <w:highlight w:val="none"/>
              </w:rPr>
              <w:t>35</w:t>
            </w:r>
            <w:r>
              <w:rPr>
                <w:rFonts w:hint="eastAsia" w:ascii="宋体" w:hAnsi="宋体" w:cs="宋体"/>
                <w:bCs/>
                <w:color w:val="auto"/>
                <w:sz w:val="21"/>
                <w:szCs w:val="21"/>
                <w:highlight w:val="none"/>
                <w:vertAlign w:val="superscript"/>
              </w:rPr>
              <w:t>①</w:t>
            </w:r>
          </w:p>
        </w:tc>
        <w:tc>
          <w:tcPr>
            <w:tcW w:w="1011" w:type="pct"/>
            <w:noWrap w:val="0"/>
            <w:vAlign w:val="center"/>
          </w:tcPr>
          <w:p w14:paraId="42815B26">
            <w:pPr>
              <w:adjustRightInd w:val="0"/>
              <w:snapToGrid w:val="0"/>
              <w:jc w:val="center"/>
              <w:rPr>
                <w:bCs/>
                <w:color w:val="auto"/>
                <w:sz w:val="21"/>
                <w:szCs w:val="21"/>
                <w:highlight w:val="none"/>
              </w:rPr>
            </w:pPr>
            <w:r>
              <w:rPr>
                <w:color w:val="auto"/>
                <w:kern w:val="0"/>
                <w:sz w:val="21"/>
                <w:szCs w:val="21"/>
                <w:highlight w:val="none"/>
              </w:rPr>
              <w:t>8.0</w:t>
            </w:r>
            <w:r>
              <w:rPr>
                <w:rFonts w:hint="eastAsia" w:ascii="宋体" w:hAnsi="宋体" w:cs="宋体"/>
                <w:bCs/>
                <w:color w:val="auto"/>
                <w:sz w:val="21"/>
                <w:szCs w:val="21"/>
                <w:highlight w:val="none"/>
                <w:vertAlign w:val="superscript"/>
              </w:rPr>
              <w:t>①</w:t>
            </w:r>
          </w:p>
        </w:tc>
      </w:tr>
      <w:tr w14:paraId="025DD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607" w:type="pct"/>
            <w:noWrap w:val="0"/>
            <w:vAlign w:val="center"/>
          </w:tcPr>
          <w:p w14:paraId="5142818C">
            <w:pPr>
              <w:adjustRightInd w:val="0"/>
              <w:snapToGrid w:val="0"/>
              <w:jc w:val="center"/>
              <w:rPr>
                <w:bCs/>
                <w:color w:val="auto"/>
                <w:sz w:val="21"/>
                <w:szCs w:val="21"/>
                <w:highlight w:val="none"/>
              </w:rPr>
            </w:pPr>
            <w:r>
              <w:rPr>
                <w:bCs/>
                <w:color w:val="auto"/>
                <w:sz w:val="21"/>
                <w:szCs w:val="21"/>
                <w:highlight w:val="none"/>
              </w:rPr>
              <w:t>塘栖污水处理厂尾水排放标准</w:t>
            </w:r>
          </w:p>
        </w:tc>
        <w:tc>
          <w:tcPr>
            <w:tcW w:w="497" w:type="pct"/>
            <w:noWrap w:val="0"/>
            <w:vAlign w:val="center"/>
          </w:tcPr>
          <w:p w14:paraId="451B6779">
            <w:pPr>
              <w:adjustRightInd w:val="0"/>
              <w:snapToGrid w:val="0"/>
              <w:jc w:val="center"/>
              <w:rPr>
                <w:bCs/>
                <w:color w:val="auto"/>
                <w:sz w:val="21"/>
                <w:szCs w:val="21"/>
                <w:highlight w:val="none"/>
              </w:rPr>
            </w:pPr>
            <w:r>
              <w:rPr>
                <w:bCs/>
                <w:color w:val="auto"/>
                <w:sz w:val="21"/>
                <w:szCs w:val="21"/>
                <w:highlight w:val="none"/>
              </w:rPr>
              <w:t>6~9</w:t>
            </w:r>
          </w:p>
        </w:tc>
        <w:tc>
          <w:tcPr>
            <w:tcW w:w="520" w:type="pct"/>
            <w:noWrap w:val="0"/>
            <w:vAlign w:val="center"/>
          </w:tcPr>
          <w:p w14:paraId="20722D01">
            <w:pPr>
              <w:adjustRightInd w:val="0"/>
              <w:snapToGrid w:val="0"/>
              <w:jc w:val="center"/>
              <w:rPr>
                <w:bCs/>
                <w:color w:val="auto"/>
                <w:sz w:val="21"/>
                <w:szCs w:val="21"/>
                <w:highlight w:val="none"/>
              </w:rPr>
            </w:pPr>
            <w:r>
              <w:rPr>
                <w:bCs/>
                <w:color w:val="auto"/>
                <w:sz w:val="21"/>
                <w:szCs w:val="21"/>
                <w:highlight w:val="none"/>
              </w:rPr>
              <w:t>40</w:t>
            </w:r>
          </w:p>
        </w:tc>
        <w:tc>
          <w:tcPr>
            <w:tcW w:w="520" w:type="pct"/>
            <w:noWrap w:val="0"/>
            <w:vAlign w:val="center"/>
          </w:tcPr>
          <w:p w14:paraId="077C5F9E">
            <w:pPr>
              <w:adjustRightInd w:val="0"/>
              <w:snapToGrid w:val="0"/>
              <w:jc w:val="center"/>
              <w:rPr>
                <w:bCs/>
                <w:color w:val="auto"/>
                <w:sz w:val="21"/>
                <w:szCs w:val="21"/>
                <w:highlight w:val="none"/>
              </w:rPr>
            </w:pPr>
            <w:r>
              <w:rPr>
                <w:bCs/>
                <w:color w:val="auto"/>
                <w:sz w:val="21"/>
                <w:szCs w:val="21"/>
                <w:highlight w:val="none"/>
              </w:rPr>
              <w:t>10</w:t>
            </w:r>
          </w:p>
        </w:tc>
        <w:tc>
          <w:tcPr>
            <w:tcW w:w="844" w:type="pct"/>
            <w:noWrap w:val="0"/>
            <w:vAlign w:val="center"/>
          </w:tcPr>
          <w:p w14:paraId="480CF3AE">
            <w:pPr>
              <w:adjustRightInd w:val="0"/>
              <w:snapToGrid w:val="0"/>
              <w:jc w:val="center"/>
              <w:rPr>
                <w:bCs/>
                <w:color w:val="auto"/>
                <w:sz w:val="21"/>
                <w:szCs w:val="21"/>
                <w:highlight w:val="none"/>
              </w:rPr>
            </w:pPr>
            <w:r>
              <w:rPr>
                <w:bCs/>
                <w:color w:val="auto"/>
                <w:sz w:val="21"/>
                <w:szCs w:val="21"/>
                <w:highlight w:val="none"/>
              </w:rPr>
              <w:t>2(4)</w:t>
            </w:r>
            <w:r>
              <w:rPr>
                <w:rFonts w:hint="eastAsia" w:ascii="宋体" w:hAnsi="宋体" w:cs="宋体"/>
                <w:bCs/>
                <w:color w:val="auto"/>
                <w:sz w:val="21"/>
                <w:szCs w:val="21"/>
                <w:highlight w:val="none"/>
                <w:vertAlign w:val="superscript"/>
              </w:rPr>
              <w:t>②</w:t>
            </w:r>
          </w:p>
        </w:tc>
        <w:tc>
          <w:tcPr>
            <w:tcW w:w="1011" w:type="pct"/>
            <w:noWrap w:val="0"/>
            <w:vAlign w:val="center"/>
          </w:tcPr>
          <w:p w14:paraId="6BFCAEAD">
            <w:pPr>
              <w:adjustRightInd w:val="0"/>
              <w:snapToGrid w:val="0"/>
              <w:jc w:val="center"/>
              <w:rPr>
                <w:bCs/>
                <w:color w:val="auto"/>
                <w:sz w:val="21"/>
                <w:szCs w:val="21"/>
                <w:highlight w:val="none"/>
              </w:rPr>
            </w:pPr>
            <w:r>
              <w:rPr>
                <w:color w:val="auto"/>
                <w:kern w:val="0"/>
                <w:sz w:val="21"/>
                <w:szCs w:val="21"/>
                <w:highlight w:val="none"/>
              </w:rPr>
              <w:t>0.3</w:t>
            </w:r>
          </w:p>
        </w:tc>
      </w:tr>
      <w:tr w14:paraId="6D6D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5000" w:type="pct"/>
            <w:gridSpan w:val="6"/>
            <w:noWrap w:val="0"/>
            <w:vAlign w:val="center"/>
          </w:tcPr>
          <w:p w14:paraId="64AB5A53">
            <w:pPr>
              <w:adjustRightInd w:val="0"/>
              <w:snapToGrid w:val="0"/>
              <w:rPr>
                <w:bCs/>
                <w:color w:val="auto"/>
                <w:sz w:val="21"/>
                <w:szCs w:val="21"/>
                <w:highlight w:val="none"/>
              </w:rPr>
            </w:pPr>
            <w:r>
              <w:rPr>
                <w:bCs/>
                <w:color w:val="auto"/>
                <w:sz w:val="21"/>
                <w:szCs w:val="21"/>
                <w:highlight w:val="none"/>
              </w:rPr>
              <w:t>注：</w:t>
            </w:r>
            <w:r>
              <w:rPr>
                <w:rFonts w:hint="eastAsia" w:ascii="宋体" w:hAnsi="宋体" w:cs="宋体"/>
                <w:bCs/>
                <w:color w:val="auto"/>
                <w:sz w:val="21"/>
                <w:szCs w:val="21"/>
                <w:highlight w:val="none"/>
              </w:rPr>
              <w:t>①</w:t>
            </w:r>
            <w:r>
              <w:rPr>
                <w:bCs/>
                <w:color w:val="auto"/>
                <w:sz w:val="21"/>
                <w:szCs w:val="21"/>
                <w:highlight w:val="none"/>
              </w:rPr>
              <w:t>氨氮执行《工业企业废水氮、磷污染物间接排放限值》</w:t>
            </w:r>
            <w:r>
              <w:rPr>
                <w:rFonts w:hint="eastAsia"/>
                <w:bCs/>
                <w:color w:val="auto"/>
                <w:sz w:val="21"/>
                <w:szCs w:val="21"/>
                <w:highlight w:val="none"/>
                <w:lang w:eastAsia="zh-CN"/>
              </w:rPr>
              <w:t>（</w:t>
            </w:r>
            <w:r>
              <w:rPr>
                <w:bCs/>
                <w:color w:val="auto"/>
                <w:sz w:val="21"/>
                <w:szCs w:val="21"/>
                <w:highlight w:val="none"/>
              </w:rPr>
              <w:t>DB33/887-2013</w:t>
            </w:r>
            <w:r>
              <w:rPr>
                <w:rFonts w:hint="eastAsia"/>
                <w:bCs/>
                <w:color w:val="auto"/>
                <w:sz w:val="21"/>
                <w:szCs w:val="21"/>
                <w:highlight w:val="none"/>
                <w:lang w:eastAsia="zh-CN"/>
              </w:rPr>
              <w:t>）</w:t>
            </w:r>
            <w:r>
              <w:rPr>
                <w:bCs/>
                <w:color w:val="auto"/>
                <w:sz w:val="21"/>
                <w:szCs w:val="21"/>
                <w:highlight w:val="none"/>
              </w:rPr>
              <w:t xml:space="preserve">； </w:t>
            </w:r>
          </w:p>
          <w:p w14:paraId="4DAD6A71">
            <w:pPr>
              <w:adjustRightInd w:val="0"/>
              <w:snapToGrid w:val="0"/>
              <w:rPr>
                <w:bCs/>
                <w:color w:val="auto"/>
                <w:sz w:val="21"/>
                <w:szCs w:val="21"/>
                <w:highlight w:val="none"/>
              </w:rPr>
            </w:pPr>
            <w:r>
              <w:rPr>
                <w:rFonts w:hint="eastAsia" w:ascii="宋体" w:hAnsi="宋体" w:cs="宋体"/>
                <w:bCs/>
                <w:color w:val="auto"/>
                <w:sz w:val="21"/>
                <w:szCs w:val="21"/>
                <w:highlight w:val="none"/>
              </w:rPr>
              <w:t>②</w:t>
            </w:r>
            <w:r>
              <w:rPr>
                <w:bCs/>
                <w:color w:val="auto"/>
                <w:sz w:val="21"/>
                <w:szCs w:val="21"/>
                <w:highlight w:val="none"/>
              </w:rPr>
              <w:t>括号内数值为每年11月1日至次年3月31日执行。</w:t>
            </w:r>
          </w:p>
        </w:tc>
      </w:tr>
    </w:tbl>
    <w:p w14:paraId="60242B0C">
      <w:pPr>
        <w:autoSpaceDE w:val="0"/>
        <w:autoSpaceDN w:val="0"/>
        <w:adjustRightInd w:val="0"/>
        <w:spacing w:line="360" w:lineRule="auto"/>
        <w:ind w:firstLine="482" w:firstLineChars="200"/>
        <w:rPr>
          <w:b/>
          <w:color w:val="auto"/>
          <w:kern w:val="0"/>
          <w:sz w:val="24"/>
          <w:szCs w:val="24"/>
          <w:highlight w:val="none"/>
        </w:rPr>
      </w:pPr>
      <w:r>
        <w:rPr>
          <w:rFonts w:hint="eastAsia"/>
          <w:b/>
          <w:color w:val="auto"/>
          <w:kern w:val="0"/>
          <w:sz w:val="24"/>
          <w:szCs w:val="24"/>
          <w:highlight w:val="none"/>
          <w:lang w:eastAsia="zh-CN"/>
        </w:rPr>
        <w:t>（</w:t>
      </w:r>
      <w:r>
        <w:rPr>
          <w:rFonts w:hint="eastAsia"/>
          <w:b/>
          <w:color w:val="auto"/>
          <w:kern w:val="0"/>
          <w:sz w:val="24"/>
          <w:szCs w:val="24"/>
          <w:highlight w:val="none"/>
          <w:lang w:val="en-US" w:eastAsia="zh-CN"/>
        </w:rPr>
        <w:t>3</w:t>
      </w:r>
      <w:r>
        <w:rPr>
          <w:rFonts w:hint="eastAsia"/>
          <w:b/>
          <w:color w:val="auto"/>
          <w:kern w:val="0"/>
          <w:sz w:val="24"/>
          <w:szCs w:val="24"/>
          <w:highlight w:val="none"/>
          <w:lang w:eastAsia="zh-CN"/>
        </w:rPr>
        <w:t>）</w:t>
      </w:r>
      <w:r>
        <w:rPr>
          <w:b/>
          <w:color w:val="auto"/>
          <w:kern w:val="0"/>
          <w:sz w:val="24"/>
          <w:szCs w:val="24"/>
          <w:highlight w:val="none"/>
        </w:rPr>
        <w:t>噪声排放标准</w:t>
      </w:r>
    </w:p>
    <w:p w14:paraId="74B2ADEF">
      <w:pPr>
        <w:snapToGrid w:val="0"/>
        <w:spacing w:line="360" w:lineRule="auto"/>
        <w:ind w:firstLine="480" w:firstLineChars="200"/>
        <w:rPr>
          <w:rFonts w:hint="eastAsia"/>
          <w:color w:val="auto"/>
          <w:sz w:val="24"/>
          <w:szCs w:val="24"/>
          <w:highlight w:val="none"/>
        </w:rPr>
      </w:pPr>
      <w:r>
        <w:rPr>
          <w:rFonts w:hint="eastAsia"/>
          <w:color w:val="auto"/>
          <w:sz w:val="24"/>
          <w:szCs w:val="24"/>
          <w:highlight w:val="none"/>
          <w:lang w:val="en-US" w:eastAsia="zh-CN"/>
        </w:rPr>
        <w:t>本项目选址位于临平区塘栖镇顺启路6号，项目所在区域属于3类声环境功能区，故四周厂界噪声排放执行《工业企业厂界环境噪声排放标准》（GB12348-2008）中的 3 类标准。</w:t>
      </w:r>
      <w:r>
        <w:rPr>
          <w:rFonts w:hint="eastAsia"/>
          <w:color w:val="auto"/>
          <w:sz w:val="24"/>
          <w:szCs w:val="24"/>
          <w:highlight w:val="none"/>
        </w:rPr>
        <w:t>具体标准值见下表。</w:t>
      </w:r>
    </w:p>
    <w:p w14:paraId="58D701EB">
      <w:pPr>
        <w:pStyle w:val="20"/>
        <w:numPr>
          <w:ilvl w:val="0"/>
          <w:numId w:val="6"/>
        </w:numPr>
        <w:spacing w:before="156"/>
        <w:rPr>
          <w:rFonts w:hint="eastAsia" w:ascii="Times New Roman" w:hAnsi="Times New Roman" w:eastAsia="宋体" w:cs="Times New Roman"/>
          <w:b/>
          <w:color w:val="auto"/>
          <w:lang w:val="en-US"/>
        </w:rPr>
      </w:pPr>
      <w:r>
        <w:rPr>
          <w:rFonts w:hint="eastAsia" w:ascii="Times New Roman" w:hAnsi="Times New Roman" w:eastAsia="宋体" w:cs="Times New Roman"/>
          <w:b/>
          <w:color w:val="auto"/>
          <w:lang w:val="en-US"/>
        </w:rPr>
        <w:t>《工业企业厂界环境噪声排放标准》</w:t>
      </w:r>
      <w:r>
        <w:rPr>
          <w:rFonts w:hint="eastAsia" w:ascii="Times New Roman" w:hAnsi="Times New Roman" w:eastAsia="宋体" w:cs="Times New Roman"/>
          <w:b/>
          <w:color w:val="auto"/>
          <w:lang w:val="en-US" w:eastAsia="zh-CN"/>
        </w:rPr>
        <w:t>（</w:t>
      </w:r>
      <w:r>
        <w:rPr>
          <w:rFonts w:hint="eastAsia" w:ascii="Times New Roman" w:hAnsi="Times New Roman" w:eastAsia="宋体" w:cs="Times New Roman"/>
          <w:b/>
          <w:color w:val="auto"/>
          <w:lang w:val="en-US"/>
        </w:rPr>
        <w:t>GB12348-2008</w:t>
      </w:r>
      <w:r>
        <w:rPr>
          <w:rFonts w:hint="eastAsia" w:ascii="Times New Roman" w:hAnsi="Times New Roman" w:eastAsia="宋体" w:cs="Times New Roman"/>
          <w:b/>
          <w:color w:val="auto"/>
          <w:lang w:val="en-US" w:eastAsia="zh-CN"/>
        </w:rPr>
        <w:t>）</w:t>
      </w:r>
      <w:r>
        <w:rPr>
          <w:rFonts w:hint="eastAsia" w:ascii="Times New Roman" w:hAnsi="Times New Roman" w:eastAsia="宋体" w:cs="Times New Roman"/>
          <w:b/>
          <w:color w:val="auto"/>
          <w:lang w:val="en-US"/>
        </w:rPr>
        <w:t xml:space="preserve"> 单位：dB(A</w:t>
      </w:r>
      <w:r>
        <w:rPr>
          <w:rFonts w:hint="eastAsia" w:ascii="Times New Roman" w:hAnsi="Times New Roman" w:eastAsia="宋体" w:cs="Times New Roman"/>
          <w:b/>
          <w:color w:val="auto"/>
          <w:lang w:val="en-US" w:eastAsia="zh-CN"/>
        </w:rPr>
        <w:t>)</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50"/>
        <w:gridCol w:w="3035"/>
        <w:gridCol w:w="3037"/>
      </w:tblGrid>
      <w:tr w14:paraId="08FED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7" w:type="pct"/>
            <w:noWrap w:val="0"/>
            <w:vAlign w:val="center"/>
          </w:tcPr>
          <w:p w14:paraId="33C657BF">
            <w:pPr>
              <w:spacing w:line="280" w:lineRule="exact"/>
              <w:jc w:val="center"/>
              <w:rPr>
                <w:color w:val="auto"/>
                <w:sz w:val="21"/>
                <w:szCs w:val="21"/>
                <w:highlight w:val="none"/>
              </w:rPr>
            </w:pPr>
            <w:r>
              <w:rPr>
                <w:color w:val="auto"/>
                <w:sz w:val="21"/>
                <w:szCs w:val="21"/>
                <w:highlight w:val="none"/>
              </w:rPr>
              <w:t>类别</w:t>
            </w:r>
          </w:p>
        </w:tc>
        <w:tc>
          <w:tcPr>
            <w:tcW w:w="1780" w:type="pct"/>
            <w:noWrap w:val="0"/>
            <w:vAlign w:val="center"/>
          </w:tcPr>
          <w:p w14:paraId="49D779A2">
            <w:pPr>
              <w:spacing w:line="280" w:lineRule="exact"/>
              <w:jc w:val="center"/>
              <w:rPr>
                <w:color w:val="auto"/>
                <w:sz w:val="21"/>
                <w:szCs w:val="21"/>
                <w:highlight w:val="none"/>
              </w:rPr>
            </w:pPr>
            <w:r>
              <w:rPr>
                <w:color w:val="auto"/>
                <w:sz w:val="21"/>
                <w:szCs w:val="21"/>
                <w:highlight w:val="none"/>
              </w:rPr>
              <w:t>昼间</w:t>
            </w:r>
          </w:p>
        </w:tc>
        <w:tc>
          <w:tcPr>
            <w:tcW w:w="1781" w:type="pct"/>
            <w:noWrap w:val="0"/>
            <w:vAlign w:val="center"/>
          </w:tcPr>
          <w:p w14:paraId="6F1F2F07">
            <w:pPr>
              <w:spacing w:line="280" w:lineRule="exact"/>
              <w:jc w:val="center"/>
              <w:rPr>
                <w:color w:val="auto"/>
                <w:sz w:val="21"/>
                <w:szCs w:val="21"/>
                <w:highlight w:val="none"/>
              </w:rPr>
            </w:pPr>
            <w:r>
              <w:rPr>
                <w:color w:val="auto"/>
                <w:sz w:val="21"/>
                <w:szCs w:val="21"/>
                <w:highlight w:val="none"/>
              </w:rPr>
              <w:t>夜间</w:t>
            </w:r>
          </w:p>
        </w:tc>
      </w:tr>
      <w:tr w14:paraId="55A8F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437" w:type="pct"/>
            <w:noWrap w:val="0"/>
            <w:vAlign w:val="center"/>
          </w:tcPr>
          <w:p w14:paraId="47786A6F">
            <w:pPr>
              <w:spacing w:line="280" w:lineRule="exact"/>
              <w:jc w:val="center"/>
              <w:rPr>
                <w:color w:val="auto"/>
                <w:sz w:val="21"/>
                <w:szCs w:val="21"/>
                <w:highlight w:val="none"/>
              </w:rPr>
            </w:pPr>
            <w:r>
              <w:rPr>
                <w:color w:val="auto"/>
                <w:sz w:val="21"/>
                <w:szCs w:val="21"/>
                <w:highlight w:val="none"/>
              </w:rPr>
              <w:t>3类</w:t>
            </w:r>
          </w:p>
        </w:tc>
        <w:tc>
          <w:tcPr>
            <w:tcW w:w="1780" w:type="pct"/>
            <w:noWrap w:val="0"/>
            <w:vAlign w:val="center"/>
          </w:tcPr>
          <w:p w14:paraId="7BE80032">
            <w:pPr>
              <w:spacing w:line="280" w:lineRule="exact"/>
              <w:jc w:val="center"/>
              <w:rPr>
                <w:color w:val="auto"/>
                <w:sz w:val="21"/>
                <w:szCs w:val="21"/>
                <w:highlight w:val="none"/>
              </w:rPr>
            </w:pPr>
            <w:r>
              <w:rPr>
                <w:color w:val="auto"/>
                <w:sz w:val="21"/>
                <w:szCs w:val="21"/>
                <w:highlight w:val="none"/>
              </w:rPr>
              <w:t>65</w:t>
            </w:r>
          </w:p>
        </w:tc>
        <w:tc>
          <w:tcPr>
            <w:tcW w:w="1781" w:type="pct"/>
            <w:noWrap w:val="0"/>
            <w:vAlign w:val="center"/>
          </w:tcPr>
          <w:p w14:paraId="031A0F3F">
            <w:pPr>
              <w:spacing w:line="280" w:lineRule="exact"/>
              <w:jc w:val="center"/>
              <w:rPr>
                <w:color w:val="auto"/>
                <w:sz w:val="21"/>
                <w:szCs w:val="21"/>
                <w:highlight w:val="none"/>
              </w:rPr>
            </w:pPr>
            <w:r>
              <w:rPr>
                <w:color w:val="auto"/>
                <w:sz w:val="21"/>
                <w:szCs w:val="21"/>
                <w:highlight w:val="none"/>
              </w:rPr>
              <w:t>55</w:t>
            </w:r>
          </w:p>
        </w:tc>
      </w:tr>
    </w:tbl>
    <w:p w14:paraId="29E0CD0C">
      <w:pPr>
        <w:autoSpaceDE w:val="0"/>
        <w:autoSpaceDN w:val="0"/>
        <w:adjustRightInd w:val="0"/>
        <w:spacing w:line="360" w:lineRule="auto"/>
        <w:ind w:firstLine="482" w:firstLineChars="200"/>
        <w:rPr>
          <w:rFonts w:hint="eastAsia" w:ascii="Times New Roman" w:hAnsi="Times New Roman" w:eastAsia="宋体" w:cs="Times New Roman"/>
          <w:b/>
          <w:color w:val="auto"/>
          <w:kern w:val="0"/>
          <w:sz w:val="24"/>
          <w:szCs w:val="24"/>
          <w:highlight w:val="none"/>
        </w:rPr>
      </w:pP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lang w:val="en-US" w:eastAsia="zh-CN"/>
        </w:rPr>
        <w:t>4</w:t>
      </w:r>
      <w:r>
        <w:rPr>
          <w:rFonts w:hint="eastAsia" w:ascii="Times New Roman" w:hAnsi="Times New Roman" w:eastAsia="宋体" w:cs="Times New Roman"/>
          <w:b/>
          <w:color w:val="auto"/>
          <w:kern w:val="0"/>
          <w:sz w:val="24"/>
          <w:szCs w:val="24"/>
          <w:highlight w:val="none"/>
          <w:lang w:eastAsia="zh-CN"/>
        </w:rPr>
        <w:t>）</w:t>
      </w:r>
      <w:r>
        <w:rPr>
          <w:rFonts w:hint="eastAsia" w:ascii="Times New Roman" w:hAnsi="Times New Roman" w:eastAsia="宋体" w:cs="Times New Roman"/>
          <w:b/>
          <w:color w:val="auto"/>
          <w:kern w:val="0"/>
          <w:sz w:val="24"/>
          <w:szCs w:val="24"/>
          <w:highlight w:val="none"/>
        </w:rPr>
        <w:t>固体废物控制标准</w:t>
      </w:r>
    </w:p>
    <w:p w14:paraId="26F5C558">
      <w:pPr>
        <w:adjustRightInd w:val="0"/>
        <w:snapToGrid w:val="0"/>
        <w:spacing w:line="360" w:lineRule="auto"/>
        <w:ind w:firstLine="480" w:firstLineChars="200"/>
        <w:rPr>
          <w:rFonts w:hint="eastAsia" w:ascii="Times New Roman" w:hAnsi="Times New Roman" w:eastAsia="宋体" w:cs="Times New Roman"/>
          <w:color w:val="auto"/>
          <w:kern w:val="0"/>
          <w:sz w:val="24"/>
          <w:szCs w:val="24"/>
          <w:highlight w:val="none"/>
        </w:rPr>
      </w:pPr>
      <w:r>
        <w:rPr>
          <w:rFonts w:hint="eastAsia"/>
          <w:bCs/>
          <w:color w:val="auto"/>
          <w:sz w:val="24"/>
          <w:szCs w:val="24"/>
          <w:highlight w:val="none"/>
        </w:rPr>
        <w:t>项目产生的固体废物均采用厂内库房暂存，不适用《一般工业固体废物贮存和填埋污染控制标准》（GB18599-2020），其贮存过程应满足相应防渗漏、防雨淋、防扬尘等环境保护要求，同时应满足</w:t>
      </w:r>
      <w:r>
        <w:rPr>
          <w:bCs/>
          <w:color w:val="auto"/>
          <w:sz w:val="24"/>
          <w:szCs w:val="24"/>
          <w:highlight w:val="none"/>
        </w:rPr>
        <w:t>《中华人民共和国固体废物污染环境防治法》</w:t>
      </w:r>
      <w:r>
        <w:rPr>
          <w:rFonts w:hint="eastAsia"/>
          <w:bCs/>
          <w:color w:val="auto"/>
          <w:sz w:val="24"/>
          <w:szCs w:val="24"/>
          <w:highlight w:val="none"/>
        </w:rPr>
        <w:t>、</w:t>
      </w:r>
      <w:r>
        <w:rPr>
          <w:bCs/>
          <w:color w:val="auto"/>
          <w:sz w:val="24"/>
          <w:szCs w:val="24"/>
          <w:highlight w:val="none"/>
        </w:rPr>
        <w:t>《浙江省固体废物污染环境防治条例》中的有关规定</w:t>
      </w:r>
      <w:r>
        <w:rPr>
          <w:rFonts w:hint="eastAsia"/>
          <w:color w:val="auto"/>
          <w:sz w:val="24"/>
          <w:szCs w:val="24"/>
          <w:highlight w:val="none"/>
        </w:rPr>
        <w:t>；</w:t>
      </w:r>
      <w:r>
        <w:rPr>
          <w:color w:val="auto"/>
          <w:sz w:val="24"/>
          <w:szCs w:val="24"/>
          <w:highlight w:val="none"/>
        </w:rPr>
        <w:t>危险废物的贮存执行《危险废物贮存污染控制标准》（GB18957-2023）</w:t>
      </w:r>
      <w:r>
        <w:rPr>
          <w:rFonts w:hint="eastAsia"/>
          <w:color w:val="auto"/>
          <w:sz w:val="24"/>
          <w:szCs w:val="24"/>
          <w:highlight w:val="none"/>
        </w:rPr>
        <w:t>和《危险</w:t>
      </w:r>
      <w:r>
        <w:rPr>
          <w:color w:val="auto"/>
          <w:sz w:val="24"/>
          <w:szCs w:val="24"/>
          <w:highlight w:val="none"/>
        </w:rPr>
        <w:t>废物识别标志设置技术规范</w:t>
      </w:r>
      <w:r>
        <w:rPr>
          <w:rFonts w:hint="eastAsia"/>
          <w:color w:val="auto"/>
          <w:sz w:val="24"/>
          <w:szCs w:val="24"/>
          <w:highlight w:val="none"/>
        </w:rPr>
        <w:t>》（HJ1276-2022）</w:t>
      </w:r>
      <w:r>
        <w:rPr>
          <w:color w:val="auto"/>
          <w:sz w:val="24"/>
          <w:szCs w:val="24"/>
          <w:highlight w:val="none"/>
        </w:rPr>
        <w:t>；日常办公、生活产生的生活垃圾由环卫部门统一清运。</w:t>
      </w:r>
      <w:r>
        <w:rPr>
          <w:color w:val="auto"/>
          <w:kern w:val="0"/>
          <w:sz w:val="24"/>
          <w:szCs w:val="24"/>
          <w:highlight w:val="none"/>
        </w:rPr>
        <w:t xml:space="preserve">  </w:t>
      </w:r>
    </w:p>
    <w:p w14:paraId="7B766378">
      <w:pPr>
        <w:pStyle w:val="2"/>
        <w:spacing w:line="360" w:lineRule="auto"/>
        <w:jc w:val="left"/>
        <w:rPr>
          <w:rFonts w:ascii="Times New Roman" w:hAnsi="Times New Roman" w:eastAsia="宋体" w:cs="Times New Roman"/>
          <w:color w:val="auto"/>
          <w:kern w:val="44"/>
          <w:sz w:val="24"/>
        </w:rPr>
      </w:pPr>
      <w:r>
        <w:rPr>
          <w:rFonts w:hint="default" w:ascii="Times New Roman" w:hAnsi="Times New Roman" w:eastAsia="宋体" w:cs="Times New Roman"/>
          <w:color w:val="auto"/>
          <w:kern w:val="44"/>
          <w:sz w:val="24"/>
        </w:rPr>
        <w:t>四、与生态环境分区管控动态更新方案及规划环评符合性分析</w:t>
      </w:r>
    </w:p>
    <w:p w14:paraId="07D2FFB0">
      <w:pPr>
        <w:pStyle w:val="24"/>
        <w:spacing w:line="360" w:lineRule="auto"/>
        <w:ind w:firstLine="482"/>
        <w:jc w:val="left"/>
        <w:rPr>
          <w:rFonts w:hint="eastAsia" w:ascii="Times New Roman" w:hAnsi="Times New Roman" w:eastAsia="宋体" w:cs="Times New Roman"/>
          <w:b/>
          <w:color w:val="auto"/>
        </w:rPr>
      </w:pPr>
      <w:r>
        <w:rPr>
          <w:rFonts w:hint="eastAsia" w:ascii="Times New Roman" w:hAnsi="Times New Roman" w:eastAsia="宋体" w:cs="Times New Roman"/>
          <w:b/>
          <w:color w:val="auto"/>
          <w:lang w:eastAsia="zh-CN"/>
        </w:rPr>
        <w:t>（</w:t>
      </w:r>
      <w:r>
        <w:rPr>
          <w:rFonts w:hint="eastAsia" w:ascii="Times New Roman" w:hAnsi="Times New Roman" w:eastAsia="宋体" w:cs="Times New Roman"/>
          <w:b/>
          <w:color w:val="auto"/>
          <w:lang w:val="en-US" w:eastAsia="zh-CN"/>
        </w:rPr>
        <w:t>1</w:t>
      </w:r>
      <w:r>
        <w:rPr>
          <w:rFonts w:hint="eastAsia" w:ascii="Times New Roman" w:hAnsi="Times New Roman" w:eastAsia="宋体" w:cs="Times New Roman"/>
          <w:b/>
          <w:color w:val="auto"/>
          <w:lang w:eastAsia="zh-CN"/>
        </w:rPr>
        <w:t>）</w:t>
      </w:r>
      <w:r>
        <w:rPr>
          <w:rFonts w:hint="default" w:ascii="Times New Roman" w:hAnsi="Times New Roman" w:eastAsia="宋体" w:cs="Times New Roman"/>
          <w:b/>
          <w:color w:val="auto"/>
        </w:rPr>
        <w:t>生态环境分区管控动态更新方案相符性分析</w:t>
      </w:r>
    </w:p>
    <w:p w14:paraId="5F8EF102">
      <w:pPr>
        <w:adjustRightInd w:val="0"/>
        <w:snapToGrid w:val="0"/>
        <w:spacing w:line="360" w:lineRule="auto"/>
        <w:ind w:firstLine="480" w:firstLineChars="200"/>
        <w:rPr>
          <w:rFonts w:hint="eastAsia"/>
          <w:color w:val="auto"/>
          <w:sz w:val="24"/>
          <w:szCs w:val="24"/>
          <w:highlight w:val="none"/>
        </w:rPr>
      </w:pPr>
      <w:r>
        <w:rPr>
          <w:rFonts w:hint="eastAsia"/>
          <w:color w:val="auto"/>
          <w:sz w:val="24"/>
          <w:szCs w:val="24"/>
          <w:highlight w:val="none"/>
        </w:rPr>
        <w:t>对照杭州市生态环境局关于印发《杭州市生态环境分区管控动态更新方案》的通知（杭环发【2024】49号），本项目位于“</w:t>
      </w:r>
      <w:r>
        <w:rPr>
          <w:rFonts w:hint="eastAsia"/>
          <w:color w:val="auto"/>
          <w:sz w:val="24"/>
          <w:szCs w:val="24"/>
          <w:highlight w:val="none"/>
          <w:lang w:val="en-US" w:eastAsia="zh-CN"/>
        </w:rPr>
        <w:t>临平区临平城区产业集聚重点管控单元</w:t>
      </w:r>
      <w:r>
        <w:rPr>
          <w:rFonts w:hint="eastAsia"/>
          <w:color w:val="auto"/>
          <w:sz w:val="24"/>
          <w:szCs w:val="24"/>
          <w:highlight w:val="none"/>
        </w:rPr>
        <w:t>（ZH3301132000</w:t>
      </w:r>
      <w:r>
        <w:rPr>
          <w:rFonts w:hint="eastAsia"/>
          <w:color w:val="auto"/>
          <w:sz w:val="24"/>
          <w:szCs w:val="24"/>
          <w:highlight w:val="none"/>
          <w:lang w:val="en-US" w:eastAsia="zh-CN"/>
        </w:rPr>
        <w:t>3</w:t>
      </w:r>
      <w:r>
        <w:rPr>
          <w:rFonts w:hint="eastAsia"/>
          <w:color w:val="auto"/>
          <w:sz w:val="24"/>
          <w:szCs w:val="24"/>
          <w:highlight w:val="none"/>
        </w:rPr>
        <w:t>）”，属于重点管控单元。本项目符合性分析如下：</w:t>
      </w:r>
    </w:p>
    <w:p w14:paraId="649110F0">
      <w:pPr>
        <w:pStyle w:val="20"/>
        <w:numPr>
          <w:ilvl w:val="0"/>
          <w:numId w:val="6"/>
        </w:numPr>
        <w:spacing w:before="156"/>
        <w:rPr>
          <w:color w:val="auto"/>
        </w:rPr>
      </w:pPr>
      <w:r>
        <w:rPr>
          <w:rFonts w:hint="eastAsia"/>
          <w:color w:val="auto"/>
        </w:rPr>
        <w:t>《杭州市生态环境分区管控动态更新方案》</w:t>
      </w:r>
      <w:r>
        <w:rPr>
          <w:color w:val="auto"/>
        </w:rPr>
        <w:t>符合性分析</w:t>
      </w:r>
    </w:p>
    <w:tbl>
      <w:tblPr>
        <w:tblStyle w:val="15"/>
        <w:tblW w:w="501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478"/>
        <w:gridCol w:w="444"/>
        <w:gridCol w:w="4199"/>
        <w:gridCol w:w="2699"/>
        <w:gridCol w:w="516"/>
      </w:tblGrid>
      <w:tr w14:paraId="16144B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1" w:type="dxa"/>
            <w:gridSpan w:val="2"/>
            <w:vAlign w:val="center"/>
          </w:tcPr>
          <w:p w14:paraId="1EABA65A">
            <w:pPr>
              <w:pStyle w:val="27"/>
              <w:rPr>
                <w:color w:val="auto"/>
                <w:kern w:val="2"/>
                <w:sz w:val="21"/>
              </w:rPr>
            </w:pPr>
            <w:r>
              <w:rPr>
                <w:color w:val="auto"/>
                <w:kern w:val="2"/>
                <w:sz w:val="21"/>
              </w:rPr>
              <w:t>三线一单</w:t>
            </w:r>
          </w:p>
        </w:tc>
        <w:tc>
          <w:tcPr>
            <w:tcW w:w="4194" w:type="dxa"/>
            <w:vAlign w:val="center"/>
          </w:tcPr>
          <w:p w14:paraId="3A199EFE">
            <w:pPr>
              <w:pStyle w:val="27"/>
              <w:rPr>
                <w:color w:val="auto"/>
                <w:kern w:val="2"/>
                <w:sz w:val="21"/>
              </w:rPr>
            </w:pPr>
            <w:r>
              <w:rPr>
                <w:color w:val="auto"/>
                <w:kern w:val="2"/>
                <w:sz w:val="21"/>
              </w:rPr>
              <w:t>有关要求</w:t>
            </w:r>
          </w:p>
        </w:tc>
        <w:tc>
          <w:tcPr>
            <w:tcW w:w="2696" w:type="dxa"/>
            <w:vAlign w:val="center"/>
          </w:tcPr>
          <w:p w14:paraId="03F53704">
            <w:pPr>
              <w:pStyle w:val="27"/>
              <w:rPr>
                <w:color w:val="auto"/>
                <w:kern w:val="2"/>
                <w:sz w:val="21"/>
              </w:rPr>
            </w:pPr>
            <w:r>
              <w:rPr>
                <w:color w:val="auto"/>
                <w:kern w:val="2"/>
                <w:sz w:val="21"/>
              </w:rPr>
              <w:t>本项目情况</w:t>
            </w:r>
          </w:p>
        </w:tc>
        <w:tc>
          <w:tcPr>
            <w:tcW w:w="515" w:type="dxa"/>
            <w:vAlign w:val="center"/>
          </w:tcPr>
          <w:p w14:paraId="714C4587">
            <w:pPr>
              <w:pStyle w:val="27"/>
              <w:rPr>
                <w:color w:val="auto"/>
                <w:kern w:val="2"/>
                <w:sz w:val="21"/>
              </w:rPr>
            </w:pPr>
            <w:r>
              <w:rPr>
                <w:color w:val="auto"/>
                <w:kern w:val="2"/>
                <w:sz w:val="21"/>
              </w:rPr>
              <w:t>符合性</w:t>
            </w:r>
          </w:p>
        </w:tc>
      </w:tr>
      <w:tr w14:paraId="680718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921" w:type="dxa"/>
            <w:gridSpan w:val="2"/>
            <w:vAlign w:val="center"/>
          </w:tcPr>
          <w:p w14:paraId="23988064">
            <w:pPr>
              <w:pStyle w:val="27"/>
              <w:rPr>
                <w:color w:val="auto"/>
                <w:kern w:val="2"/>
                <w:sz w:val="21"/>
              </w:rPr>
            </w:pPr>
            <w:r>
              <w:rPr>
                <w:color w:val="auto"/>
                <w:kern w:val="2"/>
                <w:sz w:val="21"/>
              </w:rPr>
              <w:t>生态保护红线</w:t>
            </w:r>
          </w:p>
        </w:tc>
        <w:tc>
          <w:tcPr>
            <w:tcW w:w="4194" w:type="dxa"/>
            <w:vAlign w:val="center"/>
          </w:tcPr>
          <w:p w14:paraId="2C824C81">
            <w:pPr>
              <w:pStyle w:val="27"/>
              <w:rPr>
                <w:color w:val="auto"/>
                <w:kern w:val="2"/>
                <w:sz w:val="21"/>
              </w:rPr>
            </w:pPr>
            <w:r>
              <w:rPr>
                <w:color w:val="auto"/>
                <w:kern w:val="2"/>
                <w:sz w:val="21"/>
              </w:rPr>
              <w:t>涉及的生态保护红线，严格按照国家和省生态保护红线管理相关规定进行管控。生态保护红线原则上按照禁止开发区域进行管理，禁止工业化和城镇化，确保生态保护红线内“生态功能不降低，面积不减少，性质不改变”。</w:t>
            </w:r>
          </w:p>
        </w:tc>
        <w:tc>
          <w:tcPr>
            <w:tcW w:w="2696" w:type="dxa"/>
            <w:vAlign w:val="center"/>
          </w:tcPr>
          <w:p w14:paraId="1DBDB1FA">
            <w:pPr>
              <w:pStyle w:val="27"/>
              <w:rPr>
                <w:color w:val="auto"/>
                <w:kern w:val="2"/>
                <w:sz w:val="21"/>
              </w:rPr>
            </w:pPr>
            <w:r>
              <w:rPr>
                <w:color w:val="auto"/>
                <w:kern w:val="2"/>
                <w:sz w:val="21"/>
              </w:rPr>
              <w:t>根据</w:t>
            </w:r>
            <w:r>
              <w:rPr>
                <w:rFonts w:hint="eastAsia"/>
                <w:color w:val="auto"/>
                <w:kern w:val="2"/>
                <w:sz w:val="21"/>
              </w:rPr>
              <w:t>临平区三区三线图</w:t>
            </w:r>
            <w:r>
              <w:rPr>
                <w:color w:val="auto"/>
                <w:kern w:val="2"/>
                <w:sz w:val="21"/>
              </w:rPr>
              <w:t>，本项目不涉及生态保护红线。</w:t>
            </w:r>
          </w:p>
        </w:tc>
        <w:tc>
          <w:tcPr>
            <w:tcW w:w="515" w:type="dxa"/>
            <w:vAlign w:val="center"/>
          </w:tcPr>
          <w:p w14:paraId="116197BE">
            <w:pPr>
              <w:pStyle w:val="27"/>
              <w:rPr>
                <w:color w:val="auto"/>
                <w:kern w:val="2"/>
                <w:sz w:val="21"/>
              </w:rPr>
            </w:pPr>
            <w:r>
              <w:rPr>
                <w:color w:val="auto"/>
                <w:kern w:val="2"/>
                <w:sz w:val="21"/>
              </w:rPr>
              <w:t>符合</w:t>
            </w:r>
          </w:p>
        </w:tc>
      </w:tr>
      <w:tr w14:paraId="258F3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restart"/>
            <w:vAlign w:val="center"/>
          </w:tcPr>
          <w:p w14:paraId="733B6E33">
            <w:pPr>
              <w:pStyle w:val="27"/>
              <w:rPr>
                <w:color w:val="auto"/>
                <w:kern w:val="2"/>
                <w:sz w:val="21"/>
              </w:rPr>
            </w:pPr>
            <w:r>
              <w:rPr>
                <w:color w:val="auto"/>
                <w:kern w:val="2"/>
                <w:sz w:val="21"/>
              </w:rPr>
              <w:t>环境质量底线</w:t>
            </w:r>
          </w:p>
        </w:tc>
        <w:tc>
          <w:tcPr>
            <w:tcW w:w="444" w:type="dxa"/>
            <w:vAlign w:val="center"/>
          </w:tcPr>
          <w:p w14:paraId="49FF97E2">
            <w:pPr>
              <w:pStyle w:val="27"/>
              <w:rPr>
                <w:color w:val="auto"/>
                <w:kern w:val="2"/>
                <w:sz w:val="21"/>
              </w:rPr>
            </w:pPr>
            <w:r>
              <w:rPr>
                <w:color w:val="auto"/>
                <w:kern w:val="2"/>
                <w:sz w:val="21"/>
              </w:rPr>
              <w:t>大气环境质量底线目标</w:t>
            </w:r>
          </w:p>
        </w:tc>
        <w:tc>
          <w:tcPr>
            <w:tcW w:w="4194" w:type="dxa"/>
            <w:vAlign w:val="center"/>
          </w:tcPr>
          <w:p w14:paraId="6D728E98">
            <w:pPr>
              <w:pStyle w:val="27"/>
              <w:rPr>
                <w:color w:val="auto"/>
                <w:kern w:val="2"/>
                <w:sz w:val="21"/>
              </w:rPr>
            </w:pPr>
            <w:r>
              <w:rPr>
                <w:rFonts w:hint="eastAsia"/>
                <w:color w:val="auto"/>
                <w:kern w:val="2"/>
                <w:sz w:val="21"/>
              </w:rPr>
              <w:t>2025年，全面消除重污染天气，基本消除中度污染天气，力争O</w:t>
            </w:r>
            <w:r>
              <w:rPr>
                <w:rFonts w:hint="eastAsia"/>
                <w:color w:val="auto"/>
                <w:kern w:val="2"/>
                <w:sz w:val="21"/>
                <w:vertAlign w:val="subscript"/>
              </w:rPr>
              <w:t>3</w:t>
            </w:r>
            <w:r>
              <w:rPr>
                <w:rFonts w:hint="eastAsia"/>
                <w:color w:val="auto"/>
                <w:kern w:val="2"/>
                <w:sz w:val="21"/>
              </w:rPr>
              <w:t>浓度达到拐点，PM</w:t>
            </w:r>
            <w:r>
              <w:rPr>
                <w:rFonts w:hint="eastAsia"/>
                <w:color w:val="auto"/>
                <w:kern w:val="2"/>
                <w:sz w:val="21"/>
                <w:vertAlign w:val="subscript"/>
              </w:rPr>
              <w:t>2.5</w:t>
            </w:r>
            <w:r>
              <w:rPr>
                <w:rFonts w:hint="eastAsia"/>
                <w:color w:val="auto"/>
                <w:kern w:val="2"/>
                <w:sz w:val="21"/>
              </w:rPr>
              <w:t>年均浓度稳定控制在28微克/立方米以下，努力实现环境空气质量稳定全面达标。</w:t>
            </w:r>
          </w:p>
        </w:tc>
        <w:tc>
          <w:tcPr>
            <w:tcW w:w="2696" w:type="dxa"/>
            <w:vAlign w:val="center"/>
          </w:tcPr>
          <w:p w14:paraId="5ED540B9">
            <w:pPr>
              <w:pStyle w:val="27"/>
              <w:rPr>
                <w:color w:val="auto"/>
                <w:kern w:val="2"/>
                <w:sz w:val="21"/>
              </w:rPr>
            </w:pPr>
            <w:r>
              <w:rPr>
                <w:color w:val="auto"/>
                <w:kern w:val="2"/>
                <w:sz w:val="21"/>
              </w:rPr>
              <w:t>项目所在区域为</w:t>
            </w:r>
            <w:r>
              <w:rPr>
                <w:color w:val="auto"/>
                <w:kern w:val="2"/>
                <w:sz w:val="21"/>
                <w:lang w:eastAsia="ko-KR"/>
              </w:rPr>
              <w:t>环境空气</w:t>
            </w:r>
            <w:r>
              <w:rPr>
                <w:rFonts w:hint="eastAsia"/>
                <w:color w:val="auto"/>
                <w:kern w:val="2"/>
                <w:sz w:val="21"/>
              </w:rPr>
              <w:t>质量</w:t>
            </w:r>
            <w:r>
              <w:rPr>
                <w:color w:val="auto"/>
                <w:kern w:val="2"/>
                <w:sz w:val="21"/>
              </w:rPr>
              <w:t>不达标区域，</w:t>
            </w:r>
            <w:r>
              <w:rPr>
                <w:rFonts w:hint="eastAsia"/>
                <w:color w:val="auto"/>
                <w:kern w:val="2"/>
                <w:sz w:val="21"/>
              </w:rPr>
              <w:t>超标因子</w:t>
            </w:r>
            <w:r>
              <w:rPr>
                <w:color w:val="auto"/>
                <w:kern w:val="2"/>
                <w:sz w:val="21"/>
              </w:rPr>
              <w:t>为</w:t>
            </w:r>
            <w:r>
              <w:rPr>
                <w:rFonts w:hint="eastAsia"/>
                <w:color w:val="auto"/>
                <w:kern w:val="2"/>
                <w:sz w:val="21"/>
              </w:rPr>
              <w:t>臭氧，本项目不涉及臭氧排放。根据《杭州市空气质量改善“十四五”规划》，“十四五”时期杭州市持续深化“五气共治”，</w:t>
            </w:r>
            <w:r>
              <w:rPr>
                <w:color w:val="auto"/>
                <w:kern w:val="2"/>
                <w:sz w:val="21"/>
              </w:rPr>
              <w:t>预计</w:t>
            </w:r>
            <w:r>
              <w:rPr>
                <w:rFonts w:hint="eastAsia"/>
                <w:color w:val="auto"/>
                <w:kern w:val="2"/>
                <w:sz w:val="21"/>
              </w:rPr>
              <w:t>区域整体环境空气质量将会有所改善。项目实施后新增</w:t>
            </w:r>
            <w:r>
              <w:rPr>
                <w:rFonts w:hint="eastAsia"/>
                <w:color w:val="auto"/>
                <w:kern w:val="2"/>
                <w:sz w:val="21"/>
              </w:rPr>
              <w:t>VOCs按1:2的比例进行区域削减替代</w:t>
            </w:r>
            <w:r>
              <w:rPr>
                <w:rFonts w:hint="eastAsia"/>
                <w:color w:val="auto"/>
                <w:kern w:val="2"/>
                <w:sz w:val="21"/>
              </w:rPr>
              <w:t>，项目实施不会影响区域大气环境质量改善目标。</w:t>
            </w:r>
          </w:p>
        </w:tc>
        <w:tc>
          <w:tcPr>
            <w:tcW w:w="515" w:type="dxa"/>
            <w:vAlign w:val="center"/>
          </w:tcPr>
          <w:p w14:paraId="3620DB70">
            <w:pPr>
              <w:pStyle w:val="27"/>
              <w:rPr>
                <w:color w:val="auto"/>
                <w:kern w:val="2"/>
                <w:sz w:val="21"/>
              </w:rPr>
            </w:pPr>
            <w:r>
              <w:rPr>
                <w:color w:val="auto"/>
                <w:kern w:val="2"/>
                <w:sz w:val="21"/>
              </w:rPr>
              <w:t>符合</w:t>
            </w:r>
          </w:p>
        </w:tc>
      </w:tr>
      <w:tr w14:paraId="7311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continue"/>
            <w:vAlign w:val="center"/>
          </w:tcPr>
          <w:p w14:paraId="022C710E">
            <w:pPr>
              <w:pStyle w:val="27"/>
              <w:rPr>
                <w:color w:val="auto"/>
                <w:kern w:val="2"/>
                <w:sz w:val="21"/>
              </w:rPr>
            </w:pPr>
          </w:p>
        </w:tc>
        <w:tc>
          <w:tcPr>
            <w:tcW w:w="444" w:type="dxa"/>
            <w:vAlign w:val="center"/>
          </w:tcPr>
          <w:p w14:paraId="7DF9D18A">
            <w:pPr>
              <w:pStyle w:val="27"/>
              <w:rPr>
                <w:color w:val="auto"/>
                <w:kern w:val="2"/>
                <w:sz w:val="21"/>
              </w:rPr>
            </w:pPr>
            <w:r>
              <w:rPr>
                <w:color w:val="auto"/>
                <w:kern w:val="2"/>
                <w:sz w:val="21"/>
              </w:rPr>
              <w:t>水环境质量底线目标</w:t>
            </w:r>
          </w:p>
        </w:tc>
        <w:tc>
          <w:tcPr>
            <w:tcW w:w="4194" w:type="dxa"/>
            <w:vAlign w:val="center"/>
          </w:tcPr>
          <w:p w14:paraId="73E8A8D2">
            <w:pPr>
              <w:pStyle w:val="27"/>
              <w:rPr>
                <w:color w:val="auto"/>
                <w:kern w:val="2"/>
                <w:sz w:val="21"/>
              </w:rPr>
            </w:pPr>
            <w:r>
              <w:rPr>
                <w:rFonts w:hint="eastAsia"/>
                <w:color w:val="auto"/>
                <w:kern w:val="2"/>
                <w:sz w:val="21"/>
              </w:rPr>
              <w:t>到 2025 年，力争全市水生态环境质量实现“三无、两提升、三个百分百”，即：城市建成区无黑臭水体，地表无劣Ⅴ类水体，无断流（干涸）河流；市控以上地表水优良（达到或优于Ⅲ类）比例与水生生物完整性有不同程度的提升，县级以上城市集中式饮用水水源达到或优于Ⅲ类比例达到 100%，地表水市控以上断面水质达标率达到 100%，国家重要水功能区达标率达到 100%。</w:t>
            </w:r>
          </w:p>
        </w:tc>
        <w:tc>
          <w:tcPr>
            <w:tcW w:w="2696" w:type="dxa"/>
            <w:vAlign w:val="center"/>
          </w:tcPr>
          <w:p w14:paraId="3FA183A4">
            <w:pPr>
              <w:pStyle w:val="27"/>
              <w:rPr>
                <w:color w:val="auto"/>
                <w:kern w:val="2"/>
                <w:sz w:val="21"/>
              </w:rPr>
            </w:pPr>
            <w:r>
              <w:rPr>
                <w:rFonts w:hint="eastAsia"/>
                <w:color w:val="auto"/>
                <w:kern w:val="2"/>
                <w:sz w:val="21"/>
              </w:rPr>
              <w:t>项目</w:t>
            </w:r>
            <w:r>
              <w:rPr>
                <w:color w:val="auto"/>
                <w:kern w:val="2"/>
                <w:sz w:val="21"/>
              </w:rPr>
              <w:t>周边地表水及纳污水体</w:t>
            </w:r>
            <w:r>
              <w:rPr>
                <w:rFonts w:hint="eastAsia"/>
                <w:color w:val="auto"/>
                <w:kern w:val="2"/>
                <w:sz w:val="21"/>
              </w:rPr>
              <w:t>水质可</w:t>
            </w:r>
            <w:r>
              <w:rPr>
                <w:color w:val="auto"/>
                <w:kern w:val="2"/>
                <w:sz w:val="21"/>
              </w:rPr>
              <w:t>满足相应</w:t>
            </w:r>
            <w:r>
              <w:rPr>
                <w:rFonts w:hint="eastAsia"/>
                <w:color w:val="auto"/>
                <w:kern w:val="2"/>
                <w:sz w:val="21"/>
              </w:rPr>
              <w:t>标准</w:t>
            </w:r>
            <w:r>
              <w:rPr>
                <w:color w:val="auto"/>
                <w:kern w:val="2"/>
                <w:sz w:val="21"/>
              </w:rPr>
              <w:t>要求。</w:t>
            </w:r>
            <w:r>
              <w:rPr>
                <w:rFonts w:hint="eastAsia"/>
                <w:color w:val="auto"/>
                <w:sz w:val="21"/>
                <w:szCs w:val="21"/>
              </w:rPr>
              <w:t>项目废水经预处理后纳管达标排放</w:t>
            </w:r>
            <w:r>
              <w:rPr>
                <w:color w:val="auto"/>
                <w:kern w:val="2"/>
                <w:sz w:val="21"/>
              </w:rPr>
              <w:t>，</w:t>
            </w:r>
            <w:r>
              <w:rPr>
                <w:rFonts w:hint="eastAsia"/>
                <w:color w:val="auto"/>
                <w:kern w:val="2"/>
                <w:sz w:val="21"/>
              </w:rPr>
              <w:t>无直排废水，</w:t>
            </w:r>
            <w:r>
              <w:rPr>
                <w:color w:val="auto"/>
                <w:kern w:val="2"/>
                <w:sz w:val="21"/>
              </w:rPr>
              <w:t>不会突破水环境质量底线</w:t>
            </w:r>
            <w:r>
              <w:rPr>
                <w:rFonts w:hint="eastAsia"/>
                <w:color w:val="auto"/>
                <w:kern w:val="2"/>
                <w:sz w:val="21"/>
              </w:rPr>
              <w:t>。</w:t>
            </w:r>
          </w:p>
        </w:tc>
        <w:tc>
          <w:tcPr>
            <w:tcW w:w="515" w:type="dxa"/>
            <w:vAlign w:val="center"/>
          </w:tcPr>
          <w:p w14:paraId="3243EE17">
            <w:pPr>
              <w:pStyle w:val="27"/>
              <w:rPr>
                <w:color w:val="auto"/>
                <w:kern w:val="2"/>
                <w:sz w:val="21"/>
              </w:rPr>
            </w:pPr>
            <w:r>
              <w:rPr>
                <w:color w:val="auto"/>
                <w:kern w:val="2"/>
                <w:sz w:val="21"/>
              </w:rPr>
              <w:t>符合</w:t>
            </w:r>
          </w:p>
        </w:tc>
      </w:tr>
      <w:tr w14:paraId="75C31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continue"/>
            <w:vAlign w:val="center"/>
          </w:tcPr>
          <w:p w14:paraId="095CC079">
            <w:pPr>
              <w:pStyle w:val="27"/>
              <w:rPr>
                <w:color w:val="auto"/>
                <w:kern w:val="2"/>
                <w:sz w:val="21"/>
              </w:rPr>
            </w:pPr>
          </w:p>
        </w:tc>
        <w:tc>
          <w:tcPr>
            <w:tcW w:w="444" w:type="dxa"/>
            <w:vAlign w:val="center"/>
          </w:tcPr>
          <w:p w14:paraId="46508D57">
            <w:pPr>
              <w:pStyle w:val="27"/>
              <w:rPr>
                <w:color w:val="auto"/>
                <w:kern w:val="2"/>
                <w:sz w:val="21"/>
              </w:rPr>
            </w:pPr>
            <w:r>
              <w:rPr>
                <w:color w:val="auto"/>
                <w:kern w:val="2"/>
                <w:sz w:val="21"/>
              </w:rPr>
              <w:t>土壤环境风险防控底线目标</w:t>
            </w:r>
          </w:p>
        </w:tc>
        <w:tc>
          <w:tcPr>
            <w:tcW w:w="4194" w:type="dxa"/>
            <w:vAlign w:val="center"/>
          </w:tcPr>
          <w:p w14:paraId="1B4B22F7">
            <w:pPr>
              <w:pStyle w:val="27"/>
              <w:rPr>
                <w:color w:val="auto"/>
                <w:kern w:val="2"/>
                <w:sz w:val="21"/>
              </w:rPr>
            </w:pPr>
            <w:r>
              <w:rPr>
                <w:rFonts w:hint="eastAsia"/>
                <w:color w:val="auto"/>
                <w:kern w:val="2"/>
                <w:sz w:val="21"/>
              </w:rPr>
              <w:t>2025 年，土壤环境质量稳中向好，受污染耕地安全利用率达到省下达目标，重点建设用地安全利用率达到 97%以上。</w:t>
            </w:r>
          </w:p>
        </w:tc>
        <w:tc>
          <w:tcPr>
            <w:tcW w:w="2696" w:type="dxa"/>
            <w:vAlign w:val="center"/>
          </w:tcPr>
          <w:p w14:paraId="2C8927D6">
            <w:pPr>
              <w:pStyle w:val="27"/>
              <w:rPr>
                <w:color w:val="auto"/>
                <w:kern w:val="2"/>
                <w:sz w:val="21"/>
              </w:rPr>
            </w:pPr>
            <w:r>
              <w:rPr>
                <w:color w:val="auto"/>
                <w:kern w:val="2"/>
                <w:sz w:val="21"/>
              </w:rPr>
              <w:t>车间内地面</w:t>
            </w:r>
            <w:r>
              <w:rPr>
                <w:rFonts w:hint="eastAsia"/>
                <w:color w:val="auto"/>
                <w:kern w:val="2"/>
                <w:sz w:val="21"/>
              </w:rPr>
              <w:t>采取必要的</w:t>
            </w:r>
            <w:r>
              <w:rPr>
                <w:color w:val="auto"/>
                <w:kern w:val="2"/>
                <w:sz w:val="21"/>
              </w:rPr>
              <w:t>防腐防渗</w:t>
            </w:r>
            <w:r>
              <w:rPr>
                <w:rFonts w:hint="eastAsia"/>
                <w:color w:val="auto"/>
                <w:kern w:val="2"/>
                <w:sz w:val="21"/>
              </w:rPr>
              <w:t>措施</w:t>
            </w:r>
            <w:r>
              <w:rPr>
                <w:color w:val="auto"/>
                <w:kern w:val="2"/>
                <w:sz w:val="21"/>
              </w:rPr>
              <w:t>，</w:t>
            </w:r>
            <w:r>
              <w:rPr>
                <w:rFonts w:hint="eastAsia"/>
                <w:color w:val="auto"/>
                <w:kern w:val="2"/>
                <w:sz w:val="21"/>
              </w:rPr>
              <w:t>土壤</w:t>
            </w:r>
            <w:r>
              <w:rPr>
                <w:color w:val="auto"/>
                <w:kern w:val="2"/>
                <w:sz w:val="21"/>
              </w:rPr>
              <w:t>环境污染风险可控，不会突破土壤环境质量底线。</w:t>
            </w:r>
          </w:p>
        </w:tc>
        <w:tc>
          <w:tcPr>
            <w:tcW w:w="515" w:type="dxa"/>
            <w:vAlign w:val="center"/>
          </w:tcPr>
          <w:p w14:paraId="24CA08DF">
            <w:pPr>
              <w:pStyle w:val="27"/>
              <w:rPr>
                <w:color w:val="auto"/>
                <w:kern w:val="2"/>
                <w:sz w:val="21"/>
              </w:rPr>
            </w:pPr>
            <w:r>
              <w:rPr>
                <w:color w:val="auto"/>
                <w:kern w:val="2"/>
                <w:sz w:val="21"/>
              </w:rPr>
              <w:t>符合</w:t>
            </w:r>
          </w:p>
        </w:tc>
      </w:tr>
      <w:tr w14:paraId="12311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restart"/>
            <w:vAlign w:val="center"/>
          </w:tcPr>
          <w:p w14:paraId="590196DF">
            <w:pPr>
              <w:pStyle w:val="27"/>
              <w:rPr>
                <w:color w:val="auto"/>
                <w:kern w:val="2"/>
                <w:sz w:val="21"/>
              </w:rPr>
            </w:pPr>
            <w:r>
              <w:rPr>
                <w:color w:val="auto"/>
                <w:kern w:val="2"/>
                <w:sz w:val="21"/>
              </w:rPr>
              <w:t>资源利用上线</w:t>
            </w:r>
          </w:p>
        </w:tc>
        <w:tc>
          <w:tcPr>
            <w:tcW w:w="444" w:type="dxa"/>
            <w:vAlign w:val="center"/>
          </w:tcPr>
          <w:p w14:paraId="2D05BF8E">
            <w:pPr>
              <w:pStyle w:val="27"/>
              <w:rPr>
                <w:color w:val="auto"/>
                <w:kern w:val="2"/>
                <w:sz w:val="21"/>
              </w:rPr>
            </w:pPr>
            <w:r>
              <w:rPr>
                <w:color w:val="auto"/>
                <w:kern w:val="2"/>
                <w:sz w:val="21"/>
              </w:rPr>
              <w:t>能源（煤炭）资源上线目标</w:t>
            </w:r>
          </w:p>
        </w:tc>
        <w:tc>
          <w:tcPr>
            <w:tcW w:w="4194" w:type="dxa"/>
            <w:vAlign w:val="center"/>
          </w:tcPr>
          <w:p w14:paraId="50927C8F">
            <w:pPr>
              <w:pStyle w:val="27"/>
              <w:rPr>
                <w:color w:val="auto"/>
                <w:kern w:val="2"/>
                <w:sz w:val="21"/>
              </w:rPr>
            </w:pPr>
            <w:r>
              <w:rPr>
                <w:rFonts w:hint="eastAsia"/>
                <w:color w:val="auto"/>
                <w:kern w:val="2"/>
                <w:sz w:val="21"/>
              </w:rPr>
              <w:t>通过一手抓能源供应保障，一手抓能源结构优化，到 2025年实现“三保两降两升”的主要发展目标。</w:t>
            </w:r>
          </w:p>
          <w:p w14:paraId="1EC148DA">
            <w:pPr>
              <w:pStyle w:val="27"/>
              <w:rPr>
                <w:color w:val="auto"/>
                <w:kern w:val="2"/>
                <w:sz w:val="21"/>
              </w:rPr>
            </w:pPr>
            <w:r>
              <w:rPr>
                <w:rFonts w:hint="eastAsia"/>
                <w:color w:val="auto"/>
                <w:kern w:val="2"/>
                <w:sz w:val="21"/>
              </w:rPr>
              <w:t>——“三保”：电力、天然气、油品等能源供应保障能力持续增强。到 2025 年，全市电网 110 千伏及以上变电容量达到 11268万千伏安，天然气供应能力不小于 44 亿立方米，汽柴油供应能力不小于 420 万吨。</w:t>
            </w:r>
          </w:p>
          <w:p w14:paraId="48091470">
            <w:pPr>
              <w:pStyle w:val="27"/>
              <w:rPr>
                <w:color w:val="auto"/>
                <w:kern w:val="2"/>
                <w:sz w:val="21"/>
              </w:rPr>
            </w:pPr>
            <w:r>
              <w:rPr>
                <w:rFonts w:hint="eastAsia"/>
                <w:color w:val="auto"/>
                <w:kern w:val="2"/>
                <w:sz w:val="21"/>
              </w:rPr>
              <w:t>——“两降”：即单位 GDP 能耗、煤炭消费量进一步下降。“十四五”期间，全市单位 GDP 能耗累计降幅不低于 15%，煤炭消费下降目标达到省要求。</w:t>
            </w:r>
          </w:p>
          <w:p w14:paraId="1F61F105">
            <w:pPr>
              <w:pStyle w:val="27"/>
              <w:rPr>
                <w:color w:val="auto"/>
                <w:kern w:val="2"/>
                <w:sz w:val="21"/>
              </w:rPr>
            </w:pPr>
            <w:r>
              <w:rPr>
                <w:rFonts w:hint="eastAsia"/>
                <w:color w:val="auto"/>
                <w:kern w:val="2"/>
                <w:sz w:val="21"/>
              </w:rPr>
              <w:t>——“两升”：即清洁能源占比、非化石能源占比进一步提升。到 2025 年，全市清洁能源占比不低于 68%，非化石能源占比不低于 20%。</w:t>
            </w:r>
          </w:p>
        </w:tc>
        <w:tc>
          <w:tcPr>
            <w:tcW w:w="2696" w:type="dxa"/>
            <w:vAlign w:val="center"/>
          </w:tcPr>
          <w:p w14:paraId="0B68089D">
            <w:pPr>
              <w:pStyle w:val="27"/>
              <w:rPr>
                <w:color w:val="auto"/>
                <w:kern w:val="2"/>
                <w:sz w:val="21"/>
              </w:rPr>
            </w:pPr>
            <w:r>
              <w:rPr>
                <w:color w:val="auto"/>
                <w:kern w:val="2"/>
                <w:sz w:val="21"/>
              </w:rPr>
              <w:t>本项目所需能源为电，用量不大，不会突破区域能源利用上线。</w:t>
            </w:r>
          </w:p>
        </w:tc>
        <w:tc>
          <w:tcPr>
            <w:tcW w:w="515" w:type="dxa"/>
            <w:vAlign w:val="center"/>
          </w:tcPr>
          <w:p w14:paraId="311F2090">
            <w:pPr>
              <w:pStyle w:val="27"/>
              <w:rPr>
                <w:color w:val="auto"/>
                <w:kern w:val="2"/>
                <w:sz w:val="21"/>
              </w:rPr>
            </w:pPr>
            <w:r>
              <w:rPr>
                <w:color w:val="auto"/>
                <w:kern w:val="2"/>
                <w:sz w:val="21"/>
              </w:rPr>
              <w:t>符合</w:t>
            </w:r>
          </w:p>
        </w:tc>
      </w:tr>
      <w:tr w14:paraId="20AB3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continue"/>
            <w:vAlign w:val="center"/>
          </w:tcPr>
          <w:p w14:paraId="7F579B92">
            <w:pPr>
              <w:pStyle w:val="27"/>
              <w:rPr>
                <w:color w:val="auto"/>
                <w:kern w:val="2"/>
                <w:sz w:val="21"/>
              </w:rPr>
            </w:pPr>
          </w:p>
        </w:tc>
        <w:tc>
          <w:tcPr>
            <w:tcW w:w="444" w:type="dxa"/>
            <w:vAlign w:val="center"/>
          </w:tcPr>
          <w:p w14:paraId="5EF81AE3">
            <w:pPr>
              <w:pStyle w:val="27"/>
              <w:rPr>
                <w:color w:val="auto"/>
                <w:kern w:val="2"/>
                <w:sz w:val="21"/>
              </w:rPr>
            </w:pPr>
            <w:r>
              <w:rPr>
                <w:color w:val="auto"/>
                <w:kern w:val="2"/>
                <w:sz w:val="21"/>
              </w:rPr>
              <w:t>水资源利用上线目标</w:t>
            </w:r>
          </w:p>
        </w:tc>
        <w:tc>
          <w:tcPr>
            <w:tcW w:w="4194" w:type="dxa"/>
            <w:vAlign w:val="center"/>
          </w:tcPr>
          <w:p w14:paraId="6F2C5133">
            <w:pPr>
              <w:pStyle w:val="27"/>
              <w:rPr>
                <w:color w:val="auto"/>
                <w:kern w:val="2"/>
                <w:sz w:val="21"/>
              </w:rPr>
            </w:pPr>
            <w:r>
              <w:rPr>
                <w:rFonts w:hint="eastAsia"/>
                <w:color w:val="auto"/>
                <w:kern w:val="2"/>
                <w:sz w:val="21"/>
              </w:rPr>
              <w:t>到2025年，用水总量目标为32.68亿立方米（含非常水0.48亿立方米）、万元GDP用水量比2020年下降 16%、万元工业增加值用水量比2020年下降17%，农田灌溉水有效利用系数达到0.614。</w:t>
            </w:r>
          </w:p>
        </w:tc>
        <w:tc>
          <w:tcPr>
            <w:tcW w:w="2696" w:type="dxa"/>
            <w:vAlign w:val="center"/>
          </w:tcPr>
          <w:p w14:paraId="12341076">
            <w:pPr>
              <w:pStyle w:val="27"/>
              <w:rPr>
                <w:color w:val="auto"/>
                <w:kern w:val="2"/>
                <w:sz w:val="21"/>
              </w:rPr>
            </w:pPr>
            <w:r>
              <w:rPr>
                <w:color w:val="auto"/>
                <w:kern w:val="2"/>
                <w:sz w:val="21"/>
              </w:rPr>
              <w:t>本项目用水量</w:t>
            </w:r>
            <w:r>
              <w:rPr>
                <w:rFonts w:hint="eastAsia"/>
                <w:color w:val="auto"/>
                <w:kern w:val="2"/>
                <w:sz w:val="21"/>
              </w:rPr>
              <w:t>较少，现有城市供水系统可满足项目需求，</w:t>
            </w:r>
            <w:r>
              <w:rPr>
                <w:color w:val="auto"/>
                <w:kern w:val="2"/>
                <w:sz w:val="21"/>
              </w:rPr>
              <w:t>不会突破区域水资源利用上线。</w:t>
            </w:r>
          </w:p>
        </w:tc>
        <w:tc>
          <w:tcPr>
            <w:tcW w:w="515" w:type="dxa"/>
            <w:vAlign w:val="center"/>
          </w:tcPr>
          <w:p w14:paraId="726826F3">
            <w:pPr>
              <w:pStyle w:val="27"/>
              <w:rPr>
                <w:color w:val="auto"/>
                <w:kern w:val="2"/>
                <w:sz w:val="21"/>
              </w:rPr>
            </w:pPr>
            <w:r>
              <w:rPr>
                <w:color w:val="auto"/>
                <w:kern w:val="2"/>
                <w:sz w:val="21"/>
              </w:rPr>
              <w:t>符合</w:t>
            </w:r>
          </w:p>
        </w:tc>
      </w:tr>
      <w:tr w14:paraId="27835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477" w:type="dxa"/>
            <w:vMerge w:val="continue"/>
            <w:vAlign w:val="center"/>
          </w:tcPr>
          <w:p w14:paraId="64A82CBC">
            <w:pPr>
              <w:pStyle w:val="27"/>
              <w:rPr>
                <w:color w:val="auto"/>
                <w:kern w:val="2"/>
                <w:sz w:val="21"/>
              </w:rPr>
            </w:pPr>
          </w:p>
        </w:tc>
        <w:tc>
          <w:tcPr>
            <w:tcW w:w="444" w:type="dxa"/>
            <w:vAlign w:val="center"/>
          </w:tcPr>
          <w:p w14:paraId="22C9183E">
            <w:pPr>
              <w:pStyle w:val="27"/>
              <w:rPr>
                <w:color w:val="auto"/>
                <w:kern w:val="2"/>
                <w:sz w:val="21"/>
              </w:rPr>
            </w:pPr>
            <w:r>
              <w:rPr>
                <w:color w:val="auto"/>
                <w:kern w:val="2"/>
                <w:sz w:val="21"/>
              </w:rPr>
              <w:t>土地资源利用上线目标</w:t>
            </w:r>
          </w:p>
        </w:tc>
        <w:tc>
          <w:tcPr>
            <w:tcW w:w="4194" w:type="dxa"/>
            <w:vAlign w:val="center"/>
          </w:tcPr>
          <w:p w14:paraId="17B3C43D">
            <w:pPr>
              <w:pStyle w:val="27"/>
              <w:rPr>
                <w:color w:val="auto"/>
                <w:kern w:val="2"/>
                <w:sz w:val="21"/>
              </w:rPr>
            </w:pPr>
            <w:r>
              <w:rPr>
                <w:rFonts w:hint="eastAsia"/>
                <w:color w:val="auto"/>
                <w:kern w:val="2"/>
                <w:sz w:val="21"/>
              </w:rPr>
              <w:t>到2025年，杭州市耕地保有量不少于1162.7平方公里，永久基本农田面积控制在968平方公里以内，建设用地总规模不超过2152平方公里，城乡建设用地总规模不超过1752平方公里，人均城镇建设用地面积控制在94平方米以内，万元GDP地耗不超过9.7平方米。</w:t>
            </w:r>
          </w:p>
        </w:tc>
        <w:tc>
          <w:tcPr>
            <w:tcW w:w="2696" w:type="dxa"/>
            <w:vAlign w:val="center"/>
          </w:tcPr>
          <w:p w14:paraId="667C1719">
            <w:pPr>
              <w:pStyle w:val="27"/>
              <w:rPr>
                <w:color w:val="auto"/>
                <w:kern w:val="2"/>
                <w:sz w:val="21"/>
              </w:rPr>
            </w:pPr>
            <w:r>
              <w:rPr>
                <w:rFonts w:hint="eastAsia"/>
                <w:color w:val="auto"/>
                <w:kern w:val="2"/>
                <w:sz w:val="21"/>
              </w:rPr>
              <w:t>本项目</w:t>
            </w:r>
            <w:r>
              <w:rPr>
                <w:rFonts w:hint="eastAsia"/>
                <w:color w:val="auto"/>
                <w:kern w:val="2"/>
                <w:sz w:val="21"/>
                <w:lang w:val="en-US" w:eastAsia="zh-CN"/>
              </w:rPr>
              <w:t>位于</w:t>
            </w:r>
            <w:r>
              <w:rPr>
                <w:rFonts w:hint="eastAsia"/>
                <w:color w:val="auto"/>
                <w:kern w:val="2"/>
                <w:sz w:val="21"/>
              </w:rPr>
              <w:t>塘栖装备机械产业园区，用地性质为</w:t>
            </w:r>
            <w:r>
              <w:rPr>
                <w:rFonts w:hint="eastAsia"/>
                <w:color w:val="auto"/>
                <w:kern w:val="2"/>
                <w:sz w:val="21"/>
                <w:lang w:eastAsia="zh-CN"/>
              </w:rPr>
              <w:t>工业用地</w:t>
            </w:r>
            <w:r>
              <w:rPr>
                <w:color w:val="auto"/>
                <w:kern w:val="2"/>
                <w:sz w:val="21"/>
              </w:rPr>
              <w:t>。</w:t>
            </w:r>
            <w:r>
              <w:rPr>
                <w:rFonts w:hint="eastAsia"/>
                <w:color w:val="auto"/>
                <w:kern w:val="2"/>
                <w:sz w:val="21"/>
              </w:rPr>
              <w:t>项目</w:t>
            </w:r>
            <w:r>
              <w:rPr>
                <w:color w:val="auto"/>
                <w:kern w:val="2"/>
                <w:sz w:val="21"/>
              </w:rPr>
              <w:t>用地不会突破土地利用资源上线。</w:t>
            </w:r>
          </w:p>
        </w:tc>
        <w:tc>
          <w:tcPr>
            <w:tcW w:w="515" w:type="dxa"/>
            <w:vAlign w:val="center"/>
          </w:tcPr>
          <w:p w14:paraId="418F0A1A">
            <w:pPr>
              <w:pStyle w:val="27"/>
              <w:rPr>
                <w:color w:val="auto"/>
                <w:kern w:val="2"/>
                <w:sz w:val="21"/>
              </w:rPr>
            </w:pPr>
            <w:r>
              <w:rPr>
                <w:color w:val="auto"/>
                <w:kern w:val="2"/>
                <w:sz w:val="21"/>
              </w:rPr>
              <w:t>符合</w:t>
            </w:r>
          </w:p>
        </w:tc>
      </w:tr>
    </w:tbl>
    <w:p w14:paraId="115947DA">
      <w:pPr>
        <w:pStyle w:val="20"/>
        <w:numPr>
          <w:ilvl w:val="0"/>
          <w:numId w:val="6"/>
        </w:numPr>
        <w:spacing w:before="156"/>
        <w:rPr>
          <w:color w:val="auto"/>
        </w:rPr>
      </w:pPr>
      <w:r>
        <w:rPr>
          <w:color w:val="auto"/>
        </w:rPr>
        <w:t>生态环境准入清单符合性分析</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513"/>
        <w:gridCol w:w="469"/>
        <w:gridCol w:w="794"/>
        <w:gridCol w:w="476"/>
        <w:gridCol w:w="3821"/>
        <w:gridCol w:w="1700"/>
        <w:gridCol w:w="544"/>
      </w:tblGrid>
      <w:tr w14:paraId="58A32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1591" w:type="dxa"/>
            <w:gridSpan w:val="3"/>
            <w:noWrap w:val="0"/>
            <w:vAlign w:val="center"/>
          </w:tcPr>
          <w:p w14:paraId="578F0EE7">
            <w:pPr>
              <w:jc w:val="center"/>
              <w:rPr>
                <w:bCs/>
                <w:color w:val="auto"/>
                <w:sz w:val="21"/>
                <w:szCs w:val="21"/>
                <w:highlight w:val="none"/>
              </w:rPr>
            </w:pPr>
            <w:r>
              <w:rPr>
                <w:bCs/>
                <w:color w:val="auto"/>
                <w:sz w:val="21"/>
                <w:szCs w:val="21"/>
                <w:highlight w:val="none"/>
              </w:rPr>
              <w:t>环境管控单元空间</w:t>
            </w:r>
          </w:p>
        </w:tc>
        <w:tc>
          <w:tcPr>
            <w:tcW w:w="3849" w:type="dxa"/>
            <w:gridSpan w:val="2"/>
            <w:vMerge w:val="restart"/>
            <w:noWrap w:val="0"/>
            <w:vAlign w:val="center"/>
          </w:tcPr>
          <w:p w14:paraId="6C8D9B8C">
            <w:pPr>
              <w:jc w:val="center"/>
              <w:rPr>
                <w:bCs/>
                <w:color w:val="auto"/>
                <w:sz w:val="21"/>
                <w:szCs w:val="21"/>
                <w:highlight w:val="none"/>
              </w:rPr>
            </w:pPr>
            <w:r>
              <w:rPr>
                <w:bCs/>
                <w:color w:val="auto"/>
                <w:sz w:val="21"/>
                <w:szCs w:val="21"/>
                <w:highlight w:val="none"/>
              </w:rPr>
              <w:t>管控要求</w:t>
            </w:r>
          </w:p>
        </w:tc>
        <w:tc>
          <w:tcPr>
            <w:tcW w:w="1523" w:type="dxa"/>
            <w:vMerge w:val="restart"/>
            <w:noWrap w:val="0"/>
            <w:vAlign w:val="center"/>
          </w:tcPr>
          <w:p w14:paraId="0DA095F1">
            <w:pPr>
              <w:jc w:val="center"/>
              <w:rPr>
                <w:bCs/>
                <w:color w:val="auto"/>
                <w:sz w:val="21"/>
                <w:szCs w:val="21"/>
                <w:highlight w:val="none"/>
              </w:rPr>
            </w:pPr>
            <w:r>
              <w:rPr>
                <w:bCs/>
                <w:color w:val="auto"/>
                <w:sz w:val="21"/>
                <w:szCs w:val="21"/>
                <w:highlight w:val="none"/>
              </w:rPr>
              <w:t>本项目情况</w:t>
            </w:r>
          </w:p>
        </w:tc>
        <w:tc>
          <w:tcPr>
            <w:tcW w:w="487" w:type="dxa"/>
            <w:vMerge w:val="restart"/>
            <w:noWrap w:val="0"/>
            <w:vAlign w:val="center"/>
          </w:tcPr>
          <w:p w14:paraId="5E6BF0B3">
            <w:pPr>
              <w:jc w:val="center"/>
              <w:rPr>
                <w:bCs/>
                <w:color w:val="auto"/>
                <w:sz w:val="21"/>
                <w:szCs w:val="21"/>
                <w:highlight w:val="none"/>
              </w:rPr>
            </w:pPr>
            <w:r>
              <w:rPr>
                <w:bCs/>
                <w:color w:val="auto"/>
                <w:sz w:val="21"/>
                <w:szCs w:val="21"/>
                <w:highlight w:val="none"/>
              </w:rPr>
              <w:t>符合性</w:t>
            </w:r>
          </w:p>
        </w:tc>
      </w:tr>
      <w:tr w14:paraId="4135E4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60" w:type="dxa"/>
            <w:noWrap w:val="0"/>
            <w:vAlign w:val="center"/>
          </w:tcPr>
          <w:p w14:paraId="5FD0C722">
            <w:pPr>
              <w:jc w:val="center"/>
              <w:rPr>
                <w:color w:val="auto"/>
                <w:sz w:val="21"/>
                <w:szCs w:val="21"/>
                <w:highlight w:val="none"/>
              </w:rPr>
            </w:pPr>
            <w:r>
              <w:rPr>
                <w:color w:val="auto"/>
                <w:sz w:val="21"/>
                <w:szCs w:val="21"/>
                <w:highlight w:val="none"/>
              </w:rPr>
              <w:t>编码</w:t>
            </w:r>
          </w:p>
        </w:tc>
        <w:tc>
          <w:tcPr>
            <w:tcW w:w="420" w:type="dxa"/>
            <w:noWrap w:val="0"/>
            <w:vAlign w:val="center"/>
          </w:tcPr>
          <w:p w14:paraId="17DB15AA">
            <w:pPr>
              <w:jc w:val="center"/>
              <w:rPr>
                <w:color w:val="auto"/>
                <w:sz w:val="21"/>
                <w:szCs w:val="21"/>
                <w:highlight w:val="none"/>
              </w:rPr>
            </w:pPr>
            <w:r>
              <w:rPr>
                <w:color w:val="auto"/>
                <w:sz w:val="21"/>
                <w:szCs w:val="21"/>
                <w:highlight w:val="none"/>
              </w:rPr>
              <w:t>名称</w:t>
            </w:r>
          </w:p>
        </w:tc>
        <w:tc>
          <w:tcPr>
            <w:tcW w:w="711" w:type="dxa"/>
            <w:noWrap w:val="0"/>
            <w:vAlign w:val="center"/>
          </w:tcPr>
          <w:p w14:paraId="1F10A381">
            <w:pPr>
              <w:jc w:val="center"/>
              <w:rPr>
                <w:color w:val="auto"/>
                <w:sz w:val="21"/>
                <w:szCs w:val="21"/>
                <w:highlight w:val="none"/>
              </w:rPr>
            </w:pPr>
            <w:r>
              <w:rPr>
                <w:color w:val="auto"/>
                <w:sz w:val="21"/>
                <w:szCs w:val="21"/>
                <w:highlight w:val="none"/>
              </w:rPr>
              <w:t>分类</w:t>
            </w:r>
          </w:p>
        </w:tc>
        <w:tc>
          <w:tcPr>
            <w:tcW w:w="3849" w:type="dxa"/>
            <w:gridSpan w:val="2"/>
            <w:vMerge w:val="continue"/>
            <w:noWrap w:val="0"/>
            <w:vAlign w:val="center"/>
          </w:tcPr>
          <w:p w14:paraId="10DFFF61">
            <w:pPr>
              <w:widowControl/>
              <w:jc w:val="left"/>
              <w:rPr>
                <w:bCs/>
                <w:color w:val="auto"/>
                <w:sz w:val="21"/>
                <w:szCs w:val="21"/>
                <w:highlight w:val="none"/>
              </w:rPr>
            </w:pPr>
          </w:p>
        </w:tc>
        <w:tc>
          <w:tcPr>
            <w:tcW w:w="1523" w:type="dxa"/>
            <w:vMerge w:val="continue"/>
            <w:noWrap w:val="0"/>
            <w:vAlign w:val="center"/>
          </w:tcPr>
          <w:p w14:paraId="04FABFB9">
            <w:pPr>
              <w:widowControl/>
              <w:jc w:val="left"/>
              <w:rPr>
                <w:bCs/>
                <w:color w:val="auto"/>
                <w:sz w:val="21"/>
                <w:szCs w:val="21"/>
                <w:highlight w:val="none"/>
              </w:rPr>
            </w:pPr>
          </w:p>
        </w:tc>
        <w:tc>
          <w:tcPr>
            <w:tcW w:w="487" w:type="dxa"/>
            <w:vMerge w:val="continue"/>
            <w:noWrap w:val="0"/>
            <w:vAlign w:val="center"/>
          </w:tcPr>
          <w:p w14:paraId="25CBBCB4">
            <w:pPr>
              <w:widowControl/>
              <w:jc w:val="left"/>
              <w:rPr>
                <w:bCs/>
                <w:color w:val="auto"/>
                <w:sz w:val="21"/>
                <w:szCs w:val="21"/>
                <w:highlight w:val="none"/>
              </w:rPr>
            </w:pPr>
          </w:p>
        </w:tc>
      </w:tr>
      <w:tr w14:paraId="1DB48A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60" w:type="dxa"/>
            <w:vMerge w:val="restart"/>
            <w:noWrap w:val="0"/>
            <w:vAlign w:val="center"/>
          </w:tcPr>
          <w:p w14:paraId="4AAA57A4">
            <w:pPr>
              <w:jc w:val="center"/>
              <w:rPr>
                <w:color w:val="auto"/>
                <w:sz w:val="21"/>
                <w:szCs w:val="21"/>
                <w:highlight w:val="none"/>
              </w:rPr>
            </w:pPr>
            <w:r>
              <w:rPr>
                <w:rFonts w:hint="eastAsia"/>
                <w:color w:val="auto"/>
                <w:kern w:val="0"/>
                <w:sz w:val="21"/>
                <w:szCs w:val="21"/>
                <w:highlight w:val="none"/>
              </w:rPr>
              <w:t>ZH3301132000</w:t>
            </w:r>
            <w:r>
              <w:rPr>
                <w:rFonts w:hint="eastAsia"/>
                <w:color w:val="auto"/>
                <w:kern w:val="0"/>
                <w:sz w:val="21"/>
                <w:szCs w:val="21"/>
                <w:highlight w:val="none"/>
                <w:lang w:val="en-US" w:eastAsia="zh-CN"/>
              </w:rPr>
              <w:t>3</w:t>
            </w:r>
          </w:p>
        </w:tc>
        <w:tc>
          <w:tcPr>
            <w:tcW w:w="420" w:type="dxa"/>
            <w:vMerge w:val="restart"/>
            <w:noWrap w:val="0"/>
            <w:vAlign w:val="center"/>
          </w:tcPr>
          <w:p w14:paraId="20EA1683">
            <w:pPr>
              <w:jc w:val="center"/>
              <w:rPr>
                <w:color w:val="auto"/>
                <w:sz w:val="21"/>
                <w:szCs w:val="21"/>
                <w:highlight w:val="none"/>
              </w:rPr>
            </w:pPr>
            <w:r>
              <w:rPr>
                <w:rFonts w:hint="eastAsia"/>
                <w:color w:val="auto"/>
                <w:sz w:val="21"/>
                <w:szCs w:val="21"/>
                <w:highlight w:val="none"/>
                <w:lang w:val="en-US" w:eastAsia="zh-CN"/>
              </w:rPr>
              <w:t>临平区临平城区产业集聚重点管控单元</w:t>
            </w:r>
          </w:p>
        </w:tc>
        <w:tc>
          <w:tcPr>
            <w:tcW w:w="711" w:type="dxa"/>
            <w:vMerge w:val="restart"/>
            <w:noWrap w:val="0"/>
            <w:vAlign w:val="center"/>
          </w:tcPr>
          <w:p w14:paraId="19A83A43">
            <w:pPr>
              <w:jc w:val="center"/>
              <w:rPr>
                <w:color w:val="auto"/>
                <w:sz w:val="21"/>
                <w:szCs w:val="21"/>
                <w:highlight w:val="none"/>
              </w:rPr>
            </w:pPr>
            <w:r>
              <w:rPr>
                <w:color w:val="auto"/>
                <w:sz w:val="21"/>
                <w:szCs w:val="21"/>
                <w:highlight w:val="none"/>
              </w:rPr>
              <w:t>重点管控单元</w:t>
            </w:r>
          </w:p>
        </w:tc>
        <w:tc>
          <w:tcPr>
            <w:tcW w:w="426" w:type="dxa"/>
            <w:noWrap w:val="0"/>
            <w:vAlign w:val="center"/>
          </w:tcPr>
          <w:p w14:paraId="5B6446F9">
            <w:pPr>
              <w:jc w:val="center"/>
              <w:rPr>
                <w:color w:val="auto"/>
                <w:sz w:val="21"/>
                <w:szCs w:val="21"/>
                <w:highlight w:val="none"/>
              </w:rPr>
            </w:pPr>
            <w:r>
              <w:rPr>
                <w:color w:val="auto"/>
                <w:sz w:val="21"/>
                <w:szCs w:val="21"/>
                <w:highlight w:val="none"/>
              </w:rPr>
              <w:t>空间布局约束</w:t>
            </w:r>
          </w:p>
        </w:tc>
        <w:tc>
          <w:tcPr>
            <w:tcW w:w="3423" w:type="dxa"/>
            <w:noWrap w:val="0"/>
            <w:vAlign w:val="center"/>
          </w:tcPr>
          <w:p w14:paraId="24279C2F">
            <w:pPr>
              <w:rPr>
                <w:color w:val="auto"/>
                <w:sz w:val="21"/>
                <w:szCs w:val="21"/>
                <w:highlight w:val="none"/>
              </w:rPr>
            </w:pPr>
            <w:r>
              <w:rPr>
                <w:color w:val="auto"/>
                <w:sz w:val="21"/>
                <w:szCs w:val="21"/>
                <w:highlight w:val="none"/>
                <w:lang w:val="en-US" w:eastAsia="zh-CN"/>
              </w:rPr>
              <w:t>根据产业集聚区块的功能定位，建立</w:t>
            </w:r>
            <w:r>
              <w:rPr>
                <w:rFonts w:hint="default"/>
                <w:color w:val="auto"/>
                <w:sz w:val="21"/>
                <w:szCs w:val="21"/>
                <w:highlight w:val="none"/>
                <w:lang w:val="en-US" w:eastAsia="zh-CN"/>
              </w:rPr>
              <w:t>分区差别化的产业准入条件。合理规划布局居住、医疗卫生、文化教育等功能区块，与工业区块、工业企业之间设置防护绿地、生活绿地等隔离带。</w:t>
            </w:r>
          </w:p>
        </w:tc>
        <w:tc>
          <w:tcPr>
            <w:tcW w:w="1523" w:type="dxa"/>
            <w:noWrap w:val="0"/>
            <w:vAlign w:val="center"/>
          </w:tcPr>
          <w:p w14:paraId="3EED3020">
            <w:pPr>
              <w:rPr>
                <w:color w:val="auto"/>
                <w:sz w:val="21"/>
                <w:szCs w:val="21"/>
                <w:highlight w:val="none"/>
              </w:rPr>
            </w:pPr>
            <w:r>
              <w:rPr>
                <w:color w:val="auto"/>
                <w:sz w:val="21"/>
                <w:szCs w:val="21"/>
                <w:highlight w:val="none"/>
              </w:rPr>
              <w:t>本项目</w:t>
            </w:r>
            <w:r>
              <w:rPr>
                <w:rFonts w:hint="eastAsia"/>
                <w:color w:val="auto"/>
                <w:kern w:val="2"/>
                <w:sz w:val="21"/>
                <w:lang w:val="en-US" w:eastAsia="zh-CN"/>
              </w:rPr>
              <w:t>位于</w:t>
            </w:r>
            <w:r>
              <w:rPr>
                <w:rFonts w:hint="eastAsia"/>
                <w:color w:val="auto"/>
                <w:kern w:val="2"/>
                <w:sz w:val="21"/>
              </w:rPr>
              <w:t>塘栖装备机械产业园区，</w:t>
            </w:r>
            <w:r>
              <w:rPr>
                <w:color w:val="auto"/>
                <w:sz w:val="21"/>
                <w:szCs w:val="21"/>
                <w:highlight w:val="none"/>
              </w:rPr>
              <w:t>符合区域产业准入条件</w:t>
            </w:r>
            <w:r>
              <w:rPr>
                <w:rFonts w:hint="eastAsia"/>
                <w:color w:val="auto"/>
                <w:sz w:val="21"/>
                <w:szCs w:val="21"/>
                <w:highlight w:val="none"/>
                <w:lang w:eastAsia="zh-CN"/>
              </w:rPr>
              <w:t>，</w:t>
            </w:r>
            <w:r>
              <w:rPr>
                <w:rFonts w:hint="eastAsia"/>
                <w:color w:val="auto"/>
                <w:sz w:val="21"/>
                <w:szCs w:val="21"/>
                <w:highlight w:val="none"/>
                <w:lang w:val="en-US" w:eastAsia="zh-CN"/>
              </w:rPr>
              <w:t>用地性质为工业用地，</w:t>
            </w:r>
            <w:r>
              <w:rPr>
                <w:rFonts w:hint="eastAsia"/>
                <w:color w:val="auto"/>
                <w:sz w:val="21"/>
                <w:szCs w:val="21"/>
                <w:highlight w:val="none"/>
              </w:rPr>
              <w:t>项目</w:t>
            </w:r>
            <w:r>
              <w:rPr>
                <w:color w:val="auto"/>
                <w:sz w:val="21"/>
                <w:szCs w:val="21"/>
                <w:highlight w:val="none"/>
              </w:rPr>
              <w:t>周边</w:t>
            </w:r>
            <w:r>
              <w:rPr>
                <w:rFonts w:hint="eastAsia"/>
                <w:color w:val="auto"/>
                <w:sz w:val="21"/>
                <w:szCs w:val="21"/>
                <w:highlight w:val="none"/>
              </w:rPr>
              <w:t>主要</w:t>
            </w:r>
            <w:r>
              <w:rPr>
                <w:color w:val="auto"/>
                <w:sz w:val="21"/>
                <w:szCs w:val="21"/>
                <w:highlight w:val="none"/>
              </w:rPr>
              <w:t>为工业企业，</w:t>
            </w:r>
            <w:r>
              <w:rPr>
                <w:rFonts w:hint="eastAsia"/>
                <w:color w:val="auto"/>
                <w:sz w:val="21"/>
                <w:szCs w:val="21"/>
                <w:highlight w:val="none"/>
                <w:lang w:val="en-US" w:eastAsia="zh-CN"/>
              </w:rPr>
              <w:t>与</w:t>
            </w:r>
            <w:r>
              <w:rPr>
                <w:color w:val="auto"/>
                <w:sz w:val="21"/>
                <w:szCs w:val="21"/>
                <w:highlight w:val="none"/>
              </w:rPr>
              <w:t>居住区之间设置绿地隔离带</w:t>
            </w:r>
            <w:r>
              <w:rPr>
                <w:rFonts w:hint="eastAsia"/>
                <w:color w:val="auto"/>
                <w:sz w:val="21"/>
                <w:szCs w:val="21"/>
                <w:highlight w:val="none"/>
              </w:rPr>
              <w:t>，</w:t>
            </w:r>
            <w:r>
              <w:rPr>
                <w:color w:val="auto"/>
                <w:sz w:val="21"/>
                <w:szCs w:val="21"/>
                <w:highlight w:val="none"/>
              </w:rPr>
              <w:t>本项目各类污染物经收集处理后，对周边环境影响较小。</w:t>
            </w:r>
          </w:p>
        </w:tc>
        <w:tc>
          <w:tcPr>
            <w:tcW w:w="487" w:type="dxa"/>
            <w:noWrap w:val="0"/>
            <w:vAlign w:val="center"/>
          </w:tcPr>
          <w:p w14:paraId="79C09773">
            <w:pPr>
              <w:jc w:val="center"/>
              <w:rPr>
                <w:color w:val="auto"/>
                <w:sz w:val="21"/>
                <w:szCs w:val="21"/>
                <w:highlight w:val="none"/>
              </w:rPr>
            </w:pPr>
            <w:r>
              <w:rPr>
                <w:color w:val="auto"/>
                <w:sz w:val="21"/>
                <w:szCs w:val="21"/>
                <w:highlight w:val="none"/>
              </w:rPr>
              <w:t>符合</w:t>
            </w:r>
          </w:p>
        </w:tc>
      </w:tr>
      <w:tr w14:paraId="336CE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60" w:type="dxa"/>
            <w:vMerge w:val="continue"/>
            <w:noWrap w:val="0"/>
            <w:vAlign w:val="center"/>
          </w:tcPr>
          <w:p w14:paraId="6837BD5A">
            <w:pPr>
              <w:widowControl/>
              <w:jc w:val="left"/>
              <w:rPr>
                <w:color w:val="auto"/>
                <w:sz w:val="21"/>
                <w:szCs w:val="21"/>
                <w:highlight w:val="none"/>
              </w:rPr>
            </w:pPr>
          </w:p>
        </w:tc>
        <w:tc>
          <w:tcPr>
            <w:tcW w:w="420" w:type="dxa"/>
            <w:vMerge w:val="continue"/>
            <w:noWrap w:val="0"/>
            <w:vAlign w:val="center"/>
          </w:tcPr>
          <w:p w14:paraId="29E876B2">
            <w:pPr>
              <w:widowControl/>
              <w:jc w:val="left"/>
              <w:rPr>
                <w:color w:val="auto"/>
                <w:sz w:val="21"/>
                <w:szCs w:val="21"/>
                <w:highlight w:val="none"/>
              </w:rPr>
            </w:pPr>
          </w:p>
        </w:tc>
        <w:tc>
          <w:tcPr>
            <w:tcW w:w="711" w:type="dxa"/>
            <w:vMerge w:val="continue"/>
            <w:noWrap w:val="0"/>
            <w:vAlign w:val="center"/>
          </w:tcPr>
          <w:p w14:paraId="1F9580C6">
            <w:pPr>
              <w:widowControl/>
              <w:jc w:val="left"/>
              <w:rPr>
                <w:color w:val="auto"/>
                <w:sz w:val="21"/>
                <w:szCs w:val="21"/>
                <w:highlight w:val="none"/>
              </w:rPr>
            </w:pPr>
          </w:p>
        </w:tc>
        <w:tc>
          <w:tcPr>
            <w:tcW w:w="426" w:type="dxa"/>
            <w:noWrap w:val="0"/>
            <w:vAlign w:val="center"/>
          </w:tcPr>
          <w:p w14:paraId="46487A19">
            <w:pPr>
              <w:jc w:val="center"/>
              <w:rPr>
                <w:color w:val="auto"/>
                <w:sz w:val="21"/>
                <w:szCs w:val="21"/>
                <w:highlight w:val="none"/>
              </w:rPr>
            </w:pPr>
            <w:r>
              <w:rPr>
                <w:color w:val="auto"/>
                <w:sz w:val="21"/>
                <w:szCs w:val="21"/>
                <w:highlight w:val="none"/>
              </w:rPr>
              <w:t>污染物排放管控</w:t>
            </w:r>
          </w:p>
        </w:tc>
        <w:tc>
          <w:tcPr>
            <w:tcW w:w="3423" w:type="dxa"/>
            <w:noWrap w:val="0"/>
            <w:vAlign w:val="center"/>
          </w:tcPr>
          <w:p w14:paraId="0F366E19">
            <w:pPr>
              <w:rPr>
                <w:color w:val="auto"/>
                <w:sz w:val="21"/>
                <w:szCs w:val="21"/>
                <w:highlight w:val="none"/>
              </w:rPr>
            </w:pPr>
            <w:r>
              <w:rPr>
                <w:color w:val="auto"/>
                <w:sz w:val="21"/>
                <w:szCs w:val="21"/>
                <w:highlight w:val="none"/>
              </w:rPr>
              <w:t>严格实施污染物总量控制制度，根据区域环境质量改善目标，削减污染物排放总量。所有企业实现雨污分流。</w:t>
            </w:r>
          </w:p>
        </w:tc>
        <w:tc>
          <w:tcPr>
            <w:tcW w:w="1523" w:type="dxa"/>
            <w:noWrap w:val="0"/>
            <w:vAlign w:val="center"/>
          </w:tcPr>
          <w:p w14:paraId="4143A236">
            <w:pPr>
              <w:rPr>
                <w:color w:val="auto"/>
                <w:sz w:val="21"/>
                <w:szCs w:val="21"/>
                <w:highlight w:val="none"/>
              </w:rPr>
            </w:pPr>
            <w:r>
              <w:rPr>
                <w:color w:val="auto"/>
                <w:sz w:val="21"/>
                <w:szCs w:val="21"/>
                <w:highlight w:val="none"/>
              </w:rPr>
              <w:t>本项目新增主要污染物在区域内削减替代，满足污染物总量控制和减排要求。项目实施雨污分流，废水经厂内预处理后纳管，送至塘栖污水处理厂集中处理。</w:t>
            </w:r>
          </w:p>
        </w:tc>
        <w:tc>
          <w:tcPr>
            <w:tcW w:w="487" w:type="dxa"/>
            <w:noWrap w:val="0"/>
            <w:vAlign w:val="center"/>
          </w:tcPr>
          <w:p w14:paraId="4F94194D">
            <w:pPr>
              <w:jc w:val="center"/>
              <w:rPr>
                <w:color w:val="auto"/>
                <w:sz w:val="21"/>
                <w:szCs w:val="21"/>
                <w:highlight w:val="none"/>
              </w:rPr>
            </w:pPr>
            <w:r>
              <w:rPr>
                <w:color w:val="auto"/>
                <w:sz w:val="21"/>
                <w:szCs w:val="21"/>
                <w:highlight w:val="none"/>
              </w:rPr>
              <w:t>符合</w:t>
            </w:r>
          </w:p>
        </w:tc>
      </w:tr>
      <w:tr w14:paraId="3421C2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60" w:type="dxa"/>
            <w:vMerge w:val="continue"/>
            <w:noWrap w:val="0"/>
            <w:vAlign w:val="center"/>
          </w:tcPr>
          <w:p w14:paraId="21425F6F">
            <w:pPr>
              <w:widowControl/>
              <w:jc w:val="left"/>
              <w:rPr>
                <w:color w:val="auto"/>
                <w:sz w:val="21"/>
                <w:szCs w:val="21"/>
                <w:highlight w:val="none"/>
              </w:rPr>
            </w:pPr>
          </w:p>
        </w:tc>
        <w:tc>
          <w:tcPr>
            <w:tcW w:w="420" w:type="dxa"/>
            <w:vMerge w:val="continue"/>
            <w:noWrap w:val="0"/>
            <w:vAlign w:val="center"/>
          </w:tcPr>
          <w:p w14:paraId="3C759379">
            <w:pPr>
              <w:widowControl/>
              <w:jc w:val="left"/>
              <w:rPr>
                <w:color w:val="auto"/>
                <w:sz w:val="21"/>
                <w:szCs w:val="21"/>
                <w:highlight w:val="none"/>
              </w:rPr>
            </w:pPr>
          </w:p>
        </w:tc>
        <w:tc>
          <w:tcPr>
            <w:tcW w:w="711" w:type="dxa"/>
            <w:vMerge w:val="continue"/>
            <w:noWrap w:val="0"/>
            <w:vAlign w:val="center"/>
          </w:tcPr>
          <w:p w14:paraId="1A009180">
            <w:pPr>
              <w:widowControl/>
              <w:jc w:val="left"/>
              <w:rPr>
                <w:color w:val="auto"/>
                <w:sz w:val="21"/>
                <w:szCs w:val="21"/>
                <w:highlight w:val="none"/>
              </w:rPr>
            </w:pPr>
          </w:p>
        </w:tc>
        <w:tc>
          <w:tcPr>
            <w:tcW w:w="426" w:type="dxa"/>
            <w:noWrap w:val="0"/>
            <w:vAlign w:val="center"/>
          </w:tcPr>
          <w:p w14:paraId="5673F43B">
            <w:pPr>
              <w:jc w:val="center"/>
              <w:rPr>
                <w:color w:val="auto"/>
                <w:sz w:val="21"/>
                <w:szCs w:val="21"/>
                <w:highlight w:val="none"/>
              </w:rPr>
            </w:pPr>
            <w:r>
              <w:rPr>
                <w:color w:val="auto"/>
                <w:sz w:val="21"/>
                <w:szCs w:val="21"/>
                <w:highlight w:val="none"/>
              </w:rPr>
              <w:t>环境风险防控</w:t>
            </w:r>
          </w:p>
        </w:tc>
        <w:tc>
          <w:tcPr>
            <w:tcW w:w="3423" w:type="dxa"/>
            <w:noWrap w:val="0"/>
            <w:vAlign w:val="center"/>
          </w:tcPr>
          <w:p w14:paraId="5EA1335B">
            <w:pPr>
              <w:rPr>
                <w:color w:val="auto"/>
                <w:sz w:val="21"/>
                <w:szCs w:val="21"/>
                <w:highlight w:val="none"/>
              </w:rPr>
            </w:pPr>
            <w:r>
              <w:rPr>
                <w:color w:val="auto"/>
                <w:sz w:val="21"/>
                <w:szCs w:val="21"/>
                <w:highlight w:val="none"/>
              </w:rPr>
              <w:t>强化工业集聚区企业环境风险防范设施设备建设和正常运行监管，加强重点环境风险管控企业应急预案制定，建立常态化的企业隐患排查整治监管机制，加强风险防控体系建设。</w:t>
            </w:r>
          </w:p>
        </w:tc>
        <w:tc>
          <w:tcPr>
            <w:tcW w:w="1523" w:type="dxa"/>
            <w:noWrap w:val="0"/>
            <w:vAlign w:val="center"/>
          </w:tcPr>
          <w:p w14:paraId="2A5AAAD6">
            <w:pPr>
              <w:rPr>
                <w:color w:val="auto"/>
                <w:sz w:val="21"/>
                <w:szCs w:val="21"/>
                <w:highlight w:val="none"/>
              </w:rPr>
            </w:pPr>
            <w:r>
              <w:rPr>
                <w:color w:val="auto"/>
                <w:sz w:val="21"/>
                <w:szCs w:val="21"/>
                <w:highlight w:val="none"/>
              </w:rPr>
              <w:t>要求企业落实各项风险防范措施，与区域环境风险防控体系形成应急联动。</w:t>
            </w:r>
          </w:p>
        </w:tc>
        <w:tc>
          <w:tcPr>
            <w:tcW w:w="487" w:type="dxa"/>
            <w:noWrap w:val="0"/>
            <w:vAlign w:val="center"/>
          </w:tcPr>
          <w:p w14:paraId="45616344">
            <w:pPr>
              <w:jc w:val="center"/>
              <w:rPr>
                <w:color w:val="auto"/>
                <w:sz w:val="21"/>
                <w:szCs w:val="21"/>
                <w:highlight w:val="none"/>
              </w:rPr>
            </w:pPr>
            <w:r>
              <w:rPr>
                <w:color w:val="auto"/>
                <w:sz w:val="21"/>
                <w:szCs w:val="21"/>
                <w:highlight w:val="none"/>
              </w:rPr>
              <w:t>符合</w:t>
            </w:r>
          </w:p>
        </w:tc>
      </w:tr>
      <w:tr w14:paraId="4AA48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83" w:hRule="atLeast"/>
          <w:jc w:val="center"/>
        </w:trPr>
        <w:tc>
          <w:tcPr>
            <w:tcW w:w="460" w:type="dxa"/>
            <w:vMerge w:val="continue"/>
            <w:noWrap w:val="0"/>
            <w:vAlign w:val="center"/>
          </w:tcPr>
          <w:p w14:paraId="698910B6">
            <w:pPr>
              <w:widowControl/>
              <w:jc w:val="left"/>
              <w:rPr>
                <w:color w:val="auto"/>
                <w:sz w:val="21"/>
                <w:szCs w:val="21"/>
                <w:highlight w:val="none"/>
              </w:rPr>
            </w:pPr>
          </w:p>
        </w:tc>
        <w:tc>
          <w:tcPr>
            <w:tcW w:w="420" w:type="dxa"/>
            <w:vMerge w:val="continue"/>
            <w:noWrap w:val="0"/>
            <w:vAlign w:val="center"/>
          </w:tcPr>
          <w:p w14:paraId="7A5C0C79">
            <w:pPr>
              <w:widowControl/>
              <w:jc w:val="left"/>
              <w:rPr>
                <w:color w:val="auto"/>
                <w:sz w:val="21"/>
                <w:szCs w:val="21"/>
                <w:highlight w:val="none"/>
              </w:rPr>
            </w:pPr>
          </w:p>
        </w:tc>
        <w:tc>
          <w:tcPr>
            <w:tcW w:w="711" w:type="dxa"/>
            <w:vMerge w:val="continue"/>
            <w:noWrap w:val="0"/>
            <w:vAlign w:val="center"/>
          </w:tcPr>
          <w:p w14:paraId="789DE700">
            <w:pPr>
              <w:widowControl/>
              <w:jc w:val="left"/>
              <w:rPr>
                <w:color w:val="auto"/>
                <w:sz w:val="21"/>
                <w:szCs w:val="21"/>
                <w:highlight w:val="none"/>
              </w:rPr>
            </w:pPr>
          </w:p>
        </w:tc>
        <w:tc>
          <w:tcPr>
            <w:tcW w:w="426" w:type="dxa"/>
            <w:noWrap w:val="0"/>
            <w:vAlign w:val="center"/>
          </w:tcPr>
          <w:p w14:paraId="7B8B66C3">
            <w:pPr>
              <w:jc w:val="center"/>
              <w:rPr>
                <w:color w:val="auto"/>
                <w:sz w:val="21"/>
                <w:szCs w:val="21"/>
                <w:highlight w:val="none"/>
              </w:rPr>
            </w:pPr>
            <w:r>
              <w:rPr>
                <w:color w:val="auto"/>
                <w:sz w:val="21"/>
                <w:szCs w:val="21"/>
                <w:highlight w:val="none"/>
              </w:rPr>
              <w:t>资源开发效率要求</w:t>
            </w:r>
          </w:p>
        </w:tc>
        <w:tc>
          <w:tcPr>
            <w:tcW w:w="3423" w:type="dxa"/>
            <w:noWrap w:val="0"/>
            <w:vAlign w:val="center"/>
          </w:tcPr>
          <w:p w14:paraId="0FE8941A">
            <w:pPr>
              <w:jc w:val="center"/>
              <w:rPr>
                <w:color w:val="auto"/>
                <w:sz w:val="21"/>
                <w:szCs w:val="21"/>
                <w:highlight w:val="none"/>
              </w:rPr>
            </w:pPr>
            <w:r>
              <w:rPr>
                <w:color w:val="auto"/>
                <w:sz w:val="21"/>
                <w:szCs w:val="21"/>
                <w:highlight w:val="none"/>
              </w:rPr>
              <w:t>/</w:t>
            </w:r>
          </w:p>
        </w:tc>
        <w:tc>
          <w:tcPr>
            <w:tcW w:w="1523" w:type="dxa"/>
            <w:noWrap w:val="0"/>
            <w:vAlign w:val="center"/>
          </w:tcPr>
          <w:p w14:paraId="29C42BC7">
            <w:pPr>
              <w:jc w:val="center"/>
              <w:rPr>
                <w:color w:val="auto"/>
                <w:sz w:val="21"/>
                <w:szCs w:val="21"/>
                <w:highlight w:val="none"/>
              </w:rPr>
            </w:pPr>
            <w:r>
              <w:rPr>
                <w:color w:val="auto"/>
                <w:sz w:val="21"/>
                <w:szCs w:val="21"/>
                <w:highlight w:val="none"/>
              </w:rPr>
              <w:t>/</w:t>
            </w:r>
          </w:p>
        </w:tc>
        <w:tc>
          <w:tcPr>
            <w:tcW w:w="487" w:type="dxa"/>
            <w:noWrap w:val="0"/>
            <w:vAlign w:val="center"/>
          </w:tcPr>
          <w:p w14:paraId="4480013B">
            <w:pPr>
              <w:jc w:val="center"/>
              <w:rPr>
                <w:color w:val="auto"/>
                <w:sz w:val="21"/>
                <w:szCs w:val="21"/>
                <w:highlight w:val="none"/>
              </w:rPr>
            </w:pPr>
            <w:r>
              <w:rPr>
                <w:color w:val="auto"/>
                <w:sz w:val="21"/>
                <w:szCs w:val="21"/>
                <w:highlight w:val="none"/>
              </w:rPr>
              <w:t>/</w:t>
            </w:r>
          </w:p>
        </w:tc>
      </w:tr>
    </w:tbl>
    <w:p w14:paraId="75543EA1">
      <w:pPr>
        <w:adjustRightInd w:val="0"/>
        <w:snapToGrid w:val="0"/>
        <w:spacing w:line="360" w:lineRule="auto"/>
        <w:ind w:firstLine="480" w:firstLineChars="200"/>
        <w:rPr>
          <w:snapToGrid w:val="0"/>
          <w:color w:val="auto"/>
          <w:sz w:val="24"/>
        </w:rPr>
      </w:pPr>
      <w:r>
        <w:rPr>
          <w:rFonts w:hint="eastAsia"/>
          <w:snapToGrid w:val="0"/>
          <w:color w:val="auto"/>
          <w:sz w:val="24"/>
        </w:rPr>
        <w:t>综</w:t>
      </w:r>
      <w:r>
        <w:rPr>
          <w:snapToGrid w:val="0"/>
          <w:color w:val="auto"/>
          <w:sz w:val="24"/>
        </w:rPr>
        <w:t>上</w:t>
      </w:r>
      <w:r>
        <w:rPr>
          <w:rFonts w:hint="eastAsia"/>
          <w:snapToGrid w:val="0"/>
          <w:color w:val="auto"/>
          <w:sz w:val="24"/>
        </w:rPr>
        <w:t>分析，项目符合《杭州市生态环境分区管控动态更新方案》要求。</w:t>
      </w:r>
    </w:p>
    <w:p w14:paraId="2FE9138D">
      <w:pPr>
        <w:pStyle w:val="24"/>
        <w:ind w:firstLine="482"/>
        <w:jc w:val="left"/>
        <w:rPr>
          <w:b/>
          <w:color w:val="auto"/>
        </w:rPr>
      </w:pPr>
      <w:r>
        <w:rPr>
          <w:rFonts w:hint="eastAsia"/>
          <w:b/>
          <w:color w:val="auto"/>
        </w:rPr>
        <w:t>（2）规划环评符合性分析</w:t>
      </w:r>
    </w:p>
    <w:p w14:paraId="4607519F">
      <w:pPr>
        <w:pStyle w:val="24"/>
        <w:ind w:firstLine="480"/>
        <w:rPr>
          <w:rFonts w:ascii="Times New Roman" w:hAnsi="Times New Roman" w:eastAsia="宋体" w:cs="Times New Roman"/>
          <w:color w:val="auto"/>
          <w:kern w:val="0"/>
          <w:highlight w:val="none"/>
        </w:rPr>
      </w:pPr>
      <w:r>
        <w:rPr>
          <w:rFonts w:ascii="Times New Roman" w:hAnsi="Times New Roman" w:eastAsia="宋体" w:cs="Times New Roman"/>
          <w:color w:val="auto"/>
          <w:kern w:val="0"/>
          <w:highlight w:val="none"/>
        </w:rPr>
        <w:t>2018年7月杭州市余杭区塘栖镇人民政府组织编制了《塘栖装备机械产业园区控制性详细规划环境影响报告书(2014-2030)》，以现有规划环评为基础，参照省级以上各类开发区全面推行“区域环评+环境标准”的改革要求，制定并完善6张清单。</w:t>
      </w:r>
      <w:r>
        <w:rPr>
          <w:rFonts w:hint="default" w:ascii="Times New Roman" w:hAnsi="Times New Roman" w:eastAsia="宋体" w:cs="Times New Roman"/>
          <w:color w:val="auto"/>
          <w:kern w:val="0"/>
          <w:highlight w:val="none"/>
        </w:rPr>
        <w:t>2022年9月</w:t>
      </w:r>
      <w:r>
        <w:rPr>
          <w:rFonts w:ascii="Times New Roman" w:hAnsi="Times New Roman" w:eastAsia="宋体" w:cs="Times New Roman"/>
          <w:color w:val="auto"/>
          <w:kern w:val="0"/>
          <w:highlight w:val="none"/>
        </w:rPr>
        <w:t>，</w:t>
      </w:r>
      <w:r>
        <w:rPr>
          <w:rFonts w:hint="default" w:ascii="Times New Roman" w:hAnsi="Times New Roman" w:eastAsia="宋体" w:cs="Times New Roman"/>
          <w:color w:val="auto"/>
          <w:kern w:val="0"/>
          <w:szCs w:val="24"/>
          <w:highlight w:val="none"/>
        </w:rPr>
        <w:t>塘栖装备机械产业园区依据《杭州市“三线一单”生态环境分区管控方案》和</w:t>
      </w:r>
      <w:r>
        <w:rPr>
          <w:rFonts w:ascii="Times New Roman" w:hAnsi="Times New Roman" w:eastAsia="宋体" w:cs="Times New Roman"/>
          <w:color w:val="auto"/>
          <w:kern w:val="0"/>
          <w:szCs w:val="24"/>
          <w:highlight w:val="none"/>
        </w:rPr>
        <w:t>《</w:t>
      </w:r>
      <w:r>
        <w:rPr>
          <w:rFonts w:hint="default" w:ascii="Times New Roman" w:hAnsi="Times New Roman" w:eastAsia="宋体" w:cs="Times New Roman"/>
          <w:color w:val="auto"/>
          <w:kern w:val="0"/>
          <w:szCs w:val="24"/>
          <w:highlight w:val="none"/>
        </w:rPr>
        <w:t>杭州市</w:t>
      </w:r>
      <w:r>
        <w:rPr>
          <w:rFonts w:ascii="Times New Roman" w:hAnsi="Times New Roman" w:eastAsia="宋体" w:cs="Times New Roman"/>
          <w:color w:val="auto"/>
          <w:kern w:val="0"/>
          <w:szCs w:val="24"/>
          <w:highlight w:val="none"/>
        </w:rPr>
        <w:t>大运河世界文化遗产保护规划》</w:t>
      </w:r>
      <w:r>
        <w:rPr>
          <w:rFonts w:hint="default" w:ascii="Times New Roman" w:hAnsi="Times New Roman" w:eastAsia="宋体" w:cs="Times New Roman"/>
          <w:color w:val="auto"/>
          <w:kern w:val="0"/>
          <w:szCs w:val="24"/>
          <w:highlight w:val="none"/>
        </w:rPr>
        <w:t>，对《塘栖装备机械产业园区控制性详细规划环境影响报告书》中“六张清单”进行调整完善，编制完成了《塘栖装备机械产业园区控制性详细规划环境影响报告书“六张清单”修订说明》</w:t>
      </w:r>
      <w:r>
        <w:rPr>
          <w:rFonts w:ascii="Times New Roman" w:hAnsi="Times New Roman" w:eastAsia="宋体" w:cs="Times New Roman"/>
          <w:color w:val="auto"/>
          <w:kern w:val="0"/>
          <w:highlight w:val="none"/>
        </w:rPr>
        <w:t>。本</w:t>
      </w:r>
      <w:r>
        <w:rPr>
          <w:rFonts w:hint="eastAsia" w:ascii="Times New Roman" w:hAnsi="Times New Roman" w:eastAsia="宋体" w:cs="Times New Roman"/>
          <w:color w:val="auto"/>
          <w:kern w:val="0"/>
          <w:highlight w:val="none"/>
          <w:lang w:val="en-US" w:eastAsia="zh-CN"/>
        </w:rPr>
        <w:t>报告</w:t>
      </w:r>
      <w:r>
        <w:rPr>
          <w:rFonts w:ascii="Times New Roman" w:hAnsi="Times New Roman" w:eastAsia="宋体" w:cs="Times New Roman"/>
          <w:color w:val="auto"/>
          <w:kern w:val="0"/>
          <w:highlight w:val="none"/>
        </w:rPr>
        <w:t>重点对该6张清单的有关要求符合性进行分析。</w:t>
      </w:r>
    </w:p>
    <w:p w14:paraId="7206BBEF">
      <w:pPr>
        <w:pStyle w:val="24"/>
        <w:ind w:firstLine="482"/>
        <w:rPr>
          <w:rFonts w:hint="eastAsia" w:ascii="Times New Roman" w:hAnsi="Times New Roman" w:eastAsia="宋体" w:cs="Times New Roman"/>
          <w:b/>
          <w:color w:val="auto"/>
        </w:rPr>
      </w:pPr>
      <w:r>
        <w:rPr>
          <w:rFonts w:hint="eastAsia" w:ascii="Times New Roman" w:hAnsi="Times New Roman" w:eastAsia="宋体" w:cs="Times New Roman"/>
          <w:b/>
          <w:color w:val="auto"/>
        </w:rPr>
        <w:t>1）规划环评结论符合性分析</w:t>
      </w:r>
    </w:p>
    <w:p w14:paraId="02247D8A">
      <w:pPr>
        <w:pStyle w:val="24"/>
        <w:ind w:firstLine="482"/>
        <w:rPr>
          <w:b/>
          <w:color w:val="auto"/>
        </w:rPr>
      </w:pPr>
      <w:r>
        <w:rPr>
          <w:rFonts w:hint="eastAsia"/>
          <w:b/>
          <w:color w:val="auto"/>
        </w:rPr>
        <w:t>①生态空间清单符合性分析</w:t>
      </w:r>
    </w:p>
    <w:p w14:paraId="2B864FFA">
      <w:pPr>
        <w:adjustRightInd w:val="0"/>
        <w:snapToGrid w:val="0"/>
        <w:spacing w:line="360" w:lineRule="auto"/>
        <w:ind w:firstLine="480" w:firstLineChars="200"/>
        <w:rPr>
          <w:snapToGrid w:val="0"/>
          <w:color w:val="auto"/>
          <w:sz w:val="24"/>
        </w:rPr>
      </w:pPr>
      <w:r>
        <w:rPr>
          <w:rFonts w:hint="eastAsia"/>
          <w:snapToGrid w:val="0"/>
          <w:color w:val="auto"/>
          <w:sz w:val="24"/>
        </w:rPr>
        <w:t>本项目位于</w:t>
      </w:r>
      <w:r>
        <w:rPr>
          <w:rFonts w:hint="eastAsia"/>
          <w:snapToGrid w:val="0"/>
          <w:color w:val="auto"/>
          <w:sz w:val="24"/>
          <w:lang w:val="en-US" w:eastAsia="zh-Hans"/>
        </w:rPr>
        <w:t>临平区</w:t>
      </w:r>
      <w:r>
        <w:rPr>
          <w:rFonts w:hint="eastAsia"/>
          <w:snapToGrid w:val="0"/>
          <w:color w:val="auto"/>
          <w:sz w:val="24"/>
          <w:lang w:val="en-US" w:eastAsia="zh-CN"/>
        </w:rPr>
        <w:t>塘栖镇顺启路6号</w:t>
      </w:r>
      <w:r>
        <w:rPr>
          <w:rFonts w:hint="eastAsia"/>
          <w:snapToGrid w:val="0"/>
          <w:color w:val="auto"/>
          <w:sz w:val="24"/>
        </w:rPr>
        <w:t>，属于“</w:t>
      </w:r>
      <w:r>
        <w:rPr>
          <w:rFonts w:hint="eastAsia"/>
          <w:snapToGrid w:val="0"/>
          <w:color w:val="auto"/>
          <w:sz w:val="24"/>
          <w:lang w:val="en-US" w:eastAsia="zh-CN"/>
        </w:rPr>
        <w:t>临平区临平城区产业集聚重点管控单元</w:t>
      </w:r>
      <w:r>
        <w:rPr>
          <w:rFonts w:hint="eastAsia"/>
          <w:snapToGrid w:val="0"/>
          <w:color w:val="auto"/>
          <w:sz w:val="24"/>
        </w:rPr>
        <w:t>（ZH3301132000</w:t>
      </w:r>
      <w:r>
        <w:rPr>
          <w:rFonts w:hint="eastAsia"/>
          <w:snapToGrid w:val="0"/>
          <w:color w:val="auto"/>
          <w:sz w:val="24"/>
          <w:lang w:val="en-US" w:eastAsia="zh-CN"/>
        </w:rPr>
        <w:t>3</w:t>
      </w:r>
      <w:r>
        <w:rPr>
          <w:rFonts w:hint="eastAsia"/>
          <w:snapToGrid w:val="0"/>
          <w:color w:val="auto"/>
          <w:sz w:val="24"/>
        </w:rPr>
        <w:t>）</w:t>
      </w:r>
      <w:r>
        <w:rPr>
          <w:rFonts w:hint="eastAsia"/>
          <w:snapToGrid w:val="0"/>
          <w:color w:val="auto"/>
          <w:sz w:val="24"/>
          <w:lang w:eastAsia="zh-CN"/>
        </w:rPr>
        <w:t>”</w:t>
      </w:r>
      <w:r>
        <w:rPr>
          <w:rFonts w:hint="eastAsia"/>
          <w:snapToGrid w:val="0"/>
          <w:color w:val="auto"/>
          <w:sz w:val="24"/>
        </w:rPr>
        <w:t>。经对照，本项目位于塘栖装备机械产业园区</w:t>
      </w:r>
      <w:r>
        <w:rPr>
          <w:rFonts w:hint="eastAsia"/>
          <w:snapToGrid w:val="0"/>
          <w:color w:val="auto"/>
          <w:sz w:val="24"/>
          <w:lang w:eastAsia="zh-CN"/>
        </w:rPr>
        <w:t>现状工业提升区</w:t>
      </w:r>
      <w:r>
        <w:rPr>
          <w:rFonts w:hint="eastAsia"/>
          <w:snapToGrid w:val="0"/>
          <w:color w:val="auto"/>
          <w:sz w:val="24"/>
        </w:rPr>
        <w:t>，用地性质为</w:t>
      </w:r>
      <w:r>
        <w:rPr>
          <w:rFonts w:hint="eastAsia"/>
          <w:snapToGrid w:val="0"/>
          <w:color w:val="auto"/>
          <w:sz w:val="24"/>
          <w:lang w:eastAsia="zh-CN"/>
        </w:rPr>
        <w:t>工业用地</w:t>
      </w:r>
      <w:r>
        <w:rPr>
          <w:rFonts w:hint="eastAsia"/>
          <w:snapToGrid w:val="0"/>
          <w:color w:val="auto"/>
          <w:sz w:val="24"/>
        </w:rPr>
        <w:t>。本项目主要进行</w:t>
      </w:r>
      <w:r>
        <w:rPr>
          <w:rFonts w:hint="eastAsia"/>
          <w:snapToGrid w:val="0"/>
          <w:color w:val="auto"/>
          <w:sz w:val="24"/>
          <w:lang w:val="en-US" w:eastAsia="zh-Hans"/>
        </w:rPr>
        <w:t>塑料薄膜制造</w:t>
      </w:r>
      <w:r>
        <w:rPr>
          <w:rFonts w:hint="eastAsia"/>
          <w:snapToGrid w:val="0"/>
          <w:color w:val="auto"/>
          <w:sz w:val="24"/>
        </w:rPr>
        <w:t>，属于园区</w:t>
      </w:r>
      <w:r>
        <w:rPr>
          <w:rFonts w:hint="eastAsia"/>
          <w:snapToGrid w:val="0"/>
          <w:color w:val="auto"/>
          <w:sz w:val="24"/>
          <w:lang w:eastAsia="zh-CN"/>
        </w:rPr>
        <w:t>高端</w:t>
      </w:r>
      <w:r>
        <w:rPr>
          <w:rFonts w:hint="eastAsia"/>
          <w:snapToGrid w:val="0"/>
          <w:color w:val="auto"/>
          <w:sz w:val="24"/>
        </w:rPr>
        <w:t>装备制造业配套产业，不属于产业园区禁止或限制类行业。项目周边主要为工业企业，厂区雨污分流</w:t>
      </w:r>
      <w:r>
        <w:rPr>
          <w:rFonts w:hint="eastAsia"/>
          <w:snapToGrid w:val="0"/>
          <w:color w:val="auto"/>
          <w:sz w:val="24"/>
          <w:lang w:eastAsia="zh-CN"/>
        </w:rPr>
        <w:t>，</w:t>
      </w:r>
      <w:r>
        <w:rPr>
          <w:rFonts w:hint="eastAsia"/>
          <w:snapToGrid w:val="0"/>
          <w:color w:val="auto"/>
          <w:sz w:val="24"/>
        </w:rPr>
        <w:t>各类污染物经收集处理后，对周边环境影响较小。项目新增总量均可在区域内削减替代，本项目生活污水</w:t>
      </w:r>
      <w:r>
        <w:rPr>
          <w:rFonts w:hint="eastAsia"/>
          <w:snapToGrid w:val="0"/>
          <w:color w:val="auto"/>
          <w:sz w:val="24"/>
          <w:lang w:val="en-US" w:eastAsia="zh-CN"/>
        </w:rPr>
        <w:t>经</w:t>
      </w:r>
      <w:r>
        <w:rPr>
          <w:rFonts w:hint="eastAsia"/>
          <w:snapToGrid w:val="0"/>
          <w:color w:val="auto"/>
          <w:sz w:val="24"/>
        </w:rPr>
        <w:t>化粪池预处理后纳管排放。要求企业加强环境风险防范设施设备建设和正常运行监管，建立常态化的企业隐患排查整治监管机制，加强风险防控体系建设。综上，本项目建设符合生态空间清单要求。</w:t>
      </w:r>
    </w:p>
    <w:p w14:paraId="2A614DEB">
      <w:pPr>
        <w:pStyle w:val="24"/>
        <w:ind w:firstLine="482"/>
        <w:rPr>
          <w:b/>
          <w:color w:val="auto"/>
        </w:rPr>
      </w:pPr>
      <w:r>
        <w:rPr>
          <w:rFonts w:hint="eastAsia" w:ascii="Times New Roman" w:hAnsi="Times New Roman" w:eastAsia="宋体" w:cs="Times New Roman"/>
          <w:b/>
          <w:color w:val="auto"/>
          <w:lang w:val="en-US" w:eastAsia="zh-CN"/>
        </w:rPr>
        <w:t>②</w:t>
      </w:r>
      <w:r>
        <w:rPr>
          <w:rFonts w:hint="eastAsia" w:ascii="Times New Roman" w:hAnsi="Times New Roman" w:eastAsia="宋体" w:cs="Times New Roman"/>
          <w:b/>
          <w:color w:val="auto"/>
        </w:rPr>
        <w:t>现</w:t>
      </w:r>
      <w:r>
        <w:rPr>
          <w:rFonts w:hint="eastAsia"/>
          <w:b/>
          <w:color w:val="auto"/>
        </w:rPr>
        <w:t>有问题整改措施清单符合性分析</w:t>
      </w:r>
    </w:p>
    <w:p w14:paraId="7F4C94FC">
      <w:pPr>
        <w:pStyle w:val="24"/>
        <w:adjustRightInd w:val="0"/>
        <w:snapToGrid w:val="0"/>
        <w:ind w:firstLine="480"/>
        <w:rPr>
          <w:color w:val="auto"/>
        </w:rPr>
      </w:pPr>
      <w:r>
        <w:rPr>
          <w:rFonts w:hint="eastAsia"/>
          <w:color w:val="auto"/>
        </w:rPr>
        <w:t>本项目属于新建项目，不新增用地，对照规划环评现有问题清单，不涉及现有问题整改措施中的内容，符合相关要求。</w:t>
      </w:r>
    </w:p>
    <w:p w14:paraId="4B60D5A9">
      <w:pPr>
        <w:pStyle w:val="24"/>
        <w:adjustRightInd w:val="0"/>
        <w:snapToGrid w:val="0"/>
        <w:ind w:firstLine="482"/>
        <w:rPr>
          <w:b/>
          <w:color w:val="auto"/>
        </w:rPr>
      </w:pPr>
      <w:r>
        <w:rPr>
          <w:rFonts w:hint="eastAsia"/>
          <w:b/>
          <w:color w:val="auto"/>
          <w:lang w:val="en-US" w:eastAsia="zh-CN"/>
        </w:rPr>
        <w:t>③</w:t>
      </w:r>
      <w:r>
        <w:rPr>
          <w:rFonts w:hint="eastAsia"/>
          <w:b/>
          <w:color w:val="auto"/>
        </w:rPr>
        <w:t>污染物排放总量管控限值清单符合性分析</w:t>
      </w:r>
    </w:p>
    <w:p w14:paraId="34A71C8D">
      <w:pPr>
        <w:adjustRightInd w:val="0"/>
        <w:snapToGrid w:val="0"/>
        <w:spacing w:line="360" w:lineRule="auto"/>
        <w:ind w:firstLine="480" w:firstLineChars="200"/>
        <w:rPr>
          <w:rFonts w:hint="eastAsia" w:ascii="Times New Roman" w:hAnsi="Times New Roman" w:eastAsia="宋体" w:cs="Times New Roman"/>
          <w:snapToGrid w:val="0"/>
          <w:color w:val="auto"/>
          <w:sz w:val="24"/>
        </w:rPr>
      </w:pPr>
      <w:r>
        <w:rPr>
          <w:rFonts w:hint="eastAsia"/>
          <w:snapToGrid w:val="0"/>
          <w:color w:val="auto"/>
          <w:sz w:val="24"/>
        </w:rPr>
        <w:t>本项目建成后，污染物排放</w:t>
      </w:r>
      <w:r>
        <w:rPr>
          <w:rFonts w:hint="eastAsia"/>
          <w:snapToGrid w:val="0"/>
          <w:color w:val="auto"/>
          <w:sz w:val="24"/>
          <w:highlight w:val="none"/>
        </w:rPr>
        <w:t>量为</w:t>
      </w:r>
      <w:r>
        <w:rPr>
          <w:snapToGrid w:val="0"/>
          <w:color w:val="auto"/>
          <w:sz w:val="24"/>
          <w:highlight w:val="none"/>
        </w:rPr>
        <w:t>COD</w:t>
      </w:r>
      <w:r>
        <w:rPr>
          <w:snapToGrid w:val="0"/>
          <w:color w:val="auto"/>
          <w:sz w:val="24"/>
          <w:highlight w:val="none"/>
          <w:vertAlign w:val="subscript"/>
        </w:rPr>
        <w:t>Cr</w:t>
      </w:r>
      <w:r>
        <w:rPr>
          <w:rFonts w:hint="eastAsia"/>
          <w:snapToGrid w:val="0"/>
          <w:color w:val="auto"/>
          <w:sz w:val="24"/>
          <w:highlight w:val="none"/>
          <w:lang w:val="en-US" w:eastAsia="zh-CN"/>
        </w:rPr>
        <w:t>0.028</w:t>
      </w:r>
      <w:r>
        <w:rPr>
          <w:snapToGrid w:val="0"/>
          <w:color w:val="auto"/>
          <w:sz w:val="24"/>
          <w:highlight w:val="none"/>
        </w:rPr>
        <w:t>t/a</w:t>
      </w:r>
      <w:r>
        <w:rPr>
          <w:rFonts w:hint="eastAsia"/>
          <w:snapToGrid w:val="0"/>
          <w:color w:val="auto"/>
          <w:sz w:val="24"/>
          <w:highlight w:val="none"/>
        </w:rPr>
        <w:t>、</w:t>
      </w:r>
      <w:r>
        <w:rPr>
          <w:snapToGrid w:val="0"/>
          <w:color w:val="auto"/>
          <w:sz w:val="24"/>
          <w:highlight w:val="none"/>
        </w:rPr>
        <w:t>NH</w:t>
      </w:r>
      <w:r>
        <w:rPr>
          <w:snapToGrid w:val="0"/>
          <w:color w:val="auto"/>
          <w:sz w:val="24"/>
          <w:highlight w:val="none"/>
          <w:vertAlign w:val="subscript"/>
        </w:rPr>
        <w:t>3</w:t>
      </w:r>
      <w:r>
        <w:rPr>
          <w:snapToGrid w:val="0"/>
          <w:color w:val="auto"/>
          <w:sz w:val="24"/>
          <w:highlight w:val="none"/>
        </w:rPr>
        <w:t>-N0.0</w:t>
      </w:r>
      <w:r>
        <w:rPr>
          <w:rFonts w:hint="eastAsia"/>
          <w:snapToGrid w:val="0"/>
          <w:color w:val="auto"/>
          <w:sz w:val="24"/>
          <w:highlight w:val="none"/>
          <w:lang w:val="en-US" w:eastAsia="zh-CN"/>
        </w:rPr>
        <w:t>01</w:t>
      </w:r>
      <w:r>
        <w:rPr>
          <w:snapToGrid w:val="0"/>
          <w:color w:val="auto"/>
          <w:sz w:val="24"/>
          <w:highlight w:val="none"/>
        </w:rPr>
        <w:t>t/a</w:t>
      </w:r>
      <w:r>
        <w:rPr>
          <w:rFonts w:hint="eastAsia"/>
          <w:snapToGrid w:val="0"/>
          <w:color w:val="auto"/>
          <w:sz w:val="24"/>
          <w:highlight w:val="none"/>
        </w:rPr>
        <w:t>，另</w:t>
      </w:r>
      <w:r>
        <w:rPr>
          <w:snapToGrid w:val="0"/>
          <w:color w:val="auto"/>
          <w:sz w:val="24"/>
          <w:highlight w:val="none"/>
        </w:rPr>
        <w:t>VOCs</w:t>
      </w:r>
      <w:r>
        <w:rPr>
          <w:rFonts w:hint="eastAsia"/>
          <w:snapToGrid w:val="0"/>
          <w:color w:val="auto"/>
          <w:sz w:val="24"/>
          <w:highlight w:val="none"/>
        </w:rPr>
        <w:t>为</w:t>
      </w:r>
      <w:r>
        <w:rPr>
          <w:rFonts w:hint="eastAsia"/>
          <w:snapToGrid w:val="0"/>
          <w:color w:val="auto"/>
          <w:sz w:val="24"/>
          <w:highlight w:val="none"/>
          <w:lang w:val="en-US" w:eastAsia="zh-CN"/>
        </w:rPr>
        <w:t>1.025</w:t>
      </w:r>
      <w:r>
        <w:rPr>
          <w:snapToGrid w:val="0"/>
          <w:color w:val="auto"/>
          <w:sz w:val="24"/>
          <w:highlight w:val="none"/>
        </w:rPr>
        <w:t>t/a</w:t>
      </w:r>
      <w:r>
        <w:rPr>
          <w:rFonts w:hint="eastAsia"/>
          <w:snapToGrid w:val="0"/>
          <w:color w:val="auto"/>
          <w:sz w:val="24"/>
          <w:highlight w:val="none"/>
        </w:rPr>
        <w:t>。</w:t>
      </w:r>
      <w:r>
        <w:rPr>
          <w:rFonts w:hint="eastAsia" w:ascii="Times New Roman" w:hAnsi="Times New Roman" w:eastAsia="宋体" w:cs="Times New Roman"/>
          <w:snapToGrid w:val="0"/>
          <w:color w:val="auto"/>
          <w:sz w:val="24"/>
          <w:highlight w:val="none"/>
        </w:rPr>
        <w:t>各类污染物新增排放量较小，</w:t>
      </w:r>
      <w:r>
        <w:rPr>
          <w:rFonts w:hint="eastAsia" w:ascii="Times New Roman" w:hAnsi="Times New Roman" w:eastAsia="宋体" w:cs="Times New Roman"/>
          <w:snapToGrid w:val="0"/>
          <w:color w:val="auto"/>
          <w:sz w:val="24"/>
        </w:rPr>
        <w:t>新增污染物总量指标可在区域内进行削减替代，不会导致区域污染物排放量突破总量管控限值</w:t>
      </w:r>
      <w:r>
        <w:rPr>
          <w:rFonts w:hint="eastAsia" w:ascii="Times New Roman" w:hAnsi="Times New Roman" w:eastAsia="宋体" w:cs="Times New Roman"/>
          <w:snapToGrid w:val="0"/>
          <w:color w:val="auto"/>
          <w:sz w:val="24"/>
          <w:lang w:eastAsia="zh-CN"/>
        </w:rPr>
        <w:t>，符合污染物</w:t>
      </w:r>
      <w:r>
        <w:rPr>
          <w:rFonts w:hint="eastAsia" w:ascii="Times New Roman" w:hAnsi="Times New Roman" w:eastAsia="宋体" w:cs="Times New Roman"/>
          <w:snapToGrid w:val="0"/>
          <w:color w:val="auto"/>
          <w:sz w:val="24"/>
          <w:lang w:val="en-US" w:eastAsia="zh-CN"/>
        </w:rPr>
        <w:t>排放</w:t>
      </w:r>
      <w:r>
        <w:rPr>
          <w:rFonts w:hint="eastAsia" w:ascii="Times New Roman" w:hAnsi="Times New Roman" w:eastAsia="宋体" w:cs="Times New Roman"/>
          <w:snapToGrid w:val="0"/>
          <w:color w:val="auto"/>
          <w:sz w:val="24"/>
          <w:lang w:eastAsia="zh-CN"/>
        </w:rPr>
        <w:t>总量管控限值清单要求</w:t>
      </w:r>
      <w:r>
        <w:rPr>
          <w:rFonts w:hint="eastAsia" w:ascii="Times New Roman" w:hAnsi="Times New Roman" w:eastAsia="宋体" w:cs="Times New Roman"/>
          <w:snapToGrid w:val="0"/>
          <w:color w:val="auto"/>
          <w:sz w:val="24"/>
        </w:rPr>
        <w:t>。</w:t>
      </w:r>
    </w:p>
    <w:p w14:paraId="149DE542">
      <w:pPr>
        <w:pStyle w:val="24"/>
        <w:ind w:firstLine="482"/>
        <w:rPr>
          <w:b/>
          <w:color w:val="auto"/>
        </w:rPr>
      </w:pPr>
      <w:r>
        <w:rPr>
          <w:rFonts w:hint="eastAsia"/>
          <w:b/>
          <w:color w:val="auto"/>
          <w:lang w:val="en-US" w:eastAsia="zh-CN"/>
        </w:rPr>
        <w:t>④</w:t>
      </w:r>
      <w:r>
        <w:rPr>
          <w:rFonts w:hint="eastAsia"/>
          <w:b/>
          <w:color w:val="auto"/>
        </w:rPr>
        <w:t>规划</w:t>
      </w:r>
      <w:r>
        <w:rPr>
          <w:rFonts w:hint="eastAsia"/>
          <w:b/>
          <w:color w:val="auto"/>
          <w:lang w:val="en-US" w:eastAsia="zh-CN"/>
        </w:rPr>
        <w:t>方案</w:t>
      </w:r>
      <w:r>
        <w:rPr>
          <w:rFonts w:hint="eastAsia"/>
          <w:b/>
          <w:color w:val="auto"/>
        </w:rPr>
        <w:t>优化调整建议清单符合性分析</w:t>
      </w:r>
    </w:p>
    <w:p w14:paraId="7E374927">
      <w:pPr>
        <w:pStyle w:val="20"/>
        <w:numPr>
          <w:ilvl w:val="0"/>
          <w:numId w:val="6"/>
        </w:numPr>
        <w:spacing w:before="156"/>
        <w:rPr>
          <w:color w:val="auto"/>
        </w:rPr>
      </w:pPr>
      <w:r>
        <w:rPr>
          <w:rFonts w:hint="eastAsia"/>
          <w:color w:val="auto"/>
        </w:rPr>
        <w:t>规划</w:t>
      </w:r>
      <w:r>
        <w:rPr>
          <w:rFonts w:hint="eastAsia"/>
          <w:color w:val="auto"/>
          <w:lang w:val="en-US" w:eastAsia="zh-CN"/>
        </w:rPr>
        <w:t>方案</w:t>
      </w:r>
      <w:r>
        <w:rPr>
          <w:rFonts w:hint="eastAsia"/>
          <w:color w:val="auto"/>
        </w:rPr>
        <w:t>优化调整建议清单符合性分析</w:t>
      </w:r>
    </w:p>
    <w:tbl>
      <w:tblPr>
        <w:tblStyle w:val="15"/>
        <w:tblW w:w="499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474"/>
        <w:gridCol w:w="477"/>
        <w:gridCol w:w="794"/>
        <w:gridCol w:w="1980"/>
        <w:gridCol w:w="2672"/>
        <w:gridCol w:w="954"/>
        <w:gridCol w:w="955"/>
      </w:tblGrid>
      <w:tr w14:paraId="6F9E626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572" w:type="pct"/>
            <w:gridSpan w:val="2"/>
            <w:noWrap w:val="0"/>
            <w:tcMar>
              <w:top w:w="0" w:type="dxa"/>
              <w:left w:w="0" w:type="dxa"/>
              <w:bottom w:w="0" w:type="dxa"/>
              <w:right w:w="0" w:type="dxa"/>
            </w:tcMar>
            <w:vAlign w:val="center"/>
          </w:tcPr>
          <w:p w14:paraId="41A5AEF2">
            <w:pPr>
              <w:jc w:val="center"/>
              <w:rPr>
                <w:bCs/>
                <w:color w:val="auto"/>
                <w:sz w:val="21"/>
                <w:szCs w:val="21"/>
                <w:highlight w:val="none"/>
                <w:lang w:val="zh-CN"/>
              </w:rPr>
            </w:pPr>
            <w:r>
              <w:rPr>
                <w:bCs/>
                <w:color w:val="auto"/>
                <w:kern w:val="0"/>
                <w:sz w:val="21"/>
                <w:szCs w:val="21"/>
                <w:highlight w:val="none"/>
                <w:lang w:val="zh-CN"/>
              </w:rPr>
              <w:t>调整类型</w:t>
            </w:r>
          </w:p>
        </w:tc>
        <w:tc>
          <w:tcPr>
            <w:tcW w:w="477" w:type="pct"/>
            <w:noWrap w:val="0"/>
            <w:tcMar>
              <w:top w:w="0" w:type="dxa"/>
              <w:left w:w="0" w:type="dxa"/>
              <w:bottom w:w="0" w:type="dxa"/>
              <w:right w:w="0" w:type="dxa"/>
            </w:tcMar>
            <w:vAlign w:val="center"/>
          </w:tcPr>
          <w:p w14:paraId="7FB19923">
            <w:pPr>
              <w:jc w:val="center"/>
              <w:rPr>
                <w:bCs/>
                <w:color w:val="auto"/>
                <w:sz w:val="21"/>
                <w:szCs w:val="21"/>
                <w:highlight w:val="none"/>
                <w:lang w:val="zh-CN"/>
              </w:rPr>
            </w:pPr>
            <w:r>
              <w:rPr>
                <w:bCs/>
                <w:color w:val="auto"/>
                <w:sz w:val="21"/>
                <w:szCs w:val="21"/>
                <w:highlight w:val="none"/>
                <w:lang w:val="zh-CN"/>
              </w:rPr>
              <w:t>规划期限</w:t>
            </w:r>
          </w:p>
        </w:tc>
        <w:tc>
          <w:tcPr>
            <w:tcW w:w="1191" w:type="pct"/>
            <w:noWrap w:val="0"/>
            <w:tcMar>
              <w:top w:w="0" w:type="dxa"/>
              <w:left w:w="0" w:type="dxa"/>
              <w:bottom w:w="0" w:type="dxa"/>
              <w:right w:w="0" w:type="dxa"/>
            </w:tcMar>
            <w:vAlign w:val="center"/>
          </w:tcPr>
          <w:p w14:paraId="0D812AB7">
            <w:pPr>
              <w:jc w:val="center"/>
              <w:rPr>
                <w:bCs/>
                <w:color w:val="auto"/>
                <w:sz w:val="21"/>
                <w:szCs w:val="21"/>
                <w:highlight w:val="none"/>
                <w:lang w:val="zh-CN"/>
              </w:rPr>
            </w:pPr>
            <w:r>
              <w:rPr>
                <w:bCs/>
                <w:color w:val="auto"/>
                <w:sz w:val="21"/>
                <w:szCs w:val="21"/>
                <w:highlight w:val="none"/>
                <w:lang w:val="zh-CN"/>
              </w:rPr>
              <w:t>规划内容</w:t>
            </w:r>
          </w:p>
        </w:tc>
        <w:tc>
          <w:tcPr>
            <w:tcW w:w="1608" w:type="pct"/>
            <w:noWrap w:val="0"/>
            <w:tcMar>
              <w:top w:w="0" w:type="dxa"/>
              <w:left w:w="0" w:type="dxa"/>
              <w:bottom w:w="0" w:type="dxa"/>
              <w:right w:w="0" w:type="dxa"/>
            </w:tcMar>
            <w:vAlign w:val="center"/>
          </w:tcPr>
          <w:p w14:paraId="3D2D980D">
            <w:pPr>
              <w:jc w:val="center"/>
              <w:rPr>
                <w:bCs/>
                <w:color w:val="auto"/>
                <w:sz w:val="21"/>
                <w:szCs w:val="21"/>
                <w:highlight w:val="none"/>
                <w:lang w:val="zh-CN"/>
              </w:rPr>
            </w:pPr>
            <w:r>
              <w:rPr>
                <w:bCs/>
                <w:color w:val="auto"/>
                <w:sz w:val="21"/>
                <w:szCs w:val="21"/>
                <w:highlight w:val="none"/>
                <w:lang w:val="zh-CN"/>
              </w:rPr>
              <w:t>调整建议</w:t>
            </w:r>
          </w:p>
        </w:tc>
        <w:tc>
          <w:tcPr>
            <w:tcW w:w="574" w:type="pct"/>
            <w:noWrap w:val="0"/>
            <w:tcMar>
              <w:top w:w="0" w:type="dxa"/>
              <w:left w:w="0" w:type="dxa"/>
              <w:bottom w:w="0" w:type="dxa"/>
              <w:right w:w="0" w:type="dxa"/>
            </w:tcMar>
            <w:vAlign w:val="center"/>
          </w:tcPr>
          <w:p w14:paraId="3E7028BF">
            <w:pPr>
              <w:jc w:val="center"/>
              <w:rPr>
                <w:bCs/>
                <w:color w:val="auto"/>
                <w:sz w:val="21"/>
                <w:szCs w:val="21"/>
                <w:highlight w:val="none"/>
                <w:lang w:val="zh-CN"/>
              </w:rPr>
            </w:pPr>
            <w:r>
              <w:rPr>
                <w:bCs/>
                <w:color w:val="auto"/>
                <w:sz w:val="21"/>
                <w:szCs w:val="21"/>
                <w:highlight w:val="none"/>
                <w:lang w:val="zh-CN"/>
              </w:rPr>
              <w:t>本项目情况</w:t>
            </w:r>
          </w:p>
        </w:tc>
        <w:tc>
          <w:tcPr>
            <w:tcW w:w="575" w:type="pct"/>
            <w:noWrap w:val="0"/>
            <w:tcMar>
              <w:top w:w="0" w:type="dxa"/>
              <w:left w:w="0" w:type="dxa"/>
              <w:bottom w:w="0" w:type="dxa"/>
              <w:right w:w="0" w:type="dxa"/>
            </w:tcMar>
            <w:vAlign w:val="center"/>
          </w:tcPr>
          <w:p w14:paraId="7CC21080">
            <w:pPr>
              <w:jc w:val="center"/>
              <w:rPr>
                <w:bCs/>
                <w:color w:val="auto"/>
                <w:sz w:val="21"/>
                <w:szCs w:val="21"/>
                <w:highlight w:val="none"/>
                <w:lang w:val="zh-CN"/>
              </w:rPr>
            </w:pPr>
            <w:r>
              <w:rPr>
                <w:bCs/>
                <w:color w:val="auto"/>
                <w:sz w:val="21"/>
                <w:szCs w:val="21"/>
                <w:highlight w:val="none"/>
                <w:lang w:val="zh-CN"/>
              </w:rPr>
              <w:t>符合性</w:t>
            </w:r>
          </w:p>
        </w:tc>
      </w:tr>
      <w:tr w14:paraId="614B232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572" w:type="pct"/>
            <w:gridSpan w:val="2"/>
            <w:vMerge w:val="restart"/>
            <w:noWrap w:val="0"/>
            <w:tcMar>
              <w:top w:w="0" w:type="dxa"/>
              <w:left w:w="0" w:type="dxa"/>
              <w:bottom w:w="0" w:type="dxa"/>
              <w:right w:w="0" w:type="dxa"/>
            </w:tcMar>
            <w:vAlign w:val="center"/>
          </w:tcPr>
          <w:p w14:paraId="0DBCD80D">
            <w:pPr>
              <w:jc w:val="center"/>
              <w:rPr>
                <w:bCs/>
                <w:color w:val="auto"/>
                <w:kern w:val="0"/>
                <w:sz w:val="21"/>
                <w:szCs w:val="21"/>
                <w:highlight w:val="none"/>
                <w:lang w:val="zh-CN"/>
              </w:rPr>
            </w:pPr>
            <w:r>
              <w:rPr>
                <w:bCs/>
                <w:color w:val="auto"/>
                <w:kern w:val="0"/>
                <w:sz w:val="21"/>
                <w:szCs w:val="21"/>
                <w:highlight w:val="none"/>
                <w:lang w:val="zh-CN"/>
              </w:rPr>
              <w:t>规划产</w:t>
            </w:r>
          </w:p>
          <w:p w14:paraId="2F71EC6D">
            <w:pPr>
              <w:jc w:val="center"/>
              <w:rPr>
                <w:bCs/>
                <w:color w:val="auto"/>
                <w:kern w:val="0"/>
                <w:sz w:val="21"/>
                <w:szCs w:val="21"/>
                <w:highlight w:val="none"/>
                <w:lang w:val="zh-CN"/>
              </w:rPr>
            </w:pPr>
            <w:r>
              <w:rPr>
                <w:bCs/>
                <w:color w:val="auto"/>
                <w:kern w:val="0"/>
                <w:sz w:val="21"/>
                <w:szCs w:val="21"/>
                <w:highlight w:val="none"/>
                <w:lang w:val="zh-CN"/>
              </w:rPr>
              <w:t>业定位</w:t>
            </w:r>
          </w:p>
        </w:tc>
        <w:tc>
          <w:tcPr>
            <w:tcW w:w="477" w:type="pct"/>
            <w:vMerge w:val="restart"/>
            <w:noWrap w:val="0"/>
            <w:tcMar>
              <w:top w:w="0" w:type="dxa"/>
              <w:left w:w="0" w:type="dxa"/>
              <w:bottom w:w="0" w:type="dxa"/>
              <w:right w:w="0" w:type="dxa"/>
            </w:tcMar>
            <w:vAlign w:val="center"/>
          </w:tcPr>
          <w:p w14:paraId="55D0E8F4">
            <w:pPr>
              <w:jc w:val="center"/>
              <w:rPr>
                <w:bCs/>
                <w:color w:val="auto"/>
                <w:kern w:val="0"/>
                <w:sz w:val="21"/>
                <w:szCs w:val="21"/>
                <w:highlight w:val="none"/>
                <w:lang w:val="zh-CN"/>
              </w:rPr>
            </w:pPr>
            <w:r>
              <w:rPr>
                <w:bCs/>
                <w:color w:val="auto"/>
                <w:kern w:val="0"/>
                <w:sz w:val="21"/>
                <w:szCs w:val="21"/>
                <w:highlight w:val="none"/>
                <w:lang w:val="zh-CN"/>
              </w:rPr>
              <w:t>至2030年</w:t>
            </w:r>
          </w:p>
        </w:tc>
        <w:tc>
          <w:tcPr>
            <w:tcW w:w="1191" w:type="pct"/>
            <w:vMerge w:val="restart"/>
            <w:noWrap w:val="0"/>
            <w:tcMar>
              <w:top w:w="0" w:type="dxa"/>
              <w:left w:w="0" w:type="dxa"/>
              <w:bottom w:w="0" w:type="dxa"/>
              <w:right w:w="0" w:type="dxa"/>
            </w:tcMar>
            <w:vAlign w:val="center"/>
          </w:tcPr>
          <w:p w14:paraId="22D3A6CB">
            <w:pPr>
              <w:jc w:val="both"/>
              <w:rPr>
                <w:bCs/>
                <w:color w:val="auto"/>
                <w:kern w:val="0"/>
                <w:sz w:val="21"/>
                <w:szCs w:val="21"/>
                <w:highlight w:val="none"/>
                <w:lang w:val="zh-CN"/>
              </w:rPr>
            </w:pPr>
            <w:r>
              <w:rPr>
                <w:snapToGrid w:val="0"/>
                <w:color w:val="auto"/>
                <w:kern w:val="0"/>
                <w:sz w:val="21"/>
                <w:szCs w:val="21"/>
                <w:highlight w:val="none"/>
              </w:rPr>
              <w:t>提升发展现状装备制造业和金属制品业，形成以高端装备制造业为主导，生产性服务业、电子商务产业和商业商务产业为配套的特色装备机械产业园区。</w:t>
            </w:r>
          </w:p>
        </w:tc>
        <w:tc>
          <w:tcPr>
            <w:tcW w:w="1608" w:type="pct"/>
            <w:noWrap w:val="0"/>
            <w:tcMar>
              <w:top w:w="0" w:type="dxa"/>
              <w:left w:w="0" w:type="dxa"/>
              <w:bottom w:w="0" w:type="dxa"/>
              <w:right w:w="0" w:type="dxa"/>
            </w:tcMar>
            <w:vAlign w:val="center"/>
          </w:tcPr>
          <w:p w14:paraId="7229FF72">
            <w:pPr>
              <w:rPr>
                <w:snapToGrid w:val="0"/>
                <w:color w:val="auto"/>
                <w:kern w:val="0"/>
                <w:sz w:val="21"/>
                <w:szCs w:val="21"/>
                <w:highlight w:val="none"/>
              </w:rPr>
            </w:pPr>
            <w:r>
              <w:rPr>
                <w:snapToGrid w:val="0"/>
                <w:color w:val="auto"/>
                <w:kern w:val="0"/>
                <w:sz w:val="21"/>
                <w:szCs w:val="21"/>
                <w:highlight w:val="none"/>
              </w:rPr>
              <w:t>针对规划产业结构：逐步优化现有产业结构：逐步提高高新技术企业及产业的占比，随着产业化发展，逐步提高度物业增加值占比。</w:t>
            </w:r>
          </w:p>
          <w:p w14:paraId="1774DD79">
            <w:pPr>
              <w:rPr>
                <w:snapToGrid w:val="0"/>
                <w:color w:val="auto"/>
                <w:kern w:val="0"/>
                <w:sz w:val="21"/>
                <w:szCs w:val="21"/>
                <w:highlight w:val="none"/>
              </w:rPr>
            </w:pPr>
            <w:r>
              <w:rPr>
                <w:b w:val="0"/>
                <w:bCs w:val="0"/>
                <w:snapToGrid w:val="0"/>
                <w:color w:val="auto"/>
                <w:kern w:val="0"/>
                <w:sz w:val="21"/>
                <w:szCs w:val="21"/>
                <w:highlight w:val="none"/>
              </w:rPr>
              <w:t>根据产业集聚区块的功能定位，建立分区差别化的产业准入条件。</w:t>
            </w:r>
          </w:p>
        </w:tc>
        <w:tc>
          <w:tcPr>
            <w:tcW w:w="574" w:type="pct"/>
            <w:vMerge w:val="restart"/>
            <w:noWrap w:val="0"/>
            <w:tcMar>
              <w:top w:w="0" w:type="dxa"/>
              <w:left w:w="0" w:type="dxa"/>
              <w:bottom w:w="0" w:type="dxa"/>
              <w:right w:w="0" w:type="dxa"/>
            </w:tcMar>
            <w:vAlign w:val="top"/>
          </w:tcPr>
          <w:p w14:paraId="269D2F7C">
            <w:pPr>
              <w:jc w:val="both"/>
              <w:rPr>
                <w:bCs/>
                <w:color w:val="auto"/>
                <w:kern w:val="0"/>
                <w:sz w:val="21"/>
                <w:szCs w:val="21"/>
                <w:highlight w:val="none"/>
                <w:lang w:val="zh-CN"/>
              </w:rPr>
            </w:pPr>
            <w:r>
              <w:rPr>
                <w:rFonts w:hint="eastAsia"/>
                <w:bCs/>
                <w:color w:val="auto"/>
                <w:kern w:val="0"/>
                <w:sz w:val="21"/>
                <w:szCs w:val="21"/>
                <w:highlight w:val="none"/>
                <w:lang w:val="zh-CN"/>
              </w:rPr>
              <w:t>本项目</w:t>
            </w:r>
            <w:r>
              <w:rPr>
                <w:bCs/>
                <w:color w:val="auto"/>
                <w:kern w:val="0"/>
                <w:sz w:val="21"/>
                <w:szCs w:val="21"/>
                <w:highlight w:val="none"/>
                <w:lang w:val="zh-CN"/>
              </w:rPr>
              <w:t>为</w:t>
            </w:r>
            <w:r>
              <w:rPr>
                <w:rFonts w:hint="eastAsia"/>
                <w:bCs/>
                <w:color w:val="auto"/>
                <w:kern w:val="0"/>
                <w:sz w:val="21"/>
                <w:szCs w:val="21"/>
                <w:highlight w:val="none"/>
                <w:lang w:val="zh-CN"/>
              </w:rPr>
              <w:t>新建项目，主要进行</w:t>
            </w:r>
            <w:r>
              <w:rPr>
                <w:rFonts w:hint="eastAsia"/>
                <w:bCs/>
                <w:color w:val="auto"/>
                <w:kern w:val="0"/>
                <w:sz w:val="21"/>
                <w:szCs w:val="21"/>
                <w:highlight w:val="none"/>
                <w:lang w:val="zh-CN" w:eastAsia="zh-Hans"/>
              </w:rPr>
              <w:t>塑料薄膜制造</w:t>
            </w:r>
            <w:r>
              <w:rPr>
                <w:bCs/>
                <w:color w:val="auto"/>
                <w:kern w:val="0"/>
                <w:sz w:val="21"/>
                <w:szCs w:val="21"/>
                <w:highlight w:val="none"/>
                <w:lang w:val="zh-CN"/>
              </w:rPr>
              <w:t>，</w:t>
            </w:r>
            <w:r>
              <w:rPr>
                <w:rFonts w:hint="eastAsia"/>
                <w:bCs/>
                <w:color w:val="auto"/>
                <w:kern w:val="0"/>
                <w:sz w:val="21"/>
                <w:szCs w:val="21"/>
                <w:highlight w:val="none"/>
                <w:lang w:val="zh-CN"/>
              </w:rPr>
              <w:t>属于园区</w:t>
            </w:r>
            <w:r>
              <w:rPr>
                <w:rFonts w:hint="eastAsia"/>
                <w:bCs/>
                <w:color w:val="auto"/>
                <w:kern w:val="0"/>
                <w:sz w:val="21"/>
                <w:szCs w:val="21"/>
                <w:highlight w:val="none"/>
                <w:lang w:val="en-US" w:eastAsia="zh-CN"/>
              </w:rPr>
              <w:t>高端</w:t>
            </w:r>
            <w:r>
              <w:rPr>
                <w:rFonts w:hint="eastAsia"/>
                <w:bCs/>
                <w:color w:val="auto"/>
                <w:kern w:val="0"/>
                <w:sz w:val="21"/>
                <w:szCs w:val="21"/>
                <w:highlight w:val="none"/>
                <w:lang w:val="zh-CN"/>
              </w:rPr>
              <w:t>装备制造业配套产业，</w:t>
            </w:r>
            <w:r>
              <w:rPr>
                <w:bCs/>
                <w:color w:val="auto"/>
                <w:kern w:val="0"/>
                <w:sz w:val="21"/>
                <w:szCs w:val="21"/>
                <w:highlight w:val="none"/>
                <w:lang w:val="zh-CN"/>
              </w:rPr>
              <w:t>不涉及优化调整建议清单中的内容</w:t>
            </w:r>
            <w:r>
              <w:rPr>
                <w:rFonts w:hint="eastAsia"/>
                <w:bCs/>
                <w:color w:val="auto"/>
                <w:kern w:val="0"/>
                <w:sz w:val="21"/>
                <w:szCs w:val="21"/>
                <w:highlight w:val="none"/>
                <w:lang w:val="zh-CN"/>
              </w:rPr>
              <w:t>。</w:t>
            </w:r>
          </w:p>
        </w:tc>
        <w:tc>
          <w:tcPr>
            <w:tcW w:w="575" w:type="pct"/>
            <w:vMerge w:val="restart"/>
            <w:noWrap w:val="0"/>
            <w:tcMar>
              <w:top w:w="0" w:type="dxa"/>
              <w:left w:w="0" w:type="dxa"/>
              <w:bottom w:w="0" w:type="dxa"/>
              <w:right w:w="0" w:type="dxa"/>
            </w:tcMar>
            <w:vAlign w:val="center"/>
          </w:tcPr>
          <w:p w14:paraId="2D526BC4">
            <w:pPr>
              <w:jc w:val="center"/>
              <w:rPr>
                <w:bCs/>
                <w:color w:val="auto"/>
                <w:kern w:val="0"/>
                <w:sz w:val="21"/>
                <w:szCs w:val="21"/>
                <w:highlight w:val="none"/>
                <w:lang w:val="zh-CN"/>
              </w:rPr>
            </w:pPr>
            <w:r>
              <w:rPr>
                <w:bCs/>
                <w:color w:val="auto"/>
                <w:kern w:val="0"/>
                <w:sz w:val="21"/>
                <w:szCs w:val="21"/>
                <w:highlight w:val="none"/>
                <w:lang w:val="zh-CN"/>
              </w:rPr>
              <w:t>符合</w:t>
            </w:r>
          </w:p>
        </w:tc>
      </w:tr>
      <w:tr w14:paraId="3CD28BC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tblHeader/>
          <w:jc w:val="center"/>
        </w:trPr>
        <w:tc>
          <w:tcPr>
            <w:tcW w:w="572" w:type="pct"/>
            <w:gridSpan w:val="2"/>
            <w:vMerge w:val="continue"/>
            <w:noWrap w:val="0"/>
            <w:tcMar>
              <w:top w:w="0" w:type="dxa"/>
              <w:left w:w="0" w:type="dxa"/>
              <w:bottom w:w="0" w:type="dxa"/>
              <w:right w:w="0" w:type="dxa"/>
            </w:tcMar>
            <w:vAlign w:val="center"/>
          </w:tcPr>
          <w:p w14:paraId="5A4EBB86">
            <w:pPr>
              <w:jc w:val="center"/>
              <w:rPr>
                <w:bCs/>
                <w:color w:val="auto"/>
                <w:kern w:val="0"/>
                <w:sz w:val="21"/>
                <w:szCs w:val="21"/>
                <w:highlight w:val="none"/>
                <w:lang w:val="zh-CN"/>
              </w:rPr>
            </w:pPr>
          </w:p>
        </w:tc>
        <w:tc>
          <w:tcPr>
            <w:tcW w:w="477" w:type="pct"/>
            <w:vMerge w:val="continue"/>
            <w:noWrap w:val="0"/>
            <w:tcMar>
              <w:top w:w="0" w:type="dxa"/>
              <w:left w:w="0" w:type="dxa"/>
              <w:bottom w:w="0" w:type="dxa"/>
              <w:right w:w="0" w:type="dxa"/>
            </w:tcMar>
            <w:vAlign w:val="center"/>
          </w:tcPr>
          <w:p w14:paraId="74CB4C79">
            <w:pPr>
              <w:jc w:val="center"/>
              <w:rPr>
                <w:bCs/>
                <w:color w:val="auto"/>
                <w:kern w:val="0"/>
                <w:sz w:val="21"/>
                <w:szCs w:val="21"/>
                <w:highlight w:val="none"/>
                <w:lang w:val="zh-CN"/>
              </w:rPr>
            </w:pPr>
          </w:p>
        </w:tc>
        <w:tc>
          <w:tcPr>
            <w:tcW w:w="1191" w:type="pct"/>
            <w:vMerge w:val="continue"/>
            <w:noWrap w:val="0"/>
            <w:tcMar>
              <w:top w:w="0" w:type="dxa"/>
              <w:left w:w="0" w:type="dxa"/>
              <w:bottom w:w="0" w:type="dxa"/>
              <w:right w:w="0" w:type="dxa"/>
            </w:tcMar>
            <w:vAlign w:val="center"/>
          </w:tcPr>
          <w:p w14:paraId="274B39D9">
            <w:pPr>
              <w:jc w:val="both"/>
              <w:rPr>
                <w:bCs/>
                <w:color w:val="auto"/>
                <w:kern w:val="0"/>
                <w:sz w:val="21"/>
                <w:szCs w:val="21"/>
                <w:highlight w:val="none"/>
                <w:lang w:val="zh-CN"/>
              </w:rPr>
            </w:pPr>
          </w:p>
        </w:tc>
        <w:tc>
          <w:tcPr>
            <w:tcW w:w="1608" w:type="pct"/>
            <w:noWrap w:val="0"/>
            <w:tcMar>
              <w:top w:w="0" w:type="dxa"/>
              <w:left w:w="0" w:type="dxa"/>
              <w:bottom w:w="0" w:type="dxa"/>
              <w:right w:w="0" w:type="dxa"/>
            </w:tcMar>
            <w:vAlign w:val="center"/>
          </w:tcPr>
          <w:p w14:paraId="20C44B0E">
            <w:pPr>
              <w:rPr>
                <w:snapToGrid w:val="0"/>
                <w:color w:val="auto"/>
                <w:kern w:val="0"/>
                <w:sz w:val="21"/>
                <w:szCs w:val="21"/>
                <w:highlight w:val="none"/>
              </w:rPr>
            </w:pPr>
            <w:r>
              <w:rPr>
                <w:snapToGrid w:val="0"/>
                <w:color w:val="auto"/>
                <w:kern w:val="0"/>
                <w:sz w:val="21"/>
                <w:szCs w:val="21"/>
                <w:highlight w:val="none"/>
              </w:rPr>
              <w:t>现有企业整改：现有企业采取关停、搬迁、转型升级、升级产业链等措施贴合本次规划产业定位。</w:t>
            </w:r>
          </w:p>
        </w:tc>
        <w:tc>
          <w:tcPr>
            <w:tcW w:w="574" w:type="pct"/>
            <w:vMerge w:val="continue"/>
            <w:noWrap w:val="0"/>
            <w:tcMar>
              <w:top w:w="0" w:type="dxa"/>
              <w:left w:w="0" w:type="dxa"/>
              <w:bottom w:w="0" w:type="dxa"/>
              <w:right w:w="0" w:type="dxa"/>
            </w:tcMar>
            <w:vAlign w:val="top"/>
          </w:tcPr>
          <w:p w14:paraId="68E1E3F3">
            <w:pPr>
              <w:jc w:val="both"/>
              <w:rPr>
                <w:bCs/>
                <w:color w:val="auto"/>
                <w:kern w:val="0"/>
                <w:sz w:val="21"/>
                <w:szCs w:val="21"/>
                <w:highlight w:val="none"/>
                <w:lang w:val="zh-CN"/>
              </w:rPr>
            </w:pPr>
          </w:p>
        </w:tc>
        <w:tc>
          <w:tcPr>
            <w:tcW w:w="575" w:type="pct"/>
            <w:vMerge w:val="continue"/>
            <w:noWrap w:val="0"/>
            <w:tcMar>
              <w:top w:w="0" w:type="dxa"/>
              <w:left w:w="0" w:type="dxa"/>
              <w:bottom w:w="0" w:type="dxa"/>
              <w:right w:w="0" w:type="dxa"/>
            </w:tcMar>
            <w:vAlign w:val="top"/>
          </w:tcPr>
          <w:p w14:paraId="66868B81">
            <w:pPr>
              <w:jc w:val="both"/>
              <w:rPr>
                <w:bCs/>
                <w:color w:val="auto"/>
                <w:kern w:val="0"/>
                <w:sz w:val="21"/>
                <w:szCs w:val="21"/>
                <w:highlight w:val="none"/>
                <w:lang w:val="zh-CN"/>
              </w:rPr>
            </w:pPr>
          </w:p>
        </w:tc>
      </w:tr>
      <w:tr w14:paraId="5D3FB1E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85" w:type="pct"/>
            <w:vMerge w:val="restart"/>
            <w:noWrap w:val="0"/>
            <w:tcMar>
              <w:top w:w="0" w:type="dxa"/>
              <w:left w:w="0" w:type="dxa"/>
              <w:bottom w:w="0" w:type="dxa"/>
              <w:right w:w="0" w:type="dxa"/>
            </w:tcMar>
            <w:vAlign w:val="center"/>
          </w:tcPr>
          <w:p w14:paraId="524CE986">
            <w:pPr>
              <w:jc w:val="center"/>
              <w:rPr>
                <w:color w:val="auto"/>
                <w:kern w:val="0"/>
                <w:sz w:val="21"/>
                <w:szCs w:val="21"/>
                <w:highlight w:val="none"/>
              </w:rPr>
            </w:pPr>
            <w:r>
              <w:rPr>
                <w:color w:val="auto"/>
                <w:kern w:val="0"/>
                <w:sz w:val="21"/>
                <w:szCs w:val="21"/>
                <w:highlight w:val="none"/>
              </w:rPr>
              <w:t>规划布局</w:t>
            </w:r>
          </w:p>
        </w:tc>
        <w:tc>
          <w:tcPr>
            <w:tcW w:w="287" w:type="pct"/>
            <w:vMerge w:val="restart"/>
            <w:noWrap w:val="0"/>
            <w:tcMar>
              <w:top w:w="0" w:type="dxa"/>
              <w:left w:w="0" w:type="dxa"/>
              <w:bottom w:w="0" w:type="dxa"/>
              <w:right w:w="0" w:type="dxa"/>
            </w:tcMar>
            <w:vAlign w:val="center"/>
          </w:tcPr>
          <w:p w14:paraId="7BECE03F">
            <w:pPr>
              <w:jc w:val="center"/>
              <w:rPr>
                <w:color w:val="auto"/>
                <w:kern w:val="0"/>
                <w:sz w:val="21"/>
                <w:szCs w:val="21"/>
                <w:highlight w:val="none"/>
              </w:rPr>
            </w:pPr>
            <w:r>
              <w:rPr>
                <w:color w:val="auto"/>
                <w:kern w:val="0"/>
                <w:sz w:val="21"/>
                <w:szCs w:val="21"/>
                <w:highlight w:val="none"/>
              </w:rPr>
              <w:t>用地布局</w:t>
            </w:r>
          </w:p>
        </w:tc>
        <w:tc>
          <w:tcPr>
            <w:tcW w:w="477" w:type="pct"/>
            <w:vMerge w:val="restart"/>
            <w:noWrap w:val="0"/>
            <w:tcMar>
              <w:top w:w="0" w:type="dxa"/>
              <w:left w:w="0" w:type="dxa"/>
              <w:bottom w:w="0" w:type="dxa"/>
              <w:right w:w="0" w:type="dxa"/>
            </w:tcMar>
            <w:vAlign w:val="center"/>
          </w:tcPr>
          <w:p w14:paraId="68550C9F">
            <w:pPr>
              <w:pStyle w:val="48"/>
              <w:spacing w:line="240" w:lineRule="auto"/>
              <w:jc w:val="center"/>
              <w:rPr>
                <w:bCs/>
                <w:color w:val="auto"/>
                <w:sz w:val="21"/>
                <w:szCs w:val="21"/>
                <w:highlight w:val="none"/>
              </w:rPr>
            </w:pPr>
            <w:r>
              <w:rPr>
                <w:bCs/>
                <w:color w:val="auto"/>
                <w:sz w:val="21"/>
                <w:szCs w:val="21"/>
                <w:highlight w:val="none"/>
              </w:rPr>
              <w:t>至2030年</w:t>
            </w:r>
          </w:p>
        </w:tc>
        <w:tc>
          <w:tcPr>
            <w:tcW w:w="1191" w:type="pct"/>
            <w:noWrap w:val="0"/>
            <w:tcMar>
              <w:top w:w="0" w:type="dxa"/>
              <w:left w:w="0" w:type="dxa"/>
              <w:bottom w:w="0" w:type="dxa"/>
              <w:right w:w="0" w:type="dxa"/>
            </w:tcMar>
            <w:vAlign w:val="center"/>
          </w:tcPr>
          <w:p w14:paraId="0B2FAAE9">
            <w:pPr>
              <w:rPr>
                <w:snapToGrid w:val="0"/>
                <w:color w:val="auto"/>
                <w:kern w:val="0"/>
                <w:sz w:val="21"/>
                <w:szCs w:val="21"/>
                <w:highlight w:val="none"/>
              </w:rPr>
            </w:pPr>
            <w:r>
              <w:rPr>
                <w:snapToGrid w:val="0"/>
                <w:color w:val="auto"/>
                <w:kern w:val="0"/>
                <w:sz w:val="21"/>
                <w:szCs w:val="21"/>
                <w:highlight w:val="none"/>
              </w:rPr>
              <w:t>《大运河（杭州段）世界文化遗产保护管理规划》（武林头段）：本次规划涉及一级缓冲区范围内为防护绿地；涉及二级缓冲区范围内规划为工业用地（M1/M2、B/M1）。</w:t>
            </w:r>
          </w:p>
        </w:tc>
        <w:tc>
          <w:tcPr>
            <w:tcW w:w="1608" w:type="pct"/>
            <w:noWrap w:val="0"/>
            <w:tcMar>
              <w:top w:w="0" w:type="dxa"/>
              <w:left w:w="0" w:type="dxa"/>
              <w:bottom w:w="0" w:type="dxa"/>
              <w:right w:w="0" w:type="dxa"/>
            </w:tcMar>
            <w:vAlign w:val="center"/>
          </w:tcPr>
          <w:p w14:paraId="1EB30542">
            <w:pPr>
              <w:rPr>
                <w:snapToGrid w:val="0"/>
                <w:color w:val="auto"/>
                <w:kern w:val="0"/>
                <w:sz w:val="21"/>
                <w:szCs w:val="21"/>
                <w:highlight w:val="none"/>
              </w:rPr>
            </w:pPr>
            <w:r>
              <w:rPr>
                <w:snapToGrid w:val="0"/>
                <w:color w:val="auto"/>
                <w:kern w:val="0"/>
                <w:sz w:val="21"/>
                <w:szCs w:val="21"/>
                <w:highlight w:val="none"/>
              </w:rPr>
              <w:t>将涉及大运河缓冲区范围内现有企业近期</w:t>
            </w:r>
            <w:r>
              <w:rPr>
                <w:color w:val="auto"/>
                <w:kern w:val="0"/>
                <w:sz w:val="21"/>
                <w:szCs w:val="21"/>
                <w:highlight w:val="none"/>
              </w:rPr>
              <w:t>禁止在原场地扩大产能</w:t>
            </w:r>
            <w:r>
              <w:rPr>
                <w:snapToGrid w:val="0"/>
                <w:color w:val="auto"/>
                <w:kern w:val="0"/>
                <w:sz w:val="21"/>
                <w:szCs w:val="21"/>
                <w:highlight w:val="none"/>
              </w:rPr>
              <w:t>，</w:t>
            </w:r>
            <w:r>
              <w:rPr>
                <w:color w:val="auto"/>
                <w:kern w:val="0"/>
                <w:sz w:val="21"/>
                <w:szCs w:val="21"/>
                <w:highlight w:val="none"/>
              </w:rPr>
              <w:t>远期有条件时，可在园区另行选址搬迁技改</w:t>
            </w:r>
            <w:r>
              <w:rPr>
                <w:snapToGrid w:val="0"/>
                <w:color w:val="auto"/>
                <w:kern w:val="0"/>
                <w:sz w:val="21"/>
                <w:szCs w:val="21"/>
                <w:highlight w:val="none"/>
              </w:rPr>
              <w:t>。</w:t>
            </w:r>
          </w:p>
        </w:tc>
        <w:tc>
          <w:tcPr>
            <w:tcW w:w="574" w:type="pct"/>
            <w:vMerge w:val="restart"/>
            <w:noWrap w:val="0"/>
            <w:tcMar>
              <w:top w:w="0" w:type="dxa"/>
              <w:left w:w="0" w:type="dxa"/>
              <w:bottom w:w="0" w:type="dxa"/>
              <w:right w:w="0" w:type="dxa"/>
            </w:tcMar>
            <w:vAlign w:val="center"/>
          </w:tcPr>
          <w:p w14:paraId="2646DB4E">
            <w:pPr>
              <w:jc w:val="both"/>
              <w:rPr>
                <w:snapToGrid w:val="0"/>
                <w:color w:val="auto"/>
                <w:sz w:val="21"/>
                <w:szCs w:val="21"/>
                <w:highlight w:val="none"/>
              </w:rPr>
            </w:pPr>
            <w:r>
              <w:rPr>
                <w:snapToGrid w:val="0"/>
                <w:color w:val="auto"/>
                <w:sz w:val="21"/>
                <w:szCs w:val="21"/>
                <w:highlight w:val="none"/>
              </w:rPr>
              <w:t>本项目不涉及</w:t>
            </w:r>
            <w:r>
              <w:rPr>
                <w:snapToGrid w:val="0"/>
                <w:color w:val="auto"/>
                <w:kern w:val="0"/>
                <w:sz w:val="21"/>
                <w:szCs w:val="21"/>
                <w:highlight w:val="none"/>
              </w:rPr>
              <w:t>《大运河（杭州段）世界文化遗产保护管理规划》一级、二级缓冲区</w:t>
            </w:r>
            <w:r>
              <w:rPr>
                <w:snapToGrid w:val="0"/>
                <w:color w:val="auto"/>
                <w:sz w:val="21"/>
                <w:szCs w:val="21"/>
                <w:highlight w:val="none"/>
              </w:rPr>
              <w:t>。</w:t>
            </w:r>
          </w:p>
        </w:tc>
        <w:tc>
          <w:tcPr>
            <w:tcW w:w="575" w:type="pct"/>
            <w:vMerge w:val="restart"/>
            <w:noWrap w:val="0"/>
            <w:tcMar>
              <w:top w:w="0" w:type="dxa"/>
              <w:left w:w="0" w:type="dxa"/>
              <w:bottom w:w="0" w:type="dxa"/>
              <w:right w:w="0" w:type="dxa"/>
            </w:tcMar>
            <w:vAlign w:val="center"/>
          </w:tcPr>
          <w:p w14:paraId="61922BE0">
            <w:pPr>
              <w:jc w:val="center"/>
              <w:rPr>
                <w:rFonts w:hint="eastAsia" w:eastAsia="宋体"/>
                <w:snapToGrid w:val="0"/>
                <w:color w:val="auto"/>
                <w:sz w:val="21"/>
                <w:szCs w:val="21"/>
                <w:highlight w:val="none"/>
                <w:lang w:val="en-US" w:eastAsia="zh-CN"/>
              </w:rPr>
            </w:pPr>
            <w:r>
              <w:rPr>
                <w:rFonts w:hint="eastAsia"/>
                <w:snapToGrid w:val="0"/>
                <w:color w:val="auto"/>
                <w:sz w:val="21"/>
                <w:szCs w:val="21"/>
                <w:highlight w:val="none"/>
                <w:lang w:val="en-US" w:eastAsia="zh-CN"/>
              </w:rPr>
              <w:t>符合</w:t>
            </w:r>
          </w:p>
        </w:tc>
      </w:tr>
      <w:tr w14:paraId="42EAD74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85" w:type="pct"/>
            <w:vMerge w:val="continue"/>
            <w:noWrap w:val="0"/>
            <w:tcMar>
              <w:top w:w="0" w:type="dxa"/>
              <w:left w:w="0" w:type="dxa"/>
              <w:bottom w:w="0" w:type="dxa"/>
              <w:right w:w="0" w:type="dxa"/>
            </w:tcMar>
            <w:vAlign w:val="center"/>
          </w:tcPr>
          <w:p w14:paraId="44C24565">
            <w:pPr>
              <w:jc w:val="center"/>
              <w:rPr>
                <w:color w:val="auto"/>
                <w:kern w:val="0"/>
                <w:sz w:val="21"/>
                <w:szCs w:val="21"/>
                <w:highlight w:val="none"/>
              </w:rPr>
            </w:pPr>
          </w:p>
        </w:tc>
        <w:tc>
          <w:tcPr>
            <w:tcW w:w="287" w:type="pct"/>
            <w:vMerge w:val="continue"/>
            <w:noWrap w:val="0"/>
            <w:tcMar>
              <w:top w:w="0" w:type="dxa"/>
              <w:left w:w="0" w:type="dxa"/>
              <w:bottom w:w="0" w:type="dxa"/>
              <w:right w:w="0" w:type="dxa"/>
            </w:tcMar>
            <w:vAlign w:val="center"/>
          </w:tcPr>
          <w:p w14:paraId="4E9A8979">
            <w:pPr>
              <w:jc w:val="center"/>
              <w:rPr>
                <w:color w:val="auto"/>
                <w:kern w:val="0"/>
                <w:sz w:val="21"/>
                <w:szCs w:val="21"/>
                <w:highlight w:val="none"/>
              </w:rPr>
            </w:pPr>
          </w:p>
        </w:tc>
        <w:tc>
          <w:tcPr>
            <w:tcW w:w="477" w:type="pct"/>
            <w:vMerge w:val="continue"/>
            <w:noWrap w:val="0"/>
            <w:tcMar>
              <w:top w:w="0" w:type="dxa"/>
              <w:left w:w="0" w:type="dxa"/>
              <w:bottom w:w="0" w:type="dxa"/>
              <w:right w:w="0" w:type="dxa"/>
            </w:tcMar>
            <w:vAlign w:val="center"/>
          </w:tcPr>
          <w:p w14:paraId="1F085FE5">
            <w:pPr>
              <w:pStyle w:val="48"/>
              <w:spacing w:line="240" w:lineRule="auto"/>
              <w:jc w:val="center"/>
              <w:rPr>
                <w:bCs/>
                <w:color w:val="auto"/>
                <w:sz w:val="21"/>
                <w:szCs w:val="21"/>
                <w:highlight w:val="none"/>
              </w:rPr>
            </w:pPr>
          </w:p>
        </w:tc>
        <w:tc>
          <w:tcPr>
            <w:tcW w:w="1191" w:type="pct"/>
            <w:noWrap w:val="0"/>
            <w:tcMar>
              <w:top w:w="0" w:type="dxa"/>
              <w:left w:w="0" w:type="dxa"/>
              <w:bottom w:w="0" w:type="dxa"/>
              <w:right w:w="0" w:type="dxa"/>
            </w:tcMar>
            <w:vAlign w:val="center"/>
          </w:tcPr>
          <w:p w14:paraId="2B3AB7E9">
            <w:pPr>
              <w:rPr>
                <w:snapToGrid w:val="0"/>
                <w:color w:val="auto"/>
                <w:kern w:val="0"/>
                <w:sz w:val="21"/>
                <w:szCs w:val="21"/>
                <w:highlight w:val="none"/>
              </w:rPr>
            </w:pPr>
            <w:r>
              <w:rPr>
                <w:snapToGrid w:val="0"/>
                <w:color w:val="auto"/>
                <w:kern w:val="0"/>
                <w:sz w:val="21"/>
                <w:szCs w:val="21"/>
                <w:highlight w:val="none"/>
              </w:rPr>
              <w:t>《大运河（杭州段）世界文化遗产保护管理规划》（老杭州塘-余杭运河镇段）：涉及二级缓冲区范围内规划为工业用地（M1/M2）</w:t>
            </w:r>
          </w:p>
        </w:tc>
        <w:tc>
          <w:tcPr>
            <w:tcW w:w="1608" w:type="pct"/>
            <w:noWrap w:val="0"/>
            <w:tcMar>
              <w:top w:w="0" w:type="dxa"/>
              <w:left w:w="0" w:type="dxa"/>
              <w:bottom w:w="0" w:type="dxa"/>
              <w:right w:w="0" w:type="dxa"/>
            </w:tcMar>
            <w:vAlign w:val="center"/>
          </w:tcPr>
          <w:p w14:paraId="74B5F234">
            <w:pPr>
              <w:rPr>
                <w:color w:val="auto"/>
                <w:sz w:val="21"/>
                <w:szCs w:val="21"/>
                <w:highlight w:val="none"/>
              </w:rPr>
            </w:pPr>
            <w:r>
              <w:rPr>
                <w:snapToGrid w:val="0"/>
                <w:color w:val="auto"/>
                <w:kern w:val="0"/>
                <w:sz w:val="21"/>
                <w:szCs w:val="21"/>
                <w:highlight w:val="none"/>
              </w:rPr>
              <w:t>将涉及大运河缓冲区范围内现有企业近期</w:t>
            </w:r>
            <w:r>
              <w:rPr>
                <w:color w:val="auto"/>
                <w:kern w:val="0"/>
                <w:sz w:val="21"/>
                <w:szCs w:val="21"/>
                <w:highlight w:val="none"/>
              </w:rPr>
              <w:t>禁止在原场地扩大产能</w:t>
            </w:r>
            <w:r>
              <w:rPr>
                <w:snapToGrid w:val="0"/>
                <w:color w:val="auto"/>
                <w:kern w:val="0"/>
                <w:sz w:val="21"/>
                <w:szCs w:val="21"/>
                <w:highlight w:val="none"/>
              </w:rPr>
              <w:t>，</w:t>
            </w:r>
            <w:r>
              <w:rPr>
                <w:color w:val="auto"/>
                <w:kern w:val="0"/>
                <w:sz w:val="21"/>
                <w:szCs w:val="21"/>
                <w:highlight w:val="none"/>
              </w:rPr>
              <w:t>远期有条件时，可在园区另行选址搬迁技改</w:t>
            </w:r>
            <w:r>
              <w:rPr>
                <w:snapToGrid w:val="0"/>
                <w:color w:val="auto"/>
                <w:kern w:val="0"/>
                <w:sz w:val="21"/>
                <w:szCs w:val="21"/>
                <w:highlight w:val="none"/>
              </w:rPr>
              <w:t>。</w:t>
            </w:r>
          </w:p>
        </w:tc>
        <w:tc>
          <w:tcPr>
            <w:tcW w:w="574" w:type="pct"/>
            <w:vMerge w:val="continue"/>
            <w:noWrap w:val="0"/>
            <w:tcMar>
              <w:top w:w="0" w:type="dxa"/>
              <w:left w:w="0" w:type="dxa"/>
              <w:bottom w:w="0" w:type="dxa"/>
              <w:right w:w="0" w:type="dxa"/>
            </w:tcMar>
            <w:vAlign w:val="center"/>
          </w:tcPr>
          <w:p w14:paraId="3803591B">
            <w:pPr>
              <w:jc w:val="both"/>
              <w:rPr>
                <w:snapToGrid w:val="0"/>
                <w:color w:val="auto"/>
                <w:sz w:val="21"/>
                <w:szCs w:val="21"/>
                <w:highlight w:val="none"/>
              </w:rPr>
            </w:pPr>
          </w:p>
        </w:tc>
        <w:tc>
          <w:tcPr>
            <w:tcW w:w="575" w:type="pct"/>
            <w:vMerge w:val="continue"/>
            <w:noWrap w:val="0"/>
            <w:tcMar>
              <w:top w:w="0" w:type="dxa"/>
              <w:left w:w="0" w:type="dxa"/>
              <w:bottom w:w="0" w:type="dxa"/>
              <w:right w:w="0" w:type="dxa"/>
            </w:tcMar>
            <w:vAlign w:val="center"/>
          </w:tcPr>
          <w:p w14:paraId="38F48097">
            <w:pPr>
              <w:jc w:val="both"/>
              <w:rPr>
                <w:snapToGrid w:val="0"/>
                <w:color w:val="auto"/>
                <w:sz w:val="21"/>
                <w:szCs w:val="21"/>
                <w:highlight w:val="none"/>
              </w:rPr>
            </w:pPr>
          </w:p>
        </w:tc>
      </w:tr>
      <w:tr w14:paraId="08F864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85" w:type="pct"/>
            <w:vMerge w:val="continue"/>
            <w:noWrap w:val="0"/>
            <w:tcMar>
              <w:top w:w="0" w:type="dxa"/>
              <w:left w:w="0" w:type="dxa"/>
              <w:bottom w:w="0" w:type="dxa"/>
              <w:right w:w="0" w:type="dxa"/>
            </w:tcMar>
            <w:vAlign w:val="center"/>
          </w:tcPr>
          <w:p w14:paraId="35315929">
            <w:pPr>
              <w:jc w:val="center"/>
              <w:rPr>
                <w:color w:val="auto"/>
                <w:kern w:val="0"/>
                <w:sz w:val="21"/>
                <w:szCs w:val="21"/>
                <w:highlight w:val="none"/>
              </w:rPr>
            </w:pPr>
          </w:p>
        </w:tc>
        <w:tc>
          <w:tcPr>
            <w:tcW w:w="287" w:type="pct"/>
            <w:vMerge w:val="continue"/>
            <w:noWrap w:val="0"/>
            <w:tcMar>
              <w:top w:w="0" w:type="dxa"/>
              <w:left w:w="0" w:type="dxa"/>
              <w:bottom w:w="0" w:type="dxa"/>
              <w:right w:w="0" w:type="dxa"/>
            </w:tcMar>
            <w:vAlign w:val="center"/>
          </w:tcPr>
          <w:p w14:paraId="09FEA504">
            <w:pPr>
              <w:jc w:val="center"/>
              <w:rPr>
                <w:color w:val="auto"/>
                <w:kern w:val="0"/>
                <w:sz w:val="21"/>
                <w:szCs w:val="21"/>
                <w:highlight w:val="none"/>
              </w:rPr>
            </w:pPr>
          </w:p>
        </w:tc>
        <w:tc>
          <w:tcPr>
            <w:tcW w:w="477" w:type="pct"/>
            <w:vMerge w:val="continue"/>
            <w:noWrap w:val="0"/>
            <w:tcMar>
              <w:top w:w="0" w:type="dxa"/>
              <w:left w:w="0" w:type="dxa"/>
              <w:bottom w:w="0" w:type="dxa"/>
              <w:right w:w="0" w:type="dxa"/>
            </w:tcMar>
            <w:vAlign w:val="center"/>
          </w:tcPr>
          <w:p w14:paraId="0C44C222">
            <w:pPr>
              <w:pStyle w:val="48"/>
              <w:spacing w:line="240" w:lineRule="auto"/>
              <w:jc w:val="center"/>
              <w:rPr>
                <w:bCs/>
                <w:color w:val="auto"/>
                <w:sz w:val="21"/>
                <w:szCs w:val="21"/>
                <w:highlight w:val="none"/>
              </w:rPr>
            </w:pPr>
          </w:p>
        </w:tc>
        <w:tc>
          <w:tcPr>
            <w:tcW w:w="1191" w:type="pct"/>
            <w:noWrap w:val="0"/>
            <w:tcMar>
              <w:top w:w="0" w:type="dxa"/>
              <w:left w:w="0" w:type="dxa"/>
              <w:bottom w:w="0" w:type="dxa"/>
              <w:right w:w="0" w:type="dxa"/>
            </w:tcMar>
            <w:vAlign w:val="center"/>
          </w:tcPr>
          <w:p w14:paraId="4D83F1B3">
            <w:pPr>
              <w:rPr>
                <w:snapToGrid w:val="0"/>
                <w:color w:val="auto"/>
                <w:kern w:val="0"/>
                <w:sz w:val="21"/>
                <w:szCs w:val="21"/>
                <w:highlight w:val="none"/>
              </w:rPr>
            </w:pPr>
            <w:r>
              <w:rPr>
                <w:snapToGrid w:val="0"/>
                <w:color w:val="auto"/>
                <w:kern w:val="0"/>
                <w:sz w:val="21"/>
                <w:szCs w:val="21"/>
                <w:highlight w:val="none"/>
              </w:rPr>
              <w:t>《大运河（杭州段）世界文化遗产保护管理规划》（老杭州塘-塘栖镇段）：涉及二级缓冲区范围内规划为工业用地（BM1）</w:t>
            </w:r>
          </w:p>
        </w:tc>
        <w:tc>
          <w:tcPr>
            <w:tcW w:w="1608" w:type="pct"/>
            <w:noWrap w:val="0"/>
            <w:tcMar>
              <w:top w:w="0" w:type="dxa"/>
              <w:left w:w="0" w:type="dxa"/>
              <w:bottom w:w="0" w:type="dxa"/>
              <w:right w:w="0" w:type="dxa"/>
            </w:tcMar>
            <w:vAlign w:val="center"/>
          </w:tcPr>
          <w:p w14:paraId="6F2AF75A">
            <w:pPr>
              <w:rPr>
                <w:color w:val="auto"/>
                <w:sz w:val="21"/>
                <w:szCs w:val="21"/>
                <w:highlight w:val="none"/>
              </w:rPr>
            </w:pPr>
            <w:r>
              <w:rPr>
                <w:snapToGrid w:val="0"/>
                <w:color w:val="auto"/>
                <w:kern w:val="0"/>
                <w:sz w:val="21"/>
                <w:szCs w:val="21"/>
                <w:highlight w:val="none"/>
              </w:rPr>
              <w:t>将涉及大运河缓冲区范围内现有企业近期</w:t>
            </w:r>
            <w:r>
              <w:rPr>
                <w:color w:val="auto"/>
                <w:kern w:val="0"/>
                <w:sz w:val="21"/>
                <w:szCs w:val="21"/>
                <w:highlight w:val="none"/>
              </w:rPr>
              <w:t>禁止在原场地扩大产能</w:t>
            </w:r>
            <w:r>
              <w:rPr>
                <w:snapToGrid w:val="0"/>
                <w:color w:val="auto"/>
                <w:kern w:val="0"/>
                <w:sz w:val="21"/>
                <w:szCs w:val="21"/>
                <w:highlight w:val="none"/>
              </w:rPr>
              <w:t>，</w:t>
            </w:r>
            <w:r>
              <w:rPr>
                <w:color w:val="auto"/>
                <w:kern w:val="0"/>
                <w:sz w:val="21"/>
                <w:szCs w:val="21"/>
                <w:highlight w:val="none"/>
              </w:rPr>
              <w:t>远期有条件时，可在园区另行选址搬迁技改</w:t>
            </w:r>
            <w:r>
              <w:rPr>
                <w:snapToGrid w:val="0"/>
                <w:color w:val="auto"/>
                <w:kern w:val="0"/>
                <w:sz w:val="21"/>
                <w:szCs w:val="21"/>
                <w:highlight w:val="none"/>
              </w:rPr>
              <w:t>。</w:t>
            </w:r>
          </w:p>
        </w:tc>
        <w:tc>
          <w:tcPr>
            <w:tcW w:w="574" w:type="pct"/>
            <w:vMerge w:val="continue"/>
            <w:noWrap w:val="0"/>
            <w:tcMar>
              <w:top w:w="0" w:type="dxa"/>
              <w:left w:w="0" w:type="dxa"/>
              <w:bottom w:w="0" w:type="dxa"/>
              <w:right w:w="0" w:type="dxa"/>
            </w:tcMar>
            <w:vAlign w:val="center"/>
          </w:tcPr>
          <w:p w14:paraId="2EDDF84A">
            <w:pPr>
              <w:jc w:val="both"/>
              <w:rPr>
                <w:snapToGrid w:val="0"/>
                <w:color w:val="auto"/>
                <w:sz w:val="21"/>
                <w:szCs w:val="21"/>
                <w:highlight w:val="none"/>
              </w:rPr>
            </w:pPr>
          </w:p>
        </w:tc>
        <w:tc>
          <w:tcPr>
            <w:tcW w:w="575" w:type="pct"/>
            <w:vMerge w:val="continue"/>
            <w:noWrap w:val="0"/>
            <w:tcMar>
              <w:top w:w="0" w:type="dxa"/>
              <w:left w:w="0" w:type="dxa"/>
              <w:bottom w:w="0" w:type="dxa"/>
              <w:right w:w="0" w:type="dxa"/>
            </w:tcMar>
            <w:vAlign w:val="center"/>
          </w:tcPr>
          <w:p w14:paraId="3BAD80B4">
            <w:pPr>
              <w:jc w:val="both"/>
              <w:rPr>
                <w:snapToGrid w:val="0"/>
                <w:color w:val="auto"/>
                <w:sz w:val="21"/>
                <w:szCs w:val="21"/>
                <w:highlight w:val="none"/>
              </w:rPr>
            </w:pPr>
          </w:p>
        </w:tc>
      </w:tr>
      <w:tr w14:paraId="38D7F02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285" w:type="pct"/>
            <w:noWrap w:val="0"/>
            <w:tcMar>
              <w:top w:w="0" w:type="dxa"/>
              <w:left w:w="0" w:type="dxa"/>
              <w:bottom w:w="0" w:type="dxa"/>
              <w:right w:w="0" w:type="dxa"/>
            </w:tcMar>
            <w:vAlign w:val="center"/>
          </w:tcPr>
          <w:p w14:paraId="3F04E354">
            <w:pPr>
              <w:adjustRightInd w:val="0"/>
              <w:snapToGrid w:val="0"/>
              <w:jc w:val="center"/>
              <w:rPr>
                <w:color w:val="auto"/>
                <w:sz w:val="21"/>
                <w:szCs w:val="21"/>
                <w:highlight w:val="none"/>
              </w:rPr>
            </w:pPr>
            <w:r>
              <w:rPr>
                <w:color w:val="auto"/>
                <w:sz w:val="21"/>
                <w:szCs w:val="21"/>
                <w:highlight w:val="none"/>
              </w:rPr>
              <w:t>规划规模</w:t>
            </w:r>
          </w:p>
        </w:tc>
        <w:tc>
          <w:tcPr>
            <w:tcW w:w="287" w:type="pct"/>
            <w:noWrap w:val="0"/>
            <w:tcMar>
              <w:top w:w="0" w:type="dxa"/>
              <w:left w:w="0" w:type="dxa"/>
              <w:bottom w:w="0" w:type="dxa"/>
              <w:right w:w="0" w:type="dxa"/>
            </w:tcMar>
            <w:vAlign w:val="center"/>
          </w:tcPr>
          <w:p w14:paraId="6D05E5C6">
            <w:pPr>
              <w:adjustRightInd w:val="0"/>
              <w:snapToGrid w:val="0"/>
              <w:jc w:val="center"/>
              <w:rPr>
                <w:color w:val="auto"/>
                <w:sz w:val="21"/>
                <w:szCs w:val="21"/>
                <w:highlight w:val="none"/>
              </w:rPr>
            </w:pPr>
            <w:r>
              <w:rPr>
                <w:color w:val="auto"/>
                <w:sz w:val="21"/>
                <w:szCs w:val="21"/>
                <w:highlight w:val="none"/>
              </w:rPr>
              <w:t>建设用地规模</w:t>
            </w:r>
          </w:p>
        </w:tc>
        <w:tc>
          <w:tcPr>
            <w:tcW w:w="477" w:type="pct"/>
            <w:noWrap w:val="0"/>
            <w:tcMar>
              <w:top w:w="0" w:type="dxa"/>
              <w:left w:w="0" w:type="dxa"/>
              <w:bottom w:w="0" w:type="dxa"/>
              <w:right w:w="0" w:type="dxa"/>
            </w:tcMar>
            <w:vAlign w:val="center"/>
          </w:tcPr>
          <w:p w14:paraId="124CC7D2">
            <w:pPr>
              <w:pStyle w:val="48"/>
              <w:spacing w:line="240" w:lineRule="auto"/>
              <w:jc w:val="center"/>
              <w:rPr>
                <w:bCs/>
                <w:color w:val="auto"/>
                <w:sz w:val="21"/>
                <w:szCs w:val="21"/>
                <w:highlight w:val="none"/>
              </w:rPr>
            </w:pPr>
            <w:r>
              <w:rPr>
                <w:bCs/>
                <w:color w:val="auto"/>
                <w:sz w:val="21"/>
                <w:szCs w:val="21"/>
                <w:highlight w:val="none"/>
              </w:rPr>
              <w:t>至2030年</w:t>
            </w:r>
          </w:p>
        </w:tc>
        <w:tc>
          <w:tcPr>
            <w:tcW w:w="1191" w:type="pct"/>
            <w:noWrap w:val="0"/>
            <w:tcMar>
              <w:top w:w="0" w:type="dxa"/>
              <w:left w:w="0" w:type="dxa"/>
              <w:bottom w:w="0" w:type="dxa"/>
              <w:right w:w="0" w:type="dxa"/>
            </w:tcMar>
            <w:vAlign w:val="center"/>
          </w:tcPr>
          <w:p w14:paraId="0B89DC01">
            <w:pPr>
              <w:pStyle w:val="48"/>
              <w:spacing w:line="240" w:lineRule="auto"/>
              <w:jc w:val="both"/>
              <w:rPr>
                <w:bCs/>
                <w:color w:val="auto"/>
                <w:sz w:val="21"/>
                <w:szCs w:val="21"/>
                <w:highlight w:val="none"/>
              </w:rPr>
            </w:pPr>
            <w:bookmarkStart w:id="0" w:name="_Toc31172"/>
            <w:bookmarkStart w:id="1" w:name="_Toc5942"/>
            <w:r>
              <w:rPr>
                <w:snapToGrid w:val="0"/>
                <w:color w:val="auto"/>
                <w:sz w:val="21"/>
                <w:szCs w:val="21"/>
                <w:highlight w:val="none"/>
              </w:rPr>
              <w:t>本次规划范围涉及永久基本农田共约192公顷，主要集中在太平桥港以南，塘康公路以西区域。</w:t>
            </w:r>
            <w:bookmarkEnd w:id="0"/>
            <w:bookmarkEnd w:id="1"/>
          </w:p>
        </w:tc>
        <w:tc>
          <w:tcPr>
            <w:tcW w:w="1608" w:type="pct"/>
            <w:noWrap w:val="0"/>
            <w:tcMar>
              <w:top w:w="0" w:type="dxa"/>
              <w:left w:w="0" w:type="dxa"/>
              <w:bottom w:w="0" w:type="dxa"/>
              <w:right w:w="0" w:type="dxa"/>
            </w:tcMar>
            <w:vAlign w:val="center"/>
          </w:tcPr>
          <w:p w14:paraId="3CF9496E">
            <w:pPr>
              <w:adjustRightInd w:val="0"/>
              <w:snapToGrid w:val="0"/>
              <w:rPr>
                <w:rFonts w:hint="eastAsia" w:eastAsia="宋体"/>
                <w:color w:val="auto"/>
                <w:sz w:val="21"/>
                <w:szCs w:val="21"/>
                <w:highlight w:val="none"/>
                <w:lang w:eastAsia="zh-CN"/>
              </w:rPr>
            </w:pPr>
            <w:r>
              <w:rPr>
                <w:color w:val="auto"/>
                <w:sz w:val="21"/>
                <w:szCs w:val="21"/>
                <w:highlight w:val="none"/>
              </w:rPr>
              <w:t>规划为永久基本农田地块不得开发建设</w:t>
            </w:r>
            <w:r>
              <w:rPr>
                <w:rFonts w:hint="eastAsia"/>
                <w:color w:val="auto"/>
                <w:sz w:val="21"/>
                <w:szCs w:val="21"/>
                <w:highlight w:val="none"/>
                <w:lang w:eastAsia="zh-CN"/>
              </w:rPr>
              <w:t>。</w:t>
            </w:r>
          </w:p>
        </w:tc>
        <w:tc>
          <w:tcPr>
            <w:tcW w:w="574" w:type="pct"/>
            <w:noWrap w:val="0"/>
            <w:tcMar>
              <w:top w:w="0" w:type="dxa"/>
              <w:left w:w="0" w:type="dxa"/>
              <w:bottom w:w="0" w:type="dxa"/>
              <w:right w:w="0" w:type="dxa"/>
            </w:tcMar>
            <w:vAlign w:val="center"/>
          </w:tcPr>
          <w:p w14:paraId="46121341">
            <w:pPr>
              <w:adjustRightInd w:val="0"/>
              <w:snapToGrid w:val="0"/>
              <w:jc w:val="left"/>
              <w:rPr>
                <w:snapToGrid w:val="0"/>
                <w:color w:val="auto"/>
                <w:sz w:val="21"/>
                <w:szCs w:val="21"/>
                <w:highlight w:val="none"/>
              </w:rPr>
            </w:pPr>
            <w:r>
              <w:rPr>
                <w:rFonts w:hint="eastAsia"/>
                <w:snapToGrid w:val="0"/>
                <w:color w:val="auto"/>
                <w:sz w:val="21"/>
                <w:szCs w:val="21"/>
                <w:highlight w:val="none"/>
                <w:lang w:val="en-US" w:eastAsia="zh-CN"/>
              </w:rPr>
              <w:t>本</w:t>
            </w:r>
            <w:r>
              <w:rPr>
                <w:snapToGrid w:val="0"/>
                <w:color w:val="auto"/>
                <w:sz w:val="21"/>
                <w:szCs w:val="21"/>
                <w:highlight w:val="none"/>
              </w:rPr>
              <w:t>项目不涉及永久基本农田。</w:t>
            </w:r>
          </w:p>
        </w:tc>
        <w:tc>
          <w:tcPr>
            <w:tcW w:w="575" w:type="pct"/>
            <w:noWrap w:val="0"/>
            <w:tcMar>
              <w:top w:w="0" w:type="dxa"/>
              <w:left w:w="0" w:type="dxa"/>
              <w:bottom w:w="0" w:type="dxa"/>
              <w:right w:w="0" w:type="dxa"/>
            </w:tcMar>
            <w:vAlign w:val="center"/>
          </w:tcPr>
          <w:p w14:paraId="37CA65E5">
            <w:pPr>
              <w:adjustRightInd w:val="0"/>
              <w:snapToGrid w:val="0"/>
              <w:jc w:val="center"/>
              <w:rPr>
                <w:rFonts w:hint="eastAsia" w:eastAsia="宋体"/>
                <w:snapToGrid w:val="0"/>
                <w:color w:val="auto"/>
                <w:sz w:val="21"/>
                <w:szCs w:val="21"/>
                <w:highlight w:val="none"/>
                <w:lang w:val="en-US" w:eastAsia="zh-CN"/>
              </w:rPr>
            </w:pPr>
            <w:r>
              <w:rPr>
                <w:rFonts w:hint="eastAsia"/>
                <w:snapToGrid w:val="0"/>
                <w:color w:val="auto"/>
                <w:sz w:val="21"/>
                <w:szCs w:val="21"/>
                <w:highlight w:val="none"/>
                <w:lang w:val="en-US" w:eastAsia="zh-CN"/>
              </w:rPr>
              <w:t>符合</w:t>
            </w:r>
          </w:p>
        </w:tc>
      </w:tr>
    </w:tbl>
    <w:p w14:paraId="1EE21BBD">
      <w:pPr>
        <w:pStyle w:val="24"/>
        <w:ind w:firstLine="480"/>
        <w:rPr>
          <w:color w:val="auto"/>
        </w:rPr>
      </w:pPr>
      <w:r>
        <w:rPr>
          <w:rFonts w:hint="eastAsia"/>
          <w:b/>
          <w:color w:val="auto"/>
        </w:rPr>
        <w:t>符合性分析：</w:t>
      </w:r>
      <w:r>
        <w:rPr>
          <w:rFonts w:hint="eastAsia"/>
          <w:color w:val="auto"/>
        </w:rPr>
        <w:t>本项目为新建项目，主要进行</w:t>
      </w:r>
      <w:r>
        <w:rPr>
          <w:rFonts w:hint="eastAsia"/>
          <w:color w:val="auto"/>
          <w:lang w:val="en-US" w:eastAsia="zh-Hans"/>
        </w:rPr>
        <w:t>塑料薄膜制造</w:t>
      </w:r>
      <w:r>
        <w:rPr>
          <w:rFonts w:hint="eastAsia"/>
          <w:color w:val="auto"/>
        </w:rPr>
        <w:t>，为二类工业项目。本项目位于塘栖装备机械产业园区南部</w:t>
      </w:r>
      <w:r>
        <w:rPr>
          <w:rFonts w:hint="eastAsia"/>
          <w:color w:val="auto"/>
          <w:lang w:eastAsia="zh-CN"/>
        </w:rPr>
        <w:t>现状工业提升区</w:t>
      </w:r>
      <w:r>
        <w:rPr>
          <w:rFonts w:hint="eastAsia"/>
          <w:color w:val="auto"/>
        </w:rPr>
        <w:t>，用地性质为</w:t>
      </w:r>
      <w:r>
        <w:rPr>
          <w:rFonts w:hint="eastAsia"/>
          <w:color w:val="auto"/>
          <w:lang w:eastAsia="zh-CN"/>
        </w:rPr>
        <w:t>工业用地</w:t>
      </w:r>
      <w:r>
        <w:rPr>
          <w:rFonts w:hint="eastAsia"/>
          <w:color w:val="auto"/>
        </w:rPr>
        <w:t>。本项目属于园区</w:t>
      </w:r>
      <w:r>
        <w:rPr>
          <w:rFonts w:hint="eastAsia"/>
          <w:color w:val="auto"/>
          <w:lang w:val="en-US" w:eastAsia="zh-CN"/>
        </w:rPr>
        <w:t>高端</w:t>
      </w:r>
      <w:r>
        <w:rPr>
          <w:rFonts w:hint="eastAsia"/>
          <w:color w:val="auto"/>
        </w:rPr>
        <w:t>装备制造业配套产业，不属于产业园区禁止或限制类行业，项目符合产业准入条件。本项目所在地不涉及《大运河（杭州段）世界文化遗产保护管理规划》一级、二级缓冲区。项目不涉及永久基本农田。因此，项目符合开发区规划优化调整建议清单相关要求。</w:t>
      </w:r>
    </w:p>
    <w:p w14:paraId="40BA0F2C">
      <w:pPr>
        <w:pStyle w:val="24"/>
        <w:ind w:firstLine="482"/>
        <w:rPr>
          <w:b/>
          <w:bCs/>
          <w:color w:val="auto"/>
          <w:kern w:val="0"/>
        </w:rPr>
      </w:pPr>
      <w:r>
        <w:rPr>
          <w:rFonts w:hint="eastAsia"/>
          <w:b/>
          <w:bCs/>
          <w:color w:val="auto"/>
          <w:kern w:val="0"/>
          <w:lang w:val="en-US" w:eastAsia="zh-CN"/>
        </w:rPr>
        <w:t>⑤</w:t>
      </w:r>
      <w:r>
        <w:rPr>
          <w:rFonts w:hint="eastAsia"/>
          <w:b/>
          <w:bCs/>
          <w:color w:val="auto"/>
          <w:kern w:val="0"/>
        </w:rPr>
        <w:t>环境准入条件清单符合性分析</w:t>
      </w:r>
    </w:p>
    <w:p w14:paraId="24EB0149">
      <w:pPr>
        <w:pStyle w:val="20"/>
        <w:numPr>
          <w:ilvl w:val="0"/>
          <w:numId w:val="6"/>
        </w:numPr>
        <w:spacing w:before="156"/>
        <w:rPr>
          <w:color w:val="auto"/>
        </w:rPr>
      </w:pPr>
      <w:r>
        <w:rPr>
          <w:rFonts w:hint="eastAsia"/>
          <w:color w:val="auto"/>
        </w:rPr>
        <w:t>环境准入条件清单</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555"/>
        <w:gridCol w:w="750"/>
        <w:gridCol w:w="1943"/>
        <w:gridCol w:w="2809"/>
        <w:gridCol w:w="1669"/>
      </w:tblGrid>
      <w:tr w14:paraId="5691E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noWrap w:val="0"/>
            <w:vAlign w:val="center"/>
          </w:tcPr>
          <w:p w14:paraId="36077C1C">
            <w:pPr>
              <w:adjustRightInd w:val="0"/>
              <w:snapToGrid w:val="0"/>
              <w:jc w:val="center"/>
              <w:rPr>
                <w:color w:val="auto"/>
                <w:sz w:val="21"/>
                <w:szCs w:val="21"/>
                <w:highlight w:val="none"/>
              </w:rPr>
            </w:pPr>
            <w:r>
              <w:rPr>
                <w:color w:val="auto"/>
                <w:sz w:val="21"/>
                <w:szCs w:val="21"/>
                <w:highlight w:val="none"/>
              </w:rPr>
              <w:t>分区</w:t>
            </w:r>
          </w:p>
        </w:tc>
        <w:tc>
          <w:tcPr>
            <w:tcW w:w="325" w:type="pct"/>
            <w:noWrap w:val="0"/>
            <w:vAlign w:val="center"/>
          </w:tcPr>
          <w:p w14:paraId="05A2AAD2">
            <w:pPr>
              <w:adjustRightInd w:val="0"/>
              <w:snapToGrid w:val="0"/>
              <w:jc w:val="center"/>
              <w:rPr>
                <w:color w:val="auto"/>
                <w:sz w:val="21"/>
                <w:szCs w:val="21"/>
                <w:highlight w:val="none"/>
              </w:rPr>
            </w:pPr>
            <w:r>
              <w:rPr>
                <w:color w:val="auto"/>
                <w:sz w:val="21"/>
                <w:szCs w:val="21"/>
                <w:highlight w:val="none"/>
              </w:rPr>
              <w:t>分类</w:t>
            </w:r>
          </w:p>
        </w:tc>
        <w:tc>
          <w:tcPr>
            <w:tcW w:w="440" w:type="pct"/>
            <w:noWrap w:val="0"/>
            <w:vAlign w:val="center"/>
          </w:tcPr>
          <w:p w14:paraId="6106B6E2">
            <w:pPr>
              <w:adjustRightInd w:val="0"/>
              <w:snapToGrid w:val="0"/>
              <w:jc w:val="center"/>
              <w:rPr>
                <w:color w:val="auto"/>
                <w:sz w:val="21"/>
                <w:szCs w:val="21"/>
                <w:highlight w:val="none"/>
              </w:rPr>
            </w:pPr>
            <w:r>
              <w:rPr>
                <w:color w:val="auto"/>
                <w:sz w:val="21"/>
                <w:szCs w:val="21"/>
                <w:highlight w:val="none"/>
              </w:rPr>
              <w:t>规划主导产业</w:t>
            </w:r>
          </w:p>
        </w:tc>
        <w:tc>
          <w:tcPr>
            <w:tcW w:w="1139" w:type="pct"/>
            <w:noWrap w:val="0"/>
            <w:vAlign w:val="center"/>
          </w:tcPr>
          <w:p w14:paraId="4297C793">
            <w:pPr>
              <w:widowControl/>
              <w:adjustRightInd w:val="0"/>
              <w:snapToGrid w:val="0"/>
              <w:jc w:val="center"/>
              <w:rPr>
                <w:bCs/>
                <w:color w:val="auto"/>
                <w:kern w:val="0"/>
                <w:sz w:val="21"/>
                <w:szCs w:val="21"/>
                <w:highlight w:val="none"/>
              </w:rPr>
            </w:pPr>
            <w:r>
              <w:rPr>
                <w:bCs/>
                <w:color w:val="auto"/>
                <w:kern w:val="0"/>
                <w:sz w:val="21"/>
                <w:szCs w:val="21"/>
                <w:highlight w:val="none"/>
              </w:rPr>
              <w:t>行业类别</w:t>
            </w:r>
          </w:p>
        </w:tc>
        <w:tc>
          <w:tcPr>
            <w:tcW w:w="1646" w:type="pct"/>
            <w:noWrap w:val="0"/>
            <w:vAlign w:val="center"/>
          </w:tcPr>
          <w:p w14:paraId="1757725B">
            <w:pPr>
              <w:widowControl/>
              <w:adjustRightInd w:val="0"/>
              <w:snapToGrid w:val="0"/>
              <w:jc w:val="center"/>
              <w:rPr>
                <w:bCs/>
                <w:color w:val="auto"/>
                <w:kern w:val="0"/>
                <w:sz w:val="21"/>
                <w:szCs w:val="21"/>
                <w:highlight w:val="none"/>
              </w:rPr>
            </w:pPr>
            <w:r>
              <w:rPr>
                <w:bCs/>
                <w:color w:val="auto"/>
                <w:kern w:val="0"/>
                <w:sz w:val="21"/>
                <w:szCs w:val="21"/>
                <w:highlight w:val="none"/>
              </w:rPr>
              <w:t>工艺清单</w:t>
            </w:r>
          </w:p>
        </w:tc>
        <w:tc>
          <w:tcPr>
            <w:tcW w:w="978" w:type="pct"/>
            <w:noWrap w:val="0"/>
            <w:vAlign w:val="center"/>
          </w:tcPr>
          <w:p w14:paraId="07CFF7E9">
            <w:pPr>
              <w:widowControl/>
              <w:adjustRightInd w:val="0"/>
              <w:snapToGrid w:val="0"/>
              <w:jc w:val="center"/>
              <w:rPr>
                <w:bCs/>
                <w:color w:val="auto"/>
                <w:kern w:val="0"/>
                <w:sz w:val="21"/>
                <w:szCs w:val="21"/>
                <w:highlight w:val="none"/>
              </w:rPr>
            </w:pPr>
            <w:r>
              <w:rPr>
                <w:bCs/>
                <w:color w:val="auto"/>
                <w:kern w:val="0"/>
                <w:sz w:val="21"/>
                <w:szCs w:val="21"/>
                <w:highlight w:val="none"/>
              </w:rPr>
              <w:t>产品清单</w:t>
            </w:r>
          </w:p>
        </w:tc>
      </w:tr>
      <w:tr w14:paraId="1A649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466" w:type="pct"/>
            <w:vMerge w:val="restart"/>
            <w:noWrap w:val="0"/>
            <w:vAlign w:val="center"/>
          </w:tcPr>
          <w:p w14:paraId="35D3019F">
            <w:pPr>
              <w:adjustRightInd w:val="0"/>
              <w:snapToGrid w:val="0"/>
              <w:jc w:val="center"/>
              <w:rPr>
                <w:color w:val="auto"/>
                <w:sz w:val="21"/>
                <w:szCs w:val="21"/>
                <w:highlight w:val="none"/>
              </w:rPr>
            </w:pPr>
            <w:r>
              <w:rPr>
                <w:color w:val="auto"/>
                <w:kern w:val="0"/>
                <w:sz w:val="21"/>
                <w:szCs w:val="21"/>
                <w:highlight w:val="none"/>
                <w:lang w:bidi="ar"/>
              </w:rPr>
              <w:t>余杭区临平副城产业集聚重点管控单元</w:t>
            </w:r>
          </w:p>
        </w:tc>
        <w:tc>
          <w:tcPr>
            <w:tcW w:w="325" w:type="pct"/>
            <w:noWrap w:val="0"/>
            <w:vAlign w:val="center"/>
          </w:tcPr>
          <w:p w14:paraId="0B1429E8">
            <w:pPr>
              <w:adjustRightInd w:val="0"/>
              <w:snapToGrid w:val="0"/>
              <w:jc w:val="center"/>
              <w:rPr>
                <w:color w:val="auto"/>
                <w:sz w:val="21"/>
                <w:szCs w:val="21"/>
                <w:highlight w:val="none"/>
              </w:rPr>
            </w:pPr>
            <w:r>
              <w:rPr>
                <w:color w:val="auto"/>
                <w:sz w:val="21"/>
                <w:szCs w:val="21"/>
                <w:highlight w:val="none"/>
              </w:rPr>
              <w:t>禁止准入类</w:t>
            </w:r>
          </w:p>
        </w:tc>
        <w:tc>
          <w:tcPr>
            <w:tcW w:w="440" w:type="pct"/>
            <w:noWrap w:val="0"/>
            <w:vAlign w:val="center"/>
          </w:tcPr>
          <w:p w14:paraId="491CE2CB">
            <w:pPr>
              <w:adjustRightInd w:val="0"/>
              <w:snapToGrid w:val="0"/>
              <w:jc w:val="center"/>
              <w:rPr>
                <w:color w:val="auto"/>
                <w:sz w:val="21"/>
                <w:szCs w:val="21"/>
                <w:highlight w:val="none"/>
              </w:rPr>
            </w:pPr>
            <w:r>
              <w:rPr>
                <w:color w:val="auto"/>
                <w:sz w:val="21"/>
                <w:szCs w:val="21"/>
                <w:highlight w:val="none"/>
              </w:rPr>
              <w:t>其他非主导产业</w:t>
            </w:r>
          </w:p>
        </w:tc>
        <w:tc>
          <w:tcPr>
            <w:tcW w:w="1139" w:type="pct"/>
            <w:noWrap w:val="0"/>
            <w:vAlign w:val="center"/>
          </w:tcPr>
          <w:p w14:paraId="728CF85E">
            <w:pPr>
              <w:adjustRightInd w:val="0"/>
              <w:snapToGrid w:val="0"/>
              <w:jc w:val="left"/>
              <w:rPr>
                <w:color w:val="auto"/>
                <w:kern w:val="0"/>
                <w:sz w:val="21"/>
                <w:szCs w:val="21"/>
                <w:highlight w:val="none"/>
              </w:rPr>
            </w:pPr>
            <w:r>
              <w:rPr>
                <w:color w:val="auto"/>
                <w:kern w:val="0"/>
                <w:sz w:val="21"/>
                <w:szCs w:val="21"/>
                <w:highlight w:val="none"/>
              </w:rPr>
              <w:t>二十六、橡胶和塑料制品制造29</w:t>
            </w:r>
          </w:p>
        </w:tc>
        <w:tc>
          <w:tcPr>
            <w:tcW w:w="1646" w:type="pct"/>
            <w:noWrap w:val="0"/>
            <w:vAlign w:val="center"/>
          </w:tcPr>
          <w:p w14:paraId="0F3F7B5B">
            <w:pPr>
              <w:adjustRightInd w:val="0"/>
              <w:snapToGrid w:val="0"/>
              <w:jc w:val="center"/>
              <w:rPr>
                <w:color w:val="auto"/>
                <w:sz w:val="21"/>
                <w:szCs w:val="21"/>
                <w:highlight w:val="none"/>
              </w:rPr>
            </w:pPr>
            <w:r>
              <w:rPr>
                <w:color w:val="auto"/>
                <w:sz w:val="21"/>
                <w:szCs w:val="21"/>
                <w:highlight w:val="none"/>
              </w:rPr>
              <w:t>轮胎制造；再生橡胶制造；</w:t>
            </w:r>
          </w:p>
          <w:p w14:paraId="5A872AA7">
            <w:pPr>
              <w:adjustRightInd w:val="0"/>
              <w:snapToGrid w:val="0"/>
              <w:jc w:val="center"/>
              <w:rPr>
                <w:color w:val="auto"/>
                <w:sz w:val="21"/>
                <w:szCs w:val="21"/>
                <w:highlight w:val="none"/>
              </w:rPr>
            </w:pPr>
            <w:r>
              <w:rPr>
                <w:color w:val="auto"/>
                <w:sz w:val="21"/>
                <w:szCs w:val="21"/>
                <w:highlight w:val="none"/>
              </w:rPr>
              <w:t>以再生塑料为原料生产的；</w:t>
            </w:r>
          </w:p>
          <w:p w14:paraId="0305BF36">
            <w:pPr>
              <w:adjustRightInd w:val="0"/>
              <w:snapToGrid w:val="0"/>
              <w:jc w:val="center"/>
              <w:rPr>
                <w:color w:val="auto"/>
                <w:sz w:val="21"/>
                <w:szCs w:val="21"/>
                <w:highlight w:val="none"/>
              </w:rPr>
            </w:pPr>
            <w:r>
              <w:rPr>
                <w:color w:val="auto"/>
                <w:sz w:val="21"/>
                <w:szCs w:val="21"/>
                <w:highlight w:val="none"/>
              </w:rPr>
              <w:t>炼化/硫化工艺；电镀。</w:t>
            </w:r>
          </w:p>
        </w:tc>
        <w:tc>
          <w:tcPr>
            <w:tcW w:w="978" w:type="pct"/>
            <w:noWrap w:val="0"/>
            <w:vAlign w:val="center"/>
          </w:tcPr>
          <w:p w14:paraId="0B578227">
            <w:pPr>
              <w:adjustRightInd w:val="0"/>
              <w:snapToGrid w:val="0"/>
              <w:rPr>
                <w:color w:val="auto"/>
                <w:kern w:val="0"/>
                <w:sz w:val="21"/>
                <w:szCs w:val="21"/>
                <w:highlight w:val="none"/>
              </w:rPr>
            </w:pPr>
            <w:r>
              <w:rPr>
                <w:color w:val="auto"/>
                <w:kern w:val="0"/>
                <w:sz w:val="21"/>
                <w:szCs w:val="21"/>
                <w:highlight w:val="none"/>
              </w:rPr>
              <w:t>橡胶制品生产；超薄型(厚度低于0.025mm)塑料袋；聚氯乙烯食品保鲜包装膜；</w:t>
            </w:r>
          </w:p>
          <w:p w14:paraId="2C6ECD75">
            <w:pPr>
              <w:adjustRightInd w:val="0"/>
              <w:snapToGrid w:val="0"/>
              <w:rPr>
                <w:color w:val="auto"/>
                <w:kern w:val="0"/>
                <w:sz w:val="21"/>
                <w:szCs w:val="21"/>
                <w:highlight w:val="none"/>
              </w:rPr>
            </w:pPr>
            <w:r>
              <w:rPr>
                <w:color w:val="auto"/>
                <w:kern w:val="0"/>
                <w:sz w:val="21"/>
                <w:szCs w:val="21"/>
                <w:highlight w:val="none"/>
              </w:rPr>
              <w:t>不可降解的一次性塑料制品。</w:t>
            </w:r>
          </w:p>
        </w:tc>
      </w:tr>
      <w:tr w14:paraId="06F43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66" w:type="pct"/>
            <w:vMerge w:val="continue"/>
            <w:noWrap w:val="0"/>
            <w:vAlign w:val="center"/>
          </w:tcPr>
          <w:p w14:paraId="777B9B6D">
            <w:pPr>
              <w:adjustRightInd w:val="0"/>
              <w:snapToGrid w:val="0"/>
              <w:jc w:val="center"/>
              <w:rPr>
                <w:color w:val="auto"/>
                <w:sz w:val="21"/>
                <w:szCs w:val="21"/>
                <w:highlight w:val="none"/>
              </w:rPr>
            </w:pPr>
          </w:p>
        </w:tc>
        <w:tc>
          <w:tcPr>
            <w:tcW w:w="325" w:type="pct"/>
            <w:noWrap w:val="0"/>
            <w:vAlign w:val="center"/>
          </w:tcPr>
          <w:p w14:paraId="2C46634B">
            <w:pPr>
              <w:adjustRightInd w:val="0"/>
              <w:snapToGrid w:val="0"/>
              <w:jc w:val="center"/>
              <w:rPr>
                <w:color w:val="auto"/>
                <w:sz w:val="21"/>
                <w:szCs w:val="21"/>
                <w:highlight w:val="none"/>
              </w:rPr>
            </w:pPr>
            <w:r>
              <w:rPr>
                <w:color w:val="auto"/>
                <w:sz w:val="21"/>
                <w:szCs w:val="21"/>
                <w:highlight w:val="none"/>
              </w:rPr>
              <w:t>限制准入类</w:t>
            </w:r>
          </w:p>
        </w:tc>
        <w:tc>
          <w:tcPr>
            <w:tcW w:w="440" w:type="pct"/>
            <w:noWrap w:val="0"/>
            <w:vAlign w:val="center"/>
          </w:tcPr>
          <w:p w14:paraId="4AC4D848">
            <w:pPr>
              <w:adjustRightInd w:val="0"/>
              <w:snapToGrid w:val="0"/>
              <w:jc w:val="center"/>
              <w:rPr>
                <w:color w:val="auto"/>
                <w:sz w:val="21"/>
                <w:szCs w:val="21"/>
                <w:highlight w:val="none"/>
              </w:rPr>
            </w:pPr>
            <w:r>
              <w:rPr>
                <w:color w:val="auto"/>
                <w:sz w:val="21"/>
                <w:szCs w:val="21"/>
                <w:highlight w:val="none"/>
              </w:rPr>
              <w:t>其他非主导行业</w:t>
            </w:r>
          </w:p>
        </w:tc>
        <w:tc>
          <w:tcPr>
            <w:tcW w:w="1139" w:type="pct"/>
            <w:noWrap w:val="0"/>
            <w:vAlign w:val="center"/>
          </w:tcPr>
          <w:p w14:paraId="7B061A5B">
            <w:pPr>
              <w:autoSpaceDE w:val="0"/>
              <w:autoSpaceDN w:val="0"/>
              <w:adjustRightInd w:val="0"/>
              <w:snapToGrid w:val="0"/>
              <w:jc w:val="center"/>
              <w:rPr>
                <w:color w:val="auto"/>
                <w:sz w:val="21"/>
                <w:szCs w:val="21"/>
                <w:highlight w:val="none"/>
                <w:lang w:bidi="ar"/>
              </w:rPr>
            </w:pPr>
            <w:r>
              <w:rPr>
                <w:color w:val="auto"/>
                <w:sz w:val="21"/>
                <w:szCs w:val="21"/>
                <w:highlight w:val="none"/>
                <w:lang w:bidi="ar"/>
              </w:rPr>
              <w:t>二十六、橡胶和塑料制品制造29</w:t>
            </w:r>
          </w:p>
        </w:tc>
        <w:tc>
          <w:tcPr>
            <w:tcW w:w="1646" w:type="pct"/>
            <w:noWrap w:val="0"/>
            <w:vAlign w:val="center"/>
          </w:tcPr>
          <w:p w14:paraId="6D1C4DDE">
            <w:pPr>
              <w:adjustRightInd w:val="0"/>
              <w:snapToGrid w:val="0"/>
              <w:jc w:val="center"/>
              <w:rPr>
                <w:color w:val="auto"/>
                <w:sz w:val="21"/>
                <w:szCs w:val="21"/>
                <w:highlight w:val="none"/>
              </w:rPr>
            </w:pPr>
            <w:r>
              <w:rPr>
                <w:color w:val="auto"/>
                <w:sz w:val="21"/>
                <w:szCs w:val="21"/>
                <w:highlight w:val="none"/>
              </w:rPr>
              <w:t>年用溶剂型涂料及胶粘剂10吨及以上项目。</w:t>
            </w:r>
          </w:p>
        </w:tc>
        <w:tc>
          <w:tcPr>
            <w:tcW w:w="978" w:type="pct"/>
            <w:noWrap w:val="0"/>
            <w:vAlign w:val="center"/>
          </w:tcPr>
          <w:p w14:paraId="15323E30">
            <w:pPr>
              <w:adjustRightInd w:val="0"/>
              <w:snapToGrid w:val="0"/>
              <w:jc w:val="center"/>
              <w:rPr>
                <w:color w:val="auto"/>
                <w:kern w:val="0"/>
                <w:sz w:val="21"/>
                <w:szCs w:val="21"/>
                <w:highlight w:val="none"/>
              </w:rPr>
            </w:pPr>
            <w:r>
              <w:rPr>
                <w:color w:val="auto"/>
                <w:sz w:val="21"/>
                <w:szCs w:val="21"/>
                <w:highlight w:val="none"/>
              </w:rPr>
              <w:t>/</w:t>
            </w:r>
          </w:p>
        </w:tc>
      </w:tr>
    </w:tbl>
    <w:p w14:paraId="621DEAE6">
      <w:pPr>
        <w:pStyle w:val="24"/>
        <w:adjustRightInd w:val="0"/>
        <w:snapToGrid w:val="0"/>
        <w:ind w:firstLine="482"/>
        <w:rPr>
          <w:color w:val="auto"/>
        </w:rPr>
      </w:pPr>
      <w:r>
        <w:rPr>
          <w:rFonts w:hint="eastAsia"/>
          <w:b/>
          <w:color w:val="auto"/>
        </w:rPr>
        <w:t>符合性分析：</w:t>
      </w:r>
      <w:r>
        <w:rPr>
          <w:color w:val="auto"/>
          <w:szCs w:val="21"/>
          <w:highlight w:val="none"/>
        </w:rPr>
        <w:t>本项目</w:t>
      </w:r>
      <w:r>
        <w:rPr>
          <w:rFonts w:hint="eastAsia"/>
          <w:color w:val="auto"/>
          <w:szCs w:val="21"/>
          <w:highlight w:val="none"/>
        </w:rPr>
        <w:t>主要进行</w:t>
      </w:r>
      <w:r>
        <w:rPr>
          <w:rFonts w:hint="eastAsia"/>
          <w:color w:val="auto"/>
          <w:szCs w:val="21"/>
          <w:highlight w:val="none"/>
          <w:lang w:val="en-US" w:eastAsia="zh-Hans"/>
        </w:rPr>
        <w:t>塑料薄膜制造</w:t>
      </w:r>
      <w:r>
        <w:rPr>
          <w:color w:val="auto"/>
          <w:szCs w:val="21"/>
          <w:highlight w:val="none"/>
        </w:rPr>
        <w:t>，</w:t>
      </w:r>
      <w:r>
        <w:rPr>
          <w:rFonts w:hint="eastAsia"/>
          <w:color w:val="auto"/>
          <w:szCs w:val="21"/>
          <w:highlight w:val="none"/>
          <w:lang w:val="en-US" w:eastAsia="zh-CN"/>
        </w:rPr>
        <w:t>主要原材料为PE粒子，</w:t>
      </w:r>
      <w:r>
        <w:rPr>
          <w:rFonts w:hint="eastAsia"/>
          <w:color w:val="auto"/>
          <w:szCs w:val="21"/>
          <w:highlight w:val="none"/>
          <w:lang w:val="en-US" w:eastAsia="zh-CN"/>
        </w:rPr>
        <w:t>膜厚度为3</w:t>
      </w:r>
      <w:r>
        <w:rPr>
          <w:rFonts w:hint="default" w:ascii="Times New Roman" w:hAnsi="Times New Roman" w:cs="Times New Roman"/>
          <w:color w:val="auto"/>
          <w:szCs w:val="21"/>
          <w:highlight w:val="none"/>
          <w:lang w:val="en-US" w:eastAsia="zh-CN"/>
        </w:rPr>
        <w:t>0~150μm，不属于</w:t>
      </w:r>
      <w:r>
        <w:rPr>
          <w:rFonts w:hint="eastAsia"/>
          <w:color w:val="auto"/>
          <w:szCs w:val="21"/>
          <w:highlight w:val="none"/>
          <w:lang w:val="en-US" w:eastAsia="zh-CN"/>
        </w:rPr>
        <w:t>橡胶制品、超薄型(厚度低于0.025mm)塑料袋、聚氯乙烯食品保鲜包装膜；本项目PE薄膜可回收再利用，不属于不可降解的一次性塑料制品；</w:t>
      </w:r>
      <w:r>
        <w:rPr>
          <w:rFonts w:hint="eastAsia"/>
          <w:color w:val="auto"/>
          <w:szCs w:val="21"/>
          <w:highlight w:val="none"/>
          <w:lang w:val="en-US" w:eastAsia="zh-CN"/>
        </w:rPr>
        <w:t>本项目不使用溶剂型涂料及胶粘剂，不</w:t>
      </w:r>
      <w:r>
        <w:rPr>
          <w:rFonts w:hint="eastAsia"/>
          <w:color w:val="auto"/>
          <w:szCs w:val="21"/>
          <w:highlight w:val="none"/>
          <w:lang w:val="en-US" w:eastAsia="zh-CN"/>
        </w:rPr>
        <w:t>属于年用溶剂型涂料及胶粘剂10吨及以上项目。因此</w:t>
      </w:r>
      <w:r>
        <w:rPr>
          <w:color w:val="auto"/>
          <w:szCs w:val="21"/>
          <w:highlight w:val="none"/>
        </w:rPr>
        <w:t>，本项目不涉及清单中</w:t>
      </w:r>
      <w:r>
        <w:rPr>
          <w:rFonts w:hint="eastAsia"/>
          <w:color w:val="auto"/>
          <w:szCs w:val="21"/>
          <w:highlight w:val="none"/>
        </w:rPr>
        <w:t>限制</w:t>
      </w:r>
      <w:r>
        <w:rPr>
          <w:color w:val="auto"/>
          <w:szCs w:val="21"/>
          <w:highlight w:val="none"/>
        </w:rPr>
        <w:t>和禁止准入类产业，符合规划环评环境准入条件清单要求。</w:t>
      </w:r>
    </w:p>
    <w:p w14:paraId="636B268D">
      <w:pPr>
        <w:pStyle w:val="24"/>
        <w:ind w:firstLine="482"/>
        <w:rPr>
          <w:b/>
          <w:color w:val="auto"/>
        </w:rPr>
      </w:pPr>
      <w:r>
        <w:rPr>
          <w:rFonts w:hint="eastAsia"/>
          <w:b/>
          <w:color w:val="auto"/>
          <w:lang w:val="en-US" w:eastAsia="zh-CN"/>
        </w:rPr>
        <w:t>⑥</w:t>
      </w:r>
      <w:r>
        <w:rPr>
          <w:rFonts w:hint="eastAsia"/>
          <w:b/>
          <w:color w:val="auto"/>
        </w:rPr>
        <w:t>环境标准清单符合性分析</w:t>
      </w:r>
    </w:p>
    <w:p w14:paraId="75BC1A92">
      <w:pPr>
        <w:pStyle w:val="24"/>
        <w:ind w:firstLine="480"/>
        <w:rPr>
          <w:color w:val="auto"/>
        </w:rPr>
      </w:pPr>
      <w:r>
        <w:rPr>
          <w:rFonts w:hint="eastAsia"/>
          <w:color w:val="auto"/>
        </w:rPr>
        <w:t>本项目废气排放执行</w:t>
      </w:r>
      <w:r>
        <w:rPr>
          <w:rFonts w:hint="eastAsia"/>
          <w:color w:val="auto"/>
          <w:lang w:eastAsia="zh-CN"/>
        </w:rPr>
        <w:t>《合成树脂工业污染物排放标准》（GB31572-2015，含2024年修改单）</w:t>
      </w:r>
      <w:r>
        <w:rPr>
          <w:rFonts w:hint="eastAsia"/>
          <w:color w:val="auto"/>
        </w:rPr>
        <w:t>和《挥发性有机物无组织排放控制标准》</w:t>
      </w:r>
      <w:r>
        <w:rPr>
          <w:rFonts w:hint="eastAsia"/>
          <w:color w:val="auto"/>
          <w:lang w:eastAsia="zh-CN"/>
        </w:rPr>
        <w:t>（</w:t>
      </w:r>
      <w:r>
        <w:rPr>
          <w:rFonts w:hint="eastAsia"/>
          <w:color w:val="auto"/>
        </w:rPr>
        <w:t>GB37822-2019</w:t>
      </w:r>
      <w:r>
        <w:rPr>
          <w:rFonts w:hint="eastAsia"/>
          <w:color w:val="auto"/>
          <w:lang w:eastAsia="zh-CN"/>
        </w:rPr>
        <w:t>）</w:t>
      </w:r>
      <w:r>
        <w:rPr>
          <w:rFonts w:hint="eastAsia"/>
          <w:color w:val="auto"/>
        </w:rPr>
        <w:t>表A.1规定的特别排放限值；废水纳管标准执行《污水综合排放标准》</w:t>
      </w:r>
      <w:r>
        <w:rPr>
          <w:rFonts w:hint="eastAsia"/>
          <w:color w:val="auto"/>
          <w:lang w:eastAsia="zh-CN"/>
        </w:rPr>
        <w:t>（</w:t>
      </w:r>
      <w:r>
        <w:rPr>
          <w:color w:val="auto"/>
        </w:rPr>
        <w:t>GB8978-1996</w:t>
      </w:r>
      <w:r>
        <w:rPr>
          <w:rFonts w:hint="eastAsia"/>
          <w:color w:val="auto"/>
          <w:lang w:eastAsia="zh-CN"/>
        </w:rPr>
        <w:t>）三级排放标准（氨氮、总磷参照执行《工业企业废水氮、磷污染物间接排放限值》（DB33/887-2013）</w:t>
      </w:r>
      <w:r>
        <w:rPr>
          <w:rFonts w:hint="eastAsia"/>
          <w:color w:val="auto"/>
          <w:lang w:val="en-US" w:eastAsia="zh-CN"/>
        </w:rPr>
        <w:t>相关标准</w:t>
      </w:r>
      <w:r>
        <w:rPr>
          <w:rFonts w:hint="eastAsia"/>
          <w:color w:val="auto"/>
          <w:lang w:eastAsia="zh-CN"/>
        </w:rPr>
        <w:t>）</w:t>
      </w:r>
      <w:r>
        <w:rPr>
          <w:rFonts w:hint="eastAsia"/>
          <w:color w:val="auto"/>
        </w:rPr>
        <w:t>；厂界噪声排放执行《工业企业厂界环境噪声排放标准》</w:t>
      </w:r>
      <w:r>
        <w:rPr>
          <w:rFonts w:hint="eastAsia"/>
          <w:color w:val="auto"/>
          <w:lang w:eastAsia="zh-CN"/>
        </w:rPr>
        <w:t>（</w:t>
      </w:r>
      <w:r>
        <w:rPr>
          <w:rFonts w:hint="eastAsia"/>
          <w:color w:val="auto"/>
        </w:rPr>
        <w:t>GB 12348-2008</w:t>
      </w:r>
      <w:r>
        <w:rPr>
          <w:rFonts w:hint="eastAsia"/>
          <w:color w:val="auto"/>
          <w:lang w:eastAsia="zh-CN"/>
        </w:rPr>
        <w:t>）</w:t>
      </w:r>
      <w:r>
        <w:rPr>
          <w:rFonts w:hint="eastAsia"/>
          <w:color w:val="auto"/>
        </w:rPr>
        <w:t>中</w:t>
      </w:r>
      <w:r>
        <w:rPr>
          <w:rFonts w:hint="eastAsia"/>
          <w:color w:val="auto"/>
          <w:lang w:val="en-US" w:eastAsia="zh-CN"/>
        </w:rPr>
        <w:t>3</w:t>
      </w:r>
      <w:r>
        <w:rPr>
          <w:rFonts w:hint="eastAsia"/>
          <w:color w:val="auto"/>
        </w:rPr>
        <w:t>类声环境功能区排放标准；一般</w:t>
      </w:r>
      <w:r>
        <w:rPr>
          <w:color w:val="auto"/>
        </w:rPr>
        <w:t>固废厂内</w:t>
      </w:r>
      <w:r>
        <w:rPr>
          <w:rFonts w:hint="eastAsia"/>
          <w:color w:val="auto"/>
        </w:rPr>
        <w:t>贮存过程满足相应防渗漏、防雨淋、防扬尘等环境保护要求；危险废物的贮存执行《危险废物贮存污染控制标准》（GB18957-20</w:t>
      </w:r>
      <w:r>
        <w:rPr>
          <w:rFonts w:hint="eastAsia"/>
          <w:color w:val="auto"/>
          <w:lang w:val="en-US" w:eastAsia="zh-CN"/>
        </w:rPr>
        <w:t>23</w:t>
      </w:r>
      <w:r>
        <w:rPr>
          <w:rFonts w:hint="eastAsia"/>
          <w:color w:val="auto"/>
        </w:rPr>
        <w:t>）。</w:t>
      </w:r>
    </w:p>
    <w:p w14:paraId="64232834">
      <w:pPr>
        <w:pStyle w:val="24"/>
        <w:ind w:firstLine="480"/>
        <w:rPr>
          <w:color w:val="auto"/>
        </w:rPr>
      </w:pPr>
      <w:r>
        <w:rPr>
          <w:color w:val="auto"/>
        </w:rPr>
        <w:t>综上所述，本项目符合规划环评环境标准清单要求。</w:t>
      </w:r>
    </w:p>
    <w:p w14:paraId="7E8EE56C">
      <w:pPr>
        <w:pStyle w:val="24"/>
        <w:ind w:firstLine="480"/>
        <w:rPr>
          <w:b/>
          <w:bCs/>
          <w:color w:val="auto"/>
        </w:rPr>
      </w:pPr>
      <w:r>
        <w:rPr>
          <w:b/>
          <w:bCs/>
          <w:color w:val="auto"/>
        </w:rPr>
        <w:t>2）规划环评审查意见符合性分析</w:t>
      </w:r>
    </w:p>
    <w:p w14:paraId="1551A671">
      <w:pPr>
        <w:pStyle w:val="24"/>
        <w:ind w:firstLine="480"/>
        <w:rPr>
          <w:rFonts w:hint="eastAsia"/>
          <w:color w:val="auto"/>
        </w:rPr>
      </w:pPr>
      <w:r>
        <w:rPr>
          <w:color w:val="auto"/>
        </w:rPr>
        <w:t>本项目为新建项目，主要进行</w:t>
      </w:r>
      <w:r>
        <w:rPr>
          <w:rFonts w:hint="eastAsia"/>
          <w:color w:val="auto"/>
          <w:lang w:val="en-US" w:eastAsia="zh-Hans"/>
        </w:rPr>
        <w:t>塑料薄膜制造</w:t>
      </w:r>
      <w:r>
        <w:rPr>
          <w:color w:val="auto"/>
        </w:rPr>
        <w:t>，为二类工业项目</w:t>
      </w:r>
      <w:r>
        <w:rPr>
          <w:rFonts w:hint="eastAsia"/>
          <w:color w:val="auto"/>
          <w:lang w:eastAsia="zh-CN"/>
        </w:rPr>
        <w:t>，不属于限制和禁止准入类产业</w:t>
      </w:r>
      <w:r>
        <w:rPr>
          <w:color w:val="auto"/>
        </w:rPr>
        <w:t>。根据《塘栖装备机械产业园区控制性详细规划（2014-2030）》，</w:t>
      </w:r>
      <w:r>
        <w:rPr>
          <w:rFonts w:hint="eastAsia"/>
          <w:color w:val="auto"/>
          <w:lang w:val="en-US" w:eastAsia="zh-CN"/>
        </w:rPr>
        <w:t>项目拟建地</w:t>
      </w:r>
      <w:r>
        <w:rPr>
          <w:color w:val="auto"/>
        </w:rPr>
        <w:t>用地性质为</w:t>
      </w:r>
      <w:r>
        <w:rPr>
          <w:rFonts w:hint="eastAsia"/>
          <w:color w:val="auto"/>
          <w:lang w:eastAsia="zh-CN"/>
        </w:rPr>
        <w:t>工业用地</w:t>
      </w:r>
      <w:r>
        <w:rPr>
          <w:color w:val="auto"/>
        </w:rPr>
        <w:t>。</w:t>
      </w:r>
      <w:r>
        <w:rPr>
          <w:rFonts w:hint="eastAsia"/>
          <w:color w:val="auto"/>
        </w:rPr>
        <w:t>本项目各类污染物经</w:t>
      </w:r>
      <w:r>
        <w:rPr>
          <w:rFonts w:hint="eastAsia"/>
          <w:color w:val="auto"/>
          <w:lang w:val="en-US" w:eastAsia="zh-CN"/>
        </w:rPr>
        <w:t>妥善</w:t>
      </w:r>
      <w:r>
        <w:rPr>
          <w:rFonts w:hint="eastAsia"/>
          <w:color w:val="auto"/>
        </w:rPr>
        <w:t>处理后均可达标排放，对周边环境影响较小</w:t>
      </w:r>
      <w:r>
        <w:rPr>
          <w:rFonts w:hint="eastAsia"/>
          <w:color w:val="auto"/>
          <w:lang w:eastAsia="zh-CN"/>
        </w:rPr>
        <w:t>。</w:t>
      </w:r>
      <w:r>
        <w:rPr>
          <w:color w:val="auto"/>
        </w:rPr>
        <w:t>项</w:t>
      </w:r>
      <w:r>
        <w:rPr>
          <w:rFonts w:hint="eastAsia"/>
          <w:color w:val="auto"/>
          <w:lang w:val="en-US" w:eastAsia="zh-CN"/>
        </w:rPr>
        <w:t>目</w:t>
      </w:r>
      <w:r>
        <w:rPr>
          <w:color w:val="auto"/>
        </w:rPr>
        <w:t>实施后新增</w:t>
      </w:r>
      <w:r>
        <w:rPr>
          <w:rFonts w:hint="eastAsia"/>
          <w:color w:val="auto"/>
          <w:lang w:val="en-US" w:eastAsia="zh-CN"/>
        </w:rPr>
        <w:t>污染物总</w:t>
      </w:r>
      <w:r>
        <w:rPr>
          <w:color w:val="auto"/>
        </w:rPr>
        <w:t>量均可在区域内削减</w:t>
      </w:r>
      <w:r>
        <w:rPr>
          <w:rFonts w:hint="eastAsia"/>
          <w:color w:val="auto"/>
          <w:lang w:val="en-US" w:eastAsia="zh-CN"/>
        </w:rPr>
        <w:t>替代</w:t>
      </w:r>
      <w:r>
        <w:rPr>
          <w:color w:val="auto"/>
        </w:rPr>
        <w:t>，区域污染物不会突破总量管控限值。</w:t>
      </w:r>
      <w:r>
        <w:rPr>
          <w:rFonts w:hint="eastAsia"/>
          <w:color w:val="auto"/>
          <w:lang w:val="en-US" w:eastAsia="zh-CN"/>
        </w:rPr>
        <w:t>因</w:t>
      </w:r>
      <w:r>
        <w:rPr>
          <w:rFonts w:hint="eastAsia"/>
          <w:color w:val="auto"/>
        </w:rPr>
        <w:t>此</w:t>
      </w:r>
      <w:r>
        <w:rPr>
          <w:color w:val="auto"/>
        </w:rPr>
        <w:t>，本项目实施</w:t>
      </w:r>
      <w:r>
        <w:rPr>
          <w:rFonts w:hint="eastAsia"/>
          <w:color w:val="auto"/>
        </w:rPr>
        <w:t>符合《塘栖装备机械产业园区控制性详细规划环境影响报告书</w:t>
      </w:r>
      <w:r>
        <w:rPr>
          <w:color w:val="auto"/>
        </w:rPr>
        <w:t>》</w:t>
      </w:r>
      <w:r>
        <w:rPr>
          <w:rFonts w:hint="eastAsia"/>
          <w:color w:val="auto"/>
        </w:rPr>
        <w:t>中</w:t>
      </w:r>
      <w:r>
        <w:rPr>
          <w:color w:val="auto"/>
        </w:rPr>
        <w:t>生态空间清单</w:t>
      </w:r>
      <w:r>
        <w:rPr>
          <w:rFonts w:hint="eastAsia"/>
          <w:color w:val="auto"/>
        </w:rPr>
        <w:t>、现有问题整改措施清单、</w:t>
      </w:r>
      <w:r>
        <w:rPr>
          <w:color w:val="auto"/>
        </w:rPr>
        <w:t>污染物排放总量管控限值清单</w:t>
      </w:r>
      <w:r>
        <w:rPr>
          <w:rFonts w:hint="eastAsia"/>
          <w:color w:val="auto"/>
        </w:rPr>
        <w:t>、规划</w:t>
      </w:r>
      <w:r>
        <w:rPr>
          <w:rFonts w:hint="eastAsia"/>
          <w:color w:val="auto"/>
          <w:lang w:val="en-US" w:eastAsia="zh-CN"/>
        </w:rPr>
        <w:t>方案</w:t>
      </w:r>
      <w:r>
        <w:rPr>
          <w:rFonts w:hint="eastAsia"/>
          <w:color w:val="auto"/>
        </w:rPr>
        <w:t>优化调整建议清单</w:t>
      </w:r>
      <w:r>
        <w:rPr>
          <w:rFonts w:hint="eastAsia"/>
          <w:color w:val="auto"/>
          <w:lang w:eastAsia="zh-CN"/>
        </w:rPr>
        <w:t>、环境准入条件清单</w:t>
      </w:r>
      <w:r>
        <w:rPr>
          <w:rFonts w:hint="eastAsia"/>
          <w:color w:val="auto"/>
        </w:rPr>
        <w:t>以及环境标准清单等六张</w:t>
      </w:r>
      <w:r>
        <w:rPr>
          <w:color w:val="auto"/>
        </w:rPr>
        <w:t>清单</w:t>
      </w:r>
      <w:r>
        <w:rPr>
          <w:rFonts w:hint="eastAsia"/>
          <w:color w:val="auto"/>
        </w:rPr>
        <w:t>要求。</w:t>
      </w:r>
    </w:p>
    <w:p w14:paraId="1E4220E2">
      <w:pPr>
        <w:pStyle w:val="24"/>
        <w:ind w:firstLine="480"/>
        <w:rPr>
          <w:color w:val="auto"/>
        </w:rPr>
      </w:pPr>
      <w:r>
        <w:rPr>
          <w:color w:val="auto"/>
        </w:rPr>
        <w:t>对照《塘栖装备机械产业园区控制性详细规划环境影响报告书》审查意见，本项目的实施符合审查意见相关要求。</w:t>
      </w:r>
    </w:p>
    <w:p w14:paraId="2DA9D491">
      <w:pPr>
        <w:pStyle w:val="2"/>
        <w:spacing w:line="360" w:lineRule="auto"/>
        <w:jc w:val="left"/>
        <w:rPr>
          <w:color w:val="auto"/>
        </w:rPr>
      </w:pPr>
      <w:r>
        <w:rPr>
          <w:rFonts w:hint="eastAsia"/>
          <w:color w:val="auto"/>
        </w:rPr>
        <w:t>四、审批负面清单对照表</w:t>
      </w:r>
    </w:p>
    <w:p w14:paraId="3C22DB8D">
      <w:pPr>
        <w:pStyle w:val="24"/>
        <w:ind w:firstLine="480"/>
        <w:rPr>
          <w:rFonts w:hint="default" w:eastAsia="宋体"/>
          <w:color w:val="auto"/>
          <w:lang w:val="en-US" w:eastAsia="zh-CN"/>
        </w:rPr>
      </w:pPr>
      <w:r>
        <w:rPr>
          <w:color w:val="auto"/>
        </w:rPr>
        <w:t>本项目位于塘栖装备机械产业园区</w:t>
      </w:r>
      <w:r>
        <w:rPr>
          <w:rFonts w:hint="eastAsia"/>
          <w:color w:val="auto"/>
        </w:rPr>
        <w:t>内</w:t>
      </w:r>
      <w:r>
        <w:rPr>
          <w:color w:val="auto"/>
        </w:rPr>
        <w:t>，</w:t>
      </w:r>
      <w:r>
        <w:rPr>
          <w:rFonts w:hint="eastAsia"/>
          <w:color w:val="auto"/>
          <w:lang w:val="en-US" w:eastAsia="zh-CN"/>
        </w:rPr>
        <w:t>根据</w:t>
      </w:r>
      <w:r>
        <w:rPr>
          <w:rFonts w:hint="eastAsia"/>
          <w:color w:val="auto"/>
        </w:rPr>
        <w:t>《浙江省生态环境厅关于深化环评集成改革优化提升营商环境的指导意见》</w:t>
      </w:r>
      <w:r>
        <w:rPr>
          <w:rFonts w:hint="eastAsia"/>
          <w:color w:val="auto"/>
          <w:lang w:eastAsia="zh-CN"/>
        </w:rPr>
        <w:t>（浙环发[2023]52号），</w:t>
      </w:r>
      <w:r>
        <w:rPr>
          <w:color w:val="auto"/>
        </w:rPr>
        <w:t>“区域环评+环境标准”改革</w:t>
      </w:r>
      <w:r>
        <w:rPr>
          <w:rFonts w:hint="eastAsia"/>
          <w:color w:val="auto"/>
          <w:lang w:val="en-US" w:eastAsia="zh-CN"/>
        </w:rPr>
        <w:t>区域内环境影响报告表简化为环境影响登记表的，按照建设项目环境影响登记表格式要求进行填报。</w:t>
      </w:r>
    </w:p>
    <w:p w14:paraId="0493E4E3">
      <w:pPr>
        <w:pStyle w:val="24"/>
        <w:ind w:firstLine="480"/>
        <w:rPr>
          <w:rFonts w:hint="eastAsia"/>
          <w:color w:val="auto"/>
        </w:rPr>
      </w:pPr>
      <w:r>
        <w:rPr>
          <w:color w:val="auto"/>
        </w:rPr>
        <w:t>根据《杭州市生态环境局关于印发《杭州市产业园区“规划环评+项目环评”改革实施方案》的通知》（杭环发[2022]53号）、《杭州市临平区人民政府办公室关于印发临平区“区域环评+环境标准”改革实施方案的通知》（临平政办[2022]48号）</w:t>
      </w:r>
      <w:r>
        <w:rPr>
          <w:rFonts w:hint="eastAsia"/>
          <w:color w:val="auto"/>
          <w:lang w:eastAsia="zh-CN"/>
        </w:rPr>
        <w:t>，</w:t>
      </w:r>
      <w:r>
        <w:rPr>
          <w:rFonts w:hint="eastAsia"/>
          <w:color w:val="auto"/>
        </w:rPr>
        <w:t>对环评审批负面清单外且符合准入环境标准的项目，原要求编制环境影响报告表的，可以填报环境影响登记表。</w:t>
      </w:r>
    </w:p>
    <w:p w14:paraId="5E9306BE">
      <w:pPr>
        <w:pStyle w:val="24"/>
        <w:ind w:left="0" w:leftChars="0" w:firstLine="480" w:firstLineChars="200"/>
        <w:rPr>
          <w:color w:val="auto"/>
        </w:rPr>
      </w:pPr>
      <w:r>
        <w:rPr>
          <w:rFonts w:hint="eastAsia"/>
          <w:color w:val="auto"/>
          <w:lang w:val="en-US" w:eastAsia="zh-CN"/>
        </w:rPr>
        <w:t>经判定，</w:t>
      </w:r>
      <w:r>
        <w:rPr>
          <w:rFonts w:hint="eastAsia"/>
          <w:color w:val="auto"/>
        </w:rPr>
        <w:t>本项目不在《临平区塘栖装备机械产业园区“区域环评+环境标准”改革实施方案》环评审批负面清单内，故可降级为登记表。</w:t>
      </w:r>
    </w:p>
    <w:p w14:paraId="667F9FDA">
      <w:pPr>
        <w:pStyle w:val="20"/>
        <w:numPr>
          <w:ilvl w:val="0"/>
          <w:numId w:val="6"/>
        </w:numPr>
        <w:spacing w:before="156"/>
        <w:rPr>
          <w:color w:val="auto"/>
        </w:rPr>
      </w:pPr>
      <w:r>
        <w:rPr>
          <w:color w:val="auto"/>
        </w:rPr>
        <w:t xml:space="preserve">  临平区塘栖装备机械产业园区环评审批负面清单</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595"/>
        <w:gridCol w:w="3542"/>
        <w:gridCol w:w="3119"/>
        <w:gridCol w:w="1106"/>
      </w:tblGrid>
      <w:tr w14:paraId="18F4CB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25E88507">
            <w:pPr>
              <w:widowControl/>
              <w:jc w:val="center"/>
              <w:rPr>
                <w:color w:val="auto"/>
                <w:sz w:val="21"/>
                <w:szCs w:val="21"/>
                <w:highlight w:val="none"/>
              </w:rPr>
            </w:pPr>
            <w:r>
              <w:rPr>
                <w:color w:val="auto"/>
                <w:sz w:val="21"/>
                <w:szCs w:val="21"/>
                <w:highlight w:val="none"/>
              </w:rPr>
              <w:t>序号</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60485A06">
            <w:pPr>
              <w:widowControl/>
              <w:jc w:val="center"/>
              <w:rPr>
                <w:color w:val="auto"/>
                <w:sz w:val="21"/>
                <w:szCs w:val="21"/>
                <w:highlight w:val="none"/>
              </w:rPr>
            </w:pPr>
            <w:r>
              <w:rPr>
                <w:color w:val="auto"/>
                <w:sz w:val="21"/>
                <w:szCs w:val="21"/>
                <w:highlight w:val="none"/>
              </w:rPr>
              <w:t>负面清单</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080A1D70">
            <w:pPr>
              <w:widowControl/>
              <w:jc w:val="center"/>
              <w:rPr>
                <w:color w:val="auto"/>
                <w:sz w:val="21"/>
                <w:szCs w:val="21"/>
                <w:highlight w:val="none"/>
              </w:rPr>
            </w:pPr>
            <w:r>
              <w:rPr>
                <w:color w:val="auto"/>
                <w:sz w:val="21"/>
                <w:szCs w:val="21"/>
                <w:highlight w:val="none"/>
              </w:rPr>
              <w:t>本项目</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06950304">
            <w:pPr>
              <w:widowControl/>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是否属于负面清单</w:t>
            </w:r>
          </w:p>
        </w:tc>
      </w:tr>
      <w:tr w14:paraId="24407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0BA8AC03">
            <w:pPr>
              <w:widowControl/>
              <w:jc w:val="center"/>
              <w:rPr>
                <w:color w:val="auto"/>
                <w:sz w:val="21"/>
                <w:szCs w:val="21"/>
                <w:highlight w:val="none"/>
              </w:rPr>
            </w:pPr>
            <w:r>
              <w:rPr>
                <w:color w:val="auto"/>
                <w:sz w:val="21"/>
                <w:szCs w:val="21"/>
                <w:highlight w:val="none"/>
              </w:rPr>
              <w:t>1</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6D606E95">
            <w:pPr>
              <w:jc w:val="center"/>
              <w:rPr>
                <w:color w:val="auto"/>
                <w:sz w:val="21"/>
                <w:szCs w:val="21"/>
                <w:highlight w:val="none"/>
              </w:rPr>
            </w:pPr>
            <w:r>
              <w:rPr>
                <w:color w:val="auto"/>
                <w:sz w:val="21"/>
                <w:szCs w:val="21"/>
                <w:highlight w:val="none"/>
              </w:rPr>
              <w:t>环评审批权限在生态环境部的项目；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0E0829BF">
            <w:pPr>
              <w:widowControl/>
              <w:jc w:val="center"/>
              <w:rPr>
                <w:color w:val="auto"/>
                <w:sz w:val="21"/>
                <w:szCs w:val="21"/>
                <w:highlight w:val="none"/>
              </w:rPr>
            </w:pPr>
            <w:r>
              <w:rPr>
                <w:rFonts w:hint="eastAsia"/>
                <w:color w:val="auto"/>
                <w:sz w:val="21"/>
                <w:szCs w:val="21"/>
                <w:highlight w:val="none"/>
                <w:lang w:val="en-US" w:eastAsia="zh-CN"/>
              </w:rPr>
              <w:t>本</w:t>
            </w:r>
            <w:r>
              <w:rPr>
                <w:color w:val="auto"/>
                <w:sz w:val="21"/>
                <w:szCs w:val="21"/>
                <w:highlight w:val="none"/>
              </w:rPr>
              <w:t>项目审批权限不在生态环境部</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285E496E">
            <w:pPr>
              <w:widowControl/>
              <w:jc w:val="center"/>
              <w:rPr>
                <w:rFonts w:hint="eastAsia" w:eastAsia="宋体"/>
                <w:color w:val="auto"/>
                <w:sz w:val="21"/>
                <w:szCs w:val="21"/>
                <w:highlight w:val="none"/>
                <w:lang w:eastAsia="zh-CN"/>
              </w:rPr>
            </w:pPr>
            <w:r>
              <w:rPr>
                <w:rFonts w:hint="eastAsia"/>
                <w:color w:val="auto"/>
                <w:sz w:val="21"/>
                <w:szCs w:val="21"/>
                <w:highlight w:val="none"/>
                <w:lang w:val="en-US" w:eastAsia="zh-CN"/>
              </w:rPr>
              <w:t>不属于</w:t>
            </w:r>
          </w:p>
        </w:tc>
      </w:tr>
      <w:tr w14:paraId="6986D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2CA54644">
            <w:pPr>
              <w:widowControl/>
              <w:jc w:val="center"/>
              <w:rPr>
                <w:color w:val="auto"/>
                <w:sz w:val="21"/>
                <w:szCs w:val="21"/>
                <w:highlight w:val="none"/>
              </w:rPr>
            </w:pPr>
            <w:r>
              <w:rPr>
                <w:color w:val="auto"/>
                <w:sz w:val="21"/>
                <w:szCs w:val="21"/>
                <w:highlight w:val="none"/>
              </w:rPr>
              <w:t>2</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2412869A">
            <w:pPr>
              <w:jc w:val="center"/>
              <w:rPr>
                <w:color w:val="auto"/>
                <w:sz w:val="21"/>
                <w:szCs w:val="21"/>
                <w:highlight w:val="none"/>
              </w:rPr>
            </w:pPr>
            <w:r>
              <w:rPr>
                <w:color w:val="auto"/>
                <w:sz w:val="21"/>
                <w:szCs w:val="21"/>
                <w:highlight w:val="none"/>
              </w:rPr>
              <w:t>需编制报告书的电磁类项目和核技术利用项目；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6D3BA771">
            <w:pPr>
              <w:widowControl/>
              <w:jc w:val="center"/>
              <w:rPr>
                <w:color w:val="auto"/>
                <w:sz w:val="21"/>
                <w:szCs w:val="21"/>
                <w:highlight w:val="none"/>
              </w:rPr>
            </w:pPr>
            <w:r>
              <w:rPr>
                <w:color w:val="auto"/>
                <w:sz w:val="21"/>
                <w:szCs w:val="21"/>
                <w:highlight w:val="none"/>
              </w:rPr>
              <w:t>本项目不涉及电磁类项目和核技术利用</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7B32985D">
            <w:pPr>
              <w:widowControl/>
              <w:jc w:val="center"/>
              <w:rPr>
                <w:color w:val="auto"/>
                <w:sz w:val="21"/>
                <w:szCs w:val="21"/>
                <w:highlight w:val="none"/>
              </w:rPr>
            </w:pPr>
            <w:r>
              <w:rPr>
                <w:rFonts w:hint="eastAsia"/>
                <w:color w:val="auto"/>
                <w:sz w:val="21"/>
                <w:szCs w:val="21"/>
                <w:highlight w:val="none"/>
                <w:lang w:val="en-US" w:eastAsia="zh-CN"/>
              </w:rPr>
              <w:t>不属于</w:t>
            </w:r>
          </w:p>
        </w:tc>
      </w:tr>
      <w:tr w14:paraId="539DCB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38A74EF9">
            <w:pPr>
              <w:widowControl/>
              <w:jc w:val="center"/>
              <w:rPr>
                <w:color w:val="auto"/>
                <w:sz w:val="21"/>
                <w:szCs w:val="21"/>
                <w:highlight w:val="none"/>
              </w:rPr>
            </w:pPr>
            <w:r>
              <w:rPr>
                <w:color w:val="auto"/>
                <w:sz w:val="21"/>
                <w:szCs w:val="21"/>
                <w:highlight w:val="none"/>
              </w:rPr>
              <w:t>3</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42B6E945">
            <w:pPr>
              <w:jc w:val="center"/>
              <w:rPr>
                <w:color w:val="auto"/>
                <w:sz w:val="21"/>
                <w:szCs w:val="21"/>
                <w:highlight w:val="none"/>
              </w:rPr>
            </w:pPr>
            <w:r>
              <w:rPr>
                <w:color w:val="auto"/>
                <w:sz w:val="21"/>
                <w:szCs w:val="21"/>
                <w:highlight w:val="none"/>
              </w:rPr>
              <w:t>有化学合成反应的石化、化工、医药项目；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7EE9134F">
            <w:pPr>
              <w:widowControl/>
              <w:jc w:val="center"/>
              <w:rPr>
                <w:rFonts w:hint="eastAsia"/>
                <w:color w:val="auto"/>
                <w:sz w:val="21"/>
                <w:szCs w:val="21"/>
                <w:highlight w:val="none"/>
              </w:rPr>
            </w:pPr>
            <w:r>
              <w:rPr>
                <w:color w:val="auto"/>
                <w:sz w:val="21"/>
                <w:szCs w:val="21"/>
                <w:highlight w:val="none"/>
              </w:rPr>
              <w:t>本项目为</w:t>
            </w:r>
            <w:r>
              <w:rPr>
                <w:rFonts w:hint="eastAsia"/>
                <w:color w:val="auto"/>
                <w:sz w:val="21"/>
                <w:szCs w:val="21"/>
                <w:highlight w:val="none"/>
                <w:lang w:val="en-US" w:eastAsia="zh-Hans"/>
              </w:rPr>
              <w:t>PE</w:t>
            </w:r>
            <w:r>
              <w:rPr>
                <w:rFonts w:hint="eastAsia"/>
                <w:color w:val="auto"/>
                <w:sz w:val="21"/>
                <w:szCs w:val="21"/>
                <w:highlight w:val="none"/>
                <w:lang w:val="en-US" w:eastAsia="zh-CN"/>
              </w:rPr>
              <w:t>薄</w:t>
            </w:r>
            <w:r>
              <w:rPr>
                <w:rFonts w:hint="eastAsia"/>
                <w:color w:val="auto"/>
                <w:sz w:val="21"/>
                <w:szCs w:val="21"/>
                <w:highlight w:val="none"/>
                <w:lang w:val="en-US" w:eastAsia="zh-Hans"/>
              </w:rPr>
              <w:t>膜</w:t>
            </w:r>
            <w:r>
              <w:rPr>
                <w:color w:val="auto"/>
                <w:sz w:val="21"/>
                <w:szCs w:val="21"/>
                <w:highlight w:val="none"/>
              </w:rPr>
              <w:t>制造项目</w:t>
            </w:r>
            <w:r>
              <w:rPr>
                <w:rFonts w:hint="eastAsia"/>
                <w:color w:val="auto"/>
                <w:sz w:val="21"/>
                <w:szCs w:val="21"/>
                <w:highlight w:val="none"/>
              </w:rPr>
              <w:t>，</w:t>
            </w:r>
            <w:r>
              <w:rPr>
                <w:color w:val="auto"/>
                <w:sz w:val="21"/>
                <w:szCs w:val="21"/>
                <w:highlight w:val="none"/>
              </w:rPr>
              <w:t>不属于石化、化工、医药项目</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4E0864CC">
            <w:pPr>
              <w:widowControl/>
              <w:jc w:val="center"/>
              <w:rPr>
                <w:color w:val="auto"/>
                <w:sz w:val="21"/>
                <w:szCs w:val="21"/>
                <w:highlight w:val="none"/>
              </w:rPr>
            </w:pPr>
            <w:r>
              <w:rPr>
                <w:rFonts w:hint="eastAsia"/>
                <w:color w:val="auto"/>
                <w:sz w:val="21"/>
                <w:szCs w:val="21"/>
                <w:highlight w:val="none"/>
                <w:lang w:val="en-US" w:eastAsia="zh-CN"/>
              </w:rPr>
              <w:t>不属于</w:t>
            </w:r>
          </w:p>
        </w:tc>
      </w:tr>
      <w:tr w14:paraId="7FA0A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1BF35C9F">
            <w:pPr>
              <w:widowControl/>
              <w:jc w:val="center"/>
              <w:rPr>
                <w:color w:val="auto"/>
                <w:sz w:val="21"/>
                <w:szCs w:val="21"/>
                <w:highlight w:val="none"/>
              </w:rPr>
            </w:pPr>
            <w:r>
              <w:rPr>
                <w:color w:val="auto"/>
                <w:sz w:val="21"/>
                <w:szCs w:val="21"/>
                <w:highlight w:val="none"/>
              </w:rPr>
              <w:t>4</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10D7EDF3">
            <w:pPr>
              <w:jc w:val="center"/>
              <w:rPr>
                <w:color w:val="auto"/>
                <w:sz w:val="21"/>
                <w:szCs w:val="21"/>
                <w:highlight w:val="none"/>
              </w:rPr>
            </w:pPr>
            <w:r>
              <w:rPr>
                <w:color w:val="auto"/>
                <w:sz w:val="21"/>
                <w:szCs w:val="21"/>
                <w:highlight w:val="none"/>
              </w:rPr>
              <w:t>生活垃圾焚烧发电等高污染、高风险建设项目；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0C35F9DE">
            <w:pPr>
              <w:widowControl/>
              <w:jc w:val="center"/>
              <w:rPr>
                <w:rFonts w:hint="eastAsia"/>
                <w:color w:val="auto"/>
                <w:sz w:val="21"/>
                <w:szCs w:val="21"/>
                <w:highlight w:val="none"/>
              </w:rPr>
            </w:pPr>
            <w:r>
              <w:rPr>
                <w:color w:val="auto"/>
                <w:sz w:val="21"/>
                <w:szCs w:val="21"/>
                <w:highlight w:val="none"/>
              </w:rPr>
              <w:t>本项目</w:t>
            </w:r>
            <w:r>
              <w:rPr>
                <w:rFonts w:hint="eastAsia"/>
                <w:color w:val="auto"/>
                <w:sz w:val="21"/>
                <w:szCs w:val="21"/>
                <w:highlight w:val="none"/>
              </w:rPr>
              <w:t>不属于高污染</w:t>
            </w:r>
            <w:r>
              <w:rPr>
                <w:color w:val="auto"/>
                <w:sz w:val="21"/>
                <w:szCs w:val="21"/>
                <w:highlight w:val="none"/>
              </w:rPr>
              <w:t>、高风险项目</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5BEA6E43">
            <w:pPr>
              <w:widowControl/>
              <w:jc w:val="center"/>
              <w:rPr>
                <w:color w:val="auto"/>
                <w:sz w:val="21"/>
                <w:szCs w:val="21"/>
                <w:highlight w:val="none"/>
              </w:rPr>
            </w:pPr>
            <w:r>
              <w:rPr>
                <w:rFonts w:hint="eastAsia"/>
                <w:color w:val="auto"/>
                <w:sz w:val="21"/>
                <w:szCs w:val="21"/>
                <w:highlight w:val="none"/>
                <w:lang w:val="en-US" w:eastAsia="zh-CN"/>
              </w:rPr>
              <w:t>不属于</w:t>
            </w:r>
          </w:p>
        </w:tc>
      </w:tr>
      <w:tr w14:paraId="56E896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1002AEEC">
            <w:pPr>
              <w:widowControl/>
              <w:jc w:val="center"/>
              <w:rPr>
                <w:color w:val="auto"/>
                <w:sz w:val="21"/>
                <w:szCs w:val="21"/>
                <w:highlight w:val="none"/>
              </w:rPr>
            </w:pPr>
            <w:r>
              <w:rPr>
                <w:color w:val="auto"/>
                <w:sz w:val="21"/>
                <w:szCs w:val="21"/>
                <w:highlight w:val="none"/>
              </w:rPr>
              <w:t>5</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1CB0AB41">
            <w:pPr>
              <w:jc w:val="center"/>
              <w:rPr>
                <w:color w:val="auto"/>
                <w:sz w:val="21"/>
                <w:szCs w:val="21"/>
                <w:highlight w:val="none"/>
              </w:rPr>
            </w:pPr>
            <w:r>
              <w:rPr>
                <w:color w:val="auto"/>
                <w:sz w:val="21"/>
                <w:szCs w:val="21"/>
                <w:highlight w:val="none"/>
              </w:rPr>
              <w:t>有提炼、发酵工艺的生物医药项目；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79BBA049">
            <w:pPr>
              <w:widowControl/>
              <w:jc w:val="center"/>
              <w:rPr>
                <w:color w:val="auto"/>
                <w:sz w:val="21"/>
                <w:szCs w:val="21"/>
                <w:highlight w:val="none"/>
              </w:rPr>
            </w:pPr>
            <w:r>
              <w:rPr>
                <w:color w:val="auto"/>
                <w:sz w:val="21"/>
                <w:szCs w:val="21"/>
                <w:highlight w:val="none"/>
              </w:rPr>
              <w:t>本项目不涉及提炼、发酵工艺</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0340A350">
            <w:pPr>
              <w:widowControl/>
              <w:jc w:val="center"/>
              <w:rPr>
                <w:color w:val="auto"/>
                <w:sz w:val="21"/>
                <w:szCs w:val="21"/>
                <w:highlight w:val="none"/>
              </w:rPr>
            </w:pPr>
            <w:r>
              <w:rPr>
                <w:rFonts w:hint="eastAsia"/>
                <w:color w:val="auto"/>
                <w:sz w:val="21"/>
                <w:szCs w:val="21"/>
                <w:highlight w:val="none"/>
                <w:lang w:val="en-US" w:eastAsia="zh-CN"/>
              </w:rPr>
              <w:t>不属于</w:t>
            </w:r>
          </w:p>
        </w:tc>
      </w:tr>
      <w:tr w14:paraId="6E609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0EAED9C7">
            <w:pPr>
              <w:widowControl/>
              <w:jc w:val="center"/>
              <w:rPr>
                <w:color w:val="auto"/>
                <w:sz w:val="21"/>
                <w:szCs w:val="21"/>
                <w:highlight w:val="none"/>
              </w:rPr>
            </w:pPr>
            <w:r>
              <w:rPr>
                <w:color w:val="auto"/>
                <w:sz w:val="21"/>
                <w:szCs w:val="21"/>
                <w:highlight w:val="none"/>
              </w:rPr>
              <w:t>6</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46727431">
            <w:pPr>
              <w:jc w:val="center"/>
              <w:rPr>
                <w:color w:val="auto"/>
                <w:sz w:val="21"/>
                <w:szCs w:val="21"/>
                <w:highlight w:val="none"/>
              </w:rPr>
            </w:pPr>
            <w:r>
              <w:rPr>
                <w:color w:val="auto"/>
                <w:sz w:val="21"/>
                <w:szCs w:val="21"/>
                <w:highlight w:val="none"/>
              </w:rPr>
              <w:t>半导体材料、电子陶瓷、有机薄膜、荧光粉、贵金属粉等电子专用材料生产项目；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2B4BEAAD">
            <w:pPr>
              <w:widowControl/>
              <w:jc w:val="center"/>
              <w:rPr>
                <w:rFonts w:hint="eastAsia"/>
                <w:color w:val="auto"/>
                <w:sz w:val="21"/>
                <w:szCs w:val="21"/>
                <w:highlight w:val="none"/>
              </w:rPr>
            </w:pPr>
            <w:r>
              <w:rPr>
                <w:color w:val="auto"/>
                <w:sz w:val="21"/>
                <w:szCs w:val="21"/>
                <w:highlight w:val="none"/>
              </w:rPr>
              <w:t>本项目</w:t>
            </w:r>
            <w:r>
              <w:rPr>
                <w:rFonts w:hint="eastAsia"/>
                <w:color w:val="auto"/>
                <w:sz w:val="21"/>
                <w:szCs w:val="21"/>
                <w:highlight w:val="none"/>
              </w:rPr>
              <w:t>产品</w:t>
            </w:r>
            <w:r>
              <w:rPr>
                <w:color w:val="auto"/>
                <w:sz w:val="21"/>
                <w:szCs w:val="21"/>
                <w:highlight w:val="none"/>
              </w:rPr>
              <w:t>主要为</w:t>
            </w:r>
            <w:r>
              <w:rPr>
                <w:rFonts w:hint="eastAsia"/>
                <w:color w:val="auto"/>
                <w:sz w:val="21"/>
                <w:szCs w:val="21"/>
                <w:highlight w:val="none"/>
                <w:lang w:val="en-US" w:eastAsia="zh-Hans"/>
              </w:rPr>
              <w:t>PE膜</w:t>
            </w:r>
            <w:r>
              <w:rPr>
                <w:rFonts w:hint="eastAsia"/>
                <w:color w:val="auto"/>
                <w:sz w:val="21"/>
                <w:szCs w:val="21"/>
                <w:highlight w:val="none"/>
              </w:rPr>
              <w:t>，</w:t>
            </w:r>
            <w:r>
              <w:rPr>
                <w:color w:val="auto"/>
                <w:sz w:val="21"/>
                <w:szCs w:val="21"/>
                <w:highlight w:val="none"/>
              </w:rPr>
              <w:t>不属于电子专用材料生产</w:t>
            </w:r>
            <w:r>
              <w:rPr>
                <w:rFonts w:hint="eastAsia"/>
                <w:color w:val="auto"/>
                <w:sz w:val="21"/>
                <w:szCs w:val="21"/>
                <w:highlight w:val="none"/>
              </w:rPr>
              <w:t>项目</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6A69A8B4">
            <w:pPr>
              <w:widowControl/>
              <w:jc w:val="center"/>
              <w:rPr>
                <w:rFonts w:hint="eastAsia"/>
                <w:color w:val="auto"/>
                <w:sz w:val="21"/>
                <w:szCs w:val="21"/>
                <w:highlight w:val="none"/>
              </w:rPr>
            </w:pPr>
            <w:r>
              <w:rPr>
                <w:rFonts w:hint="eastAsia"/>
                <w:color w:val="auto"/>
                <w:sz w:val="21"/>
                <w:szCs w:val="21"/>
                <w:highlight w:val="none"/>
                <w:lang w:val="en-US" w:eastAsia="zh-CN"/>
              </w:rPr>
              <w:t>不属于</w:t>
            </w:r>
          </w:p>
        </w:tc>
      </w:tr>
      <w:tr w14:paraId="408D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83" w:hRule="atLeast"/>
          <w:jc w:val="center"/>
        </w:trPr>
        <w:tc>
          <w:tcPr>
            <w:tcW w:w="356" w:type="pct"/>
            <w:tcBorders>
              <w:top w:val="single" w:color="auto" w:sz="4" w:space="0"/>
              <w:left w:val="single" w:color="auto" w:sz="4" w:space="0"/>
              <w:bottom w:val="single" w:color="auto" w:sz="4" w:space="0"/>
              <w:right w:val="single" w:color="auto" w:sz="4" w:space="0"/>
            </w:tcBorders>
            <w:noWrap w:val="0"/>
            <w:vAlign w:val="center"/>
          </w:tcPr>
          <w:p w14:paraId="57D75703">
            <w:pPr>
              <w:widowControl/>
              <w:jc w:val="center"/>
              <w:rPr>
                <w:color w:val="auto"/>
                <w:sz w:val="21"/>
                <w:szCs w:val="21"/>
                <w:highlight w:val="none"/>
              </w:rPr>
            </w:pPr>
            <w:r>
              <w:rPr>
                <w:color w:val="auto"/>
                <w:sz w:val="21"/>
                <w:szCs w:val="21"/>
                <w:highlight w:val="none"/>
              </w:rPr>
              <w:t>7</w:t>
            </w:r>
          </w:p>
        </w:tc>
        <w:tc>
          <w:tcPr>
            <w:tcW w:w="2118" w:type="pct"/>
            <w:tcBorders>
              <w:top w:val="single" w:color="auto" w:sz="4" w:space="0"/>
              <w:left w:val="single" w:color="auto" w:sz="4" w:space="0"/>
              <w:bottom w:val="single" w:color="auto" w:sz="4" w:space="0"/>
              <w:right w:val="single" w:color="auto" w:sz="4" w:space="0"/>
            </w:tcBorders>
            <w:noWrap w:val="0"/>
            <w:vAlign w:val="center"/>
          </w:tcPr>
          <w:p w14:paraId="0964E625">
            <w:pPr>
              <w:jc w:val="center"/>
              <w:rPr>
                <w:color w:val="auto"/>
                <w:sz w:val="21"/>
                <w:szCs w:val="21"/>
                <w:highlight w:val="none"/>
              </w:rPr>
            </w:pPr>
            <w:r>
              <w:rPr>
                <w:color w:val="auto"/>
                <w:sz w:val="21"/>
                <w:szCs w:val="21"/>
                <w:highlight w:val="none"/>
              </w:rPr>
              <w:t>涉及喷漆工艺且使用油性漆(含稀释剂）10吨/年及以上的项目；</w:t>
            </w:r>
          </w:p>
        </w:tc>
        <w:tc>
          <w:tcPr>
            <w:tcW w:w="1865" w:type="pct"/>
            <w:tcBorders>
              <w:top w:val="single" w:color="auto" w:sz="4" w:space="0"/>
              <w:left w:val="single" w:color="auto" w:sz="4" w:space="0"/>
              <w:bottom w:val="single" w:color="auto" w:sz="4" w:space="0"/>
              <w:right w:val="single" w:color="auto" w:sz="4" w:space="0"/>
            </w:tcBorders>
            <w:noWrap w:val="0"/>
            <w:vAlign w:val="center"/>
          </w:tcPr>
          <w:p w14:paraId="4FCC2AB5">
            <w:pPr>
              <w:widowControl/>
              <w:jc w:val="center"/>
              <w:rPr>
                <w:rFonts w:hint="eastAsia"/>
                <w:color w:val="auto"/>
                <w:sz w:val="21"/>
                <w:szCs w:val="21"/>
                <w:highlight w:val="none"/>
              </w:rPr>
            </w:pPr>
            <w:r>
              <w:rPr>
                <w:color w:val="auto"/>
                <w:sz w:val="21"/>
                <w:szCs w:val="21"/>
                <w:highlight w:val="none"/>
              </w:rPr>
              <w:t>本项目不涉及</w:t>
            </w:r>
            <w:r>
              <w:rPr>
                <w:rFonts w:hint="eastAsia"/>
                <w:color w:val="auto"/>
                <w:sz w:val="21"/>
                <w:szCs w:val="21"/>
                <w:highlight w:val="none"/>
              </w:rPr>
              <w:t>喷漆</w:t>
            </w:r>
            <w:r>
              <w:rPr>
                <w:color w:val="auto"/>
                <w:sz w:val="21"/>
                <w:szCs w:val="21"/>
                <w:highlight w:val="none"/>
              </w:rPr>
              <w:t>工艺</w:t>
            </w:r>
          </w:p>
        </w:tc>
        <w:tc>
          <w:tcPr>
            <w:tcW w:w="661" w:type="pct"/>
            <w:tcBorders>
              <w:top w:val="single" w:color="auto" w:sz="4" w:space="0"/>
              <w:left w:val="single" w:color="auto" w:sz="4" w:space="0"/>
              <w:bottom w:val="single" w:color="auto" w:sz="4" w:space="0"/>
              <w:right w:val="single" w:color="auto" w:sz="4" w:space="0"/>
            </w:tcBorders>
            <w:noWrap w:val="0"/>
            <w:vAlign w:val="center"/>
          </w:tcPr>
          <w:p w14:paraId="1826F33B">
            <w:pPr>
              <w:widowControl/>
              <w:jc w:val="center"/>
              <w:rPr>
                <w:color w:val="auto"/>
                <w:sz w:val="21"/>
                <w:szCs w:val="21"/>
                <w:highlight w:val="none"/>
              </w:rPr>
            </w:pPr>
            <w:r>
              <w:rPr>
                <w:rFonts w:hint="eastAsia"/>
                <w:color w:val="auto"/>
                <w:sz w:val="21"/>
                <w:szCs w:val="21"/>
                <w:highlight w:val="none"/>
                <w:lang w:val="en-US" w:eastAsia="zh-CN"/>
              </w:rPr>
              <w:t>不属于</w:t>
            </w:r>
          </w:p>
        </w:tc>
      </w:tr>
    </w:tbl>
    <w:p w14:paraId="21615E4B">
      <w:pPr>
        <w:ind w:firstLine="420" w:firstLineChars="200"/>
        <w:rPr>
          <w:color w:val="auto"/>
        </w:rPr>
        <w:sectPr>
          <w:footerReference r:id="rId3" w:type="default"/>
          <w:pgSz w:w="11906" w:h="16838"/>
          <w:pgMar w:top="1440" w:right="1800" w:bottom="1440" w:left="1800" w:header="851" w:footer="992" w:gutter="0"/>
          <w:cols w:space="425" w:num="1"/>
          <w:docGrid w:type="lines" w:linePitch="312" w:charSpace="0"/>
        </w:sectPr>
      </w:pPr>
    </w:p>
    <w:p w14:paraId="1B0FFC35">
      <w:pPr>
        <w:pStyle w:val="36"/>
        <w:rPr>
          <w:color w:val="auto"/>
        </w:rPr>
      </w:pPr>
      <w:r>
        <w:rPr>
          <w:color w:val="auto"/>
          <w:highlight w:val="none"/>
        </w:rPr>
        <w:drawing>
          <wp:inline distT="0" distB="0" distL="114300" distR="114300">
            <wp:extent cx="7915275" cy="5579745"/>
            <wp:effectExtent l="0" t="0" r="9525" b="1905"/>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pic:cNvPicPr>
                  </pic:nvPicPr>
                  <pic:blipFill>
                    <a:blip r:embed="rId7"/>
                    <a:stretch>
                      <a:fillRect/>
                    </a:stretch>
                  </pic:blipFill>
                  <pic:spPr>
                    <a:xfrm>
                      <a:off x="0" y="0"/>
                      <a:ext cx="7915275" cy="5579745"/>
                    </a:xfrm>
                    <a:prstGeom prst="rect">
                      <a:avLst/>
                    </a:prstGeom>
                    <a:noFill/>
                    <a:ln>
                      <a:noFill/>
                    </a:ln>
                  </pic:spPr>
                </pic:pic>
              </a:graphicData>
            </a:graphic>
          </wp:inline>
        </w:drawing>
      </w:r>
      <w:r>
        <w:rPr>
          <w:color w:val="auto"/>
        </w:rPr>
        <w:t xml:space="preserve"> </w:t>
      </w:r>
    </w:p>
    <w:p w14:paraId="6714C88A">
      <w:pPr>
        <w:pStyle w:val="2"/>
        <w:rPr>
          <w:color w:val="auto"/>
        </w:rPr>
      </w:pPr>
      <w:r>
        <w:rPr>
          <w:color w:val="auto"/>
        </w:rPr>
        <w:t>附图1  建设项目地理位置图</w:t>
      </w:r>
    </w:p>
    <w:p w14:paraId="61A13611">
      <w:pPr>
        <w:pStyle w:val="8"/>
        <w:spacing w:before="163"/>
        <w:rPr>
          <w:rFonts w:ascii="Times New Roman" w:hAnsi="Times New Roman"/>
          <w:color w:val="auto"/>
        </w:rPr>
      </w:pPr>
      <w:r>
        <w:rPr>
          <w:color w:val="auto"/>
        </w:rPr>
        <w:drawing>
          <wp:inline distT="0" distB="0" distL="114300" distR="114300">
            <wp:extent cx="7315200" cy="4824095"/>
            <wp:effectExtent l="0" t="0" r="0" b="14605"/>
            <wp:docPr id="1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pic:cNvPicPr>
                      <a:picLocks noChangeAspect="1"/>
                    </pic:cNvPicPr>
                  </pic:nvPicPr>
                  <pic:blipFill>
                    <a:blip r:embed="rId8"/>
                    <a:stretch>
                      <a:fillRect/>
                    </a:stretch>
                  </pic:blipFill>
                  <pic:spPr>
                    <a:xfrm>
                      <a:off x="0" y="0"/>
                      <a:ext cx="7315200" cy="4824095"/>
                    </a:xfrm>
                    <a:prstGeom prst="rect">
                      <a:avLst/>
                    </a:prstGeom>
                    <a:noFill/>
                    <a:ln>
                      <a:noFill/>
                    </a:ln>
                  </pic:spPr>
                </pic:pic>
              </a:graphicData>
            </a:graphic>
          </wp:inline>
        </w:drawing>
      </w:r>
      <w:r>
        <w:rPr>
          <w:color w:val="auto"/>
        </w:rPr>
        <w:t xml:space="preserve"> </w:t>
      </w:r>
    </w:p>
    <w:p w14:paraId="679D887D">
      <w:pPr>
        <w:pStyle w:val="2"/>
        <w:rPr>
          <w:color w:val="auto"/>
          <w:highlight w:val="none"/>
        </w:rPr>
      </w:pPr>
      <w:r>
        <w:rPr>
          <w:color w:val="auto"/>
          <w:highlight w:val="none"/>
        </w:rPr>
        <w:t xml:space="preserve">附图2  </w:t>
      </w:r>
      <w:r>
        <w:rPr>
          <w:rFonts w:hint="eastAsia"/>
          <w:color w:val="auto"/>
          <w:highlight w:val="none"/>
        </w:rPr>
        <w:t>建设项目周边</w:t>
      </w:r>
      <w:bookmarkStart w:id="2" w:name="_Hlk149211743"/>
      <w:r>
        <w:rPr>
          <w:rFonts w:hint="eastAsia"/>
          <w:color w:val="auto"/>
          <w:highlight w:val="none"/>
        </w:rPr>
        <w:t>环境示意图</w:t>
      </w:r>
      <w:bookmarkEnd w:id="2"/>
    </w:p>
    <w:p w14:paraId="06E4C238">
      <w:pPr>
        <w:jc w:val="center"/>
        <w:rPr>
          <w:b/>
          <w:bCs/>
          <w:color w:val="auto"/>
        </w:rPr>
      </w:pPr>
      <w:r>
        <w:rPr>
          <w:color w:val="auto"/>
        </w:rPr>
        <w:drawing>
          <wp:inline distT="0" distB="0" distL="114300" distR="114300">
            <wp:extent cx="7544435" cy="5400040"/>
            <wp:effectExtent l="0" t="0" r="18415" b="10160"/>
            <wp:docPr id="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4"/>
                    <pic:cNvPicPr>
                      <a:picLocks noChangeAspect="1"/>
                    </pic:cNvPicPr>
                  </pic:nvPicPr>
                  <pic:blipFill>
                    <a:blip r:embed="rId9"/>
                    <a:stretch>
                      <a:fillRect/>
                    </a:stretch>
                  </pic:blipFill>
                  <pic:spPr>
                    <a:xfrm>
                      <a:off x="0" y="0"/>
                      <a:ext cx="7544435" cy="5400040"/>
                    </a:xfrm>
                    <a:prstGeom prst="rect">
                      <a:avLst/>
                    </a:prstGeom>
                    <a:noFill/>
                    <a:ln>
                      <a:noFill/>
                    </a:ln>
                  </pic:spPr>
                </pic:pic>
              </a:graphicData>
            </a:graphic>
          </wp:inline>
        </w:drawing>
      </w:r>
    </w:p>
    <w:p w14:paraId="651268FE">
      <w:pPr>
        <w:pStyle w:val="2"/>
        <w:rPr>
          <w:color w:val="auto"/>
        </w:rPr>
      </w:pPr>
      <w:bookmarkStart w:id="3" w:name="_Hlk149211883"/>
      <w:r>
        <w:rPr>
          <w:color w:val="auto"/>
        </w:rPr>
        <w:t xml:space="preserve">附图3  </w:t>
      </w:r>
      <w:bookmarkEnd w:id="3"/>
      <w:r>
        <w:rPr>
          <w:rFonts w:hint="eastAsia"/>
          <w:color w:val="auto"/>
        </w:rPr>
        <w:t>临平区</w:t>
      </w:r>
      <w:r>
        <w:rPr>
          <w:color w:val="auto"/>
        </w:rPr>
        <w:t>环境管控单元图</w:t>
      </w:r>
    </w:p>
    <w:p w14:paraId="26F85713">
      <w:pPr>
        <w:jc w:val="center"/>
        <w:rPr>
          <w:color w:val="auto"/>
        </w:rPr>
      </w:pPr>
      <w:r>
        <w:rPr>
          <w:color w:val="auto"/>
        </w:rPr>
        <w:drawing>
          <wp:inline distT="0" distB="0" distL="114300" distR="114300">
            <wp:extent cx="7373620" cy="5255895"/>
            <wp:effectExtent l="0" t="0" r="17780" b="1905"/>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0"/>
                    <a:stretch>
                      <a:fillRect/>
                    </a:stretch>
                  </pic:blipFill>
                  <pic:spPr>
                    <a:xfrm>
                      <a:off x="0" y="0"/>
                      <a:ext cx="7373620" cy="5255895"/>
                    </a:xfrm>
                    <a:prstGeom prst="rect">
                      <a:avLst/>
                    </a:prstGeom>
                    <a:noFill/>
                    <a:ln>
                      <a:noFill/>
                    </a:ln>
                  </pic:spPr>
                </pic:pic>
              </a:graphicData>
            </a:graphic>
          </wp:inline>
        </w:drawing>
      </w:r>
    </w:p>
    <w:p w14:paraId="4FFD7A17">
      <w:pPr>
        <w:pStyle w:val="2"/>
        <w:rPr>
          <w:color w:val="auto"/>
        </w:rPr>
      </w:pPr>
      <w:bookmarkStart w:id="4" w:name="_Hlk149211906"/>
      <w:r>
        <w:rPr>
          <w:color w:val="auto"/>
        </w:rPr>
        <w:t>附图4  杭州市临平区</w:t>
      </w:r>
      <w:r>
        <w:rPr>
          <w:rFonts w:hint="eastAsia"/>
          <w:color w:val="auto"/>
        </w:rPr>
        <w:t>三区三线</w:t>
      </w:r>
      <w:r>
        <w:rPr>
          <w:color w:val="auto"/>
        </w:rPr>
        <w:t>图</w:t>
      </w:r>
    </w:p>
    <w:bookmarkEnd w:id="4"/>
    <w:p w14:paraId="545E9588">
      <w:pPr>
        <w:rPr>
          <w:color w:val="auto"/>
        </w:rPr>
        <w:sectPr>
          <w:headerReference r:id="rId4" w:type="default"/>
          <w:footerReference r:id="rId5" w:type="default"/>
          <w:pgSz w:w="16838" w:h="11906" w:orient="landscape"/>
          <w:pgMar w:top="1134" w:right="1417" w:bottom="1230" w:left="1417" w:header="851" w:footer="992" w:gutter="0"/>
          <w:cols w:space="425" w:num="1"/>
          <w:docGrid w:type="lines" w:linePitch="312" w:charSpace="0"/>
        </w:sectPr>
      </w:pPr>
    </w:p>
    <w:p w14:paraId="026B4DEA">
      <w:pPr>
        <w:pStyle w:val="2"/>
        <w:jc w:val="left"/>
        <w:rPr>
          <w:color w:val="auto"/>
        </w:rPr>
      </w:pPr>
      <w:r>
        <w:rPr>
          <w:rFonts w:hint="eastAsia"/>
          <w:color w:val="auto"/>
        </w:rPr>
        <w:t>附件1</w:t>
      </w:r>
      <w:r>
        <w:rPr>
          <w:color w:val="auto"/>
        </w:rPr>
        <w:t xml:space="preserve"> </w:t>
      </w:r>
      <w:r>
        <w:rPr>
          <w:rFonts w:hint="eastAsia"/>
          <w:color w:val="auto"/>
        </w:rPr>
        <w:t>项目基本情况</w:t>
      </w:r>
    </w:p>
    <w:p w14:paraId="329B3248">
      <w:pPr>
        <w:pStyle w:val="24"/>
        <w:ind w:firstLine="480" w:firstLineChars="200"/>
        <w:rPr>
          <w:color w:val="auto"/>
        </w:rPr>
      </w:pPr>
      <w:bookmarkStart w:id="5" w:name="_Hlk155886264"/>
      <w:r>
        <w:rPr>
          <w:rFonts w:hint="eastAsia"/>
          <w:color w:val="auto"/>
          <w:lang w:val="en-US" w:eastAsia="zh-CN"/>
        </w:rPr>
        <w:t>杭州美盾新材料有限公司（曾用名杭州盾美新材料有限公司）</w:t>
      </w:r>
      <w:r>
        <w:rPr>
          <w:rFonts w:hint="eastAsia"/>
          <w:color w:val="auto"/>
        </w:rPr>
        <w:t>成立于20</w:t>
      </w:r>
      <w:r>
        <w:rPr>
          <w:rFonts w:hint="eastAsia"/>
          <w:color w:val="auto"/>
          <w:lang w:val="en-US" w:eastAsia="zh-CN"/>
        </w:rPr>
        <w:t>2</w:t>
      </w:r>
      <w:r>
        <w:rPr>
          <w:rFonts w:hint="eastAsia"/>
          <w:color w:val="auto"/>
        </w:rPr>
        <w:t>2年</w:t>
      </w:r>
      <w:r>
        <w:rPr>
          <w:rFonts w:hint="eastAsia"/>
          <w:color w:val="auto"/>
          <w:lang w:val="en-US" w:eastAsia="zh-CN"/>
        </w:rPr>
        <w:t>7</w:t>
      </w:r>
      <w:r>
        <w:rPr>
          <w:rFonts w:hint="eastAsia"/>
          <w:color w:val="auto"/>
        </w:rPr>
        <w:t>月</w:t>
      </w:r>
      <w:r>
        <w:rPr>
          <w:rFonts w:hint="eastAsia"/>
          <w:color w:val="auto"/>
          <w:lang w:val="en-US" w:eastAsia="zh-CN"/>
        </w:rPr>
        <w:t>25</w:t>
      </w:r>
      <w:r>
        <w:rPr>
          <w:rFonts w:hint="eastAsia"/>
          <w:color w:val="auto"/>
        </w:rPr>
        <w:t>日，位于浙江省杭州市临平区</w:t>
      </w:r>
      <w:r>
        <w:rPr>
          <w:rFonts w:hint="eastAsia"/>
          <w:color w:val="auto"/>
          <w:lang w:val="en-US" w:eastAsia="zh-CN"/>
        </w:rPr>
        <w:t>塘栖镇顺启路6号4幢</w:t>
      </w:r>
      <w:r>
        <w:rPr>
          <w:rFonts w:hint="eastAsia"/>
          <w:color w:val="auto"/>
        </w:rPr>
        <w:t>。</w:t>
      </w:r>
      <w:bookmarkStart w:id="6" w:name="_Hlk161921546"/>
      <w:r>
        <w:rPr>
          <w:rFonts w:hint="eastAsia"/>
          <w:color w:val="auto"/>
        </w:rPr>
        <w:t>企业</w:t>
      </w:r>
      <w:r>
        <w:rPr>
          <w:rFonts w:hint="eastAsia"/>
          <w:color w:val="auto"/>
          <w:lang w:val="en-US" w:eastAsia="zh-CN"/>
        </w:rPr>
        <w:t>拟投资10500万元，购置共挤吹膜机组、边料回收机等设备，在</w:t>
      </w:r>
      <w:r>
        <w:rPr>
          <w:rFonts w:hint="eastAsia"/>
          <w:color w:val="auto"/>
        </w:rPr>
        <w:t>临平区</w:t>
      </w:r>
      <w:r>
        <w:rPr>
          <w:rFonts w:hint="eastAsia"/>
          <w:color w:val="auto"/>
          <w:lang w:val="en-US" w:eastAsia="zh-CN"/>
        </w:rPr>
        <w:t>塘栖镇顺启路6号4幢厂房一层实施年产1万吨新材料（PE薄膜）项目</w:t>
      </w:r>
      <w:r>
        <w:rPr>
          <w:rFonts w:hint="eastAsia"/>
          <w:color w:val="auto"/>
        </w:rPr>
        <w:t>。</w:t>
      </w:r>
    </w:p>
    <w:bookmarkEnd w:id="6"/>
    <w:p w14:paraId="1DAD9EA7">
      <w:pPr>
        <w:pStyle w:val="24"/>
        <w:ind w:firstLine="480" w:firstLineChars="200"/>
        <w:rPr>
          <w:color w:val="auto"/>
        </w:rPr>
      </w:pPr>
      <w:r>
        <w:rPr>
          <w:rFonts w:hint="eastAsia"/>
          <w:color w:val="auto"/>
        </w:rPr>
        <w:t>项目已在临平区经济信息化和科学技术局备案，项目代码</w:t>
      </w:r>
      <w:r>
        <w:rPr>
          <w:rFonts w:hint="eastAsia"/>
          <w:color w:val="auto"/>
          <w:lang w:val="en-US" w:eastAsia="zh-CN"/>
        </w:rPr>
        <w:t>2412-330113-07-02-105233</w:t>
      </w:r>
      <w:r>
        <w:rPr>
          <w:rFonts w:hint="eastAsia"/>
          <w:color w:val="auto"/>
        </w:rPr>
        <w:t>。</w:t>
      </w:r>
    </w:p>
    <w:p w14:paraId="4F9900FA">
      <w:pPr>
        <w:pStyle w:val="24"/>
        <w:ind w:firstLine="482"/>
        <w:rPr>
          <w:b/>
          <w:color w:val="auto"/>
        </w:rPr>
      </w:pPr>
      <w:r>
        <w:rPr>
          <w:rFonts w:hint="eastAsia"/>
          <w:b/>
          <w:color w:val="auto"/>
          <w:lang w:val="en-US" w:eastAsia="zh-CN"/>
        </w:rPr>
        <w:t>1.1</w:t>
      </w:r>
      <w:r>
        <w:rPr>
          <w:rFonts w:hint="eastAsia"/>
          <w:b/>
          <w:color w:val="auto"/>
        </w:rPr>
        <w:t>项目基本组成</w:t>
      </w:r>
    </w:p>
    <w:p w14:paraId="1BAB49A1">
      <w:pPr>
        <w:pStyle w:val="24"/>
        <w:ind w:firstLine="480"/>
        <w:rPr>
          <w:color w:val="auto"/>
        </w:rPr>
      </w:pPr>
      <w:r>
        <w:rPr>
          <w:rFonts w:hint="eastAsia"/>
          <w:color w:val="auto"/>
        </w:rPr>
        <w:t>本项目主要由主体工程、辅助工程</w:t>
      </w:r>
      <w:r>
        <w:rPr>
          <w:rFonts w:hint="eastAsia"/>
          <w:color w:val="auto"/>
          <w:lang w:eastAsia="zh-CN"/>
        </w:rPr>
        <w:t>、</w:t>
      </w:r>
      <w:r>
        <w:rPr>
          <w:rFonts w:hint="eastAsia"/>
          <w:color w:val="auto"/>
          <w:lang w:val="en-US" w:eastAsia="zh-CN"/>
        </w:rPr>
        <w:t>储运工程、</w:t>
      </w:r>
      <w:r>
        <w:rPr>
          <w:rFonts w:hint="eastAsia"/>
          <w:color w:val="auto"/>
        </w:rPr>
        <w:t>公用工程、环保工程</w:t>
      </w:r>
      <w:r>
        <w:rPr>
          <w:rFonts w:hint="eastAsia"/>
          <w:color w:val="auto"/>
          <w:lang w:val="en-US" w:eastAsia="zh-CN"/>
        </w:rPr>
        <w:t>等</w:t>
      </w:r>
      <w:r>
        <w:rPr>
          <w:rFonts w:hint="eastAsia"/>
          <w:color w:val="auto"/>
        </w:rPr>
        <w:t>组成。具体</w:t>
      </w:r>
      <w:r>
        <w:rPr>
          <w:color w:val="auto"/>
        </w:rPr>
        <w:t>组成汇总如</w:t>
      </w:r>
      <w:r>
        <w:rPr>
          <w:rFonts w:hint="eastAsia"/>
          <w:color w:val="auto"/>
        </w:rPr>
        <w:t>表</w:t>
      </w:r>
      <w:r>
        <w:rPr>
          <w:color w:val="auto"/>
        </w:rPr>
        <w:t>1所示。</w:t>
      </w:r>
    </w:p>
    <w:p w14:paraId="2B40C8EB">
      <w:pPr>
        <w:pStyle w:val="20"/>
        <w:numPr>
          <w:ilvl w:val="0"/>
          <w:numId w:val="6"/>
        </w:numPr>
        <w:spacing w:before="156"/>
        <w:rPr>
          <w:color w:val="auto"/>
        </w:rPr>
      </w:pPr>
      <w:r>
        <w:rPr>
          <w:color w:val="auto"/>
        </w:rPr>
        <w:t>项目基本组成</w:t>
      </w:r>
    </w:p>
    <w:bookmarkEnd w:id="5"/>
    <w:tbl>
      <w:tblPr>
        <w:tblStyle w:val="15"/>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535"/>
        <w:gridCol w:w="765"/>
        <w:gridCol w:w="862"/>
        <w:gridCol w:w="2963"/>
        <w:gridCol w:w="1119"/>
        <w:gridCol w:w="2068"/>
      </w:tblGrid>
      <w:tr w14:paraId="43039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noWrap w:val="0"/>
            <w:vAlign w:val="center"/>
          </w:tcPr>
          <w:p w14:paraId="698E87C8">
            <w:pPr>
              <w:widowControl/>
              <w:jc w:val="center"/>
              <w:rPr>
                <w:color w:val="auto"/>
                <w:kern w:val="0"/>
                <w:sz w:val="21"/>
                <w:szCs w:val="21"/>
                <w:highlight w:val="none"/>
              </w:rPr>
            </w:pPr>
            <w:r>
              <w:rPr>
                <w:color w:val="auto"/>
                <w:kern w:val="0"/>
                <w:sz w:val="21"/>
                <w:szCs w:val="21"/>
                <w:highlight w:val="none"/>
              </w:rPr>
              <w:t>序号</w:t>
            </w:r>
          </w:p>
        </w:tc>
        <w:tc>
          <w:tcPr>
            <w:tcW w:w="978" w:type="pct"/>
            <w:gridSpan w:val="2"/>
            <w:noWrap w:val="0"/>
            <w:vAlign w:val="center"/>
          </w:tcPr>
          <w:p w14:paraId="76744369">
            <w:pPr>
              <w:widowControl/>
              <w:jc w:val="center"/>
              <w:rPr>
                <w:color w:val="auto"/>
                <w:kern w:val="0"/>
                <w:sz w:val="21"/>
                <w:szCs w:val="21"/>
                <w:highlight w:val="none"/>
              </w:rPr>
            </w:pPr>
            <w:r>
              <w:rPr>
                <w:color w:val="auto"/>
                <w:kern w:val="0"/>
                <w:sz w:val="21"/>
                <w:szCs w:val="21"/>
                <w:highlight w:val="none"/>
              </w:rPr>
              <w:t>工程类别</w:t>
            </w:r>
          </w:p>
        </w:tc>
        <w:tc>
          <w:tcPr>
            <w:tcW w:w="1781" w:type="pct"/>
            <w:noWrap w:val="0"/>
            <w:vAlign w:val="center"/>
          </w:tcPr>
          <w:p w14:paraId="03669367">
            <w:pPr>
              <w:widowControl/>
              <w:jc w:val="center"/>
              <w:rPr>
                <w:color w:val="auto"/>
                <w:kern w:val="0"/>
                <w:sz w:val="21"/>
                <w:szCs w:val="21"/>
                <w:highlight w:val="none"/>
              </w:rPr>
            </w:pPr>
            <w:r>
              <w:rPr>
                <w:color w:val="auto"/>
                <w:kern w:val="0"/>
                <w:sz w:val="21"/>
                <w:szCs w:val="21"/>
                <w:highlight w:val="none"/>
              </w:rPr>
              <w:t>主要内容</w:t>
            </w:r>
          </w:p>
        </w:tc>
        <w:tc>
          <w:tcPr>
            <w:tcW w:w="673" w:type="pct"/>
            <w:noWrap w:val="0"/>
            <w:vAlign w:val="center"/>
          </w:tcPr>
          <w:p w14:paraId="7D891299">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规模</w:t>
            </w:r>
          </w:p>
        </w:tc>
        <w:tc>
          <w:tcPr>
            <w:tcW w:w="1243" w:type="pct"/>
            <w:noWrap w:val="0"/>
            <w:vAlign w:val="center"/>
          </w:tcPr>
          <w:p w14:paraId="34965527">
            <w:pPr>
              <w:widowControl/>
              <w:jc w:val="center"/>
              <w:rPr>
                <w:rFonts w:hint="eastAsia" w:eastAsia="宋体"/>
                <w:color w:val="auto"/>
                <w:kern w:val="0"/>
                <w:sz w:val="21"/>
                <w:szCs w:val="21"/>
                <w:highlight w:val="none"/>
                <w:lang w:val="en-US" w:eastAsia="zh-CN"/>
              </w:rPr>
            </w:pPr>
            <w:r>
              <w:rPr>
                <w:rFonts w:hint="eastAsia"/>
                <w:color w:val="auto"/>
                <w:kern w:val="0"/>
                <w:sz w:val="21"/>
                <w:szCs w:val="21"/>
                <w:highlight w:val="none"/>
                <w:lang w:val="en-US" w:eastAsia="zh-CN"/>
              </w:rPr>
              <w:t>备注</w:t>
            </w:r>
          </w:p>
        </w:tc>
      </w:tr>
      <w:tr w14:paraId="072DE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noWrap w:val="0"/>
            <w:vAlign w:val="center"/>
          </w:tcPr>
          <w:p w14:paraId="07729634">
            <w:pPr>
              <w:widowControl/>
              <w:jc w:val="center"/>
              <w:rPr>
                <w:color w:val="auto"/>
                <w:kern w:val="0"/>
                <w:sz w:val="21"/>
                <w:szCs w:val="21"/>
                <w:highlight w:val="none"/>
              </w:rPr>
            </w:pPr>
            <w:r>
              <w:rPr>
                <w:rFonts w:hint="eastAsia"/>
                <w:color w:val="auto"/>
                <w:kern w:val="0"/>
                <w:sz w:val="21"/>
                <w:szCs w:val="21"/>
                <w:highlight w:val="none"/>
              </w:rPr>
              <w:t>1</w:t>
            </w:r>
          </w:p>
        </w:tc>
        <w:tc>
          <w:tcPr>
            <w:tcW w:w="460" w:type="pct"/>
            <w:noWrap w:val="0"/>
            <w:vAlign w:val="center"/>
          </w:tcPr>
          <w:p w14:paraId="2014CA7C">
            <w:pPr>
              <w:jc w:val="center"/>
              <w:rPr>
                <w:color w:val="auto"/>
                <w:kern w:val="0"/>
                <w:sz w:val="21"/>
                <w:szCs w:val="21"/>
                <w:highlight w:val="none"/>
              </w:rPr>
            </w:pPr>
            <w:r>
              <w:rPr>
                <w:rFonts w:hint="eastAsia"/>
                <w:color w:val="auto"/>
                <w:kern w:val="0"/>
                <w:sz w:val="21"/>
                <w:szCs w:val="21"/>
                <w:highlight w:val="none"/>
              </w:rPr>
              <w:t>主体工程</w:t>
            </w:r>
          </w:p>
        </w:tc>
        <w:tc>
          <w:tcPr>
            <w:tcW w:w="517" w:type="pct"/>
            <w:noWrap w:val="0"/>
            <w:vAlign w:val="center"/>
          </w:tcPr>
          <w:p w14:paraId="664E0357">
            <w:pPr>
              <w:widowControl/>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生产车间</w:t>
            </w:r>
          </w:p>
        </w:tc>
        <w:tc>
          <w:tcPr>
            <w:tcW w:w="1781" w:type="pct"/>
            <w:noWrap w:val="0"/>
            <w:vAlign w:val="center"/>
          </w:tcPr>
          <w:p w14:paraId="6E2D4F59">
            <w:pPr>
              <w:keepNext w:val="0"/>
              <w:keepLines w:val="0"/>
              <w:widowControl/>
              <w:suppressLineNumbers w:val="0"/>
              <w:jc w:val="left"/>
              <w:rPr>
                <w:rFonts w:hint="default" w:eastAsia="宋体"/>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bidi="ar"/>
              </w:rPr>
              <w:t>主要包括吹膜车间、原料仓库、成品仓库、办公区等</w:t>
            </w:r>
            <w:r>
              <w:rPr>
                <w:rFonts w:hint="eastAsia" w:cs="Times New Roman"/>
                <w:b w:val="0"/>
                <w:bCs w:val="0"/>
                <w:color w:val="auto"/>
                <w:kern w:val="0"/>
                <w:sz w:val="21"/>
                <w:szCs w:val="21"/>
                <w:highlight w:val="none"/>
                <w:lang w:val="en-US" w:eastAsia="zh-CN" w:bidi="ar"/>
              </w:rPr>
              <w:t>，共设4条共挤吹膜生产线</w:t>
            </w:r>
          </w:p>
        </w:tc>
        <w:tc>
          <w:tcPr>
            <w:tcW w:w="673" w:type="pct"/>
            <w:noWrap w:val="0"/>
            <w:vAlign w:val="center"/>
          </w:tcPr>
          <w:p w14:paraId="2666995C">
            <w:pPr>
              <w:keepNext w:val="0"/>
              <w:keepLines w:val="0"/>
              <w:widowControl/>
              <w:suppressLineNumbers w:val="0"/>
              <w:jc w:val="center"/>
              <w:rPr>
                <w:rFonts w:ascii="宋体" w:hAnsi="宋体" w:eastAsia="宋体" w:cs="宋体"/>
                <w:b w:val="0"/>
                <w:bCs w:val="0"/>
                <w:color w:val="auto"/>
                <w:kern w:val="0"/>
                <w:sz w:val="21"/>
                <w:szCs w:val="21"/>
                <w:highlight w:val="none"/>
                <w:lang w:val="en-US" w:eastAsia="zh-CN" w:bidi="ar"/>
              </w:rPr>
            </w:pPr>
            <w:r>
              <w:rPr>
                <w:rFonts w:hint="eastAsia"/>
                <w:color w:val="auto"/>
                <w:sz w:val="21"/>
                <w:szCs w:val="21"/>
                <w:highlight w:val="none"/>
                <w:lang w:val="en-US" w:eastAsia="zh-CN"/>
              </w:rPr>
              <w:t>2100</w:t>
            </w:r>
            <w:r>
              <w:rPr>
                <w:rFonts w:hint="default" w:ascii="Times New Roman" w:hAnsi="Times New Roman" w:eastAsia="宋体" w:cs="Times New Roman"/>
                <w:b w:val="0"/>
                <w:bCs w:val="0"/>
                <w:color w:val="auto"/>
                <w:kern w:val="0"/>
                <w:sz w:val="21"/>
                <w:szCs w:val="21"/>
                <w:highlight w:val="none"/>
                <w:lang w:val="en-US" w:eastAsia="zh-CN" w:bidi="ar"/>
              </w:rPr>
              <w:t>m</w:t>
            </w:r>
            <w:r>
              <w:rPr>
                <w:rFonts w:hint="default" w:ascii="Times New Roman" w:hAnsi="Times New Roman" w:eastAsia="宋体" w:cs="Times New Roman"/>
                <w:b w:val="0"/>
                <w:bCs w:val="0"/>
                <w:color w:val="auto"/>
                <w:kern w:val="0"/>
                <w:sz w:val="21"/>
                <w:szCs w:val="21"/>
                <w:highlight w:val="none"/>
                <w:vertAlign w:val="superscript"/>
                <w:lang w:val="en-US" w:eastAsia="zh-CN" w:bidi="ar"/>
              </w:rPr>
              <w:t>2</w:t>
            </w:r>
          </w:p>
        </w:tc>
        <w:tc>
          <w:tcPr>
            <w:tcW w:w="1243" w:type="pct"/>
            <w:noWrap w:val="0"/>
            <w:vAlign w:val="center"/>
          </w:tcPr>
          <w:p w14:paraId="1CE0831E">
            <w:pPr>
              <w:keepNext w:val="0"/>
              <w:keepLines w:val="0"/>
              <w:widowControl/>
              <w:suppressLineNumbers w:val="0"/>
              <w:jc w:val="left"/>
              <w:rPr>
                <w:rFonts w:hint="default" w:ascii="宋体" w:hAnsi="宋体" w:eastAsia="宋体" w:cs="宋体"/>
                <w:b w:val="0"/>
                <w:bCs w:val="0"/>
                <w:color w:val="auto"/>
                <w:kern w:val="0"/>
                <w:sz w:val="21"/>
                <w:szCs w:val="21"/>
                <w:highlight w:val="none"/>
                <w:lang w:val="en-US" w:eastAsia="zh-CN" w:bidi="ar"/>
              </w:rPr>
            </w:pPr>
            <w:r>
              <w:rPr>
                <w:rFonts w:hint="eastAsia" w:ascii="Times New Roman" w:hAnsi="Times New Roman" w:cs="Times New Roman"/>
                <w:b w:val="0"/>
                <w:bCs w:val="0"/>
                <w:color w:val="auto"/>
                <w:kern w:val="0"/>
                <w:sz w:val="21"/>
                <w:szCs w:val="21"/>
                <w:highlight w:val="none"/>
                <w:lang w:val="en-US" w:eastAsia="zh-CN" w:bidi="ar"/>
              </w:rPr>
              <w:t>本项目位于</w:t>
            </w:r>
            <w:r>
              <w:rPr>
                <w:rFonts w:hint="eastAsia"/>
                <w:color w:val="auto"/>
              </w:rPr>
              <w:t>临平区</w:t>
            </w:r>
            <w:r>
              <w:rPr>
                <w:rFonts w:hint="eastAsia"/>
                <w:color w:val="auto"/>
                <w:lang w:val="en-US" w:eastAsia="zh-CN"/>
              </w:rPr>
              <w:t>塘栖镇顺启路6号4幢厂房一层（吹膜车间为</w:t>
            </w:r>
            <w:r>
              <w:rPr>
                <w:rFonts w:hint="eastAsia" w:ascii="Times New Roman" w:hAnsi="Times New Roman" w:cs="Times New Roman"/>
                <w:b w:val="0"/>
                <w:bCs w:val="0"/>
                <w:color w:val="auto"/>
                <w:kern w:val="0"/>
                <w:sz w:val="21"/>
                <w:szCs w:val="21"/>
                <w:highlight w:val="none"/>
                <w:lang w:val="en-US" w:eastAsia="zh-CN" w:bidi="ar"/>
              </w:rPr>
              <w:t>1~3层合并为1层</w:t>
            </w:r>
            <w:r>
              <w:rPr>
                <w:rFonts w:hint="eastAsia"/>
                <w:color w:val="auto"/>
                <w:lang w:val="en-US" w:eastAsia="zh-CN"/>
              </w:rPr>
              <w:t>）</w:t>
            </w:r>
            <w:r>
              <w:rPr>
                <w:rFonts w:hint="eastAsia" w:ascii="Times New Roman" w:hAnsi="Times New Roman" w:cs="Times New Roman"/>
                <w:b w:val="0"/>
                <w:bCs w:val="0"/>
                <w:color w:val="auto"/>
                <w:kern w:val="0"/>
                <w:sz w:val="21"/>
                <w:szCs w:val="21"/>
                <w:highlight w:val="none"/>
                <w:lang w:val="en-US" w:eastAsia="zh-CN" w:bidi="ar"/>
              </w:rPr>
              <w:t>，所在建筑物</w:t>
            </w:r>
            <w:r>
              <w:rPr>
                <w:rFonts w:hint="default" w:ascii="Times New Roman" w:hAnsi="Times New Roman" w:cs="Times New Roman"/>
                <w:b w:val="0"/>
                <w:bCs w:val="0"/>
                <w:color w:val="auto"/>
                <w:kern w:val="0"/>
                <w:sz w:val="21"/>
                <w:szCs w:val="21"/>
                <w:highlight w:val="none"/>
                <w:lang w:val="en-US" w:eastAsia="zh-CN" w:bidi="ar"/>
              </w:rPr>
              <w:t>总高度</w:t>
            </w:r>
            <w:r>
              <w:rPr>
                <w:rFonts w:hint="eastAsia" w:ascii="Times New Roman" w:hAnsi="Times New Roman" w:cs="Times New Roman"/>
                <w:b w:val="0"/>
                <w:bCs w:val="0"/>
                <w:color w:val="auto"/>
                <w:kern w:val="0"/>
                <w:sz w:val="21"/>
                <w:szCs w:val="21"/>
                <w:highlight w:val="none"/>
                <w:lang w:val="en-US" w:eastAsia="zh-CN" w:bidi="ar"/>
              </w:rPr>
              <w:t>约</w:t>
            </w:r>
            <w:r>
              <w:rPr>
                <w:rFonts w:hint="default" w:ascii="Times New Roman" w:hAnsi="Times New Roman" w:cs="Times New Roman"/>
                <w:b w:val="0"/>
                <w:bCs w:val="0"/>
                <w:color w:val="auto"/>
                <w:kern w:val="0"/>
                <w:sz w:val="21"/>
                <w:szCs w:val="21"/>
                <w:highlight w:val="none"/>
                <w:lang w:val="en-US" w:eastAsia="zh-CN" w:bidi="ar"/>
              </w:rPr>
              <w:t>43m</w:t>
            </w:r>
          </w:p>
        </w:tc>
      </w:tr>
      <w:tr w14:paraId="22B82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noWrap w:val="0"/>
            <w:vAlign w:val="center"/>
          </w:tcPr>
          <w:p w14:paraId="0D40171E">
            <w:pPr>
              <w:widowControl/>
              <w:jc w:val="center"/>
              <w:rPr>
                <w:rFonts w:hint="eastAsia"/>
                <w:color w:val="auto"/>
                <w:kern w:val="0"/>
                <w:sz w:val="21"/>
                <w:szCs w:val="21"/>
                <w:highlight w:val="none"/>
                <w:lang w:val="en-US" w:eastAsia="zh-CN" w:bidi="ar-SA"/>
              </w:rPr>
            </w:pPr>
            <w:r>
              <w:rPr>
                <w:rFonts w:hint="eastAsia"/>
                <w:color w:val="auto"/>
                <w:kern w:val="0"/>
                <w:sz w:val="21"/>
                <w:szCs w:val="21"/>
                <w:highlight w:val="none"/>
              </w:rPr>
              <w:t>2</w:t>
            </w:r>
          </w:p>
        </w:tc>
        <w:tc>
          <w:tcPr>
            <w:tcW w:w="460" w:type="pct"/>
            <w:noWrap w:val="0"/>
            <w:vAlign w:val="center"/>
          </w:tcPr>
          <w:p w14:paraId="787E3EF2">
            <w:pPr>
              <w:jc w:val="center"/>
              <w:rPr>
                <w:rFonts w:hint="eastAsia"/>
                <w:color w:val="auto"/>
                <w:kern w:val="0"/>
                <w:sz w:val="21"/>
                <w:szCs w:val="21"/>
                <w:highlight w:val="none"/>
                <w:lang w:val="en-US" w:eastAsia="zh-CN" w:bidi="ar-SA"/>
              </w:rPr>
            </w:pPr>
            <w:r>
              <w:rPr>
                <w:rFonts w:hint="eastAsia"/>
                <w:color w:val="auto"/>
                <w:kern w:val="0"/>
                <w:sz w:val="21"/>
                <w:szCs w:val="21"/>
                <w:highlight w:val="none"/>
              </w:rPr>
              <w:t>辅助工程</w:t>
            </w:r>
          </w:p>
        </w:tc>
        <w:tc>
          <w:tcPr>
            <w:tcW w:w="517" w:type="pct"/>
            <w:noWrap w:val="0"/>
            <w:vAlign w:val="center"/>
          </w:tcPr>
          <w:p w14:paraId="18D6E452">
            <w:pPr>
              <w:widowControl/>
              <w:jc w:val="center"/>
              <w:rPr>
                <w:rFonts w:hint="eastAsia"/>
                <w:color w:val="auto"/>
                <w:kern w:val="2"/>
                <w:sz w:val="21"/>
                <w:szCs w:val="21"/>
                <w:highlight w:val="none"/>
                <w:lang w:val="en-US" w:eastAsia="zh-CN" w:bidi="ar-SA"/>
              </w:rPr>
            </w:pPr>
            <w:r>
              <w:rPr>
                <w:rFonts w:hint="eastAsia"/>
                <w:color w:val="auto"/>
                <w:sz w:val="21"/>
                <w:szCs w:val="21"/>
                <w:highlight w:val="none"/>
              </w:rPr>
              <w:t>办公</w:t>
            </w:r>
            <w:r>
              <w:rPr>
                <w:rFonts w:hint="eastAsia"/>
                <w:color w:val="auto"/>
                <w:sz w:val="21"/>
                <w:szCs w:val="21"/>
                <w:highlight w:val="none"/>
                <w:lang w:val="en-US" w:eastAsia="zh-CN"/>
              </w:rPr>
              <w:t>区</w:t>
            </w:r>
          </w:p>
        </w:tc>
        <w:tc>
          <w:tcPr>
            <w:tcW w:w="1781" w:type="pct"/>
            <w:noWrap w:val="0"/>
            <w:vAlign w:val="center"/>
          </w:tcPr>
          <w:p w14:paraId="17D724F0">
            <w:pPr>
              <w:widowControl/>
              <w:jc w:val="center"/>
              <w:rPr>
                <w:color w:val="auto"/>
                <w:kern w:val="0"/>
                <w:sz w:val="21"/>
                <w:szCs w:val="21"/>
                <w:highlight w:val="none"/>
                <w:lang w:val="en-US" w:eastAsia="zh-CN" w:bidi="ar-SA"/>
              </w:rPr>
            </w:pPr>
            <w:r>
              <w:rPr>
                <w:color w:val="auto"/>
                <w:kern w:val="0"/>
                <w:sz w:val="21"/>
                <w:szCs w:val="21"/>
                <w:highlight w:val="none"/>
              </w:rPr>
              <w:t>办公</w:t>
            </w:r>
          </w:p>
        </w:tc>
        <w:tc>
          <w:tcPr>
            <w:tcW w:w="673" w:type="pct"/>
            <w:noWrap w:val="0"/>
            <w:vAlign w:val="center"/>
          </w:tcPr>
          <w:p w14:paraId="2BD9F1B5">
            <w:pPr>
              <w:widowControl/>
              <w:jc w:val="center"/>
              <w:rPr>
                <w:rFonts w:hint="default"/>
                <w:color w:val="auto"/>
                <w:kern w:val="2"/>
                <w:sz w:val="21"/>
                <w:szCs w:val="21"/>
                <w:highlight w:val="none"/>
                <w:lang w:val="en-US" w:eastAsia="zh-CN" w:bidi="ar-SA"/>
              </w:rPr>
            </w:pPr>
            <w:r>
              <w:rPr>
                <w:rFonts w:hint="eastAsia"/>
                <w:color w:val="auto"/>
                <w:sz w:val="21"/>
                <w:szCs w:val="21"/>
                <w:highlight w:val="none"/>
                <w:lang w:val="en-US" w:eastAsia="zh-CN"/>
              </w:rPr>
              <w:t>5</w:t>
            </w:r>
            <w:r>
              <w:rPr>
                <w:rFonts w:hint="eastAsia"/>
                <w:color w:val="auto"/>
                <w:sz w:val="21"/>
                <w:szCs w:val="21"/>
                <w:highlight w:val="none"/>
              </w:rPr>
              <w:t>0</w:t>
            </w:r>
            <w:r>
              <w:rPr>
                <w:color w:val="auto"/>
                <w:kern w:val="0"/>
                <w:sz w:val="21"/>
                <w:szCs w:val="21"/>
                <w:highlight w:val="none"/>
              </w:rPr>
              <w:t>m</w:t>
            </w:r>
            <w:r>
              <w:rPr>
                <w:color w:val="auto"/>
                <w:kern w:val="0"/>
                <w:sz w:val="21"/>
                <w:szCs w:val="21"/>
                <w:highlight w:val="none"/>
                <w:vertAlign w:val="superscript"/>
              </w:rPr>
              <w:t>2</w:t>
            </w:r>
          </w:p>
        </w:tc>
        <w:tc>
          <w:tcPr>
            <w:tcW w:w="1243" w:type="pct"/>
            <w:noWrap w:val="0"/>
            <w:vAlign w:val="center"/>
          </w:tcPr>
          <w:p w14:paraId="0837BD08">
            <w:pPr>
              <w:widowControl/>
              <w:jc w:val="center"/>
              <w:rPr>
                <w:rFonts w:hint="default"/>
                <w:color w:val="auto"/>
                <w:kern w:val="0"/>
                <w:sz w:val="21"/>
                <w:szCs w:val="21"/>
                <w:highlight w:val="none"/>
                <w:lang w:val="en-US" w:eastAsia="zh-CN" w:bidi="ar-SA"/>
              </w:rPr>
            </w:pPr>
            <w:r>
              <w:rPr>
                <w:rFonts w:hint="eastAsia"/>
                <w:color w:val="auto"/>
                <w:kern w:val="0"/>
                <w:sz w:val="21"/>
                <w:szCs w:val="21"/>
                <w:highlight w:val="none"/>
              </w:rPr>
              <w:t>位于</w:t>
            </w:r>
            <w:r>
              <w:rPr>
                <w:rFonts w:hint="eastAsia"/>
                <w:color w:val="auto"/>
                <w:kern w:val="0"/>
                <w:sz w:val="21"/>
                <w:szCs w:val="21"/>
                <w:highlight w:val="none"/>
                <w:lang w:val="en-US" w:eastAsia="zh-CN"/>
              </w:rPr>
              <w:t>厂房东北侧</w:t>
            </w:r>
          </w:p>
        </w:tc>
      </w:tr>
      <w:tr w14:paraId="1813A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restart"/>
            <w:noWrap w:val="0"/>
            <w:vAlign w:val="center"/>
          </w:tcPr>
          <w:p w14:paraId="7EFB61E7">
            <w:pPr>
              <w:widowControl/>
              <w:jc w:val="center"/>
              <w:rPr>
                <w:rFonts w:hint="eastAsia" w:eastAsia="宋体"/>
                <w:color w:val="auto"/>
                <w:sz w:val="21"/>
                <w:szCs w:val="21"/>
                <w:highlight w:val="none"/>
                <w:lang w:eastAsia="zh-CN"/>
              </w:rPr>
            </w:pPr>
            <w:r>
              <w:rPr>
                <w:rFonts w:hint="eastAsia"/>
                <w:color w:val="auto"/>
                <w:kern w:val="0"/>
                <w:sz w:val="21"/>
                <w:szCs w:val="21"/>
                <w:highlight w:val="none"/>
                <w:lang w:val="en-US" w:eastAsia="zh-CN"/>
              </w:rPr>
              <w:t>3</w:t>
            </w:r>
          </w:p>
        </w:tc>
        <w:tc>
          <w:tcPr>
            <w:tcW w:w="460" w:type="pct"/>
            <w:vMerge w:val="restart"/>
            <w:noWrap w:val="0"/>
            <w:vAlign w:val="center"/>
          </w:tcPr>
          <w:p w14:paraId="5F18AAC6">
            <w:pPr>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储运工程</w:t>
            </w:r>
          </w:p>
        </w:tc>
        <w:tc>
          <w:tcPr>
            <w:tcW w:w="517" w:type="pct"/>
            <w:noWrap w:val="0"/>
            <w:vAlign w:val="center"/>
          </w:tcPr>
          <w:p w14:paraId="651281BB">
            <w:pPr>
              <w:widowControl/>
              <w:jc w:val="center"/>
              <w:rPr>
                <w:rFonts w:hint="default" w:eastAsia="宋体"/>
                <w:color w:val="auto"/>
                <w:sz w:val="21"/>
                <w:szCs w:val="21"/>
                <w:highlight w:val="none"/>
                <w:lang w:val="en-US" w:eastAsia="zh-CN"/>
              </w:rPr>
            </w:pPr>
            <w:r>
              <w:rPr>
                <w:rFonts w:hint="eastAsia" w:eastAsia="宋体"/>
                <w:color w:val="auto"/>
                <w:sz w:val="21"/>
                <w:szCs w:val="21"/>
                <w:highlight w:val="none"/>
                <w:lang w:val="en-US" w:eastAsia="zh-CN"/>
              </w:rPr>
              <w:t>原料仓库</w:t>
            </w:r>
          </w:p>
        </w:tc>
        <w:tc>
          <w:tcPr>
            <w:tcW w:w="1781" w:type="pct"/>
            <w:noWrap w:val="0"/>
            <w:vAlign w:val="center"/>
          </w:tcPr>
          <w:p w14:paraId="5BA59B7E">
            <w:pPr>
              <w:spacing w:line="240" w:lineRule="auto"/>
              <w:jc w:val="center"/>
              <w:rPr>
                <w:rFonts w:hint="default" w:eastAsia="宋体"/>
                <w:color w:val="auto"/>
                <w:sz w:val="21"/>
                <w:szCs w:val="21"/>
                <w:highlight w:val="none"/>
                <w:lang w:val="en-US" w:eastAsia="zh-CN"/>
              </w:rPr>
            </w:pPr>
            <w:r>
              <w:rPr>
                <w:rFonts w:hint="eastAsia"/>
                <w:b w:val="0"/>
                <w:bCs/>
                <w:color w:val="auto"/>
                <w:sz w:val="21"/>
                <w:szCs w:val="21"/>
                <w:highlight w:val="none"/>
                <w:vertAlign w:val="baseline"/>
                <w:lang w:val="en-US" w:eastAsia="zh-CN"/>
              </w:rPr>
              <w:t>原料存储</w:t>
            </w:r>
          </w:p>
        </w:tc>
        <w:tc>
          <w:tcPr>
            <w:tcW w:w="673" w:type="pct"/>
            <w:noWrap w:val="0"/>
            <w:vAlign w:val="center"/>
          </w:tcPr>
          <w:p w14:paraId="361C4824">
            <w:pPr>
              <w:widowControl/>
              <w:jc w:val="center"/>
              <w:rPr>
                <w:rFonts w:hint="default" w:cs="Courier New"/>
                <w:bCs/>
                <w:color w:val="auto"/>
                <w:sz w:val="21"/>
                <w:szCs w:val="21"/>
                <w:highlight w:val="none"/>
                <w:lang w:val="en-US" w:eastAsia="zh-CN"/>
              </w:rPr>
            </w:pPr>
            <w:r>
              <w:rPr>
                <w:rFonts w:hint="eastAsia"/>
                <w:color w:val="auto"/>
                <w:sz w:val="21"/>
                <w:szCs w:val="21"/>
                <w:highlight w:val="none"/>
                <w:lang w:val="en-US" w:eastAsia="zh-CN"/>
              </w:rPr>
              <w:t>约850m</w:t>
            </w:r>
            <w:r>
              <w:rPr>
                <w:rFonts w:hint="eastAsia"/>
                <w:color w:val="auto"/>
                <w:sz w:val="21"/>
                <w:szCs w:val="21"/>
                <w:highlight w:val="none"/>
                <w:vertAlign w:val="superscript"/>
                <w:lang w:val="en-US" w:eastAsia="zh-CN"/>
              </w:rPr>
              <w:t>2</w:t>
            </w:r>
          </w:p>
        </w:tc>
        <w:tc>
          <w:tcPr>
            <w:tcW w:w="1243" w:type="pct"/>
            <w:noWrap w:val="0"/>
            <w:vAlign w:val="center"/>
          </w:tcPr>
          <w:p w14:paraId="702E09ED">
            <w:pPr>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位于厂房东侧</w:t>
            </w:r>
          </w:p>
        </w:tc>
      </w:tr>
      <w:tr w14:paraId="4468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794BDF02">
            <w:pPr>
              <w:widowControl/>
              <w:jc w:val="center"/>
              <w:rPr>
                <w:rFonts w:hint="eastAsia"/>
                <w:color w:val="auto"/>
                <w:sz w:val="21"/>
                <w:szCs w:val="21"/>
                <w:highlight w:val="none"/>
                <w:lang w:val="en-US" w:eastAsia="zh-CN"/>
              </w:rPr>
            </w:pPr>
          </w:p>
        </w:tc>
        <w:tc>
          <w:tcPr>
            <w:tcW w:w="460" w:type="pct"/>
            <w:vMerge w:val="continue"/>
            <w:noWrap w:val="0"/>
            <w:vAlign w:val="center"/>
          </w:tcPr>
          <w:p w14:paraId="5ED0C169">
            <w:pPr>
              <w:widowControl/>
              <w:jc w:val="center"/>
              <w:rPr>
                <w:rFonts w:hint="eastAsia"/>
                <w:color w:val="auto"/>
                <w:sz w:val="21"/>
                <w:szCs w:val="21"/>
                <w:highlight w:val="none"/>
                <w:lang w:val="en-US" w:eastAsia="zh-CN"/>
              </w:rPr>
            </w:pPr>
          </w:p>
        </w:tc>
        <w:tc>
          <w:tcPr>
            <w:tcW w:w="517" w:type="pct"/>
            <w:noWrap w:val="0"/>
            <w:vAlign w:val="center"/>
          </w:tcPr>
          <w:p w14:paraId="6D81469B">
            <w:pPr>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成品仓库</w:t>
            </w:r>
          </w:p>
        </w:tc>
        <w:tc>
          <w:tcPr>
            <w:tcW w:w="1781" w:type="pct"/>
            <w:noWrap w:val="0"/>
            <w:vAlign w:val="center"/>
          </w:tcPr>
          <w:p w14:paraId="5D3C9697">
            <w:pPr>
              <w:spacing w:line="240" w:lineRule="auto"/>
              <w:jc w:val="center"/>
              <w:rPr>
                <w:rFonts w:hint="default" w:cs="Courier New"/>
                <w:bCs/>
                <w:color w:val="auto"/>
                <w:sz w:val="21"/>
                <w:szCs w:val="21"/>
                <w:highlight w:val="none"/>
                <w:lang w:val="en-US" w:eastAsia="zh-CN"/>
              </w:rPr>
            </w:pPr>
            <w:r>
              <w:rPr>
                <w:rFonts w:hint="eastAsia"/>
                <w:b w:val="0"/>
                <w:bCs/>
                <w:color w:val="auto"/>
                <w:sz w:val="21"/>
                <w:szCs w:val="21"/>
                <w:highlight w:val="none"/>
                <w:vertAlign w:val="baseline"/>
                <w:lang w:val="en-US" w:eastAsia="zh-CN"/>
              </w:rPr>
              <w:t>成品存储</w:t>
            </w:r>
          </w:p>
        </w:tc>
        <w:tc>
          <w:tcPr>
            <w:tcW w:w="673" w:type="pct"/>
            <w:noWrap w:val="0"/>
            <w:vAlign w:val="center"/>
          </w:tcPr>
          <w:p w14:paraId="45F56C78">
            <w:pPr>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约600m</w:t>
            </w:r>
            <w:r>
              <w:rPr>
                <w:rFonts w:hint="eastAsia"/>
                <w:color w:val="auto"/>
                <w:sz w:val="21"/>
                <w:szCs w:val="21"/>
                <w:highlight w:val="none"/>
                <w:vertAlign w:val="superscript"/>
                <w:lang w:val="en-US" w:eastAsia="zh-CN"/>
              </w:rPr>
              <w:t>2</w:t>
            </w:r>
          </w:p>
        </w:tc>
        <w:tc>
          <w:tcPr>
            <w:tcW w:w="1243" w:type="pct"/>
            <w:noWrap w:val="0"/>
            <w:vAlign w:val="center"/>
          </w:tcPr>
          <w:p w14:paraId="6257B2DB">
            <w:pPr>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位于厂房东侧</w:t>
            </w:r>
          </w:p>
        </w:tc>
      </w:tr>
      <w:tr w14:paraId="60C62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restart"/>
            <w:noWrap w:val="0"/>
            <w:vAlign w:val="center"/>
          </w:tcPr>
          <w:p w14:paraId="7765BE2E">
            <w:pPr>
              <w:widowControl/>
              <w:jc w:val="center"/>
              <w:rPr>
                <w:rFonts w:hint="eastAsia" w:eastAsia="宋体"/>
                <w:color w:val="auto"/>
                <w:kern w:val="0"/>
                <w:sz w:val="21"/>
                <w:szCs w:val="21"/>
                <w:highlight w:val="none"/>
                <w:lang w:eastAsia="zh-CN"/>
              </w:rPr>
            </w:pPr>
            <w:r>
              <w:rPr>
                <w:rFonts w:hint="eastAsia"/>
                <w:color w:val="auto"/>
                <w:kern w:val="0"/>
                <w:sz w:val="21"/>
                <w:szCs w:val="21"/>
                <w:highlight w:val="none"/>
                <w:lang w:val="en-US" w:eastAsia="zh-CN"/>
              </w:rPr>
              <w:t>4</w:t>
            </w:r>
          </w:p>
        </w:tc>
        <w:tc>
          <w:tcPr>
            <w:tcW w:w="460" w:type="pct"/>
            <w:vMerge w:val="restart"/>
            <w:noWrap w:val="0"/>
            <w:vAlign w:val="center"/>
          </w:tcPr>
          <w:p w14:paraId="70FF048C">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公用工程</w:t>
            </w:r>
          </w:p>
        </w:tc>
        <w:tc>
          <w:tcPr>
            <w:tcW w:w="517" w:type="pct"/>
            <w:noWrap w:val="0"/>
            <w:vAlign w:val="center"/>
          </w:tcPr>
          <w:p w14:paraId="1D461E40">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供电</w:t>
            </w:r>
          </w:p>
        </w:tc>
        <w:tc>
          <w:tcPr>
            <w:tcW w:w="1781" w:type="pct"/>
            <w:noWrap w:val="0"/>
            <w:vAlign w:val="center"/>
          </w:tcPr>
          <w:p w14:paraId="50205638">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由市政电网统一供给</w:t>
            </w:r>
          </w:p>
        </w:tc>
        <w:tc>
          <w:tcPr>
            <w:tcW w:w="673" w:type="pct"/>
            <w:noWrap w:val="0"/>
            <w:vAlign w:val="center"/>
          </w:tcPr>
          <w:p w14:paraId="0D359651">
            <w:pPr>
              <w:widowControl/>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w:t>
            </w:r>
          </w:p>
        </w:tc>
        <w:tc>
          <w:tcPr>
            <w:tcW w:w="1243" w:type="pct"/>
            <w:noWrap w:val="0"/>
            <w:vAlign w:val="center"/>
          </w:tcPr>
          <w:p w14:paraId="7714F23E">
            <w:pPr>
              <w:widowControl/>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w:t>
            </w:r>
          </w:p>
        </w:tc>
      </w:tr>
      <w:tr w14:paraId="3C078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23DA0BDB">
            <w:pPr>
              <w:widowControl/>
              <w:jc w:val="center"/>
              <w:rPr>
                <w:rFonts w:hint="eastAsia"/>
                <w:color w:val="auto"/>
                <w:kern w:val="0"/>
                <w:sz w:val="21"/>
                <w:szCs w:val="21"/>
                <w:highlight w:val="none"/>
                <w:lang w:val="en-US" w:eastAsia="zh-CN"/>
              </w:rPr>
            </w:pPr>
          </w:p>
        </w:tc>
        <w:tc>
          <w:tcPr>
            <w:tcW w:w="460" w:type="pct"/>
            <w:vMerge w:val="continue"/>
            <w:noWrap w:val="0"/>
            <w:vAlign w:val="center"/>
          </w:tcPr>
          <w:p w14:paraId="01E4C5D8">
            <w:pPr>
              <w:widowControl/>
              <w:jc w:val="center"/>
              <w:rPr>
                <w:color w:val="auto"/>
                <w:kern w:val="0"/>
                <w:sz w:val="21"/>
                <w:szCs w:val="21"/>
                <w:highlight w:val="none"/>
              </w:rPr>
            </w:pPr>
          </w:p>
        </w:tc>
        <w:tc>
          <w:tcPr>
            <w:tcW w:w="517" w:type="pct"/>
            <w:tcBorders>
              <w:bottom w:val="nil"/>
            </w:tcBorders>
            <w:noWrap w:val="0"/>
            <w:vAlign w:val="center"/>
          </w:tcPr>
          <w:p w14:paraId="6C14BD6E">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eastAsia="zh-CN"/>
              </w:rPr>
              <w:t>给</w:t>
            </w:r>
            <w:r>
              <w:rPr>
                <w:color w:val="auto"/>
                <w:kern w:val="0"/>
                <w:sz w:val="21"/>
                <w:szCs w:val="21"/>
                <w:highlight w:val="none"/>
              </w:rPr>
              <w:t>水</w:t>
            </w:r>
          </w:p>
        </w:tc>
        <w:tc>
          <w:tcPr>
            <w:tcW w:w="1781" w:type="pct"/>
            <w:tcBorders>
              <w:bottom w:val="nil"/>
            </w:tcBorders>
            <w:noWrap w:val="0"/>
            <w:vAlign w:val="center"/>
          </w:tcPr>
          <w:p w14:paraId="4B846D94">
            <w:pPr>
              <w:widowControl/>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由市政自来水管网供给</w:t>
            </w:r>
          </w:p>
        </w:tc>
        <w:tc>
          <w:tcPr>
            <w:tcW w:w="673" w:type="pct"/>
            <w:tcBorders>
              <w:bottom w:val="nil"/>
            </w:tcBorders>
            <w:noWrap w:val="0"/>
            <w:vAlign w:val="center"/>
          </w:tcPr>
          <w:p w14:paraId="57AB177A">
            <w:pPr>
              <w:widowControl/>
              <w:jc w:val="center"/>
              <w:rPr>
                <w:rFonts w:hint="eastAsia" w:ascii="宋体" w:hAnsi="宋体" w:eastAsia="宋体" w:cs="宋体"/>
                <w:b w:val="0"/>
                <w:bCs w:val="0"/>
                <w:color w:val="auto"/>
                <w:sz w:val="21"/>
                <w:szCs w:val="21"/>
                <w:highlight w:val="none"/>
                <w:lang w:val="en-US" w:eastAsia="zh-CN"/>
              </w:rPr>
            </w:pPr>
            <w:r>
              <w:rPr>
                <w:rFonts w:hint="default"/>
                <w:color w:val="auto"/>
                <w:kern w:val="0"/>
                <w:sz w:val="21"/>
                <w:szCs w:val="21"/>
                <w:highlight w:val="none"/>
                <w:lang w:val="en-US" w:eastAsia="zh-CN"/>
              </w:rPr>
              <w:t>/</w:t>
            </w:r>
          </w:p>
        </w:tc>
        <w:tc>
          <w:tcPr>
            <w:tcW w:w="1243" w:type="pct"/>
            <w:tcBorders>
              <w:bottom w:val="nil"/>
            </w:tcBorders>
            <w:noWrap w:val="0"/>
            <w:vAlign w:val="center"/>
          </w:tcPr>
          <w:p w14:paraId="306A88B2">
            <w:pPr>
              <w:widowControl/>
              <w:jc w:val="center"/>
              <w:rPr>
                <w:rFonts w:hint="default" w:ascii="宋体" w:hAnsi="宋体" w:eastAsia="宋体" w:cs="宋体"/>
                <w:b w:val="0"/>
                <w:bCs w:val="0"/>
                <w:color w:val="auto"/>
                <w:sz w:val="21"/>
                <w:szCs w:val="21"/>
                <w:highlight w:val="none"/>
                <w:lang w:val="en-US" w:eastAsia="zh-CN"/>
              </w:rPr>
            </w:pPr>
            <w:r>
              <w:rPr>
                <w:rFonts w:hint="eastAsia"/>
                <w:color w:val="auto"/>
                <w:kern w:val="0"/>
                <w:sz w:val="21"/>
                <w:szCs w:val="21"/>
                <w:highlight w:val="none"/>
                <w:lang w:val="en-US" w:eastAsia="zh-CN"/>
              </w:rPr>
              <w:t>/</w:t>
            </w:r>
          </w:p>
        </w:tc>
      </w:tr>
      <w:tr w14:paraId="304277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5141E25F">
            <w:pPr>
              <w:widowControl/>
              <w:jc w:val="center"/>
              <w:rPr>
                <w:rFonts w:hint="eastAsia"/>
                <w:color w:val="auto"/>
                <w:kern w:val="0"/>
                <w:sz w:val="21"/>
                <w:szCs w:val="21"/>
                <w:highlight w:val="none"/>
                <w:lang w:val="en-US" w:eastAsia="zh-CN"/>
              </w:rPr>
            </w:pPr>
          </w:p>
        </w:tc>
        <w:tc>
          <w:tcPr>
            <w:tcW w:w="460" w:type="pct"/>
            <w:vMerge w:val="continue"/>
            <w:noWrap w:val="0"/>
            <w:vAlign w:val="center"/>
          </w:tcPr>
          <w:p w14:paraId="7B4A9905">
            <w:pPr>
              <w:widowControl/>
              <w:jc w:val="center"/>
              <w:rPr>
                <w:color w:val="auto"/>
                <w:kern w:val="0"/>
                <w:sz w:val="21"/>
                <w:szCs w:val="21"/>
                <w:highlight w:val="none"/>
              </w:rPr>
            </w:pPr>
          </w:p>
        </w:tc>
        <w:tc>
          <w:tcPr>
            <w:tcW w:w="517" w:type="pct"/>
            <w:tcBorders>
              <w:bottom w:val="nil"/>
            </w:tcBorders>
            <w:noWrap w:val="0"/>
            <w:vAlign w:val="center"/>
          </w:tcPr>
          <w:p w14:paraId="50ACBA10">
            <w:pPr>
              <w:widowControl/>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排水</w:t>
            </w:r>
          </w:p>
        </w:tc>
        <w:tc>
          <w:tcPr>
            <w:tcW w:w="1781" w:type="pct"/>
            <w:tcBorders>
              <w:bottom w:val="nil"/>
            </w:tcBorders>
            <w:noWrap w:val="0"/>
            <w:vAlign w:val="center"/>
          </w:tcPr>
          <w:p w14:paraId="6F220F45">
            <w:pPr>
              <w:widowControl/>
              <w:jc w:val="center"/>
              <w:rPr>
                <w:rFonts w:hint="eastAsia"/>
                <w:color w:val="auto"/>
                <w:kern w:val="0"/>
                <w:sz w:val="21"/>
                <w:szCs w:val="21"/>
                <w:highlight w:val="none"/>
                <w:lang w:val="en-US" w:eastAsia="zh-CN"/>
              </w:rPr>
            </w:pPr>
            <w:r>
              <w:rPr>
                <w:rFonts w:ascii="宋体" w:hAnsi="宋体" w:eastAsia="宋体" w:cs="宋体"/>
                <w:b w:val="0"/>
                <w:bCs w:val="0"/>
                <w:color w:val="auto"/>
                <w:sz w:val="21"/>
                <w:szCs w:val="21"/>
                <w:highlight w:val="none"/>
              </w:rPr>
              <w:t>雨污分流，生活</w:t>
            </w:r>
            <w:r>
              <w:rPr>
                <w:rFonts w:hint="eastAsia" w:ascii="宋体" w:hAnsi="宋体" w:cs="宋体"/>
                <w:b w:val="0"/>
                <w:bCs w:val="0"/>
                <w:color w:val="auto"/>
                <w:sz w:val="21"/>
                <w:szCs w:val="21"/>
                <w:highlight w:val="none"/>
                <w:lang w:val="en-US" w:eastAsia="zh-CN"/>
              </w:rPr>
              <w:t>污水经化粪池</w:t>
            </w:r>
            <w:r>
              <w:rPr>
                <w:rFonts w:ascii="宋体" w:hAnsi="宋体" w:eastAsia="宋体" w:cs="宋体"/>
                <w:b w:val="0"/>
                <w:bCs w:val="0"/>
                <w:color w:val="auto"/>
                <w:sz w:val="21"/>
                <w:szCs w:val="21"/>
                <w:highlight w:val="none"/>
              </w:rPr>
              <w:t>预处理后纳管</w:t>
            </w:r>
          </w:p>
        </w:tc>
        <w:tc>
          <w:tcPr>
            <w:tcW w:w="673" w:type="pct"/>
            <w:tcBorders>
              <w:bottom w:val="nil"/>
            </w:tcBorders>
            <w:noWrap w:val="0"/>
            <w:vAlign w:val="center"/>
          </w:tcPr>
          <w:p w14:paraId="69D0076A">
            <w:pPr>
              <w:widowControl/>
              <w:jc w:val="center"/>
              <w:rPr>
                <w:rFonts w:hint="default" w:ascii="宋体" w:hAnsi="宋体" w:cs="宋体"/>
                <w:b w:val="0"/>
                <w:bCs w:val="0"/>
                <w:color w:val="auto"/>
                <w:sz w:val="21"/>
                <w:szCs w:val="21"/>
                <w:highlight w:val="none"/>
                <w:lang w:val="en-US" w:eastAsia="zh-CN"/>
              </w:rPr>
            </w:pPr>
            <w:r>
              <w:rPr>
                <w:rFonts w:hint="eastAsia"/>
                <w:color w:val="auto"/>
                <w:kern w:val="0"/>
                <w:sz w:val="21"/>
                <w:szCs w:val="21"/>
                <w:highlight w:val="none"/>
                <w:lang w:val="en-US" w:eastAsia="zh-CN"/>
              </w:rPr>
              <w:t>/</w:t>
            </w:r>
          </w:p>
        </w:tc>
        <w:tc>
          <w:tcPr>
            <w:tcW w:w="1243" w:type="pct"/>
            <w:tcBorders>
              <w:bottom w:val="nil"/>
            </w:tcBorders>
            <w:noWrap w:val="0"/>
            <w:vAlign w:val="center"/>
          </w:tcPr>
          <w:p w14:paraId="206AB878">
            <w:pPr>
              <w:widowControl/>
              <w:jc w:val="center"/>
              <w:rPr>
                <w:rFonts w:hint="default" w:ascii="宋体" w:hAnsi="宋体" w:cs="宋体"/>
                <w:b w:val="0"/>
                <w:bCs w:val="0"/>
                <w:color w:val="auto"/>
                <w:sz w:val="21"/>
                <w:szCs w:val="21"/>
                <w:highlight w:val="none"/>
                <w:lang w:val="en-US" w:eastAsia="zh-CN"/>
              </w:rPr>
            </w:pPr>
            <w:r>
              <w:rPr>
                <w:rFonts w:hint="eastAsia"/>
                <w:color w:val="auto"/>
                <w:kern w:val="0"/>
                <w:sz w:val="21"/>
                <w:szCs w:val="21"/>
                <w:highlight w:val="none"/>
                <w:lang w:val="en-US" w:eastAsia="zh-CN"/>
              </w:rPr>
              <w:t>/</w:t>
            </w:r>
          </w:p>
        </w:tc>
      </w:tr>
      <w:tr w14:paraId="64A65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81" w:hRule="atLeast"/>
          <w:jc w:val="center"/>
        </w:trPr>
        <w:tc>
          <w:tcPr>
            <w:tcW w:w="322" w:type="pct"/>
            <w:vMerge w:val="continue"/>
            <w:noWrap w:val="0"/>
            <w:vAlign w:val="center"/>
          </w:tcPr>
          <w:p w14:paraId="196170DB">
            <w:pPr>
              <w:widowControl/>
              <w:jc w:val="center"/>
              <w:rPr>
                <w:rFonts w:hint="eastAsia"/>
                <w:color w:val="auto"/>
                <w:kern w:val="0"/>
                <w:sz w:val="21"/>
                <w:szCs w:val="21"/>
                <w:highlight w:val="none"/>
                <w:lang w:val="en-US" w:eastAsia="zh-CN"/>
              </w:rPr>
            </w:pPr>
          </w:p>
        </w:tc>
        <w:tc>
          <w:tcPr>
            <w:tcW w:w="460" w:type="pct"/>
            <w:vMerge w:val="continue"/>
            <w:noWrap w:val="0"/>
            <w:vAlign w:val="center"/>
          </w:tcPr>
          <w:p w14:paraId="0F87A24E">
            <w:pPr>
              <w:widowControl/>
              <w:jc w:val="center"/>
              <w:rPr>
                <w:color w:val="auto"/>
                <w:kern w:val="0"/>
                <w:sz w:val="21"/>
                <w:szCs w:val="21"/>
                <w:highlight w:val="none"/>
              </w:rPr>
            </w:pPr>
          </w:p>
        </w:tc>
        <w:tc>
          <w:tcPr>
            <w:tcW w:w="517" w:type="pct"/>
            <w:vMerge w:val="restart"/>
            <w:noWrap w:val="0"/>
            <w:vAlign w:val="center"/>
          </w:tcPr>
          <w:p w14:paraId="3CB99842">
            <w:pPr>
              <w:widowControl/>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风冷</w:t>
            </w:r>
          </w:p>
          <w:p w14:paraId="10108966">
            <w:pPr>
              <w:widowControl/>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系统</w:t>
            </w:r>
          </w:p>
        </w:tc>
        <w:tc>
          <w:tcPr>
            <w:tcW w:w="1781" w:type="pct"/>
            <w:tcBorders>
              <w:bottom w:val="nil"/>
            </w:tcBorders>
            <w:noWrap w:val="0"/>
            <w:vAlign w:val="center"/>
          </w:tcPr>
          <w:p w14:paraId="1E76E9E2">
            <w:pPr>
              <w:widowControl/>
              <w:jc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配套冷水机</w:t>
            </w:r>
          </w:p>
        </w:tc>
        <w:tc>
          <w:tcPr>
            <w:tcW w:w="673" w:type="pct"/>
            <w:tcBorders>
              <w:bottom w:val="nil"/>
            </w:tcBorders>
            <w:noWrap w:val="0"/>
            <w:vAlign w:val="center"/>
          </w:tcPr>
          <w:p w14:paraId="2067FC4A">
            <w:pPr>
              <w:widowControl/>
              <w:jc w:val="center"/>
              <w:rPr>
                <w:rFonts w:hint="default" w:ascii="Times New Roman" w:hAnsi="Times New Roman" w:cs="Times New Roman"/>
                <w:b w:val="0"/>
                <w:bCs w:val="0"/>
                <w:color w:val="auto"/>
                <w:sz w:val="21"/>
                <w:szCs w:val="21"/>
                <w:highlight w:val="none"/>
                <w:lang w:val="en-US" w:eastAsia="zh-CN"/>
              </w:rPr>
            </w:pPr>
            <w:r>
              <w:rPr>
                <w:rFonts w:hint="eastAsia" w:cs="Times New Roman"/>
                <w:b w:val="0"/>
                <w:bCs w:val="0"/>
                <w:color w:val="auto"/>
                <w:sz w:val="21"/>
                <w:szCs w:val="21"/>
                <w:highlight w:val="none"/>
                <w:lang w:val="en-US" w:eastAsia="zh-CN"/>
              </w:rPr>
              <w:t>4</w:t>
            </w:r>
            <w:r>
              <w:rPr>
                <w:rFonts w:hint="default" w:ascii="Times New Roman" w:hAnsi="Times New Roman" w:cs="Times New Roman"/>
                <w:b w:val="0"/>
                <w:bCs w:val="0"/>
                <w:color w:val="auto"/>
                <w:sz w:val="21"/>
                <w:szCs w:val="21"/>
                <w:highlight w:val="none"/>
                <w:lang w:val="en-US" w:eastAsia="zh-CN"/>
              </w:rPr>
              <w:t>*</w:t>
            </w:r>
            <w:r>
              <w:rPr>
                <w:rFonts w:hint="eastAsia" w:ascii="Times New Roman" w:hAnsi="Times New Roman" w:cs="Times New Roman"/>
                <w:b w:val="0"/>
                <w:bCs w:val="0"/>
                <w:color w:val="auto"/>
                <w:sz w:val="21"/>
                <w:szCs w:val="21"/>
                <w:highlight w:val="none"/>
                <w:lang w:val="en-US" w:eastAsia="zh-CN"/>
              </w:rPr>
              <w:t>1</w:t>
            </w:r>
            <w:r>
              <w:rPr>
                <w:rFonts w:hint="default" w:ascii="Times New Roman" w:hAnsi="Times New Roman" w:cs="Times New Roman"/>
                <w:b w:val="0"/>
                <w:bCs w:val="0"/>
                <w:color w:val="auto"/>
                <w:sz w:val="21"/>
                <w:szCs w:val="21"/>
                <w:highlight w:val="none"/>
                <w:lang w:val="en-US" w:eastAsia="zh-CN"/>
              </w:rPr>
              <w:t>0t</w:t>
            </w:r>
          </w:p>
        </w:tc>
        <w:tc>
          <w:tcPr>
            <w:tcW w:w="1243" w:type="pct"/>
            <w:vMerge w:val="restart"/>
            <w:noWrap w:val="0"/>
            <w:vAlign w:val="center"/>
          </w:tcPr>
          <w:p w14:paraId="29CF30DD">
            <w:pPr>
              <w:widowControl/>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本项目吹胀、冷却工序依托风冷系统进行，企业拟设置4台冷水机，每台冷水机配套一个约 10t 的蓄水箱，箱中冷冻水为冷水机蒸发器系统的热交换介质，循环使用不外排；企业拟购置2台冷却塔作为冷水机的辅助设备</w:t>
            </w:r>
          </w:p>
        </w:tc>
      </w:tr>
      <w:tr w14:paraId="6D4FA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062C4C7B">
            <w:pPr>
              <w:widowControl/>
              <w:jc w:val="center"/>
              <w:rPr>
                <w:color w:val="auto"/>
                <w:sz w:val="21"/>
                <w:szCs w:val="21"/>
                <w:highlight w:val="none"/>
              </w:rPr>
            </w:pPr>
          </w:p>
        </w:tc>
        <w:tc>
          <w:tcPr>
            <w:tcW w:w="460" w:type="pct"/>
            <w:vMerge w:val="continue"/>
            <w:noWrap w:val="0"/>
            <w:vAlign w:val="center"/>
          </w:tcPr>
          <w:p w14:paraId="2BC84952">
            <w:pPr>
              <w:widowControl/>
              <w:jc w:val="center"/>
              <w:rPr>
                <w:color w:val="auto"/>
                <w:sz w:val="21"/>
                <w:szCs w:val="21"/>
                <w:highlight w:val="none"/>
              </w:rPr>
            </w:pPr>
          </w:p>
        </w:tc>
        <w:tc>
          <w:tcPr>
            <w:tcW w:w="517" w:type="pct"/>
            <w:vMerge w:val="continue"/>
            <w:tcBorders>
              <w:bottom w:val="nil"/>
            </w:tcBorders>
            <w:noWrap w:val="0"/>
            <w:vAlign w:val="center"/>
          </w:tcPr>
          <w:p w14:paraId="09B4F11E">
            <w:pPr>
              <w:widowControl/>
              <w:jc w:val="center"/>
              <w:rPr>
                <w:color w:val="auto"/>
                <w:sz w:val="21"/>
                <w:szCs w:val="21"/>
                <w:highlight w:val="none"/>
              </w:rPr>
            </w:pPr>
          </w:p>
        </w:tc>
        <w:tc>
          <w:tcPr>
            <w:tcW w:w="1781" w:type="pct"/>
            <w:tcBorders>
              <w:bottom w:val="nil"/>
            </w:tcBorders>
            <w:noWrap w:val="0"/>
            <w:vAlign w:val="center"/>
          </w:tcPr>
          <w:p w14:paraId="10275D8A">
            <w:pPr>
              <w:widowControl/>
              <w:jc w:val="center"/>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配套冷却塔</w:t>
            </w:r>
          </w:p>
        </w:tc>
        <w:tc>
          <w:tcPr>
            <w:tcW w:w="673" w:type="pct"/>
            <w:tcBorders>
              <w:bottom w:val="nil"/>
            </w:tcBorders>
            <w:noWrap w:val="0"/>
            <w:vAlign w:val="center"/>
          </w:tcPr>
          <w:p w14:paraId="46F5BF53">
            <w:pPr>
              <w:widowControl/>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b w:val="0"/>
                <w:bCs w:val="0"/>
                <w:color w:val="auto"/>
                <w:sz w:val="21"/>
                <w:szCs w:val="21"/>
                <w:highlight w:val="none"/>
                <w:lang w:val="en-US" w:eastAsia="zh-CN"/>
              </w:rPr>
              <w:t>2*</w:t>
            </w:r>
            <w:r>
              <w:rPr>
                <w:rFonts w:hint="eastAsia" w:ascii="Times New Roman" w:hAnsi="Times New Roman" w:eastAsia="宋体" w:cs="Times New Roman"/>
                <w:b w:val="0"/>
                <w:bCs w:val="0"/>
                <w:color w:val="auto"/>
                <w:sz w:val="21"/>
                <w:szCs w:val="21"/>
                <w:highlight w:val="none"/>
                <w:lang w:val="en-US" w:eastAsia="zh-CN"/>
              </w:rPr>
              <w:t>3</w:t>
            </w:r>
            <w:r>
              <w:rPr>
                <w:rFonts w:hint="default" w:ascii="Times New Roman" w:hAnsi="Times New Roman" w:eastAsia="宋体" w:cs="Times New Roman"/>
                <w:b w:val="0"/>
                <w:bCs w:val="0"/>
                <w:color w:val="auto"/>
                <w:sz w:val="21"/>
                <w:szCs w:val="21"/>
                <w:highlight w:val="none"/>
                <w:lang w:val="en-US" w:eastAsia="zh-CN"/>
              </w:rPr>
              <w:t>0m</w:t>
            </w:r>
            <w:r>
              <w:rPr>
                <w:rFonts w:hint="default" w:ascii="Times New Roman" w:hAnsi="Times New Roman" w:eastAsia="宋体" w:cs="Times New Roman"/>
                <w:b w:val="0"/>
                <w:bCs w:val="0"/>
                <w:color w:val="auto"/>
                <w:sz w:val="21"/>
                <w:szCs w:val="21"/>
                <w:highlight w:val="none"/>
                <w:vertAlign w:val="superscript"/>
                <w:lang w:val="en-US" w:eastAsia="zh-CN"/>
              </w:rPr>
              <w:t>3</w:t>
            </w:r>
            <w:r>
              <w:rPr>
                <w:rFonts w:hint="default" w:ascii="Times New Roman" w:hAnsi="Times New Roman" w:eastAsia="宋体" w:cs="Times New Roman"/>
                <w:b w:val="0"/>
                <w:bCs w:val="0"/>
                <w:color w:val="auto"/>
                <w:sz w:val="21"/>
                <w:szCs w:val="21"/>
                <w:highlight w:val="none"/>
                <w:lang w:val="en-US" w:eastAsia="zh-CN"/>
              </w:rPr>
              <w:t>/h</w:t>
            </w:r>
          </w:p>
        </w:tc>
        <w:tc>
          <w:tcPr>
            <w:tcW w:w="1243" w:type="pct"/>
            <w:vMerge w:val="continue"/>
            <w:tcBorders>
              <w:bottom w:val="nil"/>
            </w:tcBorders>
            <w:noWrap w:val="0"/>
            <w:vAlign w:val="center"/>
          </w:tcPr>
          <w:p w14:paraId="393765CE">
            <w:pPr>
              <w:widowControl/>
              <w:jc w:val="center"/>
              <w:rPr>
                <w:rFonts w:hint="eastAsia" w:ascii="宋体" w:hAnsi="宋体" w:eastAsia="宋体" w:cs="宋体"/>
                <w:b w:val="0"/>
                <w:bCs w:val="0"/>
                <w:color w:val="auto"/>
                <w:sz w:val="21"/>
                <w:szCs w:val="21"/>
                <w:highlight w:val="none"/>
                <w:lang w:val="en-US" w:eastAsia="zh-CN"/>
              </w:rPr>
            </w:pPr>
          </w:p>
        </w:tc>
      </w:tr>
      <w:tr w14:paraId="50C1A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1A23C8C2">
            <w:pPr>
              <w:ind w:firstLine="480"/>
              <w:jc w:val="center"/>
              <w:rPr>
                <w:color w:val="auto"/>
                <w:sz w:val="21"/>
                <w:szCs w:val="21"/>
                <w:highlight w:val="none"/>
              </w:rPr>
            </w:pPr>
          </w:p>
        </w:tc>
        <w:tc>
          <w:tcPr>
            <w:tcW w:w="460" w:type="pct"/>
            <w:vMerge w:val="continue"/>
            <w:noWrap w:val="0"/>
            <w:vAlign w:val="center"/>
          </w:tcPr>
          <w:p w14:paraId="55F994CD">
            <w:pPr>
              <w:ind w:firstLine="480"/>
              <w:jc w:val="center"/>
              <w:rPr>
                <w:color w:val="auto"/>
                <w:sz w:val="21"/>
                <w:szCs w:val="21"/>
                <w:highlight w:val="none"/>
              </w:rPr>
            </w:pPr>
          </w:p>
        </w:tc>
        <w:tc>
          <w:tcPr>
            <w:tcW w:w="517" w:type="pct"/>
            <w:tcBorders>
              <w:top w:val="single" w:color="auto" w:sz="4" w:space="0"/>
              <w:bottom w:val="single" w:color="auto" w:sz="4" w:space="0"/>
            </w:tcBorders>
            <w:noWrap w:val="0"/>
            <w:vAlign w:val="center"/>
          </w:tcPr>
          <w:p w14:paraId="380A0885">
            <w:pPr>
              <w:widowControl/>
              <w:jc w:val="center"/>
              <w:rPr>
                <w:color w:val="auto"/>
                <w:kern w:val="0"/>
                <w:sz w:val="21"/>
                <w:szCs w:val="21"/>
                <w:highlight w:val="none"/>
              </w:rPr>
            </w:pPr>
            <w:r>
              <w:rPr>
                <w:rFonts w:hint="eastAsia"/>
                <w:color w:val="auto"/>
                <w:kern w:val="0"/>
                <w:sz w:val="21"/>
                <w:szCs w:val="21"/>
                <w:highlight w:val="none"/>
                <w:lang w:val="en-US" w:eastAsia="zh-CN"/>
              </w:rPr>
              <w:t>空压系统</w:t>
            </w:r>
          </w:p>
        </w:tc>
        <w:tc>
          <w:tcPr>
            <w:tcW w:w="1781" w:type="pct"/>
            <w:tcBorders>
              <w:top w:val="single" w:color="auto" w:sz="4" w:space="0"/>
              <w:bottom w:val="single" w:color="auto" w:sz="4" w:space="0"/>
            </w:tcBorders>
            <w:noWrap w:val="0"/>
            <w:vAlign w:val="center"/>
          </w:tcPr>
          <w:p w14:paraId="540F023A">
            <w:pPr>
              <w:widowControl/>
              <w:jc w:val="center"/>
              <w:rPr>
                <w:rFonts w:hint="default"/>
                <w:color w:val="auto"/>
                <w:kern w:val="0"/>
                <w:sz w:val="21"/>
                <w:szCs w:val="21"/>
                <w:highlight w:val="none"/>
                <w:lang w:val="en-US" w:eastAsia="zh-CN"/>
              </w:rPr>
            </w:pPr>
            <w:r>
              <w:rPr>
                <w:rFonts w:hint="eastAsia" w:ascii="Times New Roman" w:hAnsi="Times New Roman" w:eastAsia="宋体" w:cs="Times New Roman"/>
                <w:b w:val="0"/>
                <w:bCs w:val="0"/>
                <w:color w:val="auto"/>
                <w:kern w:val="0"/>
                <w:sz w:val="21"/>
                <w:szCs w:val="21"/>
                <w:highlight w:val="none"/>
                <w:lang w:val="en-US" w:eastAsia="zh-CN"/>
              </w:rPr>
              <w:t>压缩空气系统</w:t>
            </w:r>
          </w:p>
        </w:tc>
        <w:tc>
          <w:tcPr>
            <w:tcW w:w="673" w:type="pct"/>
            <w:tcBorders>
              <w:top w:val="single" w:color="auto" w:sz="4" w:space="0"/>
              <w:bottom w:val="single" w:color="auto" w:sz="4" w:space="0"/>
            </w:tcBorders>
            <w:noWrap w:val="0"/>
            <w:vAlign w:val="center"/>
          </w:tcPr>
          <w:p w14:paraId="30AE5FEE">
            <w:pPr>
              <w:widowControl/>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w:t>
            </w:r>
          </w:p>
        </w:tc>
        <w:tc>
          <w:tcPr>
            <w:tcW w:w="1243" w:type="pct"/>
            <w:tcBorders>
              <w:top w:val="single" w:color="auto" w:sz="4" w:space="0"/>
              <w:bottom w:val="single" w:color="auto" w:sz="4" w:space="0"/>
            </w:tcBorders>
            <w:noWrap w:val="0"/>
            <w:vAlign w:val="center"/>
          </w:tcPr>
          <w:p w14:paraId="16A6BD3C">
            <w:pPr>
              <w:widowControl/>
              <w:jc w:val="center"/>
              <w:rPr>
                <w:rFonts w:hint="eastAsia"/>
                <w:color w:val="auto"/>
                <w:kern w:val="0"/>
                <w:sz w:val="21"/>
                <w:szCs w:val="21"/>
                <w:highlight w:val="none"/>
                <w:lang w:val="en-US" w:eastAsia="zh-CN"/>
              </w:rPr>
            </w:pPr>
            <w:r>
              <w:rPr>
                <w:rFonts w:hint="eastAsia"/>
                <w:color w:val="auto"/>
                <w:kern w:val="0"/>
                <w:sz w:val="21"/>
                <w:szCs w:val="21"/>
                <w:highlight w:val="none"/>
                <w:lang w:val="en-US" w:eastAsia="zh-CN"/>
              </w:rPr>
              <w:t>/</w:t>
            </w:r>
          </w:p>
        </w:tc>
      </w:tr>
      <w:tr w14:paraId="42340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567" w:hRule="atLeast"/>
          <w:jc w:val="center"/>
        </w:trPr>
        <w:tc>
          <w:tcPr>
            <w:tcW w:w="322" w:type="pct"/>
            <w:vMerge w:val="restart"/>
            <w:noWrap w:val="0"/>
            <w:vAlign w:val="center"/>
          </w:tcPr>
          <w:p w14:paraId="1B131E51">
            <w:pPr>
              <w:widowControl/>
              <w:ind w:firstLine="0" w:firstLineChars="0"/>
              <w:jc w:val="center"/>
              <w:rPr>
                <w:rFonts w:hint="eastAsia" w:eastAsia="宋体"/>
                <w:color w:val="auto"/>
                <w:kern w:val="0"/>
                <w:sz w:val="21"/>
                <w:szCs w:val="21"/>
                <w:highlight w:val="none"/>
                <w:lang w:eastAsia="zh-CN"/>
              </w:rPr>
            </w:pPr>
            <w:r>
              <w:rPr>
                <w:rFonts w:hint="eastAsia" w:ascii="Times New Roman" w:hAnsi="Times New Roman" w:cs="Times New Roman"/>
                <w:color w:val="auto"/>
                <w:kern w:val="0"/>
                <w:sz w:val="21"/>
                <w:szCs w:val="21"/>
                <w:highlight w:val="none"/>
                <w:lang w:val="en-US" w:eastAsia="zh-CN"/>
              </w:rPr>
              <w:t>5</w:t>
            </w:r>
          </w:p>
        </w:tc>
        <w:tc>
          <w:tcPr>
            <w:tcW w:w="460" w:type="pct"/>
            <w:vMerge w:val="restart"/>
            <w:noWrap w:val="0"/>
            <w:vAlign w:val="center"/>
          </w:tcPr>
          <w:p w14:paraId="0ACA3814">
            <w:pPr>
              <w:widowControl/>
              <w:jc w:val="center"/>
              <w:rPr>
                <w:color w:val="auto"/>
                <w:kern w:val="0"/>
                <w:sz w:val="21"/>
                <w:szCs w:val="21"/>
                <w:highlight w:val="none"/>
              </w:rPr>
            </w:pPr>
            <w:r>
              <w:rPr>
                <w:color w:val="auto"/>
                <w:kern w:val="0"/>
                <w:sz w:val="21"/>
                <w:szCs w:val="21"/>
                <w:highlight w:val="none"/>
              </w:rPr>
              <w:t>环保工程</w:t>
            </w:r>
          </w:p>
        </w:tc>
        <w:tc>
          <w:tcPr>
            <w:tcW w:w="517" w:type="pct"/>
            <w:tcBorders>
              <w:top w:val="single" w:color="auto" w:sz="4" w:space="0"/>
            </w:tcBorders>
            <w:noWrap w:val="0"/>
            <w:vAlign w:val="center"/>
          </w:tcPr>
          <w:p w14:paraId="7290C031">
            <w:pPr>
              <w:widowControl/>
              <w:jc w:val="center"/>
              <w:rPr>
                <w:color w:val="auto"/>
                <w:kern w:val="0"/>
                <w:sz w:val="21"/>
                <w:szCs w:val="21"/>
                <w:highlight w:val="none"/>
              </w:rPr>
            </w:pPr>
            <w:r>
              <w:rPr>
                <w:color w:val="auto"/>
                <w:kern w:val="0"/>
                <w:sz w:val="21"/>
                <w:szCs w:val="21"/>
                <w:highlight w:val="none"/>
              </w:rPr>
              <w:t>废气治理系统</w:t>
            </w:r>
          </w:p>
        </w:tc>
        <w:tc>
          <w:tcPr>
            <w:tcW w:w="1781" w:type="pct"/>
            <w:tcBorders>
              <w:top w:val="single" w:color="auto" w:sz="4" w:space="0"/>
            </w:tcBorders>
            <w:noWrap w:val="0"/>
            <w:vAlign w:val="center"/>
          </w:tcPr>
          <w:p w14:paraId="623737A7">
            <w:pPr>
              <w:adjustRightInd w:val="0"/>
              <w:snapToGrid w:val="0"/>
              <w:jc w:val="center"/>
              <w:rPr>
                <w:rFonts w:hint="eastAsia" w:ascii="Times New Roman" w:hAnsi="Times New Roman" w:cs="Times New Roman"/>
                <w:color w:val="auto"/>
                <w:kern w:val="0"/>
                <w:sz w:val="21"/>
                <w:szCs w:val="21"/>
                <w:highlight w:val="none"/>
                <w:lang w:eastAsia="zh-CN"/>
              </w:rPr>
            </w:pPr>
            <w:r>
              <w:rPr>
                <w:rFonts w:hint="eastAsia" w:ascii="Times New Roman" w:hAnsi="Times New Roman" w:cs="Times New Roman"/>
                <w:color w:val="auto"/>
                <w:kern w:val="0"/>
                <w:sz w:val="21"/>
                <w:szCs w:val="21"/>
                <w:highlight w:val="none"/>
                <w:lang w:eastAsia="zh-CN"/>
              </w:rPr>
              <w:t>活性炭吸附</w:t>
            </w:r>
            <w:r>
              <w:rPr>
                <w:rFonts w:hint="eastAsia" w:cs="Times New Roman"/>
                <w:color w:val="auto"/>
                <w:kern w:val="0"/>
                <w:sz w:val="21"/>
                <w:szCs w:val="21"/>
                <w:highlight w:val="none"/>
                <w:lang w:val="en-US" w:eastAsia="zh-CN"/>
              </w:rPr>
              <w:t>/脱附</w:t>
            </w:r>
            <w:r>
              <w:rPr>
                <w:rFonts w:hint="eastAsia" w:ascii="Times New Roman" w:hAnsi="Times New Roman" w:cs="Times New Roman"/>
                <w:color w:val="auto"/>
                <w:kern w:val="0"/>
                <w:sz w:val="21"/>
                <w:szCs w:val="21"/>
                <w:highlight w:val="none"/>
                <w:lang w:eastAsia="zh-CN"/>
              </w:rPr>
              <w:t>+催化燃烧</w:t>
            </w:r>
          </w:p>
        </w:tc>
        <w:tc>
          <w:tcPr>
            <w:tcW w:w="673" w:type="pct"/>
            <w:tcBorders>
              <w:top w:val="single" w:color="auto" w:sz="4" w:space="0"/>
            </w:tcBorders>
            <w:noWrap w:val="0"/>
            <w:vAlign w:val="center"/>
          </w:tcPr>
          <w:p w14:paraId="2CD38334">
            <w:pPr>
              <w:widowControl/>
              <w:jc w:val="center"/>
              <w:rPr>
                <w:rFonts w:hint="default"/>
                <w:color w:val="auto"/>
                <w:kern w:val="0"/>
                <w:sz w:val="21"/>
                <w:szCs w:val="21"/>
                <w:highlight w:val="none"/>
                <w:lang w:val="en-US" w:eastAsia="zh-CN"/>
              </w:rPr>
            </w:pPr>
            <w:r>
              <w:rPr>
                <w:rFonts w:hint="eastAsia"/>
                <w:color w:val="auto"/>
                <w:kern w:val="0"/>
                <w:sz w:val="21"/>
                <w:szCs w:val="21"/>
                <w:highlight w:val="none"/>
                <w:lang w:val="en-US" w:eastAsia="zh-CN"/>
              </w:rPr>
              <w:t>1套</w:t>
            </w:r>
          </w:p>
        </w:tc>
        <w:tc>
          <w:tcPr>
            <w:tcW w:w="1243" w:type="pct"/>
            <w:tcBorders>
              <w:top w:val="single" w:color="auto" w:sz="4" w:space="0"/>
            </w:tcBorders>
            <w:noWrap w:val="0"/>
            <w:vAlign w:val="center"/>
          </w:tcPr>
          <w:p w14:paraId="14DDE801">
            <w:pPr>
              <w:widowControl/>
              <w:jc w:val="center"/>
              <w:rPr>
                <w:rFonts w:hint="eastAsia"/>
                <w:color w:val="auto"/>
                <w:kern w:val="0"/>
                <w:sz w:val="21"/>
                <w:szCs w:val="21"/>
                <w:highlight w:val="none"/>
                <w:lang w:eastAsia="zh-CN"/>
              </w:rPr>
            </w:pPr>
            <w:r>
              <w:rPr>
                <w:color w:val="auto"/>
                <w:kern w:val="0"/>
                <w:sz w:val="21"/>
                <w:szCs w:val="21"/>
                <w:highlight w:val="none"/>
              </w:rPr>
              <w:t>有机废气处理设施</w:t>
            </w:r>
          </w:p>
        </w:tc>
      </w:tr>
      <w:tr w14:paraId="6EB6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60" w:hRule="atLeast"/>
          <w:jc w:val="center"/>
        </w:trPr>
        <w:tc>
          <w:tcPr>
            <w:tcW w:w="322" w:type="pct"/>
            <w:vMerge w:val="continue"/>
            <w:noWrap w:val="0"/>
            <w:vAlign w:val="center"/>
          </w:tcPr>
          <w:p w14:paraId="36273D3F">
            <w:pPr>
              <w:widowControl/>
              <w:jc w:val="center"/>
              <w:rPr>
                <w:color w:val="auto"/>
                <w:kern w:val="0"/>
                <w:sz w:val="21"/>
                <w:szCs w:val="21"/>
                <w:highlight w:val="none"/>
              </w:rPr>
            </w:pPr>
          </w:p>
        </w:tc>
        <w:tc>
          <w:tcPr>
            <w:tcW w:w="460" w:type="pct"/>
            <w:vMerge w:val="continue"/>
            <w:noWrap w:val="0"/>
            <w:vAlign w:val="center"/>
          </w:tcPr>
          <w:p w14:paraId="11D49161">
            <w:pPr>
              <w:widowControl/>
              <w:jc w:val="center"/>
              <w:rPr>
                <w:color w:val="auto"/>
                <w:kern w:val="0"/>
                <w:sz w:val="21"/>
                <w:szCs w:val="21"/>
                <w:highlight w:val="none"/>
              </w:rPr>
            </w:pPr>
          </w:p>
        </w:tc>
        <w:tc>
          <w:tcPr>
            <w:tcW w:w="517" w:type="pct"/>
            <w:noWrap w:val="0"/>
            <w:vAlign w:val="center"/>
          </w:tcPr>
          <w:p w14:paraId="22BB1E12">
            <w:pPr>
              <w:widowControl/>
              <w:jc w:val="center"/>
              <w:rPr>
                <w:color w:val="auto"/>
                <w:kern w:val="0"/>
                <w:sz w:val="21"/>
                <w:szCs w:val="21"/>
                <w:highlight w:val="none"/>
              </w:rPr>
            </w:pPr>
            <w:r>
              <w:rPr>
                <w:color w:val="auto"/>
                <w:kern w:val="0"/>
                <w:sz w:val="21"/>
                <w:szCs w:val="21"/>
                <w:highlight w:val="none"/>
              </w:rPr>
              <w:t>废水处理系统</w:t>
            </w:r>
          </w:p>
        </w:tc>
        <w:tc>
          <w:tcPr>
            <w:tcW w:w="1781" w:type="pct"/>
            <w:noWrap w:val="0"/>
            <w:vAlign w:val="center"/>
          </w:tcPr>
          <w:p w14:paraId="11644D99">
            <w:pPr>
              <w:widowControl/>
              <w:jc w:val="center"/>
              <w:rPr>
                <w:rFonts w:hint="eastAsia" w:eastAsia="宋体"/>
                <w:color w:val="auto"/>
                <w:kern w:val="0"/>
                <w:sz w:val="21"/>
                <w:szCs w:val="21"/>
                <w:highlight w:val="none"/>
                <w:lang w:eastAsia="zh-CN"/>
              </w:rPr>
            </w:pPr>
            <w:r>
              <w:rPr>
                <w:rFonts w:hint="default"/>
                <w:color w:val="auto"/>
                <w:kern w:val="0"/>
                <w:sz w:val="21"/>
                <w:szCs w:val="21"/>
                <w:highlight w:val="none"/>
                <w:lang w:val="en-US" w:eastAsia="zh-CN"/>
              </w:rPr>
              <w:t>生活污水经化粪池预处理后纳入市政污水管网，送塘栖污水处理厂集中处理</w:t>
            </w:r>
          </w:p>
        </w:tc>
        <w:tc>
          <w:tcPr>
            <w:tcW w:w="673" w:type="pct"/>
            <w:noWrap w:val="0"/>
            <w:vAlign w:val="center"/>
          </w:tcPr>
          <w:p w14:paraId="52DB647E">
            <w:pPr>
              <w:widowControl/>
              <w:jc w:val="center"/>
              <w:rPr>
                <w:rFonts w:hint="default"/>
                <w:color w:val="auto"/>
                <w:kern w:val="0"/>
                <w:sz w:val="21"/>
                <w:szCs w:val="21"/>
                <w:highlight w:val="none"/>
                <w:lang w:eastAsia="zh-CN"/>
              </w:rPr>
            </w:pPr>
            <w:r>
              <w:rPr>
                <w:rFonts w:hint="eastAsia"/>
                <w:color w:val="auto"/>
                <w:kern w:val="0"/>
                <w:sz w:val="21"/>
                <w:szCs w:val="21"/>
                <w:highlight w:val="none"/>
                <w:lang w:val="en-US" w:eastAsia="zh-CN"/>
              </w:rPr>
              <w:t>/</w:t>
            </w:r>
          </w:p>
        </w:tc>
        <w:tc>
          <w:tcPr>
            <w:tcW w:w="1243" w:type="pct"/>
            <w:noWrap w:val="0"/>
            <w:vAlign w:val="center"/>
          </w:tcPr>
          <w:p w14:paraId="2AD6107C">
            <w:pPr>
              <w:widowControl/>
              <w:jc w:val="center"/>
              <w:rPr>
                <w:rFonts w:hint="eastAsia"/>
                <w:color w:val="auto"/>
                <w:kern w:val="0"/>
                <w:sz w:val="21"/>
                <w:szCs w:val="21"/>
                <w:highlight w:val="none"/>
                <w:lang w:eastAsia="zh-CN"/>
              </w:rPr>
            </w:pPr>
            <w:r>
              <w:rPr>
                <w:rFonts w:hint="eastAsia"/>
                <w:b w:val="0"/>
                <w:color w:val="auto"/>
                <w:sz w:val="21"/>
                <w:szCs w:val="21"/>
                <w:highlight w:val="none"/>
                <w:vertAlign w:val="baseline"/>
                <w:lang w:val="en-US" w:eastAsia="zh-CN"/>
              </w:rPr>
              <w:t>外排废水仅有生活污水</w:t>
            </w:r>
          </w:p>
        </w:tc>
      </w:tr>
      <w:tr w14:paraId="3C0D3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6" w:hRule="atLeast"/>
          <w:jc w:val="center"/>
        </w:trPr>
        <w:tc>
          <w:tcPr>
            <w:tcW w:w="322" w:type="pct"/>
            <w:vMerge w:val="continue"/>
            <w:noWrap w:val="0"/>
            <w:vAlign w:val="center"/>
          </w:tcPr>
          <w:p w14:paraId="602F2AFE">
            <w:pPr>
              <w:ind w:firstLine="480"/>
              <w:jc w:val="center"/>
              <w:rPr>
                <w:color w:val="auto"/>
                <w:sz w:val="21"/>
                <w:szCs w:val="21"/>
                <w:highlight w:val="none"/>
              </w:rPr>
            </w:pPr>
          </w:p>
        </w:tc>
        <w:tc>
          <w:tcPr>
            <w:tcW w:w="460" w:type="pct"/>
            <w:vMerge w:val="continue"/>
            <w:noWrap w:val="0"/>
            <w:vAlign w:val="center"/>
          </w:tcPr>
          <w:p w14:paraId="38694183">
            <w:pPr>
              <w:ind w:firstLine="480"/>
              <w:jc w:val="center"/>
              <w:rPr>
                <w:color w:val="auto"/>
                <w:sz w:val="21"/>
                <w:szCs w:val="21"/>
                <w:highlight w:val="none"/>
              </w:rPr>
            </w:pPr>
          </w:p>
        </w:tc>
        <w:tc>
          <w:tcPr>
            <w:tcW w:w="517" w:type="pct"/>
            <w:noWrap w:val="0"/>
            <w:vAlign w:val="center"/>
          </w:tcPr>
          <w:p w14:paraId="54B1CE40">
            <w:pPr>
              <w:widowControl/>
              <w:jc w:val="center"/>
              <w:rPr>
                <w:color w:val="auto"/>
                <w:kern w:val="0"/>
                <w:sz w:val="21"/>
                <w:szCs w:val="21"/>
                <w:highlight w:val="none"/>
              </w:rPr>
            </w:pPr>
            <w:r>
              <w:rPr>
                <w:color w:val="auto"/>
                <w:kern w:val="0"/>
                <w:sz w:val="21"/>
                <w:szCs w:val="21"/>
                <w:highlight w:val="none"/>
              </w:rPr>
              <w:t>危废仓库</w:t>
            </w:r>
          </w:p>
        </w:tc>
        <w:tc>
          <w:tcPr>
            <w:tcW w:w="1781" w:type="pct"/>
            <w:noWrap w:val="0"/>
            <w:vAlign w:val="center"/>
          </w:tcPr>
          <w:p w14:paraId="587A6347">
            <w:pPr>
              <w:widowControl/>
              <w:jc w:val="center"/>
              <w:rPr>
                <w:color w:val="auto"/>
                <w:kern w:val="0"/>
                <w:sz w:val="21"/>
                <w:szCs w:val="21"/>
                <w:highlight w:val="none"/>
              </w:rPr>
            </w:pPr>
            <w:r>
              <w:rPr>
                <w:color w:val="auto"/>
                <w:kern w:val="0"/>
                <w:sz w:val="21"/>
                <w:szCs w:val="21"/>
                <w:highlight w:val="none"/>
              </w:rPr>
              <w:t>危废暂存</w:t>
            </w:r>
          </w:p>
        </w:tc>
        <w:tc>
          <w:tcPr>
            <w:tcW w:w="673" w:type="pct"/>
            <w:noWrap w:val="0"/>
            <w:vAlign w:val="center"/>
          </w:tcPr>
          <w:p w14:paraId="7AA20402">
            <w:pPr>
              <w:widowControl/>
              <w:jc w:val="center"/>
              <w:rPr>
                <w:rFonts w:hint="default" w:eastAsia="宋体"/>
                <w:color w:val="auto"/>
                <w:kern w:val="0"/>
                <w:sz w:val="21"/>
                <w:szCs w:val="21"/>
                <w:highlight w:val="none"/>
                <w:lang w:val="en-US" w:eastAsia="zh-CN"/>
              </w:rPr>
            </w:pPr>
            <w:r>
              <w:rPr>
                <w:rFonts w:hint="eastAsia"/>
                <w:color w:val="auto"/>
                <w:kern w:val="0"/>
                <w:sz w:val="21"/>
                <w:szCs w:val="21"/>
                <w:highlight w:val="none"/>
                <w:lang w:val="en-US" w:eastAsia="zh-CN"/>
              </w:rPr>
              <w:t>4m</w:t>
            </w:r>
            <w:r>
              <w:rPr>
                <w:rFonts w:hint="eastAsia"/>
                <w:color w:val="auto"/>
                <w:kern w:val="0"/>
                <w:sz w:val="21"/>
                <w:szCs w:val="21"/>
                <w:highlight w:val="none"/>
                <w:vertAlign w:val="superscript"/>
                <w:lang w:val="en-US" w:eastAsia="zh-CN"/>
              </w:rPr>
              <w:t>2</w:t>
            </w:r>
          </w:p>
        </w:tc>
        <w:tc>
          <w:tcPr>
            <w:tcW w:w="1243" w:type="pct"/>
            <w:noWrap w:val="0"/>
            <w:vAlign w:val="center"/>
          </w:tcPr>
          <w:p w14:paraId="70E27389">
            <w:pPr>
              <w:widowControl/>
              <w:jc w:val="center"/>
              <w:rPr>
                <w:rFonts w:hint="default"/>
                <w:color w:val="auto"/>
                <w:kern w:val="0"/>
                <w:sz w:val="21"/>
                <w:szCs w:val="21"/>
                <w:highlight w:val="none"/>
              </w:rPr>
            </w:pPr>
            <w:r>
              <w:rPr>
                <w:rFonts w:hint="eastAsia"/>
                <w:color w:val="auto"/>
                <w:kern w:val="0"/>
                <w:sz w:val="21"/>
                <w:szCs w:val="21"/>
                <w:highlight w:val="none"/>
                <w:lang w:val="en-US" w:eastAsia="zh-CN"/>
              </w:rPr>
              <w:t>位于厂房西侧</w:t>
            </w:r>
          </w:p>
        </w:tc>
      </w:tr>
      <w:tr w14:paraId="63B4C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40" w:hRule="atLeast"/>
          <w:jc w:val="center"/>
        </w:trPr>
        <w:tc>
          <w:tcPr>
            <w:tcW w:w="322" w:type="pct"/>
            <w:vMerge w:val="continue"/>
            <w:noWrap w:val="0"/>
            <w:vAlign w:val="center"/>
          </w:tcPr>
          <w:p w14:paraId="6F3A68EB">
            <w:pPr>
              <w:ind w:firstLine="480"/>
              <w:jc w:val="center"/>
              <w:rPr>
                <w:color w:val="auto"/>
                <w:sz w:val="21"/>
                <w:szCs w:val="21"/>
                <w:highlight w:val="none"/>
              </w:rPr>
            </w:pPr>
          </w:p>
        </w:tc>
        <w:tc>
          <w:tcPr>
            <w:tcW w:w="460" w:type="pct"/>
            <w:vMerge w:val="continue"/>
            <w:noWrap w:val="0"/>
            <w:vAlign w:val="center"/>
          </w:tcPr>
          <w:p w14:paraId="4017B274">
            <w:pPr>
              <w:ind w:firstLine="480"/>
              <w:jc w:val="center"/>
              <w:rPr>
                <w:color w:val="auto"/>
                <w:sz w:val="21"/>
                <w:szCs w:val="21"/>
                <w:highlight w:val="none"/>
              </w:rPr>
            </w:pPr>
          </w:p>
        </w:tc>
        <w:tc>
          <w:tcPr>
            <w:tcW w:w="517" w:type="pct"/>
            <w:noWrap w:val="0"/>
            <w:vAlign w:val="center"/>
          </w:tcPr>
          <w:p w14:paraId="77044944">
            <w:pPr>
              <w:widowControl/>
              <w:jc w:val="center"/>
              <w:rPr>
                <w:color w:val="auto"/>
                <w:kern w:val="0"/>
                <w:sz w:val="21"/>
                <w:szCs w:val="21"/>
                <w:highlight w:val="none"/>
              </w:rPr>
            </w:pPr>
            <w:r>
              <w:rPr>
                <w:rFonts w:hint="eastAsia" w:ascii="Times New Roman" w:hAnsi="Times New Roman" w:cs="Times New Roman"/>
                <w:color w:val="auto"/>
                <w:kern w:val="0"/>
                <w:sz w:val="21"/>
                <w:szCs w:val="21"/>
                <w:highlight w:val="none"/>
                <w:lang w:eastAsia="zh-CN"/>
              </w:rPr>
              <w:t>一般固废仓库</w:t>
            </w:r>
          </w:p>
        </w:tc>
        <w:tc>
          <w:tcPr>
            <w:tcW w:w="1781" w:type="pct"/>
            <w:noWrap w:val="0"/>
            <w:vAlign w:val="center"/>
          </w:tcPr>
          <w:p w14:paraId="3BC5A1AC">
            <w:pPr>
              <w:widowControl/>
              <w:jc w:val="center"/>
              <w:rPr>
                <w:color w:val="auto"/>
                <w:kern w:val="0"/>
                <w:sz w:val="21"/>
                <w:szCs w:val="21"/>
                <w:highlight w:val="none"/>
              </w:rPr>
            </w:pPr>
            <w:r>
              <w:rPr>
                <w:rFonts w:hint="eastAsia"/>
                <w:color w:val="auto"/>
                <w:kern w:val="0"/>
                <w:sz w:val="21"/>
                <w:szCs w:val="21"/>
                <w:highlight w:val="none"/>
                <w:lang w:eastAsia="zh-CN"/>
              </w:rPr>
              <w:t>一般</w:t>
            </w:r>
            <w:r>
              <w:rPr>
                <w:rFonts w:hint="eastAsia"/>
                <w:color w:val="auto"/>
                <w:kern w:val="0"/>
                <w:sz w:val="21"/>
                <w:szCs w:val="21"/>
                <w:highlight w:val="none"/>
              </w:rPr>
              <w:t>固废</w:t>
            </w:r>
            <w:r>
              <w:rPr>
                <w:color w:val="auto"/>
                <w:kern w:val="0"/>
                <w:sz w:val="21"/>
                <w:szCs w:val="21"/>
                <w:highlight w:val="none"/>
              </w:rPr>
              <w:t>暂存</w:t>
            </w:r>
          </w:p>
        </w:tc>
        <w:tc>
          <w:tcPr>
            <w:tcW w:w="673" w:type="pct"/>
            <w:noWrap w:val="0"/>
            <w:vAlign w:val="center"/>
          </w:tcPr>
          <w:p w14:paraId="3F0AB1F0">
            <w:pPr>
              <w:widowControl/>
              <w:jc w:val="center"/>
              <w:rPr>
                <w:rFonts w:hint="default" w:ascii="Times New Roman" w:hAnsi="Times New Roman"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20m</w:t>
            </w:r>
            <w:r>
              <w:rPr>
                <w:rFonts w:hint="eastAsia" w:cs="Times New Roman"/>
                <w:color w:val="auto"/>
                <w:kern w:val="0"/>
                <w:sz w:val="21"/>
                <w:szCs w:val="21"/>
                <w:highlight w:val="none"/>
                <w:vertAlign w:val="superscript"/>
                <w:lang w:val="en-US" w:eastAsia="zh-CN"/>
              </w:rPr>
              <w:t>2</w:t>
            </w:r>
          </w:p>
        </w:tc>
        <w:tc>
          <w:tcPr>
            <w:tcW w:w="1243" w:type="pct"/>
            <w:noWrap w:val="0"/>
            <w:vAlign w:val="center"/>
          </w:tcPr>
          <w:p w14:paraId="14219C3B">
            <w:pPr>
              <w:widowControl/>
              <w:jc w:val="center"/>
              <w:rPr>
                <w:rFonts w:hint="default"/>
                <w:color w:val="auto"/>
                <w:kern w:val="0"/>
                <w:sz w:val="21"/>
                <w:szCs w:val="21"/>
                <w:highlight w:val="none"/>
                <w:lang w:val="en-US" w:eastAsia="zh-CN" w:bidi="ar-SA"/>
              </w:rPr>
            </w:pPr>
            <w:r>
              <w:rPr>
                <w:rFonts w:hint="eastAsia"/>
                <w:color w:val="auto"/>
                <w:kern w:val="0"/>
                <w:sz w:val="21"/>
                <w:szCs w:val="21"/>
                <w:highlight w:val="none"/>
                <w:lang w:val="en-US" w:eastAsia="zh-CN"/>
              </w:rPr>
              <w:t>位于厂房西侧</w:t>
            </w:r>
          </w:p>
        </w:tc>
      </w:tr>
    </w:tbl>
    <w:p w14:paraId="25E3A717">
      <w:pPr>
        <w:pStyle w:val="24"/>
        <w:ind w:firstLine="482"/>
        <w:rPr>
          <w:b/>
          <w:color w:val="auto"/>
        </w:rPr>
      </w:pPr>
      <w:r>
        <w:rPr>
          <w:rFonts w:hint="eastAsia"/>
          <w:b/>
          <w:color w:val="auto"/>
          <w:lang w:val="en-US" w:eastAsia="zh-CN"/>
        </w:rPr>
        <w:t>1.2</w:t>
      </w:r>
      <w:r>
        <w:rPr>
          <w:rFonts w:hint="eastAsia"/>
          <w:b/>
          <w:color w:val="auto"/>
        </w:rPr>
        <w:t>项目产品方案</w:t>
      </w:r>
    </w:p>
    <w:p w14:paraId="7F9441B1">
      <w:pPr>
        <w:pStyle w:val="24"/>
        <w:ind w:firstLine="480"/>
        <w:rPr>
          <w:rFonts w:hint="default"/>
          <w:color w:val="auto"/>
          <w:lang w:val="en-US"/>
        </w:rPr>
      </w:pPr>
      <w:r>
        <w:rPr>
          <w:rFonts w:hint="eastAsia"/>
          <w:color w:val="auto"/>
          <w:lang w:val="en-US" w:eastAsia="zh-CN"/>
        </w:rPr>
        <w:t>根据企业提供资料，</w:t>
      </w:r>
      <w:r>
        <w:rPr>
          <w:color w:val="auto"/>
        </w:rPr>
        <w:t>本项目</w:t>
      </w:r>
      <w:r>
        <w:rPr>
          <w:rFonts w:hint="eastAsia"/>
          <w:color w:val="auto"/>
          <w:lang w:val="en-US" w:eastAsia="zh-CN"/>
        </w:rPr>
        <w:t>主要进行PE膜</w:t>
      </w:r>
      <w:r>
        <w:rPr>
          <w:color w:val="auto"/>
        </w:rPr>
        <w:t>生产</w:t>
      </w:r>
      <w:r>
        <w:rPr>
          <w:rFonts w:hint="eastAsia"/>
          <w:color w:val="auto"/>
          <w:lang w:eastAsia="zh-CN"/>
        </w:rPr>
        <w:t>，</w:t>
      </w:r>
      <w:r>
        <w:rPr>
          <w:color w:val="auto"/>
        </w:rPr>
        <w:t>项目产品方案具体</w:t>
      </w:r>
      <w:r>
        <w:rPr>
          <w:rFonts w:hint="eastAsia"/>
          <w:color w:val="auto"/>
          <w:lang w:val="en-US" w:eastAsia="zh-CN"/>
        </w:rPr>
        <w:t>见下表。</w:t>
      </w:r>
    </w:p>
    <w:p w14:paraId="400465A8">
      <w:pPr>
        <w:pStyle w:val="20"/>
        <w:numPr>
          <w:ilvl w:val="0"/>
          <w:numId w:val="6"/>
        </w:numPr>
        <w:spacing w:before="156"/>
        <w:rPr>
          <w:color w:val="auto"/>
        </w:rPr>
      </w:pPr>
      <w:r>
        <w:rPr>
          <w:color w:val="auto"/>
        </w:rPr>
        <w:t>项目产品方案</w:t>
      </w:r>
      <w:r>
        <w:rPr>
          <w:rFonts w:hint="eastAsia"/>
          <w:color w:val="auto"/>
          <w:lang w:val="en-US" w:eastAsia="zh-CN"/>
        </w:rPr>
        <w:t>一</w:t>
      </w:r>
      <w:r>
        <w:rPr>
          <w:color w:val="auto"/>
        </w:rPr>
        <w:t>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0"/>
        <w:gridCol w:w="1225"/>
        <w:gridCol w:w="1160"/>
        <w:gridCol w:w="2435"/>
        <w:gridCol w:w="3106"/>
      </w:tblGrid>
      <w:tr w14:paraId="2E73C4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46" w:type="pct"/>
            <w:noWrap w:val="0"/>
            <w:vAlign w:val="center"/>
          </w:tcPr>
          <w:p w14:paraId="3F814348">
            <w:pPr>
              <w:wordWrap w:val="0"/>
              <w:spacing w:line="320" w:lineRule="exact"/>
              <w:jc w:val="center"/>
              <w:rPr>
                <w:color w:val="auto"/>
                <w:sz w:val="21"/>
                <w:szCs w:val="21"/>
                <w:highlight w:val="none"/>
              </w:rPr>
            </w:pPr>
            <w:r>
              <w:rPr>
                <w:color w:val="auto"/>
                <w:sz w:val="21"/>
                <w:szCs w:val="21"/>
                <w:highlight w:val="none"/>
              </w:rPr>
              <w:t>序号</w:t>
            </w:r>
          </w:p>
        </w:tc>
        <w:tc>
          <w:tcPr>
            <w:tcW w:w="719" w:type="pct"/>
            <w:noWrap w:val="0"/>
            <w:vAlign w:val="center"/>
          </w:tcPr>
          <w:p w14:paraId="576950FC">
            <w:pPr>
              <w:wordWrap w:val="0"/>
              <w:spacing w:line="320" w:lineRule="exact"/>
              <w:jc w:val="center"/>
              <w:rPr>
                <w:color w:val="auto"/>
                <w:sz w:val="21"/>
                <w:szCs w:val="21"/>
                <w:highlight w:val="none"/>
              </w:rPr>
            </w:pPr>
            <w:r>
              <w:rPr>
                <w:color w:val="auto"/>
                <w:sz w:val="21"/>
                <w:szCs w:val="21"/>
                <w:highlight w:val="none"/>
              </w:rPr>
              <w:t>产品名称</w:t>
            </w:r>
          </w:p>
        </w:tc>
        <w:tc>
          <w:tcPr>
            <w:tcW w:w="681" w:type="pct"/>
            <w:noWrap w:val="0"/>
            <w:vAlign w:val="center"/>
          </w:tcPr>
          <w:p w14:paraId="79A56726">
            <w:pPr>
              <w:wordWrap w:val="0"/>
              <w:spacing w:line="320" w:lineRule="exact"/>
              <w:jc w:val="center"/>
              <w:rPr>
                <w:color w:val="auto"/>
                <w:sz w:val="21"/>
                <w:szCs w:val="21"/>
                <w:highlight w:val="none"/>
              </w:rPr>
            </w:pPr>
            <w:r>
              <w:rPr>
                <w:color w:val="auto"/>
                <w:sz w:val="21"/>
                <w:szCs w:val="21"/>
                <w:highlight w:val="none"/>
              </w:rPr>
              <w:t>单位</w:t>
            </w:r>
          </w:p>
        </w:tc>
        <w:tc>
          <w:tcPr>
            <w:tcW w:w="1429" w:type="pct"/>
            <w:noWrap w:val="0"/>
            <w:vAlign w:val="center"/>
          </w:tcPr>
          <w:p w14:paraId="3F6D6DED">
            <w:pPr>
              <w:wordWrap w:val="0"/>
              <w:spacing w:line="320" w:lineRule="exact"/>
              <w:jc w:val="center"/>
              <w:rPr>
                <w:rFonts w:hint="eastAsia" w:eastAsia="宋体"/>
                <w:color w:val="auto"/>
                <w:sz w:val="21"/>
                <w:szCs w:val="21"/>
                <w:highlight w:val="none"/>
                <w:lang w:val="en-US" w:eastAsia="zh-CN"/>
              </w:rPr>
            </w:pPr>
            <w:r>
              <w:rPr>
                <w:rFonts w:hint="eastAsia" w:eastAsia="宋体"/>
                <w:color w:val="auto"/>
                <w:sz w:val="21"/>
                <w:szCs w:val="21"/>
                <w:highlight w:val="none"/>
                <w:lang w:val="en-US" w:eastAsia="zh-CN"/>
              </w:rPr>
              <w:t>数量</w:t>
            </w:r>
          </w:p>
        </w:tc>
        <w:tc>
          <w:tcPr>
            <w:tcW w:w="1823" w:type="pct"/>
            <w:noWrap w:val="0"/>
            <w:vAlign w:val="center"/>
          </w:tcPr>
          <w:p w14:paraId="19DF21DF">
            <w:pPr>
              <w:wordWrap w:val="0"/>
              <w:spacing w:line="320" w:lineRule="exact"/>
              <w:jc w:val="center"/>
              <w:rPr>
                <w:color w:val="auto"/>
                <w:sz w:val="21"/>
                <w:szCs w:val="21"/>
                <w:highlight w:val="none"/>
              </w:rPr>
            </w:pPr>
            <w:r>
              <w:rPr>
                <w:color w:val="auto"/>
                <w:sz w:val="21"/>
                <w:szCs w:val="21"/>
                <w:highlight w:val="none"/>
              </w:rPr>
              <w:t>备注</w:t>
            </w:r>
          </w:p>
        </w:tc>
      </w:tr>
      <w:tr w14:paraId="57671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40" w:hRule="atLeast"/>
          <w:jc w:val="center"/>
        </w:trPr>
        <w:tc>
          <w:tcPr>
            <w:tcW w:w="346" w:type="pct"/>
            <w:noWrap w:val="0"/>
            <w:vAlign w:val="center"/>
          </w:tcPr>
          <w:p w14:paraId="461694E3">
            <w:pPr>
              <w:wordWrap w:val="0"/>
              <w:spacing w:line="320" w:lineRule="exact"/>
              <w:jc w:val="center"/>
              <w:rPr>
                <w:color w:val="auto"/>
                <w:sz w:val="21"/>
                <w:szCs w:val="21"/>
                <w:highlight w:val="none"/>
              </w:rPr>
            </w:pPr>
            <w:r>
              <w:rPr>
                <w:color w:val="auto"/>
                <w:sz w:val="21"/>
                <w:szCs w:val="21"/>
                <w:highlight w:val="none"/>
              </w:rPr>
              <w:t>1</w:t>
            </w:r>
          </w:p>
        </w:tc>
        <w:tc>
          <w:tcPr>
            <w:tcW w:w="719" w:type="pct"/>
            <w:noWrap w:val="0"/>
            <w:vAlign w:val="center"/>
          </w:tcPr>
          <w:p w14:paraId="4E6112F3">
            <w:pPr>
              <w:tabs>
                <w:tab w:val="left" w:pos="493"/>
              </w:tabs>
              <w:wordWrap w:val="0"/>
              <w:adjustRightInd w:val="0"/>
              <w:snapToGrid w:val="0"/>
              <w:jc w:val="center"/>
              <w:rPr>
                <w:rFonts w:hint="default" w:eastAsia="宋体"/>
                <w:color w:val="auto"/>
                <w:sz w:val="21"/>
                <w:szCs w:val="21"/>
                <w:highlight w:val="none"/>
                <w:lang w:val="en-US" w:eastAsia="zh-Hans"/>
              </w:rPr>
            </w:pPr>
            <w:r>
              <w:rPr>
                <w:rFonts w:hint="eastAsia" w:ascii="Times New Roman" w:hAnsi="Times New Roman"/>
                <w:color w:val="auto"/>
                <w:sz w:val="21"/>
                <w:szCs w:val="21"/>
                <w:highlight w:val="none"/>
                <w:lang w:val="en-US" w:eastAsia="zh-Hans"/>
              </w:rPr>
              <w:t>PE</w:t>
            </w:r>
            <w:r>
              <w:rPr>
                <w:rFonts w:hint="eastAsia" w:ascii="Times New Roman" w:hAnsi="Times New Roman"/>
                <w:color w:val="auto"/>
                <w:sz w:val="21"/>
                <w:szCs w:val="21"/>
                <w:highlight w:val="none"/>
                <w:lang w:val="en-US" w:eastAsia="zh-CN"/>
              </w:rPr>
              <w:t>薄</w:t>
            </w:r>
            <w:r>
              <w:rPr>
                <w:rFonts w:hint="eastAsia" w:ascii="Times New Roman" w:hAnsi="Times New Roman"/>
                <w:color w:val="auto"/>
                <w:sz w:val="21"/>
                <w:szCs w:val="21"/>
                <w:highlight w:val="none"/>
                <w:lang w:val="en-US" w:eastAsia="zh-Hans"/>
              </w:rPr>
              <w:t>膜</w:t>
            </w:r>
          </w:p>
        </w:tc>
        <w:tc>
          <w:tcPr>
            <w:tcW w:w="681" w:type="pct"/>
            <w:noWrap w:val="0"/>
            <w:vAlign w:val="center"/>
          </w:tcPr>
          <w:p w14:paraId="4B5BE2AE">
            <w:pPr>
              <w:wordWrap w:val="0"/>
              <w:spacing w:line="320" w:lineRule="exact"/>
              <w:jc w:val="center"/>
              <w:rPr>
                <w:color w:val="auto"/>
                <w:sz w:val="21"/>
                <w:szCs w:val="21"/>
                <w:highlight w:val="none"/>
              </w:rPr>
            </w:pPr>
            <w:r>
              <w:rPr>
                <w:rFonts w:hint="eastAsia"/>
                <w:color w:val="auto"/>
                <w:sz w:val="21"/>
                <w:szCs w:val="21"/>
                <w:highlight w:val="none"/>
                <w:lang w:val="en-US" w:eastAsia="zh-CN"/>
              </w:rPr>
              <w:t>万</w:t>
            </w:r>
            <w:r>
              <w:rPr>
                <w:color w:val="auto"/>
                <w:sz w:val="21"/>
                <w:szCs w:val="21"/>
                <w:highlight w:val="none"/>
              </w:rPr>
              <w:t>t/a</w:t>
            </w:r>
          </w:p>
        </w:tc>
        <w:tc>
          <w:tcPr>
            <w:tcW w:w="1429" w:type="pct"/>
            <w:noWrap w:val="0"/>
            <w:vAlign w:val="center"/>
          </w:tcPr>
          <w:p w14:paraId="67F6B8D2">
            <w:pPr>
              <w:wordWrap w:val="0"/>
              <w:spacing w:line="320" w:lineRule="exact"/>
              <w:jc w:val="center"/>
              <w:rPr>
                <w:color w:val="auto"/>
                <w:sz w:val="21"/>
                <w:szCs w:val="21"/>
                <w:highlight w:val="none"/>
              </w:rPr>
            </w:pPr>
            <w:r>
              <w:rPr>
                <w:rFonts w:hint="eastAsia"/>
                <w:color w:val="auto"/>
                <w:sz w:val="21"/>
                <w:szCs w:val="21"/>
                <w:highlight w:val="none"/>
                <w:lang w:val="en-US" w:eastAsia="zh-CN"/>
              </w:rPr>
              <w:t>1</w:t>
            </w:r>
          </w:p>
        </w:tc>
        <w:tc>
          <w:tcPr>
            <w:tcW w:w="1823" w:type="pct"/>
            <w:noWrap w:val="0"/>
            <w:vAlign w:val="center"/>
          </w:tcPr>
          <w:p w14:paraId="42D8506D">
            <w:pPr>
              <w:wordWrap w:val="0"/>
              <w:adjustRightInd w:val="0"/>
              <w:snapToGrid w:val="0"/>
              <w:jc w:val="center"/>
              <w:rPr>
                <w:rFonts w:hint="default"/>
                <w:color w:val="auto"/>
                <w:sz w:val="21"/>
                <w:szCs w:val="21"/>
                <w:highlight w:val="none"/>
              </w:rPr>
            </w:pPr>
            <w:r>
              <w:rPr>
                <w:color w:val="auto"/>
                <w:kern w:val="0"/>
                <w:sz w:val="21"/>
                <w:szCs w:val="21"/>
                <w:highlight w:val="none"/>
              </w:rPr>
              <w:t>膜厚度</w:t>
            </w:r>
            <w:r>
              <w:rPr>
                <w:rFonts w:hint="eastAsia"/>
                <w:color w:val="auto"/>
                <w:kern w:val="0"/>
                <w:sz w:val="21"/>
                <w:szCs w:val="21"/>
                <w:highlight w:val="none"/>
                <w:lang w:eastAsia="zh-CN"/>
              </w:rPr>
              <w:t>3</w:t>
            </w:r>
            <w:r>
              <w:rPr>
                <w:rFonts w:hint="eastAsia"/>
                <w:color w:val="auto"/>
                <w:kern w:val="0"/>
                <w:sz w:val="21"/>
                <w:szCs w:val="21"/>
                <w:highlight w:val="none"/>
                <w:lang w:val="en-US" w:eastAsia="zh-CN"/>
              </w:rPr>
              <w:t>0</w:t>
            </w:r>
            <w:r>
              <w:rPr>
                <w:color w:val="auto"/>
                <w:kern w:val="0"/>
                <w:sz w:val="21"/>
                <w:szCs w:val="21"/>
                <w:highlight w:val="none"/>
              </w:rPr>
              <w:t>~</w:t>
            </w:r>
            <w:r>
              <w:rPr>
                <w:rFonts w:hint="eastAsia"/>
                <w:color w:val="auto"/>
                <w:kern w:val="0"/>
                <w:sz w:val="21"/>
                <w:szCs w:val="21"/>
                <w:highlight w:val="none"/>
                <w:lang w:eastAsia="zh-CN"/>
              </w:rPr>
              <w:t>1</w:t>
            </w:r>
            <w:r>
              <w:rPr>
                <w:rFonts w:hint="eastAsia"/>
                <w:color w:val="auto"/>
                <w:kern w:val="0"/>
                <w:sz w:val="21"/>
                <w:szCs w:val="21"/>
                <w:highlight w:val="none"/>
                <w:lang w:val="en-US" w:eastAsia="zh-CN"/>
              </w:rPr>
              <w:t>5</w:t>
            </w:r>
            <w:r>
              <w:rPr>
                <w:color w:val="auto"/>
                <w:kern w:val="0"/>
                <w:sz w:val="21"/>
                <w:szCs w:val="21"/>
                <w:highlight w:val="none"/>
              </w:rPr>
              <w:t>0μm，幅宽</w:t>
            </w:r>
            <w:r>
              <w:rPr>
                <w:rFonts w:hint="eastAsia"/>
                <w:color w:val="auto"/>
                <w:kern w:val="0"/>
                <w:sz w:val="21"/>
                <w:szCs w:val="21"/>
                <w:highlight w:val="none"/>
                <w:lang w:val="en-US" w:eastAsia="zh-CN"/>
              </w:rPr>
              <w:t>1.2</w:t>
            </w:r>
            <w:r>
              <w:rPr>
                <w:color w:val="auto"/>
                <w:kern w:val="0"/>
                <w:sz w:val="21"/>
                <w:szCs w:val="21"/>
                <w:highlight w:val="none"/>
              </w:rPr>
              <w:t>~</w:t>
            </w:r>
            <w:r>
              <w:rPr>
                <w:rFonts w:hint="eastAsia"/>
                <w:color w:val="auto"/>
                <w:kern w:val="0"/>
                <w:sz w:val="21"/>
                <w:szCs w:val="21"/>
                <w:highlight w:val="none"/>
                <w:lang w:val="en-US" w:eastAsia="zh-CN"/>
              </w:rPr>
              <w:t>2.2</w:t>
            </w:r>
            <w:r>
              <w:rPr>
                <w:color w:val="auto"/>
                <w:kern w:val="0"/>
                <w:sz w:val="21"/>
                <w:szCs w:val="21"/>
                <w:highlight w:val="none"/>
              </w:rPr>
              <w:t>m</w:t>
            </w:r>
          </w:p>
        </w:tc>
      </w:tr>
    </w:tbl>
    <w:p w14:paraId="3BA7B143">
      <w:pPr>
        <w:pStyle w:val="24"/>
        <w:ind w:firstLine="482"/>
        <w:rPr>
          <w:b/>
          <w:color w:val="auto"/>
        </w:rPr>
      </w:pPr>
      <w:r>
        <w:rPr>
          <w:rFonts w:hint="eastAsia"/>
          <w:b/>
          <w:color w:val="auto"/>
          <w:lang w:val="en-US" w:eastAsia="zh-CN"/>
        </w:rPr>
        <w:t>1.3</w:t>
      </w:r>
      <w:r>
        <w:rPr>
          <w:rFonts w:hint="eastAsia"/>
          <w:b/>
          <w:color w:val="auto"/>
        </w:rPr>
        <w:t>主要原辅材料消耗清单</w:t>
      </w:r>
    </w:p>
    <w:p w14:paraId="014CB349">
      <w:pPr>
        <w:pStyle w:val="24"/>
        <w:ind w:firstLine="480"/>
        <w:rPr>
          <w:color w:val="auto"/>
        </w:rPr>
      </w:pPr>
      <w:bookmarkStart w:id="7" w:name="_Hlk156825232"/>
      <w:r>
        <w:rPr>
          <w:rFonts w:hint="eastAsia"/>
          <w:color w:val="auto"/>
          <w:lang w:val="en-US" w:eastAsia="zh-CN"/>
        </w:rPr>
        <w:t>根据企业提供资料，</w:t>
      </w:r>
      <w:r>
        <w:rPr>
          <w:rFonts w:hint="eastAsia"/>
          <w:color w:val="auto"/>
          <w:lang w:val="en-US" w:eastAsia="zh-CN"/>
        </w:rPr>
        <w:t>本</w:t>
      </w:r>
      <w:r>
        <w:rPr>
          <w:color w:val="auto"/>
        </w:rPr>
        <w:t>项目主要原辅材料如下表所示。</w:t>
      </w:r>
    </w:p>
    <w:p w14:paraId="4DED1940">
      <w:pPr>
        <w:pStyle w:val="20"/>
        <w:numPr>
          <w:ilvl w:val="0"/>
          <w:numId w:val="6"/>
        </w:numPr>
        <w:spacing w:before="156"/>
        <w:rPr>
          <w:color w:val="auto"/>
        </w:rPr>
      </w:pPr>
      <w:bookmarkStart w:id="8" w:name="_Hlk124943600"/>
      <w:r>
        <w:rPr>
          <w:color w:val="auto"/>
        </w:rPr>
        <w:t>主要原辅材料消耗情况一览表</w:t>
      </w:r>
    </w:p>
    <w:bookmarkEnd w:id="7"/>
    <w:bookmarkEnd w:id="8"/>
    <w:tbl>
      <w:tblPr>
        <w:tblStyle w:val="15"/>
        <w:tblW w:w="499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54"/>
        <w:gridCol w:w="741"/>
        <w:gridCol w:w="1746"/>
        <w:gridCol w:w="728"/>
        <w:gridCol w:w="1175"/>
        <w:gridCol w:w="638"/>
        <w:gridCol w:w="858"/>
        <w:gridCol w:w="1195"/>
        <w:gridCol w:w="874"/>
      </w:tblGrid>
      <w:tr w14:paraId="585073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tblHeader/>
        </w:trPr>
        <w:tc>
          <w:tcPr>
            <w:tcW w:w="331" w:type="pct"/>
            <w:noWrap w:val="0"/>
            <w:vAlign w:val="center"/>
          </w:tcPr>
          <w:p w14:paraId="3065A0C8">
            <w:pPr>
              <w:jc w:val="center"/>
              <w:rPr>
                <w:color w:val="auto"/>
                <w:sz w:val="21"/>
                <w:szCs w:val="21"/>
                <w:highlight w:val="none"/>
              </w:rPr>
            </w:pPr>
            <w:r>
              <w:rPr>
                <w:color w:val="auto"/>
                <w:sz w:val="21"/>
                <w:szCs w:val="21"/>
                <w:highlight w:val="none"/>
              </w:rPr>
              <w:t>序号</w:t>
            </w:r>
          </w:p>
        </w:tc>
        <w:tc>
          <w:tcPr>
            <w:tcW w:w="1426" w:type="pct"/>
            <w:gridSpan w:val="2"/>
            <w:noWrap w:val="0"/>
            <w:vAlign w:val="center"/>
          </w:tcPr>
          <w:p w14:paraId="5D2EB8BA">
            <w:pPr>
              <w:jc w:val="center"/>
              <w:rPr>
                <w:color w:val="auto"/>
                <w:sz w:val="21"/>
                <w:szCs w:val="21"/>
                <w:highlight w:val="none"/>
              </w:rPr>
            </w:pPr>
            <w:r>
              <w:rPr>
                <w:color w:val="auto"/>
                <w:sz w:val="21"/>
                <w:szCs w:val="21"/>
                <w:highlight w:val="none"/>
              </w:rPr>
              <w:t>物料名称</w:t>
            </w:r>
          </w:p>
        </w:tc>
        <w:tc>
          <w:tcPr>
            <w:tcW w:w="433" w:type="pct"/>
            <w:noWrap w:val="0"/>
            <w:vAlign w:val="center"/>
          </w:tcPr>
          <w:p w14:paraId="79240196">
            <w:pPr>
              <w:jc w:val="center"/>
              <w:rPr>
                <w:color w:val="auto"/>
                <w:sz w:val="21"/>
                <w:szCs w:val="21"/>
                <w:highlight w:val="none"/>
              </w:rPr>
            </w:pPr>
            <w:r>
              <w:rPr>
                <w:color w:val="auto"/>
                <w:sz w:val="21"/>
                <w:szCs w:val="21"/>
                <w:highlight w:val="none"/>
              </w:rPr>
              <w:t>性状</w:t>
            </w:r>
          </w:p>
        </w:tc>
        <w:tc>
          <w:tcPr>
            <w:tcW w:w="696" w:type="pct"/>
            <w:noWrap w:val="0"/>
            <w:vAlign w:val="center"/>
          </w:tcPr>
          <w:p w14:paraId="3B6C777D">
            <w:pPr>
              <w:jc w:val="center"/>
              <w:rPr>
                <w:color w:val="auto"/>
                <w:sz w:val="21"/>
                <w:szCs w:val="21"/>
                <w:highlight w:val="none"/>
              </w:rPr>
            </w:pPr>
            <w:r>
              <w:rPr>
                <w:color w:val="auto"/>
                <w:sz w:val="21"/>
                <w:szCs w:val="21"/>
                <w:highlight w:val="none"/>
              </w:rPr>
              <w:t>包装规格</w:t>
            </w:r>
          </w:p>
        </w:tc>
        <w:tc>
          <w:tcPr>
            <w:tcW w:w="380" w:type="pct"/>
            <w:noWrap w:val="0"/>
            <w:vAlign w:val="center"/>
          </w:tcPr>
          <w:p w14:paraId="2FFEAE05">
            <w:pPr>
              <w:jc w:val="center"/>
              <w:rPr>
                <w:color w:val="auto"/>
                <w:sz w:val="21"/>
                <w:szCs w:val="21"/>
                <w:highlight w:val="none"/>
              </w:rPr>
            </w:pPr>
            <w:r>
              <w:rPr>
                <w:color w:val="auto"/>
                <w:sz w:val="21"/>
                <w:szCs w:val="21"/>
                <w:highlight w:val="none"/>
              </w:rPr>
              <w:t>单位</w:t>
            </w:r>
          </w:p>
        </w:tc>
        <w:tc>
          <w:tcPr>
            <w:tcW w:w="509" w:type="pct"/>
            <w:noWrap w:val="0"/>
            <w:vAlign w:val="center"/>
          </w:tcPr>
          <w:p w14:paraId="2B5EA7F7">
            <w:pPr>
              <w:jc w:val="center"/>
              <w:rPr>
                <w:color w:val="auto"/>
                <w:sz w:val="21"/>
                <w:szCs w:val="21"/>
                <w:highlight w:val="none"/>
              </w:rPr>
            </w:pPr>
            <w:r>
              <w:rPr>
                <w:color w:val="auto"/>
                <w:sz w:val="21"/>
                <w:szCs w:val="21"/>
                <w:highlight w:val="none"/>
              </w:rPr>
              <w:t>年用量</w:t>
            </w:r>
          </w:p>
        </w:tc>
        <w:tc>
          <w:tcPr>
            <w:tcW w:w="707" w:type="pct"/>
            <w:noWrap w:val="0"/>
            <w:vAlign w:val="center"/>
          </w:tcPr>
          <w:p w14:paraId="504D3D36">
            <w:pPr>
              <w:jc w:val="center"/>
              <w:rPr>
                <w:color w:val="auto"/>
                <w:sz w:val="21"/>
                <w:szCs w:val="21"/>
                <w:highlight w:val="none"/>
              </w:rPr>
            </w:pPr>
            <w:r>
              <w:rPr>
                <w:rFonts w:hint="eastAsia"/>
                <w:color w:val="auto"/>
                <w:sz w:val="21"/>
                <w:szCs w:val="21"/>
                <w:highlight w:val="none"/>
              </w:rPr>
              <w:t>最大储存量</w:t>
            </w:r>
          </w:p>
        </w:tc>
        <w:tc>
          <w:tcPr>
            <w:tcW w:w="514" w:type="pct"/>
            <w:noWrap w:val="0"/>
            <w:vAlign w:val="center"/>
          </w:tcPr>
          <w:p w14:paraId="539DF360">
            <w:pPr>
              <w:jc w:val="center"/>
              <w:rPr>
                <w:color w:val="auto"/>
                <w:sz w:val="21"/>
                <w:szCs w:val="21"/>
                <w:highlight w:val="none"/>
              </w:rPr>
            </w:pPr>
            <w:r>
              <w:rPr>
                <w:color w:val="auto"/>
                <w:sz w:val="21"/>
                <w:szCs w:val="21"/>
                <w:highlight w:val="none"/>
              </w:rPr>
              <w:t>备注</w:t>
            </w:r>
          </w:p>
        </w:tc>
      </w:tr>
      <w:tr w14:paraId="7D13A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75A8D0F0">
            <w:pPr>
              <w:jc w:val="center"/>
              <w:rPr>
                <w:color w:val="auto"/>
                <w:sz w:val="21"/>
                <w:szCs w:val="21"/>
                <w:highlight w:val="none"/>
              </w:rPr>
            </w:pPr>
            <w:r>
              <w:rPr>
                <w:color w:val="auto"/>
                <w:sz w:val="21"/>
                <w:szCs w:val="21"/>
                <w:highlight w:val="none"/>
              </w:rPr>
              <w:t>1</w:t>
            </w:r>
          </w:p>
        </w:tc>
        <w:tc>
          <w:tcPr>
            <w:tcW w:w="395" w:type="pct"/>
            <w:vMerge w:val="restart"/>
            <w:noWrap w:val="0"/>
            <w:vAlign w:val="center"/>
          </w:tcPr>
          <w:p w14:paraId="693A9CC4">
            <w:pPr>
              <w:jc w:val="center"/>
              <w:rPr>
                <w:rFonts w:hint="eastAsia"/>
                <w:color w:val="auto"/>
                <w:sz w:val="21"/>
                <w:szCs w:val="21"/>
                <w:highlight w:val="none"/>
              </w:rPr>
            </w:pPr>
            <w:r>
              <w:rPr>
                <w:rFonts w:hint="eastAsia"/>
                <w:color w:val="auto"/>
                <w:sz w:val="21"/>
                <w:szCs w:val="21"/>
                <w:highlight w:val="none"/>
                <w:lang w:val="en-US" w:eastAsia="zh-CN"/>
              </w:rPr>
              <w:t>PE(聚乙烯)粒子</w:t>
            </w:r>
          </w:p>
        </w:tc>
        <w:tc>
          <w:tcPr>
            <w:tcW w:w="1031" w:type="pct"/>
            <w:noWrap w:val="0"/>
            <w:vAlign w:val="center"/>
          </w:tcPr>
          <w:p w14:paraId="43EAA678">
            <w:pPr>
              <w:widowControl/>
              <w:jc w:val="center"/>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低密度聚乙烯LDPE</w:t>
            </w:r>
          </w:p>
        </w:tc>
        <w:tc>
          <w:tcPr>
            <w:tcW w:w="433" w:type="pct"/>
            <w:noWrap w:val="0"/>
            <w:vAlign w:val="center"/>
          </w:tcPr>
          <w:p w14:paraId="012B6FE8">
            <w:pPr>
              <w:pStyle w:val="36"/>
              <w:rPr>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6C88B610">
            <w:pPr>
              <w:jc w:val="center"/>
              <w:rPr>
                <w:color w:val="auto"/>
                <w:sz w:val="21"/>
                <w:szCs w:val="21"/>
                <w:highlight w:val="none"/>
              </w:rPr>
            </w:pPr>
            <w:r>
              <w:rPr>
                <w:color w:val="auto"/>
                <w:sz w:val="21"/>
                <w:szCs w:val="21"/>
                <w:highlight w:val="none"/>
              </w:rPr>
              <w:t>25kg/袋</w:t>
            </w:r>
          </w:p>
        </w:tc>
        <w:tc>
          <w:tcPr>
            <w:tcW w:w="380" w:type="pct"/>
            <w:noWrap w:val="0"/>
            <w:vAlign w:val="center"/>
          </w:tcPr>
          <w:p w14:paraId="568DCC38">
            <w:pPr>
              <w:jc w:val="center"/>
              <w:rPr>
                <w:color w:val="auto"/>
                <w:sz w:val="21"/>
                <w:szCs w:val="21"/>
                <w:highlight w:val="none"/>
              </w:rPr>
            </w:pPr>
            <w:r>
              <w:rPr>
                <w:color w:val="auto"/>
                <w:sz w:val="21"/>
                <w:szCs w:val="21"/>
                <w:highlight w:val="none"/>
              </w:rPr>
              <w:t>t/a</w:t>
            </w:r>
          </w:p>
        </w:tc>
        <w:tc>
          <w:tcPr>
            <w:tcW w:w="509" w:type="pct"/>
            <w:noWrap w:val="0"/>
            <w:vAlign w:val="center"/>
          </w:tcPr>
          <w:p w14:paraId="2DE8F941">
            <w:pPr>
              <w:keepNext w:val="0"/>
              <w:keepLines w:val="0"/>
              <w:widowControl/>
              <w:suppressLineNumbers w:val="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2"/>
                <w:sz w:val="21"/>
                <w:szCs w:val="21"/>
                <w:highlight w:val="none"/>
                <w:u w:val="none"/>
                <w:lang w:val="en-US" w:eastAsia="zh-CN" w:bidi="ar"/>
              </w:rPr>
              <w:t>2000</w:t>
            </w:r>
          </w:p>
        </w:tc>
        <w:tc>
          <w:tcPr>
            <w:tcW w:w="707" w:type="pct"/>
            <w:noWrap w:val="0"/>
            <w:vAlign w:val="center"/>
          </w:tcPr>
          <w:p w14:paraId="05E9C9A3">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w:t>
            </w:r>
          </w:p>
        </w:tc>
        <w:tc>
          <w:tcPr>
            <w:tcW w:w="514" w:type="pct"/>
            <w:noWrap w:val="0"/>
            <w:vAlign w:val="center"/>
          </w:tcPr>
          <w:p w14:paraId="6D06D98F">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外购</w:t>
            </w:r>
          </w:p>
        </w:tc>
      </w:tr>
      <w:tr w14:paraId="4CCF1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6FF08ACC">
            <w:pPr>
              <w:jc w:val="center"/>
              <w:rPr>
                <w:color w:val="auto"/>
                <w:sz w:val="21"/>
                <w:szCs w:val="21"/>
                <w:highlight w:val="none"/>
              </w:rPr>
            </w:pPr>
            <w:r>
              <w:rPr>
                <w:color w:val="auto"/>
                <w:sz w:val="21"/>
                <w:szCs w:val="21"/>
                <w:highlight w:val="none"/>
              </w:rPr>
              <w:t>2</w:t>
            </w:r>
          </w:p>
        </w:tc>
        <w:tc>
          <w:tcPr>
            <w:tcW w:w="395" w:type="pct"/>
            <w:vMerge w:val="continue"/>
            <w:noWrap w:val="0"/>
            <w:vAlign w:val="center"/>
          </w:tcPr>
          <w:p w14:paraId="0EEE23B5">
            <w:pPr>
              <w:jc w:val="center"/>
              <w:rPr>
                <w:rFonts w:hint="eastAsia"/>
                <w:color w:val="auto"/>
                <w:sz w:val="21"/>
                <w:szCs w:val="21"/>
                <w:highlight w:val="none"/>
              </w:rPr>
            </w:pPr>
          </w:p>
        </w:tc>
        <w:tc>
          <w:tcPr>
            <w:tcW w:w="1031" w:type="pct"/>
            <w:noWrap w:val="0"/>
            <w:vAlign w:val="center"/>
          </w:tcPr>
          <w:p w14:paraId="7B3DA5D8">
            <w:pPr>
              <w:widowControl/>
              <w:jc w:val="center"/>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线性低密度聚乙烯LLDPE</w:t>
            </w:r>
          </w:p>
        </w:tc>
        <w:tc>
          <w:tcPr>
            <w:tcW w:w="433" w:type="pct"/>
            <w:noWrap w:val="0"/>
            <w:vAlign w:val="center"/>
          </w:tcPr>
          <w:p w14:paraId="16F25A7E">
            <w:pPr>
              <w:pStyle w:val="36"/>
              <w:rPr>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4E598557">
            <w:pPr>
              <w:jc w:val="center"/>
              <w:rPr>
                <w:color w:val="auto"/>
                <w:sz w:val="21"/>
                <w:szCs w:val="21"/>
                <w:highlight w:val="none"/>
              </w:rPr>
            </w:pPr>
            <w:r>
              <w:rPr>
                <w:color w:val="auto"/>
                <w:sz w:val="21"/>
                <w:szCs w:val="21"/>
                <w:highlight w:val="none"/>
              </w:rPr>
              <w:t>25kg/袋</w:t>
            </w:r>
          </w:p>
        </w:tc>
        <w:tc>
          <w:tcPr>
            <w:tcW w:w="380" w:type="pct"/>
            <w:noWrap w:val="0"/>
            <w:vAlign w:val="center"/>
          </w:tcPr>
          <w:p w14:paraId="1E904B13">
            <w:pPr>
              <w:jc w:val="center"/>
              <w:rPr>
                <w:color w:val="auto"/>
                <w:sz w:val="21"/>
                <w:szCs w:val="21"/>
                <w:highlight w:val="none"/>
              </w:rPr>
            </w:pPr>
            <w:r>
              <w:rPr>
                <w:color w:val="auto"/>
                <w:sz w:val="21"/>
                <w:szCs w:val="21"/>
                <w:highlight w:val="none"/>
              </w:rPr>
              <w:t>t/a</w:t>
            </w:r>
          </w:p>
        </w:tc>
        <w:tc>
          <w:tcPr>
            <w:tcW w:w="509" w:type="pct"/>
            <w:noWrap w:val="0"/>
            <w:vAlign w:val="center"/>
          </w:tcPr>
          <w:p w14:paraId="07D5E5AD">
            <w:pPr>
              <w:keepNext w:val="0"/>
              <w:keepLines w:val="0"/>
              <w:widowControl/>
              <w:suppressLineNumbers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i w:val="0"/>
                <w:iCs w:val="0"/>
                <w:color w:val="auto"/>
                <w:kern w:val="2"/>
                <w:sz w:val="21"/>
                <w:szCs w:val="21"/>
                <w:highlight w:val="none"/>
                <w:u w:val="none"/>
                <w:lang w:val="en-US" w:eastAsia="zh-CN" w:bidi="ar"/>
              </w:rPr>
              <w:t>5500</w:t>
            </w:r>
          </w:p>
        </w:tc>
        <w:tc>
          <w:tcPr>
            <w:tcW w:w="707" w:type="pct"/>
            <w:noWrap w:val="0"/>
            <w:vAlign w:val="center"/>
          </w:tcPr>
          <w:p w14:paraId="2895920C">
            <w:pPr>
              <w:jc w:val="center"/>
              <w:rPr>
                <w:rFonts w:hint="eastAsia" w:eastAsia="宋体"/>
                <w:color w:val="auto"/>
                <w:sz w:val="21"/>
                <w:szCs w:val="21"/>
                <w:highlight w:val="none"/>
                <w:lang w:val="en-US" w:eastAsia="zh-CN"/>
              </w:rPr>
            </w:pPr>
            <w:r>
              <w:rPr>
                <w:rFonts w:hint="eastAsia"/>
                <w:color w:val="auto"/>
                <w:sz w:val="21"/>
                <w:szCs w:val="21"/>
                <w:highlight w:val="none"/>
              </w:rPr>
              <w:t>20</w:t>
            </w:r>
            <w:r>
              <w:rPr>
                <w:rFonts w:hint="eastAsia"/>
                <w:color w:val="auto"/>
                <w:sz w:val="21"/>
                <w:szCs w:val="21"/>
                <w:highlight w:val="none"/>
                <w:lang w:val="en-US" w:eastAsia="zh-CN"/>
              </w:rPr>
              <w:t>0</w:t>
            </w:r>
          </w:p>
        </w:tc>
        <w:tc>
          <w:tcPr>
            <w:tcW w:w="514" w:type="pct"/>
            <w:noWrap w:val="0"/>
            <w:vAlign w:val="center"/>
          </w:tcPr>
          <w:p w14:paraId="234E4E78">
            <w:pPr>
              <w:jc w:val="center"/>
              <w:rPr>
                <w:color w:val="auto"/>
                <w:sz w:val="21"/>
                <w:szCs w:val="21"/>
                <w:highlight w:val="none"/>
              </w:rPr>
            </w:pPr>
            <w:r>
              <w:rPr>
                <w:rFonts w:hint="eastAsia"/>
                <w:color w:val="auto"/>
                <w:sz w:val="21"/>
                <w:szCs w:val="21"/>
                <w:highlight w:val="none"/>
                <w:lang w:val="en-US" w:eastAsia="zh-CN"/>
              </w:rPr>
              <w:t>外购</w:t>
            </w:r>
          </w:p>
        </w:tc>
      </w:tr>
      <w:tr w14:paraId="0ABD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13E8C8FE">
            <w:pPr>
              <w:jc w:val="center"/>
              <w:rPr>
                <w:color w:val="auto"/>
                <w:sz w:val="21"/>
                <w:szCs w:val="21"/>
                <w:highlight w:val="none"/>
              </w:rPr>
            </w:pPr>
            <w:r>
              <w:rPr>
                <w:rFonts w:hint="eastAsia"/>
                <w:color w:val="auto"/>
                <w:sz w:val="21"/>
                <w:szCs w:val="21"/>
                <w:highlight w:val="none"/>
              </w:rPr>
              <w:t>3</w:t>
            </w:r>
          </w:p>
        </w:tc>
        <w:tc>
          <w:tcPr>
            <w:tcW w:w="395" w:type="pct"/>
            <w:vMerge w:val="continue"/>
            <w:noWrap w:val="0"/>
            <w:vAlign w:val="center"/>
          </w:tcPr>
          <w:p w14:paraId="2D70C480">
            <w:pPr>
              <w:jc w:val="center"/>
              <w:rPr>
                <w:rFonts w:hint="eastAsia"/>
                <w:color w:val="auto"/>
                <w:sz w:val="21"/>
                <w:szCs w:val="21"/>
                <w:highlight w:val="none"/>
              </w:rPr>
            </w:pPr>
          </w:p>
        </w:tc>
        <w:tc>
          <w:tcPr>
            <w:tcW w:w="1031" w:type="pct"/>
            <w:noWrap w:val="0"/>
            <w:vAlign w:val="center"/>
          </w:tcPr>
          <w:p w14:paraId="130240E7">
            <w:pPr>
              <w:widowControl/>
              <w:jc w:val="center"/>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茂金属聚乙烯MLLDPE</w:t>
            </w:r>
          </w:p>
        </w:tc>
        <w:tc>
          <w:tcPr>
            <w:tcW w:w="433" w:type="pct"/>
            <w:noWrap w:val="0"/>
            <w:vAlign w:val="center"/>
          </w:tcPr>
          <w:p w14:paraId="2ACE5FD6">
            <w:pPr>
              <w:pStyle w:val="36"/>
              <w:rPr>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42951AF7">
            <w:pPr>
              <w:jc w:val="center"/>
              <w:rPr>
                <w:color w:val="auto"/>
                <w:sz w:val="21"/>
                <w:szCs w:val="21"/>
                <w:highlight w:val="none"/>
              </w:rPr>
            </w:pPr>
            <w:r>
              <w:rPr>
                <w:color w:val="auto"/>
                <w:sz w:val="21"/>
                <w:szCs w:val="21"/>
                <w:highlight w:val="none"/>
              </w:rPr>
              <w:t>25kg/袋</w:t>
            </w:r>
          </w:p>
        </w:tc>
        <w:tc>
          <w:tcPr>
            <w:tcW w:w="380" w:type="pct"/>
            <w:noWrap w:val="0"/>
            <w:vAlign w:val="center"/>
          </w:tcPr>
          <w:p w14:paraId="3E942E19">
            <w:pPr>
              <w:jc w:val="center"/>
              <w:rPr>
                <w:color w:val="auto"/>
                <w:sz w:val="21"/>
                <w:szCs w:val="21"/>
                <w:highlight w:val="none"/>
              </w:rPr>
            </w:pPr>
            <w:r>
              <w:rPr>
                <w:color w:val="auto"/>
                <w:sz w:val="21"/>
                <w:szCs w:val="21"/>
                <w:highlight w:val="none"/>
              </w:rPr>
              <w:t>t/a</w:t>
            </w:r>
          </w:p>
        </w:tc>
        <w:tc>
          <w:tcPr>
            <w:tcW w:w="509" w:type="pct"/>
            <w:noWrap w:val="0"/>
            <w:vAlign w:val="center"/>
          </w:tcPr>
          <w:p w14:paraId="224F92E6">
            <w:pPr>
              <w:keepNext w:val="0"/>
              <w:keepLines w:val="0"/>
              <w:widowControl/>
              <w:suppressLineNumbers w:val="0"/>
              <w:jc w:val="center"/>
              <w:textAlignment w:val="auto"/>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i w:val="0"/>
                <w:iCs w:val="0"/>
                <w:color w:val="auto"/>
                <w:kern w:val="2"/>
                <w:sz w:val="21"/>
                <w:szCs w:val="21"/>
                <w:highlight w:val="none"/>
                <w:u w:val="none"/>
                <w:lang w:val="en-US" w:eastAsia="zh-CN" w:bidi="ar"/>
              </w:rPr>
              <w:t>800</w:t>
            </w:r>
          </w:p>
        </w:tc>
        <w:tc>
          <w:tcPr>
            <w:tcW w:w="707" w:type="pct"/>
            <w:noWrap w:val="0"/>
            <w:vAlign w:val="center"/>
          </w:tcPr>
          <w:p w14:paraId="4E3FADE5">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40</w:t>
            </w:r>
          </w:p>
        </w:tc>
        <w:tc>
          <w:tcPr>
            <w:tcW w:w="514" w:type="pct"/>
            <w:noWrap w:val="0"/>
            <w:vAlign w:val="center"/>
          </w:tcPr>
          <w:p w14:paraId="6A0558BC">
            <w:pPr>
              <w:jc w:val="center"/>
              <w:rPr>
                <w:rFonts w:hint="eastAsia"/>
                <w:color w:val="auto"/>
                <w:sz w:val="21"/>
                <w:szCs w:val="21"/>
                <w:highlight w:val="none"/>
              </w:rPr>
            </w:pPr>
            <w:r>
              <w:rPr>
                <w:rFonts w:hint="eastAsia"/>
                <w:color w:val="auto"/>
                <w:sz w:val="21"/>
                <w:szCs w:val="21"/>
                <w:highlight w:val="none"/>
                <w:lang w:val="en-US" w:eastAsia="zh-CN"/>
              </w:rPr>
              <w:t>外购</w:t>
            </w:r>
          </w:p>
        </w:tc>
      </w:tr>
      <w:tr w14:paraId="354B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3961B68F">
            <w:pPr>
              <w:jc w:val="center"/>
              <w:rPr>
                <w:color w:val="auto"/>
                <w:sz w:val="21"/>
                <w:szCs w:val="21"/>
                <w:highlight w:val="none"/>
              </w:rPr>
            </w:pPr>
            <w:r>
              <w:rPr>
                <w:color w:val="auto"/>
                <w:sz w:val="21"/>
                <w:szCs w:val="21"/>
                <w:highlight w:val="none"/>
              </w:rPr>
              <w:t>4</w:t>
            </w:r>
          </w:p>
        </w:tc>
        <w:tc>
          <w:tcPr>
            <w:tcW w:w="395" w:type="pct"/>
            <w:vMerge w:val="continue"/>
            <w:noWrap w:val="0"/>
            <w:vAlign w:val="center"/>
          </w:tcPr>
          <w:p w14:paraId="7CA23866">
            <w:pPr>
              <w:jc w:val="center"/>
              <w:rPr>
                <w:rFonts w:hint="eastAsia"/>
                <w:color w:val="auto"/>
                <w:sz w:val="21"/>
                <w:szCs w:val="21"/>
                <w:highlight w:val="none"/>
              </w:rPr>
            </w:pPr>
          </w:p>
        </w:tc>
        <w:tc>
          <w:tcPr>
            <w:tcW w:w="1031" w:type="pct"/>
            <w:noWrap w:val="0"/>
            <w:vAlign w:val="center"/>
          </w:tcPr>
          <w:p w14:paraId="1EC385BB">
            <w:pPr>
              <w:widowControl/>
              <w:jc w:val="center"/>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乙烯-乙酸乙烯酯共聚物EVA</w:t>
            </w:r>
          </w:p>
        </w:tc>
        <w:tc>
          <w:tcPr>
            <w:tcW w:w="433" w:type="pct"/>
            <w:noWrap w:val="0"/>
            <w:vAlign w:val="center"/>
          </w:tcPr>
          <w:p w14:paraId="7249521F">
            <w:pPr>
              <w:pStyle w:val="36"/>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5F04594F">
            <w:pPr>
              <w:jc w:val="center"/>
              <w:rPr>
                <w:color w:val="auto"/>
                <w:sz w:val="21"/>
                <w:szCs w:val="21"/>
                <w:highlight w:val="none"/>
              </w:rPr>
            </w:pPr>
            <w:r>
              <w:rPr>
                <w:color w:val="auto"/>
                <w:sz w:val="21"/>
                <w:szCs w:val="21"/>
                <w:highlight w:val="none"/>
              </w:rPr>
              <w:t>25kg/袋</w:t>
            </w:r>
          </w:p>
        </w:tc>
        <w:tc>
          <w:tcPr>
            <w:tcW w:w="380" w:type="pct"/>
            <w:noWrap w:val="0"/>
            <w:vAlign w:val="center"/>
          </w:tcPr>
          <w:p w14:paraId="71A1303E">
            <w:pPr>
              <w:jc w:val="center"/>
              <w:rPr>
                <w:color w:val="auto"/>
                <w:sz w:val="21"/>
                <w:szCs w:val="21"/>
                <w:highlight w:val="none"/>
              </w:rPr>
            </w:pPr>
            <w:r>
              <w:rPr>
                <w:rFonts w:hint="eastAsia"/>
                <w:color w:val="auto"/>
                <w:sz w:val="21"/>
                <w:szCs w:val="21"/>
                <w:highlight w:val="none"/>
              </w:rPr>
              <w:t>t/a</w:t>
            </w:r>
          </w:p>
        </w:tc>
        <w:tc>
          <w:tcPr>
            <w:tcW w:w="509" w:type="pct"/>
            <w:noWrap w:val="0"/>
            <w:vAlign w:val="center"/>
          </w:tcPr>
          <w:p w14:paraId="0BF84322">
            <w:pPr>
              <w:keepNext w:val="0"/>
              <w:keepLines w:val="0"/>
              <w:widowControl/>
              <w:suppressLineNumbers w:val="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2"/>
                <w:sz w:val="21"/>
                <w:szCs w:val="21"/>
                <w:highlight w:val="none"/>
                <w:u w:val="none"/>
                <w:lang w:val="en-US" w:eastAsia="zh-CN" w:bidi="ar"/>
              </w:rPr>
              <w:t>500</w:t>
            </w:r>
          </w:p>
        </w:tc>
        <w:tc>
          <w:tcPr>
            <w:tcW w:w="707" w:type="pct"/>
            <w:noWrap w:val="0"/>
            <w:vAlign w:val="center"/>
          </w:tcPr>
          <w:p w14:paraId="5E411202">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25</w:t>
            </w:r>
          </w:p>
        </w:tc>
        <w:tc>
          <w:tcPr>
            <w:tcW w:w="514" w:type="pct"/>
            <w:noWrap w:val="0"/>
            <w:vAlign w:val="center"/>
          </w:tcPr>
          <w:p w14:paraId="37E0CD7F">
            <w:pPr>
              <w:jc w:val="center"/>
              <w:rPr>
                <w:rFonts w:hint="eastAsia"/>
                <w:color w:val="auto"/>
                <w:sz w:val="21"/>
                <w:szCs w:val="21"/>
                <w:highlight w:val="none"/>
              </w:rPr>
            </w:pPr>
            <w:r>
              <w:rPr>
                <w:rFonts w:hint="eastAsia"/>
                <w:color w:val="auto"/>
                <w:sz w:val="21"/>
                <w:szCs w:val="21"/>
                <w:highlight w:val="none"/>
                <w:lang w:val="en-US" w:eastAsia="zh-CN"/>
              </w:rPr>
              <w:t>外购</w:t>
            </w:r>
          </w:p>
        </w:tc>
      </w:tr>
      <w:tr w14:paraId="049F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20EB7226">
            <w:pPr>
              <w:jc w:val="center"/>
              <w:rPr>
                <w:color w:val="auto"/>
                <w:sz w:val="21"/>
                <w:szCs w:val="21"/>
                <w:highlight w:val="none"/>
              </w:rPr>
            </w:pPr>
            <w:r>
              <w:rPr>
                <w:color w:val="auto"/>
                <w:sz w:val="21"/>
                <w:szCs w:val="21"/>
                <w:highlight w:val="none"/>
              </w:rPr>
              <w:t>5</w:t>
            </w:r>
          </w:p>
        </w:tc>
        <w:tc>
          <w:tcPr>
            <w:tcW w:w="395" w:type="pct"/>
            <w:vMerge w:val="continue"/>
            <w:noWrap w:val="0"/>
            <w:vAlign w:val="center"/>
          </w:tcPr>
          <w:p w14:paraId="088664C3">
            <w:pPr>
              <w:jc w:val="center"/>
              <w:rPr>
                <w:rFonts w:hint="eastAsia"/>
                <w:color w:val="auto"/>
                <w:sz w:val="21"/>
                <w:szCs w:val="21"/>
                <w:highlight w:val="none"/>
              </w:rPr>
            </w:pPr>
          </w:p>
        </w:tc>
        <w:tc>
          <w:tcPr>
            <w:tcW w:w="1031" w:type="pct"/>
            <w:noWrap w:val="0"/>
            <w:vAlign w:val="center"/>
          </w:tcPr>
          <w:p w14:paraId="17EB4079">
            <w:pPr>
              <w:widowControl/>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高密度聚乙烯</w:t>
            </w:r>
          </w:p>
          <w:p w14:paraId="23B8538B">
            <w:pPr>
              <w:widowControl/>
              <w:jc w:val="center"/>
              <w:rPr>
                <w:rFonts w:hint="eastAsia"/>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HDPE</w:t>
            </w:r>
          </w:p>
        </w:tc>
        <w:tc>
          <w:tcPr>
            <w:tcW w:w="433" w:type="pct"/>
            <w:noWrap w:val="0"/>
            <w:vAlign w:val="center"/>
          </w:tcPr>
          <w:p w14:paraId="1379E016">
            <w:pPr>
              <w:pStyle w:val="36"/>
              <w:rPr>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5CF802E0">
            <w:pPr>
              <w:jc w:val="center"/>
              <w:rPr>
                <w:color w:val="auto"/>
                <w:sz w:val="21"/>
                <w:szCs w:val="21"/>
                <w:highlight w:val="none"/>
              </w:rPr>
            </w:pPr>
            <w:r>
              <w:rPr>
                <w:color w:val="auto"/>
                <w:sz w:val="21"/>
                <w:szCs w:val="21"/>
                <w:highlight w:val="none"/>
              </w:rPr>
              <w:t>25kg/袋</w:t>
            </w:r>
          </w:p>
        </w:tc>
        <w:tc>
          <w:tcPr>
            <w:tcW w:w="380" w:type="pct"/>
            <w:noWrap w:val="0"/>
            <w:vAlign w:val="center"/>
          </w:tcPr>
          <w:p w14:paraId="6A4FFF94">
            <w:pPr>
              <w:jc w:val="center"/>
              <w:rPr>
                <w:color w:val="auto"/>
                <w:sz w:val="21"/>
                <w:szCs w:val="21"/>
                <w:highlight w:val="none"/>
              </w:rPr>
            </w:pPr>
            <w:r>
              <w:rPr>
                <w:color w:val="auto"/>
                <w:sz w:val="21"/>
                <w:szCs w:val="21"/>
                <w:highlight w:val="none"/>
              </w:rPr>
              <w:t>t/a</w:t>
            </w:r>
          </w:p>
        </w:tc>
        <w:tc>
          <w:tcPr>
            <w:tcW w:w="509" w:type="pct"/>
            <w:noWrap w:val="0"/>
            <w:vAlign w:val="center"/>
          </w:tcPr>
          <w:p w14:paraId="46D17073">
            <w:pPr>
              <w:keepNext w:val="0"/>
              <w:keepLines w:val="0"/>
              <w:widowControl/>
              <w:suppressLineNumbers w:val="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i w:val="0"/>
                <w:iCs w:val="0"/>
                <w:color w:val="auto"/>
                <w:kern w:val="2"/>
                <w:sz w:val="21"/>
                <w:szCs w:val="21"/>
                <w:highlight w:val="none"/>
                <w:u w:val="none"/>
                <w:lang w:val="en-US" w:eastAsia="zh-CN" w:bidi="ar"/>
              </w:rPr>
              <w:t>1000</w:t>
            </w:r>
          </w:p>
        </w:tc>
        <w:tc>
          <w:tcPr>
            <w:tcW w:w="707" w:type="pct"/>
            <w:noWrap w:val="0"/>
            <w:vAlign w:val="center"/>
          </w:tcPr>
          <w:p w14:paraId="11AE43FA">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c>
          <w:tcPr>
            <w:tcW w:w="514" w:type="pct"/>
            <w:noWrap w:val="0"/>
            <w:vAlign w:val="center"/>
          </w:tcPr>
          <w:p w14:paraId="781A531C">
            <w:pPr>
              <w:jc w:val="center"/>
              <w:rPr>
                <w:color w:val="auto"/>
                <w:sz w:val="21"/>
                <w:szCs w:val="21"/>
                <w:highlight w:val="none"/>
              </w:rPr>
            </w:pPr>
            <w:r>
              <w:rPr>
                <w:rFonts w:hint="eastAsia"/>
                <w:color w:val="auto"/>
                <w:sz w:val="21"/>
                <w:szCs w:val="21"/>
                <w:highlight w:val="none"/>
                <w:lang w:val="en-US" w:eastAsia="zh-CN"/>
              </w:rPr>
              <w:t>外购</w:t>
            </w:r>
          </w:p>
        </w:tc>
      </w:tr>
      <w:tr w14:paraId="3D017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4F250F77">
            <w:pPr>
              <w:jc w:val="center"/>
              <w:rPr>
                <w:color w:val="auto"/>
                <w:sz w:val="21"/>
                <w:szCs w:val="21"/>
                <w:highlight w:val="none"/>
              </w:rPr>
            </w:pPr>
            <w:r>
              <w:rPr>
                <w:color w:val="auto"/>
                <w:sz w:val="21"/>
                <w:szCs w:val="21"/>
                <w:highlight w:val="none"/>
              </w:rPr>
              <w:t>6</w:t>
            </w:r>
          </w:p>
        </w:tc>
        <w:tc>
          <w:tcPr>
            <w:tcW w:w="1426" w:type="pct"/>
            <w:gridSpan w:val="2"/>
            <w:noWrap w:val="0"/>
            <w:vAlign w:val="center"/>
          </w:tcPr>
          <w:p w14:paraId="39FAA9A5">
            <w:pPr>
              <w:jc w:val="center"/>
              <w:rPr>
                <w:rFonts w:hint="eastAsia"/>
                <w:color w:val="auto"/>
                <w:sz w:val="21"/>
                <w:szCs w:val="21"/>
                <w:highlight w:val="none"/>
              </w:rPr>
            </w:pPr>
            <w:r>
              <w:rPr>
                <w:rFonts w:hint="eastAsia"/>
                <w:color w:val="auto"/>
                <w:sz w:val="21"/>
                <w:szCs w:val="21"/>
                <w:highlight w:val="none"/>
              </w:rPr>
              <w:t>添加剂</w:t>
            </w:r>
          </w:p>
          <w:p w14:paraId="4B3F2BFF">
            <w:pPr>
              <w:jc w:val="center"/>
              <w:rPr>
                <w:rFonts w:hint="eastAsia"/>
                <w:color w:val="auto"/>
                <w:sz w:val="21"/>
                <w:szCs w:val="21"/>
                <w:highlight w:val="none"/>
              </w:rPr>
            </w:pPr>
            <w:r>
              <w:rPr>
                <w:rFonts w:hint="eastAsia"/>
                <w:color w:val="auto"/>
                <w:sz w:val="21"/>
                <w:szCs w:val="21"/>
                <w:highlight w:val="none"/>
              </w:rPr>
              <w:t>（</w:t>
            </w:r>
            <w:r>
              <w:rPr>
                <w:rFonts w:hint="eastAsia"/>
                <w:color w:val="auto"/>
                <w:sz w:val="21"/>
                <w:szCs w:val="21"/>
                <w:highlight w:val="none"/>
                <w:lang w:val="en-US" w:eastAsia="zh-CN"/>
              </w:rPr>
              <w:t xml:space="preserve">开口、爽滑、PPA母料 </w:t>
            </w:r>
            <w:r>
              <w:rPr>
                <w:rFonts w:hint="eastAsia"/>
                <w:color w:val="auto"/>
                <w:sz w:val="21"/>
                <w:szCs w:val="21"/>
                <w:highlight w:val="none"/>
              </w:rPr>
              <w:t>）</w:t>
            </w:r>
          </w:p>
        </w:tc>
        <w:tc>
          <w:tcPr>
            <w:tcW w:w="433" w:type="pct"/>
            <w:noWrap w:val="0"/>
            <w:vAlign w:val="center"/>
          </w:tcPr>
          <w:p w14:paraId="782F6349">
            <w:pPr>
              <w:pStyle w:val="36"/>
              <w:rPr>
                <w:color w:val="auto"/>
                <w:sz w:val="21"/>
                <w:szCs w:val="21"/>
                <w:highlight w:val="none"/>
              </w:rPr>
            </w:pPr>
            <w:r>
              <w:rPr>
                <w:rFonts w:hint="eastAsia" w:ascii="Times New Roman" w:hAnsi="Times New Roman" w:eastAsia="宋体" w:cs="Times New Roman"/>
                <w:b w:val="0"/>
                <w:bCs/>
                <w:color w:val="auto"/>
                <w:sz w:val="21"/>
                <w:szCs w:val="21"/>
                <w:highlight w:val="none"/>
                <w:lang w:val="en-US" w:eastAsia="zh-CN"/>
              </w:rPr>
              <w:t>颗粒</w:t>
            </w:r>
          </w:p>
        </w:tc>
        <w:tc>
          <w:tcPr>
            <w:tcW w:w="696" w:type="pct"/>
            <w:noWrap w:val="0"/>
            <w:vAlign w:val="center"/>
          </w:tcPr>
          <w:p w14:paraId="58A5A633">
            <w:pPr>
              <w:jc w:val="center"/>
              <w:rPr>
                <w:color w:val="auto"/>
                <w:sz w:val="21"/>
                <w:szCs w:val="21"/>
                <w:highlight w:val="none"/>
              </w:rPr>
            </w:pPr>
            <w:r>
              <w:rPr>
                <w:rFonts w:hint="eastAsia"/>
                <w:color w:val="auto"/>
                <w:sz w:val="21"/>
                <w:szCs w:val="21"/>
                <w:highlight w:val="none"/>
                <w:lang w:val="en-US" w:eastAsia="zh-CN"/>
              </w:rPr>
              <w:t>25</w:t>
            </w:r>
            <w:r>
              <w:rPr>
                <w:color w:val="auto"/>
                <w:sz w:val="21"/>
                <w:szCs w:val="21"/>
                <w:highlight w:val="none"/>
              </w:rPr>
              <w:t>kg/袋</w:t>
            </w:r>
          </w:p>
        </w:tc>
        <w:tc>
          <w:tcPr>
            <w:tcW w:w="380" w:type="pct"/>
            <w:noWrap w:val="0"/>
            <w:vAlign w:val="center"/>
          </w:tcPr>
          <w:p w14:paraId="6046F278">
            <w:pPr>
              <w:jc w:val="center"/>
              <w:rPr>
                <w:color w:val="auto"/>
                <w:sz w:val="21"/>
                <w:szCs w:val="21"/>
                <w:highlight w:val="none"/>
              </w:rPr>
            </w:pPr>
            <w:r>
              <w:rPr>
                <w:color w:val="auto"/>
                <w:sz w:val="21"/>
                <w:szCs w:val="21"/>
                <w:highlight w:val="none"/>
              </w:rPr>
              <w:t>t/a</w:t>
            </w:r>
          </w:p>
        </w:tc>
        <w:tc>
          <w:tcPr>
            <w:tcW w:w="509" w:type="pct"/>
            <w:noWrap w:val="0"/>
            <w:vAlign w:val="center"/>
          </w:tcPr>
          <w:p w14:paraId="3DBF942E">
            <w:pPr>
              <w:widowControl/>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200</w:t>
            </w:r>
          </w:p>
        </w:tc>
        <w:tc>
          <w:tcPr>
            <w:tcW w:w="707" w:type="pct"/>
            <w:noWrap w:val="0"/>
            <w:vAlign w:val="center"/>
          </w:tcPr>
          <w:p w14:paraId="0B1BCE26">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c>
          <w:tcPr>
            <w:tcW w:w="514" w:type="pct"/>
            <w:noWrap w:val="0"/>
            <w:vAlign w:val="center"/>
          </w:tcPr>
          <w:p w14:paraId="59A08F39">
            <w:pPr>
              <w:jc w:val="center"/>
              <w:rPr>
                <w:color w:val="auto"/>
                <w:sz w:val="21"/>
                <w:szCs w:val="21"/>
                <w:highlight w:val="none"/>
              </w:rPr>
            </w:pPr>
            <w:r>
              <w:rPr>
                <w:rFonts w:hint="eastAsia"/>
                <w:color w:val="auto"/>
                <w:sz w:val="21"/>
                <w:szCs w:val="21"/>
                <w:highlight w:val="none"/>
                <w:lang w:val="en-US" w:eastAsia="zh-CN"/>
              </w:rPr>
              <w:t>外购</w:t>
            </w:r>
          </w:p>
        </w:tc>
      </w:tr>
      <w:tr w14:paraId="08A17E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31" w:type="pct"/>
            <w:noWrap w:val="0"/>
            <w:vAlign w:val="center"/>
          </w:tcPr>
          <w:p w14:paraId="2091B64D">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7</w:t>
            </w:r>
          </w:p>
        </w:tc>
        <w:tc>
          <w:tcPr>
            <w:tcW w:w="1426" w:type="pct"/>
            <w:gridSpan w:val="2"/>
            <w:noWrap w:val="0"/>
            <w:vAlign w:val="center"/>
          </w:tcPr>
          <w:p w14:paraId="6F73BCF8">
            <w:pPr>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润滑油</w:t>
            </w:r>
          </w:p>
        </w:tc>
        <w:tc>
          <w:tcPr>
            <w:tcW w:w="433" w:type="pct"/>
            <w:noWrap w:val="0"/>
            <w:vAlign w:val="center"/>
          </w:tcPr>
          <w:p w14:paraId="0748C6C2">
            <w:pPr>
              <w:pStyle w:val="36"/>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液态</w:t>
            </w:r>
          </w:p>
        </w:tc>
        <w:tc>
          <w:tcPr>
            <w:tcW w:w="696" w:type="pct"/>
            <w:noWrap w:val="0"/>
            <w:vAlign w:val="center"/>
          </w:tcPr>
          <w:p w14:paraId="6ACB9E68">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20</w:t>
            </w:r>
            <w:r>
              <w:rPr>
                <w:color w:val="auto"/>
                <w:sz w:val="21"/>
                <w:szCs w:val="21"/>
                <w:highlight w:val="none"/>
              </w:rPr>
              <w:t>kg/</w:t>
            </w:r>
            <w:r>
              <w:rPr>
                <w:rFonts w:hint="eastAsia"/>
                <w:color w:val="auto"/>
                <w:sz w:val="21"/>
                <w:szCs w:val="21"/>
                <w:highlight w:val="none"/>
                <w:lang w:val="en-US" w:eastAsia="zh-CN"/>
              </w:rPr>
              <w:t>桶</w:t>
            </w:r>
          </w:p>
        </w:tc>
        <w:tc>
          <w:tcPr>
            <w:tcW w:w="380" w:type="pct"/>
            <w:shd w:val="clear" w:color="auto" w:fill="auto"/>
            <w:noWrap w:val="0"/>
            <w:vAlign w:val="center"/>
          </w:tcPr>
          <w:p w14:paraId="13393B71">
            <w:pPr>
              <w:jc w:val="center"/>
              <w:rPr>
                <w:rFonts w:ascii="Times New Roman" w:hAnsi="Times New Roman" w:eastAsia="宋体" w:cs="Times New Roman"/>
                <w:color w:val="auto"/>
                <w:kern w:val="2"/>
                <w:sz w:val="21"/>
                <w:szCs w:val="21"/>
                <w:highlight w:val="none"/>
                <w:lang w:val="en-US" w:eastAsia="zh-CN" w:bidi="ar-SA"/>
              </w:rPr>
            </w:pPr>
            <w:r>
              <w:rPr>
                <w:color w:val="auto"/>
                <w:sz w:val="21"/>
                <w:szCs w:val="21"/>
                <w:highlight w:val="none"/>
              </w:rPr>
              <w:t>t/a</w:t>
            </w:r>
          </w:p>
        </w:tc>
        <w:tc>
          <w:tcPr>
            <w:tcW w:w="509" w:type="pct"/>
            <w:shd w:val="clear" w:color="auto" w:fill="auto"/>
            <w:noWrap w:val="0"/>
            <w:vAlign w:val="center"/>
          </w:tcPr>
          <w:p w14:paraId="32B55B02">
            <w:pPr>
              <w:widowControl/>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0.02</w:t>
            </w:r>
          </w:p>
        </w:tc>
        <w:tc>
          <w:tcPr>
            <w:tcW w:w="707" w:type="pct"/>
            <w:shd w:val="clear" w:color="auto" w:fill="auto"/>
            <w:noWrap w:val="0"/>
            <w:vAlign w:val="center"/>
          </w:tcPr>
          <w:p w14:paraId="0F0C7FC4">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0.02</w:t>
            </w:r>
          </w:p>
        </w:tc>
        <w:tc>
          <w:tcPr>
            <w:tcW w:w="514" w:type="pct"/>
            <w:shd w:val="clear" w:color="auto" w:fill="auto"/>
            <w:noWrap w:val="0"/>
            <w:vAlign w:val="center"/>
          </w:tcPr>
          <w:p w14:paraId="1F94617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外购</w:t>
            </w:r>
          </w:p>
        </w:tc>
      </w:tr>
      <w:tr w14:paraId="1C89B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9"/>
            <w:noWrap w:val="0"/>
            <w:vAlign w:val="center"/>
          </w:tcPr>
          <w:p w14:paraId="5C2F79F9">
            <w:pPr>
              <w:jc w:val="left"/>
              <w:rPr>
                <w:rFonts w:hint="eastAsia"/>
                <w:color w:val="auto"/>
                <w:sz w:val="21"/>
                <w:szCs w:val="21"/>
                <w:highlight w:val="none"/>
                <w:lang w:val="en-US" w:eastAsia="zh-CN"/>
              </w:rPr>
            </w:pPr>
            <w:r>
              <w:rPr>
                <w:rFonts w:hint="eastAsia"/>
                <w:color w:val="auto"/>
                <w:sz w:val="21"/>
                <w:szCs w:val="21"/>
                <w:highlight w:val="none"/>
              </w:rPr>
              <w:t>备注：本项目采用的塑料粒子均使用新料。</w:t>
            </w:r>
          </w:p>
        </w:tc>
      </w:tr>
    </w:tbl>
    <w:p w14:paraId="68EB8935">
      <w:pPr>
        <w:spacing w:line="360" w:lineRule="auto"/>
        <w:ind w:firstLine="480" w:firstLineChars="200"/>
        <w:rPr>
          <w:color w:val="auto"/>
          <w:sz w:val="24"/>
          <w:szCs w:val="24"/>
          <w:highlight w:val="none"/>
        </w:rPr>
      </w:pPr>
      <w:r>
        <w:rPr>
          <w:b/>
          <w:bCs/>
          <w:color w:val="auto"/>
          <w:sz w:val="24"/>
          <w:szCs w:val="24"/>
          <w:highlight w:val="none"/>
        </w:rPr>
        <w:t>主要原辅材料理化性质：</w:t>
      </w:r>
    </w:p>
    <w:p w14:paraId="4AF9D0C4">
      <w:p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PE</w:t>
      </w:r>
      <w:r>
        <w:rPr>
          <w:rFonts w:hint="eastAsia" w:ascii="Times New Roman" w:hAnsi="Times New Roman" w:eastAsia="宋体" w:cs="Times New Roman"/>
          <w:color w:val="auto"/>
          <w:sz w:val="24"/>
          <w:szCs w:val="24"/>
          <w:highlight w:val="none"/>
          <w:lang w:val="en-US" w:eastAsia="zh-CN"/>
        </w:rPr>
        <w:t>（聚乙烯）粒子：聚乙烯塑料粒子，是乙烯经聚合制得的一种热塑性树脂。在工业上，也包括乙烯与</w:t>
      </w:r>
      <w:r>
        <w:rPr>
          <w:rFonts w:hint="default" w:ascii="Times New Roman" w:hAnsi="Times New Roman" w:eastAsia="宋体" w:cs="Times New Roman"/>
          <w:color w:val="auto"/>
          <w:sz w:val="24"/>
          <w:szCs w:val="24"/>
          <w:highlight w:val="none"/>
          <w:lang w:val="en-US" w:eastAsia="zh-CN"/>
        </w:rPr>
        <w:t>少量α-烯烃的共</w:t>
      </w:r>
      <w:r>
        <w:rPr>
          <w:rFonts w:hint="eastAsia" w:ascii="Times New Roman" w:hAnsi="Times New Roman" w:eastAsia="宋体" w:cs="Times New Roman"/>
          <w:color w:val="auto"/>
          <w:sz w:val="24"/>
          <w:szCs w:val="24"/>
          <w:highlight w:val="none"/>
          <w:lang w:val="en-US" w:eastAsia="zh-CN"/>
        </w:rPr>
        <w:t>聚物。聚乙烯无臭，无毒，手感似蜡，具有优良的耐低温性能（最低使用温度可达</w:t>
      </w:r>
      <w:r>
        <w:rPr>
          <w:rFonts w:hint="default" w:ascii="Times New Roman" w:hAnsi="Times New Roman" w:eastAsia="宋体" w:cs="Times New Roman"/>
          <w:color w:val="auto"/>
          <w:sz w:val="24"/>
          <w:szCs w:val="24"/>
          <w:highlight w:val="none"/>
          <w:lang w:val="en-US" w:eastAsia="zh-CN"/>
        </w:rPr>
        <w:t>-100~-70°C</w:t>
      </w:r>
      <w:r>
        <w:rPr>
          <w:rFonts w:hint="eastAsia" w:ascii="Times New Roman" w:hAnsi="Times New Roman" w:eastAsia="宋体" w:cs="Times New Roman"/>
          <w:color w:val="auto"/>
          <w:sz w:val="24"/>
          <w:szCs w:val="24"/>
          <w:highlight w:val="none"/>
          <w:lang w:val="en-US" w:eastAsia="zh-CN"/>
        </w:rPr>
        <w:t>），熔点92 </w:t>
      </w:r>
      <w:r>
        <w:rPr>
          <w:rFonts w:hint="default"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，热分解</w:t>
      </w:r>
      <w:r>
        <w:rPr>
          <w:rFonts w:hint="default" w:ascii="Times New Roman" w:hAnsi="Times New Roman" w:eastAsia="宋体" w:cs="Times New Roman"/>
          <w:color w:val="auto"/>
          <w:sz w:val="24"/>
          <w:szCs w:val="24"/>
          <w:highlight w:val="none"/>
          <w:lang w:val="en-US" w:eastAsia="zh-CN"/>
        </w:rPr>
        <w:t>温度为300℃以上。化学稳</w:t>
      </w:r>
      <w:r>
        <w:rPr>
          <w:rFonts w:hint="eastAsia" w:ascii="Times New Roman" w:hAnsi="Times New Roman" w:eastAsia="宋体" w:cs="Times New Roman"/>
          <w:color w:val="auto"/>
          <w:sz w:val="24"/>
          <w:szCs w:val="24"/>
          <w:highlight w:val="none"/>
          <w:lang w:val="en-US" w:eastAsia="zh-CN"/>
        </w:rPr>
        <w:t>定性好，能耐大多数酸碱的侵蚀（不耐具有氧化性质的酸）。常温下不溶于一般溶剂，吸水性小，电绝缘性优良。</w:t>
      </w:r>
    </w:p>
    <w:p w14:paraId="1EFC4D13">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与L</w:t>
      </w:r>
      <w:r>
        <w:rPr>
          <w:rFonts w:hint="default" w:ascii="Times New Roman" w:hAnsi="Times New Roman" w:eastAsia="宋体" w:cs="Times New Roman"/>
          <w:color w:val="auto"/>
          <w:sz w:val="24"/>
          <w:szCs w:val="24"/>
          <w:highlight w:val="none"/>
          <w:lang w:val="en-US" w:eastAsia="zh-CN"/>
        </w:rPr>
        <w:t>DPE相比，LLDPE具有优异的耐环境应力开裂性能和电绝缘性，较高的耐热性能，抗冲和耐穿刺性能等。HDPE</w:t>
      </w:r>
      <w:r>
        <w:rPr>
          <w:rFonts w:ascii="Times New Roman" w:hAnsi="Times New Roman" w:eastAsia="宋体" w:cs="Times New Roman"/>
          <w:i w:val="0"/>
          <w:iCs w:val="0"/>
          <w:caps w:val="0"/>
          <w:color w:val="auto"/>
          <w:spacing w:val="0"/>
          <w:sz w:val="24"/>
          <w:szCs w:val="24"/>
          <w:highlight w:val="none"/>
          <w:shd w:val="clear" w:color="auto" w:fill="FFFFFF"/>
        </w:rPr>
        <w:t>常温下不溶于一般溶剂，但在脂肪烃、芳香烃和卤代烃中长时间接触时能溶胀，在70℃以上时稍溶于甲苯、醋酸中。在</w: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begin"/>
      </w:r>
      <w:r>
        <w:rPr>
          <w:rFonts w:hint="default" w:ascii="Times New Roman" w:hAnsi="Times New Roman" w:eastAsia="宋体" w:cs="Times New Roman"/>
          <w:i w:val="0"/>
          <w:iCs w:val="0"/>
          <w:caps w:val="0"/>
          <w:color w:val="auto"/>
          <w:spacing w:val="0"/>
          <w:sz w:val="24"/>
          <w:szCs w:val="24"/>
          <w:highlight w:val="none"/>
          <w:u w:val="none"/>
          <w:shd w:val="clear" w:color="auto" w:fill="FFFFFF"/>
        </w:rPr>
        <w:instrText xml:space="preserve"> HYPERLINK "https://baike.so.com/doc/5410842-8693161.html" \t "https://baike.so.com/doc/_blank" </w:instrTex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separate"/>
      </w:r>
      <w:r>
        <w:rPr>
          <w:rStyle w:val="18"/>
          <w:rFonts w:hint="default" w:ascii="Times New Roman" w:hAnsi="Times New Roman" w:eastAsia="宋体" w:cs="Times New Roman"/>
          <w:i w:val="0"/>
          <w:iCs w:val="0"/>
          <w:caps w:val="0"/>
          <w:color w:val="auto"/>
          <w:spacing w:val="0"/>
          <w:sz w:val="24"/>
          <w:szCs w:val="24"/>
          <w:highlight w:val="none"/>
          <w:u w:val="none"/>
          <w:shd w:val="clear" w:color="auto" w:fill="FFFFFF"/>
        </w:rPr>
        <w:t>空气</w: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end"/>
      </w:r>
      <w:r>
        <w:rPr>
          <w:rFonts w:hint="default" w:ascii="Times New Roman" w:hAnsi="Times New Roman" w:eastAsia="宋体" w:cs="Times New Roman"/>
          <w:i w:val="0"/>
          <w:iCs w:val="0"/>
          <w:caps w:val="0"/>
          <w:color w:val="auto"/>
          <w:spacing w:val="0"/>
          <w:sz w:val="24"/>
          <w:szCs w:val="24"/>
          <w:highlight w:val="none"/>
          <w:shd w:val="clear" w:color="auto" w:fill="FFFFFF"/>
        </w:rPr>
        <w:t>中加热和受日光影响发生</w: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begin"/>
      </w:r>
      <w:r>
        <w:rPr>
          <w:rFonts w:hint="default" w:ascii="Times New Roman" w:hAnsi="Times New Roman" w:eastAsia="宋体" w:cs="Times New Roman"/>
          <w:i w:val="0"/>
          <w:iCs w:val="0"/>
          <w:caps w:val="0"/>
          <w:color w:val="auto"/>
          <w:spacing w:val="0"/>
          <w:sz w:val="24"/>
          <w:szCs w:val="24"/>
          <w:highlight w:val="none"/>
          <w:u w:val="none"/>
          <w:shd w:val="clear" w:color="auto" w:fill="FFFFFF"/>
        </w:rPr>
        <w:instrText xml:space="preserve"> HYPERLINK "https://baike.so.com/doc/5672828-5885494.html" \t "https://baike.so.com/doc/_blank" </w:instrTex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separate"/>
      </w:r>
      <w:r>
        <w:rPr>
          <w:rStyle w:val="18"/>
          <w:rFonts w:hint="default" w:ascii="Times New Roman" w:hAnsi="Times New Roman" w:eastAsia="宋体" w:cs="Times New Roman"/>
          <w:i w:val="0"/>
          <w:iCs w:val="0"/>
          <w:caps w:val="0"/>
          <w:color w:val="auto"/>
          <w:spacing w:val="0"/>
          <w:sz w:val="24"/>
          <w:szCs w:val="24"/>
          <w:highlight w:val="none"/>
          <w:u w:val="none"/>
          <w:shd w:val="clear" w:color="auto" w:fill="FFFFFF"/>
        </w:rPr>
        <w:t>氧化</w:t>
      </w:r>
      <w:r>
        <w:rPr>
          <w:rFonts w:hint="default" w:ascii="Times New Roman" w:hAnsi="Times New Roman" w:eastAsia="宋体" w:cs="Times New Roman"/>
          <w:i w:val="0"/>
          <w:iCs w:val="0"/>
          <w:caps w:val="0"/>
          <w:color w:val="auto"/>
          <w:spacing w:val="0"/>
          <w:sz w:val="24"/>
          <w:szCs w:val="24"/>
          <w:highlight w:val="none"/>
          <w:u w:val="none"/>
          <w:shd w:val="clear" w:color="auto" w:fill="FFFFFF"/>
        </w:rPr>
        <w:fldChar w:fldCharType="end"/>
      </w:r>
      <w:r>
        <w:rPr>
          <w:rFonts w:hint="default" w:ascii="Times New Roman" w:hAnsi="Times New Roman" w:eastAsia="宋体" w:cs="Times New Roman"/>
          <w:i w:val="0"/>
          <w:iCs w:val="0"/>
          <w:caps w:val="0"/>
          <w:color w:val="auto"/>
          <w:spacing w:val="0"/>
          <w:sz w:val="24"/>
          <w:szCs w:val="24"/>
          <w:highlight w:val="none"/>
          <w:shd w:val="clear" w:color="auto" w:fill="FFFFFF"/>
        </w:rPr>
        <w:t>作用。能耐大多数酸碱的侵蚀。吸水性小，在低温时仍能保持柔软性，电绝缘性高。</w:t>
      </w:r>
      <w:r>
        <w:rPr>
          <w:rFonts w:hint="default" w:ascii="Times New Roman" w:hAnsi="Times New Roman" w:eastAsia="宋体" w:cs="Times New Roman"/>
          <w:i w:val="0"/>
          <w:iCs w:val="0"/>
          <w:caps w:val="0"/>
          <w:color w:val="auto"/>
          <w:spacing w:val="0"/>
          <w:sz w:val="24"/>
          <w:szCs w:val="24"/>
          <w:highlight w:val="none"/>
          <w:shd w:val="clear" w:color="auto" w:fill="FFFFFF"/>
          <w:lang w:val="en-US" w:eastAsia="zh-CN"/>
        </w:rPr>
        <w:t>MLLDPE是使用茂金属(MAO) 为聚合催化剂生产出来的聚乙烯</w:t>
      </w:r>
      <w:r>
        <w:rPr>
          <w:rFonts w:hint="eastAsia" w:ascii="Times New Roman" w:hAnsi="Times New Roman" w:eastAsia="宋体" w:cs="Times New Roman"/>
          <w:i w:val="0"/>
          <w:iCs w:val="0"/>
          <w:caps w:val="0"/>
          <w:color w:val="auto"/>
          <w:spacing w:val="0"/>
          <w:sz w:val="24"/>
          <w:szCs w:val="24"/>
          <w:highlight w:val="none"/>
          <w:shd w:val="clear" w:color="auto" w:fill="FFFFFF"/>
          <w:lang w:val="en-US" w:eastAsia="zh-CN"/>
        </w:rPr>
        <w:t>，在韧性、透明度、热粘性、热封温度、低气味方面等明显优于传统聚乙烯，可用于生产重包装袋、金属垃圾箱内衬、食品包装、拉伸薄膜等。EVA树脂是乙烯-醋酸乙烯共聚物，一般醋酸乙烯(VA)含量在5%~40%，与聚乙烯相比，EVA由于在分子链中引入了醋酸乙烯单体，从而降低了高结晶度，提高了柔韧性、抗冲击性、填料相溶性和热密封性能，被广泛应用于发泡鞋料、功能性棚膜、包装膜、热熔胶、电线电缆及玩具等领域。</w:t>
      </w:r>
    </w:p>
    <w:p w14:paraId="323C682C">
      <w:pPr>
        <w:spacing w:line="360" w:lineRule="auto"/>
        <w:ind w:firstLine="480" w:firstLineChars="200"/>
        <w:rPr>
          <w:rFonts w:hint="default" w:ascii="Times New Roman" w:hAnsi="Times New Roman" w:cs="Times New Roman"/>
          <w:color w:val="auto"/>
          <w:kern w:val="0"/>
          <w:sz w:val="24"/>
          <w:szCs w:val="24"/>
          <w:highlight w:val="none"/>
        </w:rPr>
      </w:pPr>
      <w:r>
        <w:rPr>
          <w:rFonts w:hint="eastAsia" w:ascii="Times New Roman" w:hAnsi="Times New Roman" w:cs="Times New Roman"/>
          <w:color w:val="auto"/>
          <w:kern w:val="0"/>
          <w:sz w:val="24"/>
          <w:szCs w:val="24"/>
          <w:highlight w:val="none"/>
          <w:lang w:val="en-US" w:eastAsia="zh-CN"/>
        </w:rPr>
        <w:t>（2）</w:t>
      </w:r>
      <w:r>
        <w:rPr>
          <w:rFonts w:hint="default" w:ascii="Times New Roman" w:hAnsi="Times New Roman" w:cs="Times New Roman"/>
          <w:color w:val="auto"/>
          <w:kern w:val="0"/>
          <w:sz w:val="24"/>
          <w:szCs w:val="24"/>
          <w:highlight w:val="none"/>
          <w:lang w:val="en-US" w:eastAsia="zh-CN"/>
        </w:rPr>
        <w:t>开口</w:t>
      </w:r>
      <w:r>
        <w:rPr>
          <w:rFonts w:ascii="Times New Roman" w:hAnsi="Times New Roman" w:cs="Times New Roman"/>
          <w:color w:val="auto"/>
          <w:kern w:val="0"/>
          <w:sz w:val="24"/>
          <w:szCs w:val="24"/>
          <w:highlight w:val="none"/>
        </w:rPr>
        <w:t>母料</w:t>
      </w:r>
      <w:r>
        <w:rPr>
          <w:rFonts w:hint="default" w:ascii="Times New Roman" w:hAnsi="Times New Roman" w:cs="Times New Roman"/>
          <w:color w:val="auto"/>
          <w:kern w:val="0"/>
          <w:sz w:val="24"/>
          <w:szCs w:val="24"/>
          <w:highlight w:val="none"/>
        </w:rPr>
        <w:t>：</w:t>
      </w:r>
      <w:r>
        <w:rPr>
          <w:rFonts w:ascii="Times New Roman" w:hAnsi="Times New Roman" w:cs="Times New Roman"/>
          <w:color w:val="auto"/>
          <w:kern w:val="0"/>
          <w:sz w:val="24"/>
          <w:szCs w:val="24"/>
          <w:highlight w:val="none"/>
        </w:rPr>
        <w:t>主要用途</w:t>
      </w:r>
      <w:r>
        <w:rPr>
          <w:rFonts w:hint="default" w:ascii="Times New Roman" w:hAnsi="Times New Roman" w:cs="Times New Roman"/>
          <w:color w:val="auto"/>
          <w:kern w:val="0"/>
          <w:sz w:val="24"/>
          <w:szCs w:val="24"/>
          <w:highlight w:val="none"/>
        </w:rPr>
        <w:t>为</w:t>
      </w:r>
      <w:r>
        <w:rPr>
          <w:rFonts w:ascii="Times New Roman" w:hAnsi="Times New Roman" w:cs="Times New Roman"/>
          <w:color w:val="auto"/>
          <w:kern w:val="0"/>
          <w:sz w:val="24"/>
          <w:szCs w:val="24"/>
          <w:highlight w:val="none"/>
        </w:rPr>
        <w:t>防粘</w:t>
      </w:r>
      <w:r>
        <w:rPr>
          <w:rFonts w:hint="default" w:ascii="Times New Roman" w:hAnsi="Times New Roman" w:cs="Times New Roman"/>
          <w:color w:val="auto"/>
          <w:kern w:val="0"/>
          <w:sz w:val="24"/>
          <w:szCs w:val="24"/>
          <w:highlight w:val="none"/>
        </w:rPr>
        <w:t>/爽滑</w:t>
      </w:r>
      <w:r>
        <w:rPr>
          <w:rFonts w:ascii="Times New Roman" w:hAnsi="Times New Roman" w:cs="Times New Roman"/>
          <w:color w:val="auto"/>
          <w:kern w:val="0"/>
          <w:sz w:val="24"/>
          <w:szCs w:val="24"/>
          <w:highlight w:val="none"/>
        </w:rPr>
        <w:t>母料</w:t>
      </w:r>
      <w:r>
        <w:rPr>
          <w:rFonts w:hint="default" w:ascii="Times New Roman" w:hAnsi="Times New Roman" w:cs="Times New Roman"/>
          <w:color w:val="auto"/>
          <w:kern w:val="0"/>
          <w:sz w:val="24"/>
          <w:szCs w:val="24"/>
          <w:highlight w:val="none"/>
        </w:rPr>
        <w:t>，</w:t>
      </w:r>
      <w:r>
        <w:rPr>
          <w:rFonts w:hint="eastAsia" w:ascii="Times New Roman" w:hAnsi="Times New Roman" w:cs="Times New Roman"/>
          <w:color w:val="auto"/>
          <w:kern w:val="0"/>
          <w:sz w:val="24"/>
          <w:szCs w:val="24"/>
          <w:highlight w:val="none"/>
          <w:lang w:val="en-US" w:eastAsia="zh-CN"/>
        </w:rPr>
        <w:t>主要成分是聚乙烯树脂，</w:t>
      </w:r>
      <w:r>
        <w:rPr>
          <w:rFonts w:hint="default" w:ascii="Times New Roman" w:hAnsi="Times New Roman" w:cs="Times New Roman"/>
          <w:color w:val="auto"/>
          <w:kern w:val="0"/>
          <w:sz w:val="24"/>
          <w:szCs w:val="24"/>
          <w:highlight w:val="none"/>
        </w:rPr>
        <w:t>球型</w:t>
      </w:r>
      <w:r>
        <w:rPr>
          <w:rFonts w:ascii="Times New Roman" w:hAnsi="Times New Roman" w:cs="Times New Roman"/>
          <w:color w:val="auto"/>
          <w:kern w:val="0"/>
          <w:sz w:val="24"/>
          <w:szCs w:val="24"/>
          <w:highlight w:val="none"/>
        </w:rPr>
        <w:t>开口剂</w:t>
      </w:r>
      <w:r>
        <w:rPr>
          <w:rFonts w:hint="default" w:ascii="Times New Roman" w:hAnsi="Times New Roman" w:cs="Times New Roman"/>
          <w:color w:val="auto"/>
          <w:kern w:val="0"/>
          <w:sz w:val="24"/>
          <w:szCs w:val="24"/>
          <w:highlight w:val="none"/>
        </w:rPr>
        <w:t>10.0%，</w:t>
      </w:r>
      <w:r>
        <w:rPr>
          <w:rFonts w:ascii="Times New Roman" w:hAnsi="Times New Roman" w:cs="Times New Roman"/>
          <w:color w:val="auto"/>
          <w:kern w:val="0"/>
          <w:sz w:val="24"/>
          <w:szCs w:val="24"/>
          <w:highlight w:val="none"/>
        </w:rPr>
        <w:t>熔融指数（</w:t>
      </w:r>
      <w:r>
        <w:rPr>
          <w:rFonts w:hint="default" w:ascii="Times New Roman" w:hAnsi="Times New Roman" w:cs="Times New Roman"/>
          <w:color w:val="auto"/>
          <w:kern w:val="0"/>
          <w:sz w:val="24"/>
          <w:szCs w:val="24"/>
          <w:highlight w:val="none"/>
        </w:rPr>
        <w:t>190℃/2.16</w:t>
      </w:r>
      <w:r>
        <w:rPr>
          <w:rFonts w:ascii="Times New Roman" w:hAnsi="Times New Roman" w:cs="Times New Roman"/>
          <w:color w:val="auto"/>
          <w:kern w:val="0"/>
          <w:sz w:val="24"/>
          <w:szCs w:val="24"/>
          <w:highlight w:val="none"/>
        </w:rPr>
        <w:t>kg）</w:t>
      </w:r>
      <w:r>
        <w:rPr>
          <w:rFonts w:hint="default" w:ascii="Times New Roman" w:hAnsi="Times New Roman" w:cs="Times New Roman"/>
          <w:color w:val="auto"/>
          <w:kern w:val="0"/>
          <w:sz w:val="24"/>
          <w:szCs w:val="24"/>
          <w:highlight w:val="none"/>
        </w:rPr>
        <w:t>4</w:t>
      </w:r>
      <w:r>
        <w:rPr>
          <w:rFonts w:ascii="Times New Roman" w:hAnsi="Times New Roman" w:cs="Times New Roman"/>
          <w:color w:val="auto"/>
          <w:kern w:val="0"/>
          <w:sz w:val="24"/>
          <w:szCs w:val="24"/>
          <w:highlight w:val="none"/>
        </w:rPr>
        <w:t>g/10min，比重</w:t>
      </w:r>
      <w:r>
        <w:rPr>
          <w:rFonts w:hint="default" w:ascii="Times New Roman" w:hAnsi="Times New Roman" w:cs="Times New Roman"/>
          <w:color w:val="auto"/>
          <w:kern w:val="0"/>
          <w:sz w:val="24"/>
          <w:szCs w:val="24"/>
          <w:highlight w:val="none"/>
        </w:rPr>
        <w:t>0.95</w:t>
      </w:r>
      <w:r>
        <w:rPr>
          <w:rFonts w:ascii="Times New Roman" w:hAnsi="Times New Roman" w:cs="Times New Roman"/>
          <w:color w:val="auto"/>
          <w:kern w:val="0"/>
          <w:sz w:val="24"/>
          <w:szCs w:val="24"/>
          <w:highlight w:val="none"/>
        </w:rPr>
        <w:t>g/cm</w:t>
      </w:r>
      <w:r>
        <w:rPr>
          <w:rFonts w:ascii="Times New Roman" w:hAnsi="Times New Roman" w:cs="Times New Roman"/>
          <w:color w:val="auto"/>
          <w:kern w:val="0"/>
          <w:sz w:val="24"/>
          <w:szCs w:val="24"/>
          <w:highlight w:val="none"/>
          <w:vertAlign w:val="superscript"/>
        </w:rPr>
        <w:t>3</w:t>
      </w:r>
      <w:r>
        <w:rPr>
          <w:rFonts w:hint="default" w:ascii="Times New Roman" w:hAnsi="Times New Roman" w:cs="Times New Roman"/>
          <w:color w:val="auto"/>
          <w:kern w:val="0"/>
          <w:sz w:val="24"/>
          <w:szCs w:val="24"/>
          <w:highlight w:val="none"/>
        </w:rPr>
        <w:t>，堆积</w:t>
      </w:r>
      <w:r>
        <w:rPr>
          <w:rFonts w:ascii="Times New Roman" w:hAnsi="Times New Roman" w:cs="Times New Roman"/>
          <w:color w:val="auto"/>
          <w:kern w:val="0"/>
          <w:sz w:val="24"/>
          <w:szCs w:val="24"/>
          <w:highlight w:val="none"/>
        </w:rPr>
        <w:t>密度</w:t>
      </w:r>
      <w:r>
        <w:rPr>
          <w:rFonts w:hint="default" w:ascii="Times New Roman" w:hAnsi="Times New Roman" w:cs="Times New Roman"/>
          <w:color w:val="auto"/>
          <w:kern w:val="0"/>
          <w:sz w:val="24"/>
          <w:szCs w:val="24"/>
          <w:highlight w:val="none"/>
        </w:rPr>
        <w:t>600</w:t>
      </w:r>
      <w:r>
        <w:rPr>
          <w:rFonts w:ascii="Times New Roman" w:hAnsi="Times New Roman" w:cs="Times New Roman"/>
          <w:color w:val="auto"/>
          <w:kern w:val="0"/>
          <w:sz w:val="24"/>
          <w:szCs w:val="24"/>
          <w:highlight w:val="none"/>
        </w:rPr>
        <w:t>kg/m</w:t>
      </w:r>
      <w:r>
        <w:rPr>
          <w:rFonts w:ascii="Times New Roman" w:hAnsi="Times New Roman" w:cs="Times New Roman"/>
          <w:color w:val="auto"/>
          <w:kern w:val="0"/>
          <w:sz w:val="24"/>
          <w:szCs w:val="24"/>
          <w:highlight w:val="none"/>
          <w:vertAlign w:val="superscript"/>
        </w:rPr>
        <w:t>3</w:t>
      </w:r>
      <w:r>
        <w:rPr>
          <w:rFonts w:hint="default" w:ascii="Times New Roman" w:hAnsi="Times New Roman" w:cs="Times New Roman"/>
          <w:color w:val="auto"/>
          <w:kern w:val="0"/>
          <w:sz w:val="24"/>
          <w:szCs w:val="24"/>
          <w:highlight w:val="none"/>
        </w:rPr>
        <w:t>，含水量</w:t>
      </w:r>
      <w:r>
        <w:rPr>
          <w:rFonts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rPr>
        <w:t>1500</w:t>
      </w:r>
      <w:r>
        <w:rPr>
          <w:rFonts w:ascii="Times New Roman" w:hAnsi="Times New Roman" w:cs="Times New Roman"/>
          <w:color w:val="auto"/>
          <w:kern w:val="0"/>
          <w:sz w:val="24"/>
          <w:szCs w:val="24"/>
          <w:highlight w:val="none"/>
        </w:rPr>
        <w:t>ppm</w:t>
      </w:r>
      <w:r>
        <w:rPr>
          <w:rFonts w:hint="default" w:ascii="Times New Roman" w:hAnsi="Times New Roman" w:cs="Times New Roman"/>
          <w:color w:val="auto"/>
          <w:kern w:val="0"/>
          <w:sz w:val="24"/>
          <w:szCs w:val="24"/>
          <w:highlight w:val="none"/>
        </w:rPr>
        <w:t>。此开口剂</w:t>
      </w:r>
      <w:r>
        <w:rPr>
          <w:rFonts w:ascii="Times New Roman" w:hAnsi="Times New Roman" w:cs="Times New Roman"/>
          <w:color w:val="auto"/>
          <w:kern w:val="0"/>
          <w:sz w:val="24"/>
          <w:szCs w:val="24"/>
          <w:highlight w:val="none"/>
        </w:rPr>
        <w:t>经过加工处理，用于薄膜表层，不</w:t>
      </w:r>
      <w:r>
        <w:rPr>
          <w:rFonts w:hint="default" w:ascii="Times New Roman" w:hAnsi="Times New Roman" w:cs="Times New Roman"/>
          <w:color w:val="auto"/>
          <w:kern w:val="0"/>
          <w:sz w:val="24"/>
          <w:szCs w:val="24"/>
          <w:highlight w:val="none"/>
        </w:rPr>
        <w:t>析出</w:t>
      </w:r>
      <w:r>
        <w:rPr>
          <w:rFonts w:ascii="Times New Roman" w:hAnsi="Times New Roman" w:cs="Times New Roman"/>
          <w:color w:val="auto"/>
          <w:kern w:val="0"/>
          <w:sz w:val="24"/>
          <w:szCs w:val="24"/>
          <w:highlight w:val="none"/>
        </w:rPr>
        <w:t>，不影响热封，复合。可</w:t>
      </w:r>
      <w:r>
        <w:rPr>
          <w:rFonts w:hint="default" w:ascii="Times New Roman" w:hAnsi="Times New Roman" w:cs="Times New Roman"/>
          <w:color w:val="auto"/>
          <w:kern w:val="0"/>
          <w:sz w:val="24"/>
          <w:szCs w:val="24"/>
          <w:highlight w:val="none"/>
        </w:rPr>
        <w:t>耐</w:t>
      </w:r>
      <w:r>
        <w:rPr>
          <w:rFonts w:ascii="Times New Roman" w:hAnsi="Times New Roman" w:cs="Times New Roman"/>
          <w:color w:val="auto"/>
          <w:kern w:val="0"/>
          <w:sz w:val="24"/>
          <w:szCs w:val="24"/>
          <w:highlight w:val="none"/>
        </w:rPr>
        <w:t>温</w:t>
      </w:r>
      <w:r>
        <w:rPr>
          <w:rFonts w:hint="default" w:ascii="Times New Roman" w:hAnsi="Times New Roman" w:cs="Times New Roman"/>
          <w:color w:val="auto"/>
          <w:kern w:val="0"/>
          <w:sz w:val="24"/>
          <w:szCs w:val="24"/>
          <w:highlight w:val="none"/>
        </w:rPr>
        <w:t>350℃</w:t>
      </w:r>
      <w:r>
        <w:rPr>
          <w:rFonts w:ascii="Times New Roman" w:hAnsi="Times New Roman" w:cs="Times New Roman"/>
          <w:color w:val="auto"/>
          <w:kern w:val="0"/>
          <w:sz w:val="24"/>
          <w:szCs w:val="24"/>
          <w:highlight w:val="none"/>
        </w:rPr>
        <w:t>，同时赋予薄膜优异的开口和爽滑效果，使得薄膜经处理后</w:t>
      </w:r>
      <w:r>
        <w:rPr>
          <w:rFonts w:hint="default" w:ascii="Times New Roman" w:hAnsi="Times New Roman" w:cs="Times New Roman"/>
          <w:color w:val="auto"/>
          <w:kern w:val="0"/>
          <w:sz w:val="24"/>
          <w:szCs w:val="24"/>
          <w:highlight w:val="none"/>
        </w:rPr>
        <w:t>依然</w:t>
      </w:r>
      <w:r>
        <w:rPr>
          <w:rFonts w:ascii="Times New Roman" w:hAnsi="Times New Roman" w:cs="Times New Roman"/>
          <w:color w:val="auto"/>
          <w:kern w:val="0"/>
          <w:sz w:val="24"/>
          <w:szCs w:val="24"/>
          <w:highlight w:val="none"/>
        </w:rPr>
        <w:t>保持良好的开口和</w:t>
      </w:r>
      <w:r>
        <w:rPr>
          <w:rFonts w:hint="default" w:ascii="Times New Roman" w:hAnsi="Times New Roman" w:cs="Times New Roman"/>
          <w:color w:val="auto"/>
          <w:kern w:val="0"/>
          <w:sz w:val="24"/>
          <w:szCs w:val="24"/>
          <w:highlight w:val="none"/>
        </w:rPr>
        <w:t>爽滑</w:t>
      </w:r>
      <w:r>
        <w:rPr>
          <w:rFonts w:ascii="Times New Roman" w:hAnsi="Times New Roman" w:cs="Times New Roman"/>
          <w:color w:val="auto"/>
          <w:kern w:val="0"/>
          <w:sz w:val="24"/>
          <w:szCs w:val="24"/>
          <w:highlight w:val="none"/>
        </w:rPr>
        <w:t>性</w:t>
      </w:r>
      <w:r>
        <w:rPr>
          <w:rFonts w:hint="default" w:ascii="Times New Roman" w:hAnsi="Times New Roman" w:cs="Times New Roman"/>
          <w:color w:val="auto"/>
          <w:kern w:val="0"/>
          <w:sz w:val="24"/>
          <w:szCs w:val="24"/>
          <w:highlight w:val="none"/>
        </w:rPr>
        <w:t>。</w:t>
      </w:r>
    </w:p>
    <w:p w14:paraId="6D411D6B">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color w:val="auto"/>
          <w:kern w:val="0"/>
          <w:sz w:val="24"/>
          <w:szCs w:val="24"/>
          <w:highlight w:val="none"/>
          <w:lang w:eastAsia="zh-CN"/>
        </w:rPr>
        <w:t>（</w:t>
      </w:r>
      <w:r>
        <w:rPr>
          <w:rFonts w:hint="eastAsia" w:ascii="Times New Roman" w:hAnsi="Times New Roman" w:cs="Times New Roman"/>
          <w:color w:val="auto"/>
          <w:kern w:val="0"/>
          <w:sz w:val="24"/>
          <w:szCs w:val="24"/>
          <w:highlight w:val="none"/>
          <w:lang w:val="en-US" w:eastAsia="zh-CN"/>
        </w:rPr>
        <w:t>3</w:t>
      </w:r>
      <w:r>
        <w:rPr>
          <w:rFonts w:hint="eastAsia" w:ascii="Times New Roman" w:hAnsi="Times New Roman" w:cs="Times New Roman"/>
          <w:color w:val="auto"/>
          <w:kern w:val="0"/>
          <w:sz w:val="24"/>
          <w:szCs w:val="24"/>
          <w:highlight w:val="none"/>
          <w:lang w:eastAsia="zh-CN"/>
        </w:rPr>
        <w:t>）</w:t>
      </w:r>
      <w:r>
        <w:rPr>
          <w:rFonts w:ascii="Times New Roman" w:hAnsi="Times New Roman" w:cs="Times New Roman"/>
          <w:color w:val="auto"/>
          <w:kern w:val="0"/>
          <w:sz w:val="24"/>
          <w:szCs w:val="24"/>
          <w:highlight w:val="none"/>
        </w:rPr>
        <w:t>爽滑母料</w:t>
      </w:r>
      <w:r>
        <w:rPr>
          <w:rFonts w:hint="default" w:ascii="Times New Roman" w:hAnsi="Times New Roman" w:cs="Times New Roman"/>
          <w:color w:val="auto"/>
          <w:kern w:val="0"/>
          <w:sz w:val="24"/>
          <w:szCs w:val="24"/>
          <w:highlight w:val="none"/>
        </w:rPr>
        <w:t>：是一款</w:t>
      </w:r>
      <w:r>
        <w:rPr>
          <w:rFonts w:ascii="Times New Roman" w:hAnsi="Times New Roman" w:cs="Times New Roman"/>
          <w:color w:val="auto"/>
          <w:kern w:val="0"/>
          <w:sz w:val="24"/>
          <w:szCs w:val="24"/>
          <w:highlight w:val="none"/>
        </w:rPr>
        <w:t>以聚乙烯为载体的</w:t>
      </w:r>
      <w:r>
        <w:rPr>
          <w:rFonts w:hint="default" w:ascii="Times New Roman" w:hAnsi="Times New Roman" w:cs="Times New Roman"/>
          <w:color w:val="auto"/>
          <w:kern w:val="0"/>
          <w:sz w:val="24"/>
          <w:szCs w:val="24"/>
          <w:highlight w:val="none"/>
        </w:rPr>
        <w:t>高</w:t>
      </w:r>
      <w:r>
        <w:rPr>
          <w:rFonts w:ascii="Times New Roman" w:hAnsi="Times New Roman" w:cs="Times New Roman"/>
          <w:color w:val="auto"/>
          <w:kern w:val="0"/>
          <w:sz w:val="24"/>
          <w:szCs w:val="24"/>
          <w:highlight w:val="none"/>
        </w:rPr>
        <w:t>浓度爽滑母料，</w:t>
      </w:r>
      <w:r>
        <w:rPr>
          <w:rFonts w:hint="eastAsia" w:ascii="Times New Roman" w:hAnsi="Times New Roman" w:cs="Times New Roman"/>
          <w:color w:val="auto"/>
          <w:kern w:val="0"/>
          <w:sz w:val="24"/>
          <w:szCs w:val="24"/>
          <w:highlight w:val="none"/>
          <w:lang w:val="en-US" w:eastAsia="zh-CN"/>
        </w:rPr>
        <w:t>主要成分是聚乙烯树脂，</w:t>
      </w:r>
      <w:r>
        <w:rPr>
          <w:rFonts w:hint="default" w:ascii="Times New Roman" w:hAnsi="Times New Roman" w:cs="Times New Roman"/>
          <w:color w:val="auto"/>
          <w:kern w:val="0"/>
          <w:sz w:val="24"/>
          <w:szCs w:val="24"/>
          <w:highlight w:val="none"/>
        </w:rPr>
        <w:t>需防粘连母料或含防粘连剂的树脂一起配合使用。添加剂含量10.0%，</w:t>
      </w:r>
      <w:r>
        <w:rPr>
          <w:rFonts w:ascii="Times New Roman" w:hAnsi="Times New Roman" w:cs="Times New Roman"/>
          <w:color w:val="auto"/>
          <w:kern w:val="0"/>
          <w:sz w:val="24"/>
          <w:szCs w:val="24"/>
          <w:highlight w:val="none"/>
        </w:rPr>
        <w:t>熔融指数（</w:t>
      </w:r>
      <w:r>
        <w:rPr>
          <w:rFonts w:hint="default" w:ascii="Times New Roman" w:hAnsi="Times New Roman" w:cs="Times New Roman"/>
          <w:color w:val="auto"/>
          <w:kern w:val="0"/>
          <w:sz w:val="24"/>
          <w:szCs w:val="24"/>
          <w:highlight w:val="none"/>
        </w:rPr>
        <w:t>190℃/2.16</w:t>
      </w:r>
      <w:r>
        <w:rPr>
          <w:rFonts w:ascii="Times New Roman" w:hAnsi="Times New Roman" w:cs="Times New Roman"/>
          <w:color w:val="auto"/>
          <w:kern w:val="0"/>
          <w:sz w:val="24"/>
          <w:szCs w:val="24"/>
          <w:highlight w:val="none"/>
        </w:rPr>
        <w:t>kg）25g/10min，比重</w:t>
      </w:r>
      <w:r>
        <w:rPr>
          <w:rFonts w:hint="default" w:ascii="Times New Roman" w:hAnsi="Times New Roman" w:cs="Times New Roman"/>
          <w:color w:val="auto"/>
          <w:kern w:val="0"/>
          <w:sz w:val="24"/>
          <w:szCs w:val="24"/>
          <w:highlight w:val="none"/>
        </w:rPr>
        <w:t>0.9</w:t>
      </w:r>
      <w:r>
        <w:rPr>
          <w:rFonts w:ascii="Times New Roman" w:hAnsi="Times New Roman" w:cs="Times New Roman"/>
          <w:color w:val="auto"/>
          <w:kern w:val="0"/>
          <w:sz w:val="24"/>
          <w:szCs w:val="24"/>
          <w:highlight w:val="none"/>
        </w:rPr>
        <w:t>2g/cm</w:t>
      </w:r>
      <w:r>
        <w:rPr>
          <w:rFonts w:ascii="Times New Roman" w:hAnsi="Times New Roman" w:cs="Times New Roman"/>
          <w:color w:val="auto"/>
          <w:kern w:val="0"/>
          <w:sz w:val="24"/>
          <w:szCs w:val="24"/>
          <w:highlight w:val="none"/>
          <w:vertAlign w:val="superscript"/>
        </w:rPr>
        <w:t>3</w:t>
      </w:r>
      <w:r>
        <w:rPr>
          <w:rFonts w:hint="default" w:ascii="Times New Roman" w:hAnsi="Times New Roman" w:cs="Times New Roman"/>
          <w:color w:val="auto"/>
          <w:kern w:val="0"/>
          <w:sz w:val="24"/>
          <w:szCs w:val="24"/>
          <w:highlight w:val="none"/>
        </w:rPr>
        <w:t>，堆积</w:t>
      </w:r>
      <w:r>
        <w:rPr>
          <w:rFonts w:ascii="Times New Roman" w:hAnsi="Times New Roman" w:cs="Times New Roman"/>
          <w:color w:val="auto"/>
          <w:kern w:val="0"/>
          <w:sz w:val="24"/>
          <w:szCs w:val="24"/>
          <w:highlight w:val="none"/>
        </w:rPr>
        <w:t>密度</w:t>
      </w:r>
      <w:r>
        <w:rPr>
          <w:rFonts w:hint="default" w:ascii="Times New Roman" w:hAnsi="Times New Roman" w:cs="Times New Roman"/>
          <w:color w:val="auto"/>
          <w:kern w:val="0"/>
          <w:sz w:val="24"/>
          <w:szCs w:val="24"/>
          <w:highlight w:val="none"/>
        </w:rPr>
        <w:t>600</w:t>
      </w:r>
      <w:r>
        <w:rPr>
          <w:rFonts w:ascii="Times New Roman" w:hAnsi="Times New Roman" w:cs="Times New Roman"/>
          <w:color w:val="auto"/>
          <w:kern w:val="0"/>
          <w:sz w:val="24"/>
          <w:szCs w:val="24"/>
          <w:highlight w:val="none"/>
        </w:rPr>
        <w:t>kg/m</w:t>
      </w:r>
      <w:r>
        <w:rPr>
          <w:rFonts w:ascii="Times New Roman" w:hAnsi="Times New Roman" w:cs="Times New Roman"/>
          <w:color w:val="auto"/>
          <w:kern w:val="0"/>
          <w:sz w:val="24"/>
          <w:szCs w:val="24"/>
          <w:highlight w:val="none"/>
          <w:vertAlign w:val="superscript"/>
        </w:rPr>
        <w:t>3</w:t>
      </w:r>
      <w:r>
        <w:rPr>
          <w:rFonts w:hint="default" w:ascii="Times New Roman" w:hAnsi="Times New Roman" w:cs="Times New Roman"/>
          <w:color w:val="auto"/>
          <w:kern w:val="0"/>
          <w:sz w:val="24"/>
          <w:szCs w:val="24"/>
          <w:highlight w:val="none"/>
        </w:rPr>
        <w:t>，含水量</w:t>
      </w:r>
      <w:r>
        <w:rPr>
          <w:rFonts w:ascii="Times New Roman" w:hAnsi="Times New Roman" w:cs="Times New Roman"/>
          <w:color w:val="auto"/>
          <w:kern w:val="0"/>
          <w:sz w:val="24"/>
          <w:szCs w:val="24"/>
          <w:highlight w:val="none"/>
        </w:rPr>
        <w:t>＜</w:t>
      </w:r>
      <w:r>
        <w:rPr>
          <w:rFonts w:hint="default" w:ascii="Times New Roman" w:hAnsi="Times New Roman" w:cs="Times New Roman"/>
          <w:color w:val="auto"/>
          <w:kern w:val="0"/>
          <w:sz w:val="24"/>
          <w:szCs w:val="24"/>
          <w:highlight w:val="none"/>
        </w:rPr>
        <w:t>1500</w:t>
      </w:r>
      <w:r>
        <w:rPr>
          <w:rFonts w:ascii="Times New Roman" w:hAnsi="Times New Roman" w:cs="Times New Roman"/>
          <w:color w:val="auto"/>
          <w:kern w:val="0"/>
          <w:sz w:val="24"/>
          <w:szCs w:val="24"/>
          <w:highlight w:val="none"/>
        </w:rPr>
        <w:t>ppm</w:t>
      </w:r>
      <w:r>
        <w:rPr>
          <w:rFonts w:hint="default" w:ascii="Times New Roman" w:hAnsi="Times New Roman" w:cs="Times New Roman"/>
          <w:color w:val="auto"/>
          <w:kern w:val="0"/>
          <w:sz w:val="24"/>
          <w:szCs w:val="24"/>
          <w:highlight w:val="none"/>
        </w:rPr>
        <w:t>，</w:t>
      </w:r>
      <w:r>
        <w:rPr>
          <w:rFonts w:ascii="Times New Roman" w:hAnsi="Times New Roman" w:cs="Times New Roman"/>
          <w:color w:val="auto"/>
          <w:kern w:val="0"/>
          <w:sz w:val="24"/>
          <w:szCs w:val="24"/>
          <w:highlight w:val="none"/>
        </w:rPr>
        <w:t>可</w:t>
      </w:r>
      <w:r>
        <w:rPr>
          <w:rFonts w:hint="default" w:ascii="Times New Roman" w:hAnsi="Times New Roman" w:cs="Times New Roman"/>
          <w:color w:val="auto"/>
          <w:kern w:val="0"/>
          <w:sz w:val="24"/>
          <w:szCs w:val="24"/>
          <w:highlight w:val="none"/>
        </w:rPr>
        <w:t>耐</w:t>
      </w:r>
      <w:r>
        <w:rPr>
          <w:rFonts w:ascii="Times New Roman" w:hAnsi="Times New Roman" w:cs="Times New Roman"/>
          <w:color w:val="auto"/>
          <w:kern w:val="0"/>
          <w:sz w:val="24"/>
          <w:szCs w:val="24"/>
          <w:highlight w:val="none"/>
        </w:rPr>
        <w:t>温28</w:t>
      </w:r>
      <w:r>
        <w:rPr>
          <w:rFonts w:hint="default" w:ascii="Times New Roman" w:hAnsi="Times New Roman" w:cs="Times New Roman"/>
          <w:color w:val="auto"/>
          <w:kern w:val="0"/>
          <w:sz w:val="24"/>
          <w:szCs w:val="24"/>
          <w:highlight w:val="none"/>
        </w:rPr>
        <w:t>0℃。</w:t>
      </w:r>
    </w:p>
    <w:p w14:paraId="2ED3A38A">
      <w:p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（4）</w:t>
      </w:r>
      <w:r>
        <w:rPr>
          <w:rFonts w:hint="default" w:ascii="Times New Roman" w:hAnsi="Times New Roman" w:eastAsia="宋体" w:cs="Times New Roman"/>
          <w:color w:val="auto"/>
          <w:sz w:val="24"/>
          <w:szCs w:val="24"/>
          <w:highlight w:val="none"/>
          <w:lang w:val="en-US" w:eastAsia="zh-CN"/>
        </w:rPr>
        <w:t>PPA母料：ppa</w:t>
      </w:r>
      <w:r>
        <w:rPr>
          <w:rFonts w:hint="eastAsia" w:ascii="Times New Roman" w:hAnsi="Times New Roman" w:eastAsia="宋体"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rPr>
        <w:t>聚邻苯二甲酰胺</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是</w:t>
      </w:r>
      <w:r>
        <w:rPr>
          <w:rFonts w:hint="default" w:ascii="Times New Roman" w:hAnsi="Times New Roman" w:eastAsia="宋体" w:cs="Times New Roman"/>
          <w:color w:val="auto"/>
          <w:sz w:val="24"/>
          <w:szCs w:val="24"/>
          <w:highlight w:val="none"/>
          <w:lang w:val="en-US" w:eastAsia="zh-CN"/>
        </w:rPr>
        <w:t>加工助剂，</w:t>
      </w:r>
      <w:r>
        <w:rPr>
          <w:rFonts w:ascii="Times New Roman" w:hAnsi="Times New Roman" w:cs="Times New Roman"/>
          <w:color w:val="auto"/>
          <w:kern w:val="0"/>
          <w:sz w:val="24"/>
          <w:szCs w:val="24"/>
          <w:highlight w:val="none"/>
        </w:rPr>
        <w:t>可</w:t>
      </w:r>
      <w:r>
        <w:rPr>
          <w:rFonts w:hint="default" w:ascii="Times New Roman" w:hAnsi="Times New Roman" w:cs="Times New Roman"/>
          <w:color w:val="auto"/>
          <w:kern w:val="0"/>
          <w:sz w:val="24"/>
          <w:szCs w:val="24"/>
          <w:highlight w:val="none"/>
        </w:rPr>
        <w:t>耐</w:t>
      </w:r>
      <w:r>
        <w:rPr>
          <w:rFonts w:ascii="Times New Roman" w:hAnsi="Times New Roman" w:cs="Times New Roman"/>
          <w:color w:val="auto"/>
          <w:kern w:val="0"/>
          <w:sz w:val="24"/>
          <w:szCs w:val="24"/>
          <w:highlight w:val="none"/>
        </w:rPr>
        <w:t>温</w:t>
      </w:r>
      <w:r>
        <w:rPr>
          <w:rFonts w:hint="default" w:ascii="Times New Roman" w:hAnsi="Times New Roman" w:cs="Times New Roman"/>
          <w:color w:val="auto"/>
          <w:kern w:val="0"/>
          <w:sz w:val="24"/>
          <w:szCs w:val="24"/>
          <w:highlight w:val="none"/>
          <w:lang w:val="en-US" w:eastAsia="zh-CN"/>
        </w:rPr>
        <w:t>35</w:t>
      </w:r>
      <w:r>
        <w:rPr>
          <w:rFonts w:hint="default" w:ascii="Times New Roman" w:hAnsi="Times New Roman" w:cs="Times New Roman"/>
          <w:color w:val="auto"/>
          <w:kern w:val="0"/>
          <w:sz w:val="24"/>
          <w:szCs w:val="24"/>
          <w:highlight w:val="none"/>
        </w:rPr>
        <w:t>0℃</w:t>
      </w:r>
      <w:r>
        <w:rPr>
          <w:rFonts w:hint="default" w:ascii="Times New Roman" w:hAnsi="Times New Roman" w:cs="Times New Roman"/>
          <w:color w:val="auto"/>
          <w:kern w:val="0"/>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能帮助改善聚合物的加工性能。ppa用于吹膜生产的基本效能：消除熔体破裂（鲨鱼皮和水波纹）现象，提高膜的透明度和光滑度，降低废品率，减少吹膜加工过程中所产生的晶点，</w:t>
      </w:r>
      <w:r>
        <w:rPr>
          <w:rFonts w:hint="eastAsia" w:ascii="Times New Roman" w:hAnsi="Times New Roman" w:eastAsia="宋体" w:cs="Times New Roman"/>
          <w:color w:val="auto"/>
          <w:sz w:val="24"/>
          <w:szCs w:val="24"/>
          <w:highlight w:val="none"/>
          <w:lang w:val="en-US" w:eastAsia="zh-CN"/>
        </w:rPr>
        <w:t>消除凝胶，提高薄膜的厚度均匀性及厚度稳定性。</w:t>
      </w:r>
    </w:p>
    <w:p w14:paraId="378F5923">
      <w:pPr>
        <w:pStyle w:val="24"/>
        <w:ind w:firstLine="482"/>
        <w:rPr>
          <w:b/>
          <w:color w:val="auto"/>
        </w:rPr>
      </w:pPr>
      <w:r>
        <w:rPr>
          <w:rFonts w:hint="eastAsia"/>
          <w:b/>
          <w:color w:val="auto"/>
          <w:lang w:val="en-US" w:eastAsia="zh-CN"/>
        </w:rPr>
        <w:t>1.4</w:t>
      </w:r>
      <w:r>
        <w:rPr>
          <w:rFonts w:hint="eastAsia"/>
          <w:b/>
          <w:color w:val="auto"/>
        </w:rPr>
        <w:t>主要生产设备</w:t>
      </w:r>
    </w:p>
    <w:p w14:paraId="59460594">
      <w:pPr>
        <w:pStyle w:val="24"/>
        <w:ind w:firstLine="480"/>
        <w:rPr>
          <w:b w:val="0"/>
          <w:bCs/>
          <w:color w:val="auto"/>
        </w:rPr>
      </w:pPr>
      <w:bookmarkStart w:id="9" w:name="_Hlk156825366"/>
      <w:r>
        <w:rPr>
          <w:rFonts w:hint="eastAsia"/>
          <w:color w:val="auto"/>
          <w:lang w:val="en-US" w:eastAsia="zh-CN"/>
        </w:rPr>
        <w:t>根据企业提供资料，</w:t>
      </w:r>
      <w:r>
        <w:rPr>
          <w:b w:val="0"/>
          <w:bCs/>
          <w:color w:val="auto"/>
        </w:rPr>
        <w:t>项目主要设备</w:t>
      </w:r>
      <w:r>
        <w:rPr>
          <w:rFonts w:hint="eastAsia"/>
          <w:b w:val="0"/>
          <w:bCs/>
          <w:color w:val="auto"/>
        </w:rPr>
        <w:t>情况</w:t>
      </w:r>
      <w:r>
        <w:rPr>
          <w:b w:val="0"/>
          <w:bCs/>
          <w:color w:val="auto"/>
        </w:rPr>
        <w:t>详见下表。</w:t>
      </w:r>
    </w:p>
    <w:p w14:paraId="19813375">
      <w:pPr>
        <w:pStyle w:val="20"/>
        <w:numPr>
          <w:ilvl w:val="0"/>
          <w:numId w:val="6"/>
        </w:numPr>
        <w:spacing w:before="156"/>
        <w:rPr>
          <w:color w:val="auto"/>
        </w:rPr>
      </w:pPr>
      <w:r>
        <w:rPr>
          <w:rFonts w:hint="eastAsia"/>
          <w:color w:val="auto"/>
          <w:lang w:val="en-US" w:eastAsia="zh-CN"/>
        </w:rPr>
        <w:t>项目</w:t>
      </w:r>
      <w:r>
        <w:rPr>
          <w:color w:val="auto"/>
        </w:rPr>
        <w:t>主要设备一览表</w:t>
      </w:r>
    </w:p>
    <w:bookmarkEnd w:id="9"/>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5"/>
        <w:gridCol w:w="1595"/>
        <w:gridCol w:w="1295"/>
        <w:gridCol w:w="1176"/>
        <w:gridCol w:w="931"/>
        <w:gridCol w:w="2704"/>
      </w:tblGrid>
      <w:tr w14:paraId="60AF4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3C58AB79">
            <w:pPr>
              <w:pStyle w:val="36"/>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序号</w:t>
            </w:r>
          </w:p>
        </w:tc>
        <w:tc>
          <w:tcPr>
            <w:tcW w:w="1578" w:type="dxa"/>
            <w:noWrap w:val="0"/>
            <w:vAlign w:val="center"/>
          </w:tcPr>
          <w:p w14:paraId="690307CB">
            <w:pPr>
              <w:spacing w:line="240" w:lineRule="auto"/>
              <w:jc w:val="center"/>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设备名称</w:t>
            </w:r>
          </w:p>
        </w:tc>
        <w:tc>
          <w:tcPr>
            <w:tcW w:w="1281" w:type="dxa"/>
            <w:noWrap w:val="0"/>
            <w:vAlign w:val="center"/>
          </w:tcPr>
          <w:p w14:paraId="4DC2C570">
            <w:pPr>
              <w:spacing w:line="240" w:lineRule="auto"/>
              <w:jc w:val="center"/>
              <w:rPr>
                <w:rFonts w:hint="eastAsia" w:ascii="Times New Roman" w:hAnsi="Times New Roman" w:eastAsia="宋体" w:cs="Times New Roman"/>
                <w:b w:val="0"/>
                <w:bCs/>
                <w:color w:val="auto"/>
                <w:sz w:val="21"/>
                <w:szCs w:val="21"/>
                <w:highlight w:val="none"/>
                <w:lang w:val="en-US" w:eastAsia="zh-CN"/>
              </w:rPr>
            </w:pPr>
            <w:r>
              <w:rPr>
                <w:color w:val="auto"/>
                <w:kern w:val="0"/>
                <w:sz w:val="21"/>
                <w:szCs w:val="21"/>
                <w:highlight w:val="none"/>
                <w:lang w:bidi="ar"/>
              </w:rPr>
              <w:t>规格型号</w:t>
            </w:r>
          </w:p>
        </w:tc>
        <w:tc>
          <w:tcPr>
            <w:tcW w:w="1164" w:type="dxa"/>
            <w:noWrap w:val="0"/>
            <w:vAlign w:val="center"/>
          </w:tcPr>
          <w:p w14:paraId="1E224163">
            <w:pPr>
              <w:spacing w:line="240" w:lineRule="auto"/>
              <w:jc w:val="center"/>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单位</w:t>
            </w:r>
          </w:p>
        </w:tc>
        <w:tc>
          <w:tcPr>
            <w:tcW w:w="921" w:type="dxa"/>
            <w:noWrap w:val="0"/>
            <w:vAlign w:val="center"/>
          </w:tcPr>
          <w:p w14:paraId="4ED0BDBA">
            <w:pPr>
              <w:spacing w:line="240" w:lineRule="auto"/>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数量</w:t>
            </w:r>
          </w:p>
        </w:tc>
        <w:tc>
          <w:tcPr>
            <w:tcW w:w="2675" w:type="dxa"/>
            <w:noWrap w:val="0"/>
            <w:vAlign w:val="center"/>
          </w:tcPr>
          <w:p w14:paraId="775F1689">
            <w:pPr>
              <w:spacing w:line="240" w:lineRule="auto"/>
              <w:jc w:val="center"/>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备注</w:t>
            </w:r>
          </w:p>
        </w:tc>
      </w:tr>
      <w:tr w14:paraId="2262A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3742BD08">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w:t>
            </w:r>
          </w:p>
        </w:tc>
        <w:tc>
          <w:tcPr>
            <w:tcW w:w="1578" w:type="dxa"/>
            <w:noWrap w:val="0"/>
            <w:vAlign w:val="center"/>
          </w:tcPr>
          <w:p w14:paraId="7CDC80DF">
            <w:pPr>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共挤吹膜机组</w:t>
            </w:r>
          </w:p>
        </w:tc>
        <w:tc>
          <w:tcPr>
            <w:tcW w:w="1281" w:type="dxa"/>
            <w:noWrap w:val="0"/>
            <w:vAlign w:val="center"/>
          </w:tcPr>
          <w:p w14:paraId="13EB9DB1">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4</w:t>
            </w:r>
            <w:r>
              <w:rPr>
                <w:rFonts w:hint="eastAsia" w:cs="Times New Roman"/>
                <w:b w:val="0"/>
                <w:bCs/>
                <w:color w:val="auto"/>
                <w:sz w:val="21"/>
                <w:szCs w:val="21"/>
                <w:highlight w:val="none"/>
                <w:lang w:val="en-US" w:eastAsia="zh-CN"/>
              </w:rPr>
              <w:t>0</w:t>
            </w:r>
            <w:r>
              <w:rPr>
                <w:rFonts w:hint="eastAsia" w:ascii="Times New Roman" w:hAnsi="Times New Roman" w:eastAsia="宋体" w:cs="Times New Roman"/>
                <w:b w:val="0"/>
                <w:bCs/>
                <w:color w:val="auto"/>
                <w:sz w:val="21"/>
                <w:szCs w:val="21"/>
                <w:highlight w:val="none"/>
                <w:lang w:val="en-US" w:eastAsia="zh-CN"/>
              </w:rPr>
              <w:t>0 kg/h</w:t>
            </w:r>
          </w:p>
        </w:tc>
        <w:tc>
          <w:tcPr>
            <w:tcW w:w="1164" w:type="dxa"/>
            <w:noWrap w:val="0"/>
            <w:vAlign w:val="center"/>
          </w:tcPr>
          <w:p w14:paraId="334A267E">
            <w:pPr>
              <w:pStyle w:val="36"/>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台</w:t>
            </w:r>
          </w:p>
        </w:tc>
        <w:tc>
          <w:tcPr>
            <w:tcW w:w="921" w:type="dxa"/>
            <w:noWrap w:val="0"/>
            <w:vAlign w:val="center"/>
          </w:tcPr>
          <w:p w14:paraId="2018B54F">
            <w:pPr>
              <w:pStyle w:val="36"/>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4</w:t>
            </w:r>
          </w:p>
        </w:tc>
        <w:tc>
          <w:tcPr>
            <w:tcW w:w="2675" w:type="dxa"/>
            <w:noWrap w:val="0"/>
            <w:vAlign w:val="center"/>
          </w:tcPr>
          <w:p w14:paraId="5FCBEC54">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五层共挤，配套设置混料装置</w:t>
            </w:r>
          </w:p>
        </w:tc>
      </w:tr>
      <w:tr w14:paraId="338C0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7C877CF3">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w:t>
            </w:r>
          </w:p>
        </w:tc>
        <w:tc>
          <w:tcPr>
            <w:tcW w:w="1578" w:type="dxa"/>
            <w:noWrap w:val="0"/>
            <w:vAlign w:val="center"/>
          </w:tcPr>
          <w:p w14:paraId="6B455854">
            <w:pPr>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边料回收机</w:t>
            </w:r>
          </w:p>
        </w:tc>
        <w:tc>
          <w:tcPr>
            <w:tcW w:w="1281" w:type="dxa"/>
            <w:noWrap w:val="0"/>
            <w:vAlign w:val="center"/>
          </w:tcPr>
          <w:p w14:paraId="6AE36491">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c>
          <w:tcPr>
            <w:tcW w:w="1164" w:type="dxa"/>
            <w:noWrap w:val="0"/>
            <w:vAlign w:val="center"/>
          </w:tcPr>
          <w:p w14:paraId="1CA44B14">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台</w:t>
            </w:r>
          </w:p>
        </w:tc>
        <w:tc>
          <w:tcPr>
            <w:tcW w:w="921" w:type="dxa"/>
            <w:noWrap w:val="0"/>
            <w:vAlign w:val="center"/>
          </w:tcPr>
          <w:p w14:paraId="71903D7F">
            <w:pPr>
              <w:pStyle w:val="36"/>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4</w:t>
            </w:r>
          </w:p>
        </w:tc>
        <w:tc>
          <w:tcPr>
            <w:tcW w:w="2675" w:type="dxa"/>
            <w:noWrap w:val="0"/>
            <w:vAlign w:val="center"/>
          </w:tcPr>
          <w:p w14:paraId="6354D806">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配套粉碎装置</w:t>
            </w:r>
          </w:p>
        </w:tc>
      </w:tr>
      <w:tr w14:paraId="52EFC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660AFBC2">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3</w:t>
            </w:r>
          </w:p>
        </w:tc>
        <w:tc>
          <w:tcPr>
            <w:tcW w:w="1578" w:type="dxa"/>
            <w:noWrap w:val="0"/>
            <w:vAlign w:val="center"/>
          </w:tcPr>
          <w:p w14:paraId="7765395E">
            <w:pPr>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空压机</w:t>
            </w:r>
          </w:p>
        </w:tc>
        <w:tc>
          <w:tcPr>
            <w:tcW w:w="1281" w:type="dxa"/>
            <w:noWrap w:val="0"/>
            <w:vAlign w:val="center"/>
          </w:tcPr>
          <w:p w14:paraId="2BF54EA3">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c>
          <w:tcPr>
            <w:tcW w:w="1164" w:type="dxa"/>
            <w:noWrap w:val="0"/>
            <w:vAlign w:val="center"/>
          </w:tcPr>
          <w:p w14:paraId="525E466E">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台</w:t>
            </w:r>
          </w:p>
        </w:tc>
        <w:tc>
          <w:tcPr>
            <w:tcW w:w="921" w:type="dxa"/>
            <w:noWrap w:val="0"/>
            <w:vAlign w:val="center"/>
          </w:tcPr>
          <w:p w14:paraId="2A24AED9">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w:t>
            </w:r>
          </w:p>
        </w:tc>
        <w:tc>
          <w:tcPr>
            <w:tcW w:w="2675" w:type="dxa"/>
            <w:noWrap w:val="0"/>
            <w:vAlign w:val="center"/>
          </w:tcPr>
          <w:p w14:paraId="17BB35F1">
            <w:pPr>
              <w:pStyle w:val="36"/>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r>
      <w:tr w14:paraId="06373D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29BAC220">
            <w:pPr>
              <w:pStyle w:val="36"/>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4</w:t>
            </w:r>
          </w:p>
        </w:tc>
        <w:tc>
          <w:tcPr>
            <w:tcW w:w="1578" w:type="dxa"/>
            <w:noWrap w:val="0"/>
            <w:vAlign w:val="center"/>
          </w:tcPr>
          <w:p w14:paraId="56F3330B">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冷水机</w:t>
            </w:r>
          </w:p>
        </w:tc>
        <w:tc>
          <w:tcPr>
            <w:tcW w:w="1281" w:type="dxa"/>
            <w:noWrap w:val="0"/>
            <w:vAlign w:val="center"/>
          </w:tcPr>
          <w:p w14:paraId="43F27F68">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c>
          <w:tcPr>
            <w:tcW w:w="1164" w:type="dxa"/>
            <w:noWrap w:val="0"/>
            <w:vAlign w:val="center"/>
          </w:tcPr>
          <w:p w14:paraId="256B71F5">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台</w:t>
            </w:r>
          </w:p>
        </w:tc>
        <w:tc>
          <w:tcPr>
            <w:tcW w:w="921" w:type="dxa"/>
            <w:noWrap w:val="0"/>
            <w:vAlign w:val="center"/>
          </w:tcPr>
          <w:p w14:paraId="38A668ED">
            <w:pPr>
              <w:pStyle w:val="36"/>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4</w:t>
            </w:r>
          </w:p>
        </w:tc>
        <w:tc>
          <w:tcPr>
            <w:tcW w:w="2675" w:type="dxa"/>
            <w:noWrap w:val="0"/>
            <w:vAlign w:val="center"/>
          </w:tcPr>
          <w:p w14:paraId="3B206375">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每台配套10t蓄水箱</w:t>
            </w:r>
          </w:p>
        </w:tc>
      </w:tr>
      <w:tr w14:paraId="00A79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807" w:type="dxa"/>
            <w:noWrap w:val="0"/>
            <w:vAlign w:val="center"/>
          </w:tcPr>
          <w:p w14:paraId="3407C9FF">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5</w:t>
            </w:r>
          </w:p>
        </w:tc>
        <w:tc>
          <w:tcPr>
            <w:tcW w:w="1578" w:type="dxa"/>
            <w:noWrap w:val="0"/>
            <w:vAlign w:val="center"/>
          </w:tcPr>
          <w:p w14:paraId="1EAFAD35">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冷却塔</w:t>
            </w:r>
          </w:p>
        </w:tc>
        <w:tc>
          <w:tcPr>
            <w:tcW w:w="1281" w:type="dxa"/>
            <w:noWrap w:val="0"/>
            <w:vAlign w:val="center"/>
          </w:tcPr>
          <w:p w14:paraId="70ADCB8E">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30</w:t>
            </w:r>
            <w:r>
              <w:rPr>
                <w:rFonts w:hint="default" w:ascii="Times New Roman" w:hAnsi="Times New Roman" w:eastAsia="宋体" w:cs="Times New Roman"/>
                <w:b w:val="0"/>
                <w:bCs/>
                <w:color w:val="auto"/>
                <w:sz w:val="21"/>
                <w:szCs w:val="21"/>
                <w:highlight w:val="none"/>
                <w:lang w:val="en-US" w:eastAsia="zh-CN"/>
              </w:rPr>
              <w:t>m</w:t>
            </w:r>
            <w:r>
              <w:rPr>
                <w:rFonts w:hint="default" w:ascii="Times New Roman" w:hAnsi="Times New Roman" w:eastAsia="宋体" w:cs="Times New Roman"/>
                <w:b w:val="0"/>
                <w:bCs/>
                <w:color w:val="auto"/>
                <w:sz w:val="21"/>
                <w:szCs w:val="21"/>
                <w:highlight w:val="none"/>
                <w:vertAlign w:val="superscript"/>
                <w:lang w:val="en-US" w:eastAsia="zh-CN"/>
              </w:rPr>
              <w:t>3</w:t>
            </w:r>
            <w:r>
              <w:rPr>
                <w:rFonts w:hint="default" w:ascii="Times New Roman" w:hAnsi="Times New Roman" w:eastAsia="宋体" w:cs="Times New Roman"/>
                <w:b w:val="0"/>
                <w:bCs/>
                <w:color w:val="auto"/>
                <w:sz w:val="21"/>
                <w:szCs w:val="21"/>
                <w:highlight w:val="none"/>
                <w:lang w:val="en-US" w:eastAsia="zh-CN"/>
              </w:rPr>
              <w:t>/h</w:t>
            </w:r>
          </w:p>
        </w:tc>
        <w:tc>
          <w:tcPr>
            <w:tcW w:w="1164" w:type="dxa"/>
            <w:noWrap w:val="0"/>
            <w:vAlign w:val="center"/>
          </w:tcPr>
          <w:p w14:paraId="585CDA29">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台</w:t>
            </w:r>
          </w:p>
        </w:tc>
        <w:tc>
          <w:tcPr>
            <w:tcW w:w="921" w:type="dxa"/>
            <w:noWrap w:val="0"/>
            <w:vAlign w:val="center"/>
          </w:tcPr>
          <w:p w14:paraId="41DBCD1B">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w:t>
            </w:r>
          </w:p>
        </w:tc>
        <w:tc>
          <w:tcPr>
            <w:tcW w:w="2675" w:type="dxa"/>
            <w:noWrap w:val="0"/>
            <w:vAlign w:val="center"/>
          </w:tcPr>
          <w:p w14:paraId="20348A3A">
            <w:pPr>
              <w:pStyle w:val="36"/>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r>
    </w:tbl>
    <w:p w14:paraId="1C04AC55">
      <w:pPr>
        <w:pStyle w:val="24"/>
        <w:ind w:firstLine="482"/>
        <w:rPr>
          <w:b/>
          <w:color w:val="auto"/>
        </w:rPr>
      </w:pPr>
      <w:r>
        <w:rPr>
          <w:b/>
          <w:color w:val="auto"/>
        </w:rPr>
        <w:br w:type="page"/>
      </w:r>
    </w:p>
    <w:p w14:paraId="7F5A7E95">
      <w:pPr>
        <w:pStyle w:val="24"/>
        <w:ind w:firstLine="422"/>
        <w:rPr>
          <w:b/>
          <w:bCs/>
          <w:color w:val="auto"/>
        </w:rPr>
      </w:pPr>
      <w:r>
        <w:rPr>
          <w:rFonts w:hint="eastAsia"/>
          <w:b/>
          <w:color w:val="auto"/>
          <w:lang w:val="en-US" w:eastAsia="zh-CN"/>
        </w:rPr>
        <w:t>1.5</w:t>
      </w:r>
      <w:r>
        <w:rPr>
          <w:b/>
          <w:bCs/>
          <w:color w:val="auto"/>
        </w:rPr>
        <w:t>劳动定员与生产班制</w:t>
      </w:r>
    </w:p>
    <w:p w14:paraId="3A9DCA97">
      <w:pPr>
        <w:pStyle w:val="24"/>
        <w:rPr>
          <w:b/>
          <w:color w:val="auto"/>
        </w:rPr>
      </w:pPr>
      <w:r>
        <w:rPr>
          <w:rFonts w:hint="eastAsia"/>
          <w:bCs/>
          <w:color w:val="auto"/>
        </w:rPr>
        <w:t>本项目劳动定员</w:t>
      </w:r>
      <w:r>
        <w:rPr>
          <w:rFonts w:hint="eastAsia"/>
          <w:bCs/>
          <w:color w:val="auto"/>
          <w:lang w:eastAsia="zh-CN"/>
        </w:rPr>
        <w:t>5</w:t>
      </w:r>
      <w:r>
        <w:rPr>
          <w:rFonts w:hint="eastAsia"/>
          <w:bCs/>
          <w:color w:val="auto"/>
          <w:lang w:val="en-US" w:eastAsia="zh-CN"/>
        </w:rPr>
        <w:t>5</w:t>
      </w:r>
      <w:r>
        <w:rPr>
          <w:rFonts w:hint="eastAsia"/>
          <w:bCs/>
          <w:color w:val="auto"/>
        </w:rPr>
        <w:t>人，实行</w:t>
      </w:r>
      <w:r>
        <w:rPr>
          <w:rFonts w:hint="eastAsia"/>
          <w:bCs/>
          <w:color w:val="auto"/>
          <w:lang w:val="en-US" w:eastAsia="zh-CN"/>
        </w:rPr>
        <w:t>三</w:t>
      </w:r>
      <w:r>
        <w:rPr>
          <w:rFonts w:hint="eastAsia"/>
          <w:bCs/>
          <w:color w:val="auto"/>
        </w:rPr>
        <w:t>班制（每</w:t>
      </w:r>
      <w:r>
        <w:rPr>
          <w:rFonts w:hint="eastAsia"/>
          <w:bCs/>
          <w:color w:val="auto"/>
          <w:lang w:val="en-US" w:eastAsia="zh-CN"/>
        </w:rPr>
        <w:t>班</w:t>
      </w:r>
      <w:r>
        <w:rPr>
          <w:rFonts w:hint="eastAsia"/>
          <w:bCs/>
          <w:color w:val="auto"/>
        </w:rPr>
        <w:t>8小时）</w:t>
      </w:r>
      <w:r>
        <w:rPr>
          <w:rFonts w:hint="eastAsia"/>
          <w:bCs/>
          <w:color w:val="auto"/>
          <w:lang w:val="en-US" w:eastAsia="zh-CN"/>
        </w:rPr>
        <w:t>生产</w:t>
      </w:r>
      <w:r>
        <w:rPr>
          <w:rFonts w:hint="eastAsia"/>
          <w:bCs/>
          <w:color w:val="auto"/>
        </w:rPr>
        <w:t>，年工作300天</w:t>
      </w:r>
      <w:r>
        <w:rPr>
          <w:rFonts w:hint="eastAsia"/>
          <w:bCs/>
          <w:color w:val="auto"/>
          <w:lang w:eastAsia="zh-CN"/>
        </w:rPr>
        <w:t>，</w:t>
      </w:r>
      <w:r>
        <w:rPr>
          <w:rFonts w:hint="eastAsia"/>
          <w:bCs/>
          <w:color w:val="auto"/>
        </w:rPr>
        <w:t>企业不设食堂和宿舍。</w:t>
      </w:r>
    </w:p>
    <w:p w14:paraId="41806879">
      <w:pPr>
        <w:pStyle w:val="24"/>
        <w:spacing w:line="360" w:lineRule="auto"/>
        <w:ind w:firstLine="482"/>
        <w:rPr>
          <w:b/>
          <w:color w:val="auto"/>
        </w:rPr>
      </w:pPr>
      <w:r>
        <w:rPr>
          <w:rFonts w:hint="eastAsia"/>
          <w:b/>
          <w:color w:val="auto"/>
          <w:lang w:val="en-US" w:eastAsia="zh-CN"/>
        </w:rPr>
        <w:t>1.6</w:t>
      </w:r>
      <w:r>
        <w:rPr>
          <w:rFonts w:hint="eastAsia"/>
          <w:b/>
          <w:color w:val="auto"/>
        </w:rPr>
        <w:t>生产工艺</w:t>
      </w:r>
    </w:p>
    <w:p w14:paraId="083FF195">
      <w:pPr>
        <w:pStyle w:val="8"/>
        <w:adjustRightInd w:val="0"/>
        <w:snapToGrid w:val="0"/>
        <w:spacing w:line="360" w:lineRule="auto"/>
        <w:ind w:firstLine="420"/>
        <w:jc w:val="both"/>
        <w:rPr>
          <w:rFonts w:ascii="Times New Roman" w:hAnsi="Times New Roman" w:cs="Times New Roman"/>
          <w:bCs/>
          <w:color w:val="auto"/>
          <w:sz w:val="24"/>
          <w:szCs w:val="24"/>
          <w:highlight w:val="none"/>
        </w:rPr>
      </w:pPr>
      <w:bookmarkStart w:id="10" w:name="_Toc68128723"/>
      <w:r>
        <w:rPr>
          <w:rFonts w:hint="eastAsia" w:ascii="Times New Roman" w:hAnsi="Times New Roman" w:cs="Times New Roman"/>
          <w:bCs/>
          <w:color w:val="auto"/>
          <w:sz w:val="24"/>
          <w:szCs w:val="24"/>
          <w:highlight w:val="none"/>
        </w:rPr>
        <w:t>本项目生产</w:t>
      </w:r>
      <w:r>
        <w:rPr>
          <w:rFonts w:ascii="Times New Roman" w:hAnsi="Times New Roman" w:cs="Times New Roman"/>
          <w:bCs/>
          <w:color w:val="auto"/>
          <w:sz w:val="24"/>
          <w:szCs w:val="24"/>
          <w:highlight w:val="none"/>
        </w:rPr>
        <w:t>工艺及产污点见下图：</w:t>
      </w:r>
    </w:p>
    <w:p w14:paraId="7D334BBA">
      <w:pPr>
        <w:pStyle w:val="8"/>
        <w:adjustRightInd w:val="0"/>
        <w:snapToGrid w:val="0"/>
        <w:spacing w:line="360" w:lineRule="auto"/>
        <w:jc w:val="center"/>
        <w:rPr>
          <w:color w:val="auto"/>
          <w:highlight w:val="none"/>
        </w:rPr>
      </w:pPr>
      <w:r>
        <w:rPr>
          <w:rFonts w:ascii="宋体" w:hAnsi="宋体" w:eastAsia="宋体" w:cs="宋体"/>
          <w:color w:val="auto"/>
          <w:sz w:val="24"/>
          <w:szCs w:val="24"/>
        </w:rPr>
        <w:drawing>
          <wp:inline distT="0" distB="0" distL="114300" distR="114300">
            <wp:extent cx="4265295" cy="6120130"/>
            <wp:effectExtent l="0" t="0" r="1905" b="13970"/>
            <wp:docPr id="1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56"/>
                    <pic:cNvPicPr>
                      <a:picLocks noChangeAspect="1"/>
                    </pic:cNvPicPr>
                  </pic:nvPicPr>
                  <pic:blipFill>
                    <a:blip r:embed="rId11"/>
                    <a:stretch>
                      <a:fillRect/>
                    </a:stretch>
                  </pic:blipFill>
                  <pic:spPr>
                    <a:xfrm>
                      <a:off x="0" y="0"/>
                      <a:ext cx="4265295" cy="6120130"/>
                    </a:xfrm>
                    <a:prstGeom prst="rect">
                      <a:avLst/>
                    </a:prstGeom>
                    <a:noFill/>
                    <a:ln w="9525">
                      <a:noFill/>
                    </a:ln>
                  </pic:spPr>
                </pic:pic>
              </a:graphicData>
            </a:graphic>
          </wp:inline>
        </w:drawing>
      </w:r>
    </w:p>
    <w:p w14:paraId="064C816E">
      <w:pPr>
        <w:pStyle w:val="8"/>
        <w:adjustRightInd w:val="0"/>
        <w:snapToGrid w:val="0"/>
        <w:spacing w:line="360" w:lineRule="auto"/>
        <w:jc w:val="center"/>
        <w:rPr>
          <w:rFonts w:ascii="Times New Roman" w:hAnsi="Times New Roman" w:cs="Times New Roman"/>
          <w:b/>
          <w:color w:val="auto"/>
          <w:sz w:val="21"/>
          <w:szCs w:val="21"/>
          <w:highlight w:val="none"/>
        </w:rPr>
      </w:pPr>
      <w:r>
        <w:rPr>
          <w:rFonts w:ascii="Times New Roman" w:hAnsi="Times New Roman" w:cs="Times New Roman"/>
          <w:b/>
          <w:color w:val="auto"/>
          <w:sz w:val="21"/>
          <w:szCs w:val="21"/>
          <w:highlight w:val="none"/>
        </w:rPr>
        <w:t>图</w:t>
      </w:r>
      <w:r>
        <w:rPr>
          <w:rFonts w:hint="eastAsia" w:ascii="Times New Roman" w:hAnsi="Times New Roman" w:cs="Times New Roman"/>
          <w:b/>
          <w:color w:val="auto"/>
          <w:sz w:val="21"/>
          <w:szCs w:val="21"/>
          <w:highlight w:val="none"/>
          <w:lang w:val="en-US" w:eastAsia="zh-CN"/>
        </w:rPr>
        <w:t>1</w:t>
      </w:r>
      <w:r>
        <w:rPr>
          <w:rFonts w:ascii="Times New Roman" w:hAnsi="Times New Roman" w:cs="Times New Roman"/>
          <w:b/>
          <w:color w:val="auto"/>
          <w:sz w:val="21"/>
          <w:szCs w:val="21"/>
          <w:highlight w:val="none"/>
        </w:rPr>
        <w:t xml:space="preserve">  </w:t>
      </w:r>
      <w:r>
        <w:rPr>
          <w:rFonts w:hint="eastAsia" w:ascii="Times New Roman" w:hAnsi="Times New Roman" w:cs="Times New Roman"/>
          <w:b/>
          <w:color w:val="auto"/>
          <w:sz w:val="21"/>
          <w:szCs w:val="21"/>
          <w:highlight w:val="none"/>
          <w:lang w:val="en-US" w:eastAsia="zh-CN"/>
        </w:rPr>
        <w:t>项目生产</w:t>
      </w:r>
      <w:r>
        <w:rPr>
          <w:rFonts w:ascii="Times New Roman" w:hAnsi="Times New Roman" w:cs="Times New Roman"/>
          <w:b/>
          <w:color w:val="auto"/>
          <w:sz w:val="21"/>
          <w:szCs w:val="21"/>
          <w:highlight w:val="none"/>
        </w:rPr>
        <w:t>工艺流程及产污环节示意图</w:t>
      </w:r>
    </w:p>
    <w:p w14:paraId="458C69A2">
      <w:pPr>
        <w:pStyle w:val="8"/>
        <w:adjustRightInd w:val="0"/>
        <w:snapToGrid w:val="0"/>
        <w:spacing w:line="360" w:lineRule="auto"/>
        <w:ind w:firstLine="0"/>
        <w:jc w:val="left"/>
        <w:rPr>
          <w:rFonts w:hint="eastAsia" w:ascii="Times New Roman" w:hAnsi="Times New Roman" w:cs="Times New Roman"/>
          <w:b/>
          <w:bCs/>
          <w:color w:val="auto"/>
          <w:sz w:val="24"/>
          <w:szCs w:val="24"/>
          <w:highlight w:val="none"/>
        </w:rPr>
      </w:pPr>
      <w:r>
        <w:rPr>
          <w:rFonts w:ascii="Times New Roman" w:hAnsi="Times New Roman" w:cs="Times New Roman"/>
          <w:b/>
          <w:bCs/>
          <w:color w:val="auto"/>
          <w:sz w:val="24"/>
          <w:szCs w:val="24"/>
          <w:highlight w:val="none"/>
        </w:rPr>
        <w:t>工艺流程</w:t>
      </w:r>
      <w:r>
        <w:rPr>
          <w:rFonts w:hint="eastAsia" w:ascii="Times New Roman" w:hAnsi="Times New Roman" w:cs="Times New Roman"/>
          <w:b/>
          <w:bCs/>
          <w:color w:val="auto"/>
          <w:sz w:val="24"/>
          <w:szCs w:val="24"/>
          <w:highlight w:val="none"/>
          <w:lang w:val="en-US" w:eastAsia="zh-CN"/>
        </w:rPr>
        <w:t>简述</w:t>
      </w:r>
      <w:r>
        <w:rPr>
          <w:rFonts w:ascii="Times New Roman" w:hAnsi="Times New Roman" w:cs="Times New Roman"/>
          <w:b/>
          <w:bCs/>
          <w:color w:val="auto"/>
          <w:sz w:val="24"/>
          <w:szCs w:val="24"/>
          <w:highlight w:val="none"/>
        </w:rPr>
        <w:t>：</w:t>
      </w:r>
    </w:p>
    <w:p w14:paraId="4E0DF953">
      <w:pPr>
        <w:spacing w:line="360" w:lineRule="auto"/>
        <w:ind w:firstLine="480" w:firstLineChars="200"/>
        <w:jc w:val="both"/>
        <w:rPr>
          <w:rFonts w:hint="default" w:eastAsia="宋体"/>
          <w:bCs/>
          <w:color w:val="auto"/>
          <w:sz w:val="24"/>
          <w:szCs w:val="24"/>
          <w:highlight w:val="none"/>
          <w:lang w:val="en-US" w:eastAsia="zh-CN"/>
        </w:rPr>
      </w:pPr>
      <w:r>
        <w:rPr>
          <w:bCs/>
          <w:color w:val="auto"/>
          <w:sz w:val="24"/>
          <w:szCs w:val="24"/>
          <w:highlight w:val="none"/>
        </w:rPr>
        <w:t>1、</w:t>
      </w:r>
      <w:r>
        <w:rPr>
          <w:rFonts w:hint="eastAsia"/>
          <w:bCs/>
          <w:color w:val="auto"/>
          <w:sz w:val="24"/>
          <w:szCs w:val="24"/>
          <w:highlight w:val="none"/>
          <w:lang w:val="en-US" w:eastAsia="zh-CN"/>
        </w:rPr>
        <w:t>投料、混料：</w:t>
      </w:r>
      <w:r>
        <w:rPr>
          <w:bCs/>
          <w:color w:val="auto"/>
          <w:sz w:val="24"/>
          <w:szCs w:val="24"/>
          <w:highlight w:val="none"/>
        </w:rPr>
        <w:t>本</w:t>
      </w:r>
      <w:r>
        <w:rPr>
          <w:rFonts w:hint="eastAsia"/>
          <w:bCs/>
          <w:color w:val="auto"/>
          <w:sz w:val="24"/>
          <w:szCs w:val="24"/>
          <w:highlight w:val="none"/>
        </w:rPr>
        <w:t>项目</w:t>
      </w:r>
      <w:r>
        <w:rPr>
          <w:bCs/>
          <w:color w:val="auto"/>
          <w:sz w:val="24"/>
          <w:szCs w:val="24"/>
          <w:highlight w:val="none"/>
        </w:rPr>
        <w:t>原料为各类粒子，包括低密度聚乙烯（LDPE）</w:t>
      </w:r>
      <w:r>
        <w:rPr>
          <w:rFonts w:hint="eastAsia"/>
          <w:bCs/>
          <w:color w:val="auto"/>
          <w:sz w:val="24"/>
          <w:szCs w:val="24"/>
          <w:highlight w:val="none"/>
          <w:lang w:eastAsia="zh-CN"/>
        </w:rPr>
        <w:t>、</w:t>
      </w:r>
      <w:r>
        <w:rPr>
          <w:bCs/>
          <w:color w:val="auto"/>
          <w:sz w:val="24"/>
          <w:szCs w:val="24"/>
          <w:highlight w:val="none"/>
        </w:rPr>
        <w:t>线型低密度聚乙烯（LLDPE）</w:t>
      </w:r>
      <w:r>
        <w:rPr>
          <w:rFonts w:hint="eastAsia"/>
          <w:bCs/>
          <w:color w:val="auto"/>
          <w:sz w:val="24"/>
          <w:szCs w:val="24"/>
          <w:highlight w:val="none"/>
          <w:lang w:eastAsia="zh-CN"/>
        </w:rPr>
        <w:t>、</w:t>
      </w:r>
      <w:r>
        <w:rPr>
          <w:rFonts w:hint="eastAsia"/>
          <w:bCs/>
          <w:color w:val="auto"/>
          <w:sz w:val="24"/>
          <w:szCs w:val="24"/>
          <w:highlight w:val="none"/>
          <w:lang w:val="en-US" w:eastAsia="zh-CN"/>
        </w:rPr>
        <w:t>高密度聚乙烯（HDPE）、茂金属聚乙烯（MLLDPE）、乙烯-乙酸乙烯酯共聚物（EVA）</w:t>
      </w:r>
      <w:r>
        <w:rPr>
          <w:bCs/>
          <w:color w:val="auto"/>
          <w:sz w:val="24"/>
          <w:szCs w:val="24"/>
          <w:highlight w:val="none"/>
        </w:rPr>
        <w:t>及各类添加剂。生产前，</w:t>
      </w:r>
      <w:r>
        <w:rPr>
          <w:rFonts w:hint="eastAsia"/>
          <w:color w:val="auto"/>
          <w:sz w:val="24"/>
          <w:szCs w:val="24"/>
          <w:highlight w:val="none"/>
        </w:rPr>
        <w:t>人工</w:t>
      </w:r>
      <w:r>
        <w:rPr>
          <w:rFonts w:hint="eastAsia"/>
          <w:color w:val="auto"/>
          <w:sz w:val="24"/>
          <w:szCs w:val="24"/>
          <w:highlight w:val="none"/>
          <w:lang w:val="en-US" w:eastAsia="zh-CN"/>
        </w:rPr>
        <w:t>将原辅材料</w:t>
      </w:r>
      <w:r>
        <w:rPr>
          <w:rFonts w:hint="eastAsia"/>
          <w:color w:val="auto"/>
          <w:sz w:val="24"/>
          <w:szCs w:val="24"/>
          <w:highlight w:val="none"/>
        </w:rPr>
        <w:t>倒入原料</w:t>
      </w:r>
      <w:r>
        <w:rPr>
          <w:rFonts w:hint="eastAsia"/>
          <w:color w:val="auto"/>
          <w:sz w:val="24"/>
          <w:szCs w:val="24"/>
          <w:highlight w:val="none"/>
          <w:lang w:val="en-US" w:eastAsia="zh-CN"/>
        </w:rPr>
        <w:t>桶</w:t>
      </w:r>
      <w:r>
        <w:rPr>
          <w:rFonts w:hint="eastAsia"/>
          <w:color w:val="auto"/>
          <w:sz w:val="24"/>
          <w:szCs w:val="24"/>
          <w:highlight w:val="none"/>
        </w:rPr>
        <w:t>，</w:t>
      </w:r>
      <w:r>
        <w:rPr>
          <w:rFonts w:hint="eastAsia"/>
          <w:color w:val="auto"/>
          <w:sz w:val="24"/>
          <w:szCs w:val="24"/>
          <w:highlight w:val="none"/>
          <w:lang w:val="en-US" w:eastAsia="zh-CN"/>
        </w:rPr>
        <w:t>通过真空上料机</w:t>
      </w:r>
      <w:r>
        <w:rPr>
          <w:rFonts w:hint="eastAsia"/>
          <w:color w:val="auto"/>
          <w:sz w:val="24"/>
          <w:szCs w:val="24"/>
          <w:highlight w:val="none"/>
        </w:rPr>
        <w:t>分别送入贮料仓，</w:t>
      </w:r>
      <w:r>
        <w:rPr>
          <w:rFonts w:hint="eastAsia"/>
          <w:color w:val="auto"/>
          <w:sz w:val="24"/>
          <w:szCs w:val="24"/>
          <w:highlight w:val="none"/>
          <w:lang w:val="en-US" w:eastAsia="zh-CN"/>
        </w:rPr>
        <w:t>经计量称称重，</w:t>
      </w:r>
      <w:r>
        <w:rPr>
          <w:rFonts w:hint="eastAsia"/>
          <w:color w:val="auto"/>
          <w:sz w:val="24"/>
          <w:szCs w:val="24"/>
          <w:highlight w:val="none"/>
        </w:rPr>
        <w:t>按比例</w:t>
      </w:r>
      <w:r>
        <w:rPr>
          <w:rFonts w:hint="eastAsia"/>
          <w:color w:val="auto"/>
          <w:sz w:val="24"/>
          <w:szCs w:val="24"/>
          <w:highlight w:val="none"/>
          <w:lang w:val="en-US" w:eastAsia="zh-CN"/>
        </w:rPr>
        <w:t>自动</w:t>
      </w:r>
      <w:r>
        <w:rPr>
          <w:rFonts w:hint="eastAsia"/>
          <w:color w:val="auto"/>
          <w:sz w:val="24"/>
          <w:szCs w:val="24"/>
          <w:highlight w:val="none"/>
        </w:rPr>
        <w:t>配料，进入混料装置</w:t>
      </w:r>
      <w:r>
        <w:rPr>
          <w:rFonts w:hint="eastAsia"/>
          <w:color w:val="auto"/>
          <w:sz w:val="24"/>
          <w:szCs w:val="24"/>
          <w:highlight w:val="none"/>
          <w:lang w:val="en-US" w:eastAsia="zh-CN"/>
        </w:rPr>
        <w:t>混合均匀后进入吹膜机组</w:t>
      </w:r>
      <w:r>
        <w:rPr>
          <w:rFonts w:hint="eastAsia"/>
          <w:color w:val="auto"/>
          <w:sz w:val="24"/>
          <w:szCs w:val="24"/>
          <w:highlight w:val="none"/>
        </w:rPr>
        <w:t>。</w:t>
      </w:r>
    </w:p>
    <w:p w14:paraId="3A89CD0E">
      <w:pPr>
        <w:spacing w:line="360" w:lineRule="auto"/>
        <w:ind w:firstLine="480" w:firstLineChars="200"/>
        <w:jc w:val="both"/>
        <w:rPr>
          <w:rFonts w:hint="default" w:ascii="Times New Roman" w:hAnsi="Times New Roman" w:cs="Times New Roman"/>
          <w:bCs/>
          <w:color w:val="auto"/>
          <w:sz w:val="24"/>
          <w:szCs w:val="24"/>
          <w:highlight w:val="none"/>
        </w:rPr>
      </w:pPr>
      <w:r>
        <w:rPr>
          <w:bCs/>
          <w:color w:val="auto"/>
          <w:sz w:val="24"/>
          <w:szCs w:val="24"/>
          <w:highlight w:val="none"/>
        </w:rPr>
        <w:t>2、熔融、挤出：各类原料粒子被自动加料系统吸入</w:t>
      </w:r>
      <w:r>
        <w:rPr>
          <w:rFonts w:hint="eastAsia"/>
          <w:bCs/>
          <w:color w:val="auto"/>
          <w:sz w:val="24"/>
          <w:szCs w:val="24"/>
          <w:highlight w:val="none"/>
        </w:rPr>
        <w:t>吹膜机</w:t>
      </w:r>
      <w:r>
        <w:rPr>
          <w:rFonts w:hint="eastAsia"/>
          <w:bCs/>
          <w:color w:val="auto"/>
          <w:sz w:val="24"/>
          <w:szCs w:val="24"/>
          <w:highlight w:val="none"/>
          <w:lang w:val="en-US" w:eastAsia="zh-CN"/>
        </w:rPr>
        <w:t>组</w:t>
      </w:r>
      <w:r>
        <w:rPr>
          <w:bCs/>
          <w:color w:val="auto"/>
          <w:sz w:val="24"/>
          <w:szCs w:val="24"/>
          <w:highlight w:val="none"/>
        </w:rPr>
        <w:t>内，利用电能加热至</w:t>
      </w:r>
      <w:r>
        <w:rPr>
          <w:rFonts w:hint="default"/>
          <w:bCs/>
          <w:color w:val="auto"/>
          <w:sz w:val="24"/>
          <w:szCs w:val="24"/>
          <w:highlight w:val="none"/>
          <w:lang w:val="en-US" w:eastAsia="zh-CN"/>
        </w:rPr>
        <w:t>140℃~</w:t>
      </w:r>
      <w:r>
        <w:rPr>
          <w:rFonts w:hint="eastAsia"/>
          <w:bCs/>
          <w:color w:val="auto"/>
          <w:sz w:val="24"/>
          <w:szCs w:val="24"/>
          <w:highlight w:val="none"/>
          <w:lang w:val="en-US" w:eastAsia="zh-CN"/>
        </w:rPr>
        <w:t>20</w:t>
      </w:r>
      <w:r>
        <w:rPr>
          <w:rFonts w:hint="default"/>
          <w:bCs/>
          <w:color w:val="auto"/>
          <w:sz w:val="24"/>
          <w:szCs w:val="24"/>
          <w:highlight w:val="none"/>
          <w:lang w:val="en-US" w:eastAsia="zh-CN"/>
        </w:rPr>
        <w:t>0℃</w:t>
      </w:r>
      <w:r>
        <w:rPr>
          <w:bCs/>
          <w:color w:val="auto"/>
          <w:sz w:val="24"/>
          <w:szCs w:val="24"/>
          <w:highlight w:val="none"/>
        </w:rPr>
        <w:t>左右，使原料粒子</w:t>
      </w:r>
      <w:r>
        <w:rPr>
          <w:rFonts w:hint="eastAsia"/>
          <w:bCs/>
          <w:color w:val="auto"/>
          <w:sz w:val="24"/>
          <w:szCs w:val="24"/>
          <w:highlight w:val="none"/>
          <w:lang w:val="en-US" w:eastAsia="zh-CN"/>
        </w:rPr>
        <w:t>熔融成</w:t>
      </w:r>
      <w:r>
        <w:rPr>
          <w:bCs/>
          <w:color w:val="auto"/>
          <w:sz w:val="24"/>
          <w:szCs w:val="24"/>
          <w:highlight w:val="none"/>
        </w:rPr>
        <w:t>熔体</w:t>
      </w:r>
      <w:r>
        <w:rPr>
          <w:rFonts w:hint="eastAsia"/>
          <w:bCs/>
          <w:color w:val="auto"/>
          <w:sz w:val="24"/>
          <w:szCs w:val="24"/>
          <w:highlight w:val="none"/>
        </w:rPr>
        <w:t>，</w:t>
      </w:r>
      <w:r>
        <w:rPr>
          <w:rFonts w:hint="eastAsia"/>
          <w:color w:val="auto"/>
          <w:sz w:val="24"/>
          <w:szCs w:val="24"/>
          <w:highlight w:val="none"/>
        </w:rPr>
        <w:t>熔融的原料通过配套的过滤器过滤后进入挤出机模头</w:t>
      </w:r>
      <w:r>
        <w:rPr>
          <w:rFonts w:hint="eastAsia"/>
          <w:color w:val="auto"/>
          <w:sz w:val="24"/>
          <w:szCs w:val="24"/>
          <w:highlight w:val="none"/>
          <w:lang w:val="en-US" w:eastAsia="zh-CN"/>
        </w:rPr>
        <w:t>，熔体从模头流出，模头温度在</w:t>
      </w:r>
      <w:r>
        <w:rPr>
          <w:rFonts w:hint="default" w:ascii="Times New Roman" w:hAnsi="Times New Roman" w:cs="Times New Roman"/>
          <w:color w:val="auto"/>
          <w:sz w:val="24"/>
          <w:szCs w:val="24"/>
          <w:highlight w:val="none"/>
          <w:lang w:val="en-US" w:eastAsia="zh-CN"/>
        </w:rPr>
        <w:t>180℃~200℃</w:t>
      </w:r>
      <w:r>
        <w:rPr>
          <w:rFonts w:ascii="Times New Roman" w:hAnsi="Times New Roman" w:cs="Times New Roman"/>
          <w:bCs/>
          <w:color w:val="auto"/>
          <w:sz w:val="24"/>
          <w:szCs w:val="24"/>
          <w:highlight w:val="none"/>
        </w:rPr>
        <w:t>。</w:t>
      </w:r>
      <w:r>
        <w:rPr>
          <w:bCs/>
          <w:color w:val="auto"/>
          <w:sz w:val="24"/>
          <w:szCs w:val="24"/>
          <w:highlight w:val="none"/>
        </w:rPr>
        <w:t>熔融、挤出</w:t>
      </w:r>
      <w:r>
        <w:rPr>
          <w:rFonts w:hint="eastAsia"/>
          <w:bCs/>
          <w:color w:val="auto"/>
          <w:sz w:val="24"/>
          <w:szCs w:val="24"/>
          <w:highlight w:val="none"/>
          <w:lang w:val="en-US" w:eastAsia="zh-CN"/>
        </w:rPr>
        <w:t>过程会产生有机废气。</w:t>
      </w:r>
    </w:p>
    <w:p w14:paraId="173630DA">
      <w:pPr>
        <w:spacing w:line="360" w:lineRule="auto"/>
        <w:ind w:firstLine="480" w:firstLineChars="200"/>
        <w:jc w:val="both"/>
        <w:rPr>
          <w:rFonts w:hint="eastAsia"/>
          <w:bCs/>
          <w:color w:val="auto"/>
          <w:sz w:val="24"/>
          <w:szCs w:val="24"/>
          <w:highlight w:val="none"/>
          <w:lang w:val="en-US" w:eastAsia="zh-CN"/>
        </w:rPr>
      </w:pPr>
      <w:r>
        <w:rPr>
          <w:bCs/>
          <w:color w:val="auto"/>
          <w:sz w:val="24"/>
          <w:szCs w:val="24"/>
          <w:highlight w:val="none"/>
        </w:rPr>
        <w:t>3、</w:t>
      </w:r>
      <w:r>
        <w:rPr>
          <w:rFonts w:hint="eastAsia"/>
          <w:bCs/>
          <w:color w:val="auto"/>
          <w:sz w:val="24"/>
          <w:szCs w:val="24"/>
          <w:highlight w:val="none"/>
          <w:lang w:val="en-US" w:eastAsia="zh-CN"/>
        </w:rPr>
        <w:t>吹胀、冷却</w:t>
      </w:r>
      <w:r>
        <w:rPr>
          <w:bCs/>
          <w:color w:val="auto"/>
          <w:sz w:val="24"/>
          <w:szCs w:val="24"/>
          <w:highlight w:val="none"/>
        </w:rPr>
        <w:t>：</w:t>
      </w:r>
      <w:r>
        <w:rPr>
          <w:rFonts w:hint="eastAsia"/>
          <w:bCs/>
          <w:color w:val="auto"/>
          <w:sz w:val="24"/>
          <w:szCs w:val="24"/>
          <w:highlight w:val="none"/>
          <w:lang w:val="en-US" w:eastAsia="zh-CN"/>
        </w:rPr>
        <w:t>根据所需宽度设定，在较好的熔体流动状态下通过高压空气进行吹胀，红外传感器测得膜泡宽度，内冷（</w:t>
      </w:r>
      <w:r>
        <w:rPr>
          <w:rFonts w:hint="eastAsia" w:ascii="Times New Roman" w:hAnsi="Times New Roman" w:cs="Times New Roman"/>
          <w:color w:val="auto"/>
          <w:sz w:val="24"/>
          <w:szCs w:val="24"/>
          <w:highlight w:val="none"/>
          <w:lang w:val="en-US" w:eastAsia="zh-CN"/>
        </w:rPr>
        <w:t>2</w:t>
      </w:r>
      <w:r>
        <w:rPr>
          <w:rFonts w:hint="default" w:ascii="Times New Roman" w:hAnsi="Times New Roman" w:cs="Times New Roman"/>
          <w:color w:val="auto"/>
          <w:sz w:val="24"/>
          <w:szCs w:val="24"/>
          <w:highlight w:val="none"/>
          <w:lang w:val="en-US" w:eastAsia="zh-CN"/>
        </w:rPr>
        <w:t>0℃~2</w:t>
      </w:r>
      <w:r>
        <w:rPr>
          <w:rFonts w:hint="eastAsia" w:ascii="Times New Roman" w:hAnsi="Times New Roman" w:cs="Times New Roman"/>
          <w:color w:val="auto"/>
          <w:sz w:val="24"/>
          <w:szCs w:val="24"/>
          <w:highlight w:val="none"/>
          <w:lang w:val="en-US" w:eastAsia="zh-CN"/>
        </w:rPr>
        <w:t>5</w:t>
      </w:r>
      <w:r>
        <w:rPr>
          <w:rFonts w:hint="default" w:ascii="Times New Roman" w:hAnsi="Times New Roman" w:cs="Times New Roman"/>
          <w:color w:val="auto"/>
          <w:sz w:val="24"/>
          <w:szCs w:val="24"/>
          <w:highlight w:val="none"/>
          <w:lang w:val="en-US" w:eastAsia="zh-CN"/>
        </w:rPr>
        <w:t>℃</w:t>
      </w:r>
      <w:r>
        <w:rPr>
          <w:rFonts w:hint="eastAsia"/>
          <w:bCs/>
          <w:color w:val="auto"/>
          <w:sz w:val="24"/>
          <w:szCs w:val="24"/>
          <w:highlight w:val="none"/>
          <w:lang w:val="en-US" w:eastAsia="zh-CN"/>
        </w:rPr>
        <w:t>）进风和抽风风量达到平衡状态，使膜泡宽度保持不变。同时增加外冷（</w:t>
      </w:r>
      <w:r>
        <w:rPr>
          <w:rFonts w:hint="eastAsia" w:ascii="Times New Roman" w:hAnsi="Times New Roman" w:cs="Times New Roman"/>
          <w:color w:val="auto"/>
          <w:sz w:val="24"/>
          <w:szCs w:val="24"/>
          <w:highlight w:val="none"/>
          <w:lang w:val="en-US" w:eastAsia="zh-CN"/>
        </w:rPr>
        <w:t>25</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35</w:t>
      </w:r>
      <w:r>
        <w:rPr>
          <w:rFonts w:hint="default" w:ascii="Times New Roman" w:hAnsi="Times New Roman" w:cs="Times New Roman"/>
          <w:color w:val="auto"/>
          <w:sz w:val="24"/>
          <w:szCs w:val="24"/>
          <w:highlight w:val="none"/>
          <w:lang w:val="en-US" w:eastAsia="zh-CN"/>
        </w:rPr>
        <w:t>℃</w:t>
      </w:r>
      <w:r>
        <w:rPr>
          <w:rFonts w:hint="eastAsia"/>
          <w:bCs/>
          <w:color w:val="auto"/>
          <w:sz w:val="24"/>
          <w:szCs w:val="24"/>
          <w:highlight w:val="none"/>
          <w:lang w:val="en-US" w:eastAsia="zh-CN"/>
        </w:rPr>
        <w:t>）风量使膜泡充分冷却。此过程会产生有机废气。</w:t>
      </w:r>
    </w:p>
    <w:p w14:paraId="30BAEE88">
      <w:pPr>
        <w:spacing w:line="360" w:lineRule="auto"/>
        <w:ind w:firstLine="480" w:firstLineChars="200"/>
        <w:jc w:val="both"/>
        <w:rPr>
          <w:rFonts w:hint="default"/>
          <w:bCs/>
          <w:color w:val="auto"/>
          <w:sz w:val="24"/>
          <w:szCs w:val="24"/>
          <w:highlight w:val="none"/>
          <w:lang w:val="en-US" w:eastAsia="zh-CN"/>
        </w:rPr>
      </w:pPr>
      <w:r>
        <w:rPr>
          <w:rFonts w:hint="default"/>
          <w:bCs/>
          <w:color w:val="auto"/>
          <w:sz w:val="24"/>
          <w:szCs w:val="24"/>
          <w:highlight w:val="none"/>
          <w:lang w:val="en-US" w:eastAsia="zh-CN"/>
        </w:rPr>
        <w:t>本项目吹胀、冷却工序依托风冷系统进行，风冷系统拟配备</w:t>
      </w:r>
      <w:r>
        <w:rPr>
          <w:rFonts w:hint="eastAsia"/>
          <w:bCs/>
          <w:color w:val="auto"/>
          <w:sz w:val="24"/>
          <w:szCs w:val="24"/>
          <w:highlight w:val="none"/>
          <w:lang w:val="en-US" w:eastAsia="zh-CN"/>
        </w:rPr>
        <w:t>4</w:t>
      </w:r>
      <w:r>
        <w:rPr>
          <w:rFonts w:hint="default"/>
          <w:bCs/>
          <w:color w:val="auto"/>
          <w:sz w:val="24"/>
          <w:szCs w:val="24"/>
          <w:highlight w:val="none"/>
          <w:lang w:val="en-US" w:eastAsia="zh-CN"/>
        </w:rPr>
        <w:t>台冷水机（每台配套10t蓄水箱），同时设置2台冷却塔（每台循环冷却水量为30m</w:t>
      </w:r>
      <w:r>
        <w:rPr>
          <w:rFonts w:hint="default"/>
          <w:bCs/>
          <w:color w:val="auto"/>
          <w:sz w:val="24"/>
          <w:szCs w:val="24"/>
          <w:highlight w:val="none"/>
          <w:vertAlign w:val="superscript"/>
          <w:lang w:val="en-US" w:eastAsia="zh-CN"/>
        </w:rPr>
        <w:t>3</w:t>
      </w:r>
      <w:r>
        <w:rPr>
          <w:rFonts w:hint="default"/>
          <w:bCs/>
          <w:color w:val="auto"/>
          <w:sz w:val="24"/>
          <w:szCs w:val="24"/>
          <w:highlight w:val="none"/>
          <w:lang w:val="en-US" w:eastAsia="zh-CN"/>
        </w:rPr>
        <w:t>/h）为冷水机提供循环冷却水；冷却水循环使用，定期补充损耗，不外排。</w:t>
      </w:r>
    </w:p>
    <w:p w14:paraId="0F48ECFD">
      <w:pPr>
        <w:spacing w:line="360" w:lineRule="auto"/>
        <w:ind w:firstLine="480" w:firstLineChars="200"/>
        <w:jc w:val="both"/>
        <w:rPr>
          <w:bCs/>
          <w:color w:val="auto"/>
          <w:sz w:val="24"/>
          <w:szCs w:val="24"/>
          <w:highlight w:val="none"/>
        </w:rPr>
      </w:pPr>
      <w:r>
        <w:rPr>
          <w:bCs/>
          <w:color w:val="auto"/>
          <w:sz w:val="24"/>
          <w:szCs w:val="24"/>
          <w:highlight w:val="none"/>
        </w:rPr>
        <w:t>4、</w:t>
      </w:r>
      <w:r>
        <w:rPr>
          <w:rFonts w:hint="eastAsia"/>
          <w:bCs/>
          <w:color w:val="auto"/>
          <w:sz w:val="24"/>
          <w:szCs w:val="24"/>
          <w:highlight w:val="none"/>
          <w:lang w:val="en-US" w:eastAsia="zh-CN"/>
        </w:rPr>
        <w:t>牵引：冷却后的膜泡经上牵引、上旋转装置、电晕处理装置、纠偏系统、切刀装置、下牵引，最后到收卷装置收卷</w:t>
      </w:r>
      <w:r>
        <w:rPr>
          <w:rFonts w:hint="eastAsia"/>
          <w:bCs/>
          <w:color w:val="auto"/>
          <w:sz w:val="24"/>
          <w:szCs w:val="24"/>
          <w:highlight w:val="none"/>
        </w:rPr>
        <w:t>。</w:t>
      </w:r>
    </w:p>
    <w:p w14:paraId="46B4618A">
      <w:pPr>
        <w:spacing w:line="360" w:lineRule="auto"/>
        <w:ind w:firstLine="480" w:firstLineChars="200"/>
        <w:jc w:val="both"/>
        <w:rPr>
          <w:bCs/>
          <w:color w:val="auto"/>
          <w:sz w:val="24"/>
          <w:szCs w:val="24"/>
          <w:highlight w:val="none"/>
        </w:rPr>
      </w:pPr>
      <w:r>
        <w:rPr>
          <w:rFonts w:hint="eastAsia"/>
          <w:bCs/>
          <w:color w:val="auto"/>
          <w:sz w:val="24"/>
          <w:szCs w:val="24"/>
          <w:highlight w:val="none"/>
          <w:lang w:val="en-US" w:eastAsia="zh-CN"/>
        </w:rPr>
        <w:t>5</w:t>
      </w:r>
      <w:r>
        <w:rPr>
          <w:bCs/>
          <w:color w:val="auto"/>
          <w:sz w:val="24"/>
          <w:szCs w:val="24"/>
          <w:highlight w:val="none"/>
        </w:rPr>
        <w:t>、</w:t>
      </w:r>
      <w:r>
        <w:rPr>
          <w:rFonts w:hint="eastAsia"/>
          <w:bCs/>
          <w:color w:val="auto"/>
          <w:sz w:val="24"/>
          <w:szCs w:val="24"/>
          <w:highlight w:val="none"/>
          <w:lang w:val="en-US" w:eastAsia="zh-CN"/>
        </w:rPr>
        <w:t>电晕处理</w:t>
      </w:r>
      <w:r>
        <w:rPr>
          <w:bCs/>
          <w:color w:val="auto"/>
          <w:sz w:val="24"/>
          <w:szCs w:val="24"/>
          <w:highlight w:val="none"/>
        </w:rPr>
        <w:t>：</w:t>
      </w:r>
      <w:r>
        <w:rPr>
          <w:rFonts w:hint="eastAsia"/>
          <w:bCs/>
          <w:color w:val="auto"/>
          <w:sz w:val="24"/>
          <w:szCs w:val="24"/>
          <w:highlight w:val="none"/>
        </w:rPr>
        <w:t>为了提高产品与印刷油墨或真空镀铝层之间的结合力，增加附着牢度，往往还需要对薄膜进行表面处理，加大薄膜的润湿张力。本项目采用电晕处理法，通过在金属电极与电晕处理辊(一般为耐高温、耐臭氧、高绝缘的硅橡胶辊)之间施加高频、高压电源（频率为1</w:t>
      </w:r>
      <w:r>
        <w:rPr>
          <w:bCs/>
          <w:color w:val="auto"/>
          <w:sz w:val="24"/>
          <w:szCs w:val="24"/>
          <w:highlight w:val="none"/>
        </w:rPr>
        <w:t>0~40KHz</w:t>
      </w:r>
      <w:r>
        <w:rPr>
          <w:rFonts w:hint="eastAsia"/>
          <w:bCs/>
          <w:color w:val="auto"/>
          <w:sz w:val="24"/>
          <w:szCs w:val="24"/>
          <w:highlight w:val="none"/>
        </w:rPr>
        <w:t>，电压为1</w:t>
      </w:r>
      <w:r>
        <w:rPr>
          <w:bCs/>
          <w:color w:val="auto"/>
          <w:sz w:val="24"/>
          <w:szCs w:val="24"/>
          <w:highlight w:val="none"/>
        </w:rPr>
        <w:t>0~30KV</w:t>
      </w:r>
      <w:r>
        <w:rPr>
          <w:rFonts w:hint="eastAsia"/>
          <w:bCs/>
          <w:color w:val="auto"/>
          <w:sz w:val="24"/>
          <w:szCs w:val="24"/>
          <w:highlight w:val="none"/>
        </w:rPr>
        <w:t>），使之产生放电，相较于闪电电压（1亿至10亿伏特），本项目电晕电压较低，臭氧、氮氧化物产生量极小。同时，高能量电火花冲击薄膜表面。在它们的共同作用下，使塑料薄膜表面产生活化、表面能增加。</w:t>
      </w:r>
    </w:p>
    <w:p w14:paraId="042AA29F">
      <w:pPr>
        <w:spacing w:line="360" w:lineRule="auto"/>
        <w:ind w:firstLine="480" w:firstLineChars="200"/>
        <w:jc w:val="both"/>
        <w:rPr>
          <w:bCs/>
          <w:color w:val="auto"/>
          <w:sz w:val="24"/>
          <w:szCs w:val="24"/>
          <w:highlight w:val="none"/>
        </w:rPr>
      </w:pPr>
      <w:r>
        <w:rPr>
          <w:rFonts w:hint="eastAsia"/>
          <w:bCs/>
          <w:color w:val="auto"/>
          <w:sz w:val="24"/>
          <w:szCs w:val="24"/>
          <w:highlight w:val="none"/>
          <w:lang w:val="en-US" w:eastAsia="zh-CN"/>
        </w:rPr>
        <w:t>6</w:t>
      </w:r>
      <w:r>
        <w:rPr>
          <w:bCs/>
          <w:color w:val="auto"/>
          <w:sz w:val="24"/>
          <w:szCs w:val="24"/>
          <w:highlight w:val="none"/>
        </w:rPr>
        <w:t>、</w:t>
      </w:r>
      <w:r>
        <w:rPr>
          <w:rFonts w:hint="eastAsia"/>
          <w:bCs/>
          <w:color w:val="auto"/>
          <w:sz w:val="24"/>
          <w:szCs w:val="24"/>
          <w:highlight w:val="none"/>
          <w:lang w:val="en-US" w:eastAsia="zh-CN"/>
        </w:rPr>
        <w:t>切边、收卷</w:t>
      </w:r>
      <w:r>
        <w:rPr>
          <w:bCs/>
          <w:color w:val="auto"/>
          <w:sz w:val="24"/>
          <w:szCs w:val="24"/>
          <w:highlight w:val="none"/>
        </w:rPr>
        <w:t>：</w:t>
      </w:r>
      <w:r>
        <w:rPr>
          <w:rFonts w:hint="eastAsia"/>
          <w:bCs/>
          <w:color w:val="auto"/>
          <w:sz w:val="24"/>
          <w:szCs w:val="24"/>
          <w:highlight w:val="none"/>
          <w:lang w:val="en-US" w:eastAsia="zh-CN"/>
        </w:rPr>
        <w:t>待塑料薄膜稳定，产品规格符合要求，两侧切边（产生的边角料由边料回收机回收到挤出机），双层膜分单层膜分至两边收卷</w:t>
      </w:r>
      <w:r>
        <w:rPr>
          <w:bCs/>
          <w:color w:val="auto"/>
          <w:sz w:val="24"/>
          <w:szCs w:val="24"/>
          <w:highlight w:val="none"/>
        </w:rPr>
        <w:t>。</w:t>
      </w:r>
    </w:p>
    <w:p w14:paraId="2109AE08">
      <w:pPr>
        <w:pStyle w:val="8"/>
        <w:adjustRightInd w:val="0"/>
        <w:snapToGrid w:val="0"/>
        <w:spacing w:line="360" w:lineRule="auto"/>
        <w:ind w:firstLine="480" w:firstLineChars="200"/>
        <w:jc w:val="both"/>
        <w:rPr>
          <w:bCs/>
          <w:color w:val="auto"/>
          <w:sz w:val="24"/>
          <w:szCs w:val="24"/>
          <w:highlight w:val="none"/>
        </w:rPr>
      </w:pPr>
      <w:r>
        <w:rPr>
          <w:rFonts w:hint="eastAsia" w:ascii="Times New Roman" w:hAnsi="Times New Roman" w:cs="Times New Roman"/>
          <w:bCs/>
          <w:color w:val="auto"/>
          <w:sz w:val="24"/>
          <w:szCs w:val="24"/>
          <w:highlight w:val="none"/>
          <w:lang w:eastAsia="zh-CN"/>
        </w:rPr>
        <w:t>7</w:t>
      </w:r>
      <w:r>
        <w:rPr>
          <w:rFonts w:ascii="Times New Roman" w:hAnsi="Times New Roman" w:cs="Times New Roman"/>
          <w:bCs/>
          <w:color w:val="auto"/>
          <w:sz w:val="24"/>
          <w:szCs w:val="24"/>
          <w:highlight w:val="none"/>
        </w:rPr>
        <w:t>、包</w:t>
      </w:r>
      <w:r>
        <w:rPr>
          <w:bCs/>
          <w:color w:val="auto"/>
          <w:sz w:val="24"/>
          <w:szCs w:val="24"/>
          <w:highlight w:val="none"/>
        </w:rPr>
        <w:t>装入</w:t>
      </w:r>
      <w:r>
        <w:rPr>
          <w:rFonts w:ascii="Times New Roman" w:hAnsi="Times New Roman" w:cs="Times New Roman"/>
          <w:bCs/>
          <w:color w:val="auto"/>
          <w:sz w:val="24"/>
          <w:szCs w:val="24"/>
          <w:highlight w:val="none"/>
        </w:rPr>
        <w:t>库：</w:t>
      </w:r>
      <w:r>
        <w:rPr>
          <w:rFonts w:hint="default" w:ascii="Times New Roman" w:hAnsi="Times New Roman" w:cs="Times New Roman"/>
          <w:bCs/>
          <w:color w:val="auto"/>
          <w:sz w:val="24"/>
          <w:szCs w:val="24"/>
          <w:highlight w:val="none"/>
          <w:lang w:val="en-US" w:eastAsia="zh-CN"/>
        </w:rPr>
        <w:t>PE</w:t>
      </w:r>
      <w:r>
        <w:rPr>
          <w:rFonts w:hint="eastAsia" w:ascii="Times New Roman" w:hAnsi="Times New Roman" w:cs="Times New Roman"/>
          <w:bCs/>
          <w:color w:val="auto"/>
          <w:sz w:val="24"/>
          <w:szCs w:val="24"/>
          <w:highlight w:val="none"/>
          <w:lang w:val="en-US" w:eastAsia="zh-CN"/>
        </w:rPr>
        <w:t>薄</w:t>
      </w:r>
      <w:r>
        <w:rPr>
          <w:rFonts w:ascii="Times New Roman" w:hAnsi="Times New Roman" w:cs="Times New Roman"/>
          <w:bCs/>
          <w:color w:val="auto"/>
          <w:sz w:val="24"/>
          <w:szCs w:val="24"/>
          <w:highlight w:val="none"/>
        </w:rPr>
        <w:t>膜产品经</w:t>
      </w:r>
      <w:r>
        <w:rPr>
          <w:bCs/>
          <w:color w:val="auto"/>
          <w:sz w:val="24"/>
          <w:szCs w:val="24"/>
          <w:highlight w:val="none"/>
        </w:rPr>
        <w:t>包装后入库。</w:t>
      </w:r>
    </w:p>
    <w:p w14:paraId="23F14564">
      <w:pPr>
        <w:pStyle w:val="8"/>
        <w:adjustRightInd w:val="0"/>
        <w:snapToGrid w:val="0"/>
        <w:spacing w:line="360" w:lineRule="auto"/>
        <w:ind w:firstLine="480" w:firstLineChars="200"/>
        <w:jc w:val="both"/>
        <w:rPr>
          <w:rFonts w:hint="eastAsia"/>
          <w:bCs/>
          <w:color w:val="auto"/>
          <w:sz w:val="24"/>
          <w:szCs w:val="24"/>
          <w:highlight w:val="none"/>
          <w:lang w:val="en-US" w:eastAsia="zh-CN"/>
        </w:rPr>
      </w:pPr>
      <w:r>
        <w:rPr>
          <w:rFonts w:hint="default" w:ascii="Times New Roman" w:hAnsi="Times New Roman" w:eastAsia="宋体" w:cs="Times New Roman"/>
          <w:bCs/>
          <w:color w:val="auto"/>
          <w:sz w:val="24"/>
          <w:szCs w:val="24"/>
          <w:highlight w:val="none"/>
          <w:lang w:val="en-US" w:eastAsia="zh-CN"/>
        </w:rPr>
        <w:t>8、边角料</w:t>
      </w:r>
      <w:r>
        <w:rPr>
          <w:rFonts w:hint="eastAsia" w:eastAsia="宋体"/>
          <w:bCs/>
          <w:color w:val="auto"/>
          <w:sz w:val="24"/>
          <w:szCs w:val="24"/>
          <w:highlight w:val="none"/>
          <w:lang w:val="en-US" w:eastAsia="zh-CN"/>
        </w:rPr>
        <w:t>回用：切边工序产生的边角料通过自动吸风的方式进入</w:t>
      </w:r>
      <w:r>
        <w:rPr>
          <w:rFonts w:hint="eastAsia"/>
          <w:bCs/>
          <w:color w:val="auto"/>
          <w:sz w:val="24"/>
          <w:szCs w:val="24"/>
          <w:highlight w:val="none"/>
          <w:lang w:val="en-US" w:eastAsia="zh-CN"/>
        </w:rPr>
        <w:t>边料回收机，经边料回收机密闭破碎，边料回收机出口通过软管与挤出机</w:t>
      </w:r>
      <w:r>
        <w:rPr>
          <w:rFonts w:hint="eastAsia" w:eastAsia="宋体"/>
          <w:bCs/>
          <w:color w:val="auto"/>
          <w:sz w:val="24"/>
          <w:szCs w:val="24"/>
          <w:highlight w:val="none"/>
          <w:lang w:val="en-US" w:eastAsia="zh-CN"/>
        </w:rPr>
        <w:t>连接，</w:t>
      </w:r>
      <w:r>
        <w:rPr>
          <w:rFonts w:hint="eastAsia"/>
          <w:bCs/>
          <w:color w:val="auto"/>
          <w:sz w:val="24"/>
          <w:szCs w:val="24"/>
          <w:highlight w:val="none"/>
          <w:lang w:val="en-US" w:eastAsia="zh-CN"/>
        </w:rPr>
        <w:t>破</w:t>
      </w:r>
      <w:r>
        <w:rPr>
          <w:rFonts w:hint="eastAsia" w:eastAsia="宋体"/>
          <w:bCs/>
          <w:color w:val="auto"/>
          <w:sz w:val="24"/>
          <w:szCs w:val="24"/>
          <w:highlight w:val="none"/>
          <w:lang w:val="en-US" w:eastAsia="zh-CN"/>
        </w:rPr>
        <w:t>碎后的回料</w:t>
      </w:r>
      <w:r>
        <w:rPr>
          <w:rFonts w:hint="eastAsia"/>
          <w:bCs/>
          <w:color w:val="auto"/>
          <w:sz w:val="24"/>
          <w:szCs w:val="24"/>
          <w:highlight w:val="none"/>
          <w:lang w:val="en-US" w:eastAsia="zh-CN"/>
        </w:rPr>
        <w:t>通过自动吸风的方式</w:t>
      </w:r>
      <w:r>
        <w:rPr>
          <w:rFonts w:hint="eastAsia" w:eastAsia="宋体"/>
          <w:bCs/>
          <w:color w:val="auto"/>
          <w:sz w:val="24"/>
          <w:szCs w:val="24"/>
          <w:highlight w:val="none"/>
          <w:lang w:val="en-US" w:eastAsia="zh-CN"/>
        </w:rPr>
        <w:t>进入挤出机回用到生产中。</w:t>
      </w:r>
      <w:r>
        <w:rPr>
          <w:rFonts w:hint="eastAsia"/>
          <w:bCs/>
          <w:color w:val="auto"/>
          <w:sz w:val="24"/>
          <w:szCs w:val="24"/>
          <w:highlight w:val="none"/>
          <w:lang w:val="en-US" w:eastAsia="zh-CN"/>
        </w:rPr>
        <w:t>此过程会产生破碎粉尘。</w:t>
      </w:r>
    </w:p>
    <w:p w14:paraId="1B087929">
      <w:pPr>
        <w:pStyle w:val="24"/>
        <w:ind w:firstLine="422"/>
        <w:rPr>
          <w:b/>
          <w:color w:val="auto"/>
        </w:rPr>
      </w:pPr>
      <w:r>
        <w:rPr>
          <w:rFonts w:hint="eastAsia"/>
          <w:b/>
          <w:bCs/>
          <w:color w:val="auto"/>
          <w:lang w:val="en-US" w:eastAsia="zh-CN"/>
        </w:rPr>
        <w:t>1.7</w:t>
      </w:r>
      <w:r>
        <w:rPr>
          <w:rFonts w:hint="eastAsia"/>
          <w:b/>
          <w:color w:val="auto"/>
        </w:rPr>
        <w:t>主要产排污分析</w:t>
      </w:r>
    </w:p>
    <w:p w14:paraId="2F1CD457">
      <w:pPr>
        <w:pStyle w:val="24"/>
        <w:rPr>
          <w:color w:val="auto"/>
        </w:rPr>
      </w:pPr>
      <w:r>
        <w:rPr>
          <w:color w:val="auto"/>
        </w:rPr>
        <w:t>根据工艺流程可知，项目产污环节及污染因子分析如下：</w:t>
      </w:r>
    </w:p>
    <w:p w14:paraId="5DDDEC76">
      <w:pPr>
        <w:pStyle w:val="20"/>
        <w:numPr>
          <w:ilvl w:val="0"/>
          <w:numId w:val="6"/>
        </w:numPr>
        <w:spacing w:before="156"/>
        <w:rPr>
          <w:rFonts w:hint="eastAsia" w:ascii="Times New Roman" w:hAnsi="Times New Roman" w:eastAsia="宋体" w:cs="Times New Roman"/>
          <w:b/>
          <w:bCs w:val="0"/>
          <w:color w:val="auto"/>
          <w:sz w:val="21"/>
          <w:szCs w:val="21"/>
          <w:lang w:val="en-US"/>
        </w:rPr>
      </w:pPr>
      <w:r>
        <w:rPr>
          <w:rFonts w:hint="eastAsia" w:ascii="Times New Roman" w:hAnsi="Times New Roman" w:eastAsia="宋体" w:cs="Times New Roman"/>
          <w:b/>
          <w:bCs w:val="0"/>
          <w:color w:val="auto"/>
          <w:sz w:val="21"/>
          <w:szCs w:val="21"/>
          <w:lang w:val="en-US"/>
        </w:rPr>
        <w:t>项目产污环节及污染因子一览表</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90"/>
        <w:gridCol w:w="2127"/>
        <w:gridCol w:w="2128"/>
        <w:gridCol w:w="2171"/>
      </w:tblGrid>
      <w:tr w14:paraId="34F70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noWrap w:val="0"/>
            <w:vAlign w:val="center"/>
          </w:tcPr>
          <w:p w14:paraId="58584A47">
            <w:pPr>
              <w:spacing w:line="240" w:lineRule="auto"/>
              <w:jc w:val="center"/>
              <w:rPr>
                <w:b w:val="0"/>
                <w:bCs/>
                <w:color w:val="auto"/>
                <w:sz w:val="21"/>
                <w:szCs w:val="21"/>
                <w:highlight w:val="none"/>
                <w:vertAlign w:val="baseline"/>
              </w:rPr>
            </w:pPr>
            <w:r>
              <w:rPr>
                <w:b w:val="0"/>
                <w:bCs/>
                <w:color w:val="auto"/>
                <w:sz w:val="21"/>
                <w:szCs w:val="21"/>
                <w:highlight w:val="none"/>
              </w:rPr>
              <w:t>类别</w:t>
            </w:r>
          </w:p>
        </w:tc>
        <w:tc>
          <w:tcPr>
            <w:tcW w:w="2438" w:type="dxa"/>
            <w:noWrap w:val="0"/>
            <w:vAlign w:val="center"/>
          </w:tcPr>
          <w:p w14:paraId="28699DC4">
            <w:pPr>
              <w:spacing w:line="240" w:lineRule="auto"/>
              <w:jc w:val="center"/>
              <w:rPr>
                <w:b/>
                <w:bCs/>
                <w:color w:val="auto"/>
                <w:sz w:val="21"/>
                <w:szCs w:val="21"/>
                <w:highlight w:val="none"/>
                <w:vertAlign w:val="baseline"/>
              </w:rPr>
            </w:pPr>
            <w:r>
              <w:rPr>
                <w:bCs/>
                <w:color w:val="auto"/>
                <w:sz w:val="21"/>
                <w:szCs w:val="21"/>
                <w:highlight w:val="none"/>
              </w:rPr>
              <w:t>项目</w:t>
            </w:r>
          </w:p>
        </w:tc>
        <w:tc>
          <w:tcPr>
            <w:tcW w:w="2440" w:type="dxa"/>
            <w:noWrap w:val="0"/>
            <w:vAlign w:val="center"/>
          </w:tcPr>
          <w:p w14:paraId="14031109">
            <w:pPr>
              <w:spacing w:line="240" w:lineRule="auto"/>
              <w:jc w:val="center"/>
              <w:rPr>
                <w:b/>
                <w:bCs/>
                <w:color w:val="auto"/>
                <w:sz w:val="21"/>
                <w:szCs w:val="21"/>
                <w:highlight w:val="none"/>
                <w:vertAlign w:val="baseline"/>
              </w:rPr>
            </w:pPr>
            <w:r>
              <w:rPr>
                <w:bCs/>
                <w:color w:val="auto"/>
                <w:sz w:val="21"/>
                <w:szCs w:val="21"/>
                <w:highlight w:val="none"/>
              </w:rPr>
              <w:t>产生工序</w:t>
            </w:r>
          </w:p>
        </w:tc>
        <w:tc>
          <w:tcPr>
            <w:tcW w:w="2442" w:type="dxa"/>
            <w:noWrap w:val="0"/>
            <w:vAlign w:val="center"/>
          </w:tcPr>
          <w:p w14:paraId="68796222">
            <w:pPr>
              <w:spacing w:line="240" w:lineRule="auto"/>
              <w:jc w:val="center"/>
              <w:rPr>
                <w:b/>
                <w:bCs/>
                <w:color w:val="auto"/>
                <w:sz w:val="21"/>
                <w:szCs w:val="21"/>
                <w:highlight w:val="none"/>
                <w:vertAlign w:val="baseline"/>
              </w:rPr>
            </w:pPr>
            <w:r>
              <w:rPr>
                <w:bCs/>
                <w:color w:val="auto"/>
                <w:sz w:val="21"/>
                <w:szCs w:val="21"/>
                <w:highlight w:val="none"/>
              </w:rPr>
              <w:t>主要污染因子</w:t>
            </w:r>
          </w:p>
        </w:tc>
      </w:tr>
      <w:tr w14:paraId="2CC41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restart"/>
            <w:noWrap w:val="0"/>
            <w:vAlign w:val="center"/>
          </w:tcPr>
          <w:p w14:paraId="3EDC2F42">
            <w:pPr>
              <w:pStyle w:val="39"/>
              <w:keepNext/>
              <w:keepLines/>
              <w:numPr>
                <w:ilvl w:val="0"/>
                <w:numId w:val="0"/>
              </w:numPr>
              <w:spacing w:line="240" w:lineRule="auto"/>
              <w:jc w:val="center"/>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废水</w:t>
            </w:r>
          </w:p>
        </w:tc>
        <w:tc>
          <w:tcPr>
            <w:tcW w:w="2438" w:type="dxa"/>
            <w:noWrap w:val="0"/>
            <w:vAlign w:val="center"/>
          </w:tcPr>
          <w:p w14:paraId="23DE8B51">
            <w:pPr>
              <w:pStyle w:val="39"/>
              <w:keepNext/>
              <w:keepLines/>
              <w:numPr>
                <w:ilvl w:val="0"/>
                <w:numId w:val="0"/>
              </w:numPr>
              <w:spacing w:line="240" w:lineRule="auto"/>
              <w:jc w:val="center"/>
              <w:rPr>
                <w:rFonts w:hint="default" w:eastAsia="宋体"/>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生活污水</w:t>
            </w:r>
          </w:p>
        </w:tc>
        <w:tc>
          <w:tcPr>
            <w:tcW w:w="2440" w:type="dxa"/>
            <w:noWrap w:val="0"/>
            <w:vAlign w:val="center"/>
          </w:tcPr>
          <w:p w14:paraId="228219F1">
            <w:pPr>
              <w:pStyle w:val="39"/>
              <w:keepNext/>
              <w:keepLines/>
              <w:numPr>
                <w:ilvl w:val="0"/>
                <w:numId w:val="0"/>
              </w:numPr>
              <w:spacing w:line="240" w:lineRule="auto"/>
              <w:jc w:val="center"/>
              <w:rPr>
                <w:rFonts w:hint="default" w:eastAsia="宋体"/>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职工生活</w:t>
            </w:r>
          </w:p>
        </w:tc>
        <w:tc>
          <w:tcPr>
            <w:tcW w:w="2442" w:type="dxa"/>
            <w:noWrap w:val="0"/>
            <w:vAlign w:val="center"/>
          </w:tcPr>
          <w:p w14:paraId="6697E8AE">
            <w:pPr>
              <w:pStyle w:val="39"/>
              <w:keepNext/>
              <w:keepLines/>
              <w:numPr>
                <w:ilvl w:val="0"/>
                <w:numId w:val="0"/>
              </w:numPr>
              <w:spacing w:line="240" w:lineRule="auto"/>
              <w:jc w:val="center"/>
              <w:rPr>
                <w:b w:val="0"/>
                <w:bCs w:val="0"/>
                <w:color w:val="auto"/>
                <w:sz w:val="21"/>
                <w:szCs w:val="21"/>
                <w:highlight w:val="none"/>
                <w:vertAlign w:val="baseline"/>
              </w:rPr>
            </w:pPr>
            <w:r>
              <w:rPr>
                <w:rFonts w:ascii="Times New Roman" w:hAnsi="Times New Roman"/>
                <w:color w:val="auto"/>
                <w:sz w:val="21"/>
                <w:szCs w:val="21"/>
                <w:highlight w:val="none"/>
                <w:lang w:val="en-US"/>
              </w:rPr>
              <w:t>COD</w:t>
            </w:r>
            <w:r>
              <w:rPr>
                <w:rFonts w:ascii="Times New Roman" w:hAnsi="Times New Roman"/>
                <w:color w:val="auto"/>
                <w:sz w:val="21"/>
                <w:szCs w:val="21"/>
                <w:highlight w:val="none"/>
              </w:rPr>
              <w:t>、</w:t>
            </w:r>
            <w:r>
              <w:rPr>
                <w:rFonts w:ascii="Times New Roman" w:hAnsi="Times New Roman"/>
                <w:color w:val="auto"/>
                <w:sz w:val="21"/>
                <w:szCs w:val="21"/>
                <w:highlight w:val="none"/>
                <w:lang w:val="en-US"/>
              </w:rPr>
              <w:t>氨氮等</w:t>
            </w:r>
          </w:p>
        </w:tc>
      </w:tr>
      <w:tr w14:paraId="53DA4F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40875969">
            <w:pPr>
              <w:pStyle w:val="39"/>
              <w:keepNext/>
              <w:keepLines/>
              <w:spacing w:line="240" w:lineRule="auto"/>
              <w:jc w:val="center"/>
              <w:rPr>
                <w:color w:val="auto"/>
                <w:szCs w:val="21"/>
                <w:highlight w:val="none"/>
              </w:rPr>
            </w:pPr>
          </w:p>
        </w:tc>
        <w:tc>
          <w:tcPr>
            <w:tcW w:w="2438" w:type="dxa"/>
            <w:noWrap w:val="0"/>
            <w:vAlign w:val="center"/>
          </w:tcPr>
          <w:p w14:paraId="0C78E6F2">
            <w:pPr>
              <w:pStyle w:val="39"/>
              <w:keepNext/>
              <w:keepLines/>
              <w:numPr>
                <w:ilvl w:val="0"/>
                <w:numId w:val="0"/>
              </w:numPr>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循环冷却水</w:t>
            </w:r>
          </w:p>
        </w:tc>
        <w:tc>
          <w:tcPr>
            <w:tcW w:w="2440" w:type="dxa"/>
            <w:noWrap w:val="0"/>
            <w:vAlign w:val="center"/>
          </w:tcPr>
          <w:p w14:paraId="2E62070D">
            <w:pPr>
              <w:pStyle w:val="39"/>
              <w:keepNext/>
              <w:keepLines/>
              <w:numPr>
                <w:ilvl w:val="0"/>
                <w:numId w:val="0"/>
              </w:numPr>
              <w:spacing w:line="240" w:lineRule="auto"/>
              <w:jc w:val="center"/>
              <w:rPr>
                <w:rFonts w:hint="default"/>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冷却</w:t>
            </w:r>
          </w:p>
        </w:tc>
        <w:tc>
          <w:tcPr>
            <w:tcW w:w="2442" w:type="dxa"/>
            <w:noWrap w:val="0"/>
            <w:vAlign w:val="center"/>
          </w:tcPr>
          <w:p w14:paraId="66AB2AB5">
            <w:pPr>
              <w:pStyle w:val="39"/>
              <w:keepNext/>
              <w:keepLines/>
              <w:numPr>
                <w:ilvl w:val="0"/>
                <w:numId w:val="0"/>
              </w:numPr>
              <w:spacing w:line="240" w:lineRule="auto"/>
              <w:jc w:val="center"/>
              <w:rPr>
                <w:rFonts w:hint="eastAsia"/>
                <w:b w:val="0"/>
                <w:bCs w:val="0"/>
                <w:color w:val="auto"/>
                <w:sz w:val="21"/>
                <w:szCs w:val="21"/>
                <w:highlight w:val="none"/>
                <w:vertAlign w:val="baseline"/>
                <w:lang w:val="en-US" w:eastAsia="zh-CN"/>
              </w:rPr>
            </w:pPr>
            <w:r>
              <w:rPr>
                <w:rFonts w:hint="eastAsia"/>
                <w:b w:val="0"/>
                <w:bCs w:val="0"/>
                <w:color w:val="auto"/>
                <w:sz w:val="21"/>
                <w:szCs w:val="21"/>
                <w:highlight w:val="none"/>
                <w:vertAlign w:val="baseline"/>
                <w:lang w:val="en-US" w:eastAsia="zh-CN"/>
              </w:rPr>
              <w:t>COD等</w:t>
            </w:r>
          </w:p>
        </w:tc>
      </w:tr>
      <w:tr w14:paraId="589CA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restart"/>
            <w:noWrap w:val="0"/>
            <w:vAlign w:val="center"/>
          </w:tcPr>
          <w:p w14:paraId="7A32E4C1">
            <w:pPr>
              <w:pStyle w:val="39"/>
              <w:keepNext/>
              <w:keepLines/>
              <w:numPr>
                <w:ilvl w:val="0"/>
                <w:numId w:val="0"/>
              </w:numPr>
              <w:spacing w:line="240" w:lineRule="auto"/>
              <w:jc w:val="center"/>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废气</w:t>
            </w:r>
          </w:p>
        </w:tc>
        <w:tc>
          <w:tcPr>
            <w:tcW w:w="2438" w:type="dxa"/>
            <w:noWrap w:val="0"/>
            <w:vAlign w:val="center"/>
          </w:tcPr>
          <w:p w14:paraId="57DF410F">
            <w:pPr>
              <w:spacing w:line="240" w:lineRule="auto"/>
              <w:jc w:val="center"/>
              <w:rPr>
                <w:b/>
                <w:bCs/>
                <w:color w:val="auto"/>
                <w:sz w:val="21"/>
                <w:szCs w:val="21"/>
                <w:highlight w:val="none"/>
                <w:vertAlign w:val="baseline"/>
              </w:rPr>
            </w:pPr>
            <w:r>
              <w:rPr>
                <w:rFonts w:hint="eastAsia"/>
                <w:bCs/>
                <w:color w:val="auto"/>
                <w:sz w:val="21"/>
                <w:szCs w:val="21"/>
                <w:highlight w:val="none"/>
                <w:lang w:val="en-US" w:eastAsia="zh-CN"/>
              </w:rPr>
              <w:t>投料</w:t>
            </w:r>
            <w:r>
              <w:rPr>
                <w:bCs/>
                <w:color w:val="auto"/>
                <w:sz w:val="21"/>
                <w:szCs w:val="21"/>
                <w:highlight w:val="none"/>
              </w:rPr>
              <w:t>粉尘</w:t>
            </w:r>
          </w:p>
        </w:tc>
        <w:tc>
          <w:tcPr>
            <w:tcW w:w="2440" w:type="dxa"/>
            <w:noWrap w:val="0"/>
            <w:vAlign w:val="center"/>
          </w:tcPr>
          <w:p w14:paraId="15E9A1AC">
            <w:pPr>
              <w:spacing w:line="240" w:lineRule="auto"/>
              <w:jc w:val="center"/>
              <w:rPr>
                <w:b/>
                <w:bCs/>
                <w:color w:val="auto"/>
                <w:sz w:val="21"/>
                <w:szCs w:val="21"/>
                <w:highlight w:val="none"/>
                <w:vertAlign w:val="baseline"/>
              </w:rPr>
            </w:pPr>
            <w:r>
              <w:rPr>
                <w:rFonts w:hint="eastAsia"/>
                <w:bCs/>
                <w:color w:val="auto"/>
                <w:sz w:val="21"/>
                <w:szCs w:val="21"/>
                <w:highlight w:val="none"/>
                <w:lang w:val="en-US" w:eastAsia="zh-CN"/>
              </w:rPr>
              <w:t>投料</w:t>
            </w:r>
          </w:p>
        </w:tc>
        <w:tc>
          <w:tcPr>
            <w:tcW w:w="2442" w:type="dxa"/>
            <w:noWrap w:val="0"/>
            <w:vAlign w:val="center"/>
          </w:tcPr>
          <w:p w14:paraId="2459DDDB">
            <w:pPr>
              <w:spacing w:line="240" w:lineRule="auto"/>
              <w:jc w:val="center"/>
              <w:rPr>
                <w:b/>
                <w:bCs/>
                <w:color w:val="auto"/>
                <w:sz w:val="21"/>
                <w:szCs w:val="21"/>
                <w:highlight w:val="none"/>
                <w:vertAlign w:val="baseline"/>
              </w:rPr>
            </w:pPr>
            <w:r>
              <w:rPr>
                <w:bCs/>
                <w:color w:val="auto"/>
                <w:sz w:val="21"/>
                <w:szCs w:val="21"/>
                <w:highlight w:val="none"/>
              </w:rPr>
              <w:t>颗粒物</w:t>
            </w:r>
          </w:p>
        </w:tc>
      </w:tr>
      <w:tr w14:paraId="2CFE0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7AC0D82B">
            <w:pPr>
              <w:pStyle w:val="39"/>
              <w:keepNext/>
              <w:keepLines/>
              <w:numPr>
                <w:ilvl w:val="0"/>
                <w:numId w:val="0"/>
              </w:numPr>
              <w:spacing w:line="240" w:lineRule="auto"/>
              <w:jc w:val="center"/>
              <w:rPr>
                <w:b w:val="0"/>
                <w:bCs/>
                <w:color w:val="auto"/>
                <w:sz w:val="21"/>
                <w:szCs w:val="21"/>
                <w:highlight w:val="none"/>
                <w:vertAlign w:val="baseline"/>
              </w:rPr>
            </w:pPr>
          </w:p>
        </w:tc>
        <w:tc>
          <w:tcPr>
            <w:tcW w:w="2438" w:type="dxa"/>
            <w:noWrap w:val="0"/>
            <w:vAlign w:val="center"/>
          </w:tcPr>
          <w:p w14:paraId="69790CA9">
            <w:pPr>
              <w:spacing w:line="240" w:lineRule="auto"/>
              <w:jc w:val="center"/>
              <w:rPr>
                <w:b/>
                <w:bCs/>
                <w:color w:val="auto"/>
                <w:sz w:val="21"/>
                <w:szCs w:val="21"/>
                <w:highlight w:val="none"/>
                <w:vertAlign w:val="baseline"/>
              </w:rPr>
            </w:pPr>
            <w:r>
              <w:rPr>
                <w:rFonts w:hint="eastAsia" w:ascii="Times New Roman" w:hAnsi="Times New Roman"/>
                <w:color w:val="auto"/>
                <w:sz w:val="21"/>
                <w:szCs w:val="21"/>
                <w:highlight w:val="none"/>
              </w:rPr>
              <w:t>熔融</w:t>
            </w:r>
            <w:r>
              <w:rPr>
                <w:rFonts w:hint="eastAsia" w:ascii="Times New Roman" w:hAnsi="Times New Roman"/>
                <w:color w:val="auto"/>
                <w:sz w:val="21"/>
                <w:szCs w:val="21"/>
                <w:highlight w:val="none"/>
                <w:lang w:eastAsia="zh-CN"/>
              </w:rPr>
              <w:t>、</w:t>
            </w:r>
            <w:r>
              <w:rPr>
                <w:rFonts w:hint="eastAsia" w:ascii="Times New Roman" w:hAnsi="Times New Roman"/>
                <w:color w:val="auto"/>
                <w:sz w:val="21"/>
                <w:szCs w:val="21"/>
                <w:highlight w:val="none"/>
              </w:rPr>
              <w:t>挤出废气</w:t>
            </w:r>
          </w:p>
        </w:tc>
        <w:tc>
          <w:tcPr>
            <w:tcW w:w="2440" w:type="dxa"/>
            <w:noWrap w:val="0"/>
            <w:vAlign w:val="center"/>
          </w:tcPr>
          <w:p w14:paraId="41A47F8C">
            <w:pPr>
              <w:spacing w:line="240" w:lineRule="auto"/>
              <w:jc w:val="center"/>
              <w:rPr>
                <w:rFonts w:hint="default" w:eastAsia="宋体"/>
                <w:b/>
                <w:bCs/>
                <w:color w:val="auto"/>
                <w:sz w:val="21"/>
                <w:szCs w:val="21"/>
                <w:highlight w:val="none"/>
                <w:vertAlign w:val="baseline"/>
                <w:lang w:val="en-US" w:eastAsia="zh-CN"/>
              </w:rPr>
            </w:pPr>
            <w:r>
              <w:rPr>
                <w:rFonts w:hint="eastAsia"/>
                <w:bCs/>
                <w:color w:val="auto"/>
                <w:sz w:val="21"/>
                <w:szCs w:val="21"/>
                <w:highlight w:val="none"/>
                <w:lang w:val="en-US" w:eastAsia="zh-CN"/>
              </w:rPr>
              <w:t>熔融、挤出</w:t>
            </w:r>
          </w:p>
        </w:tc>
        <w:tc>
          <w:tcPr>
            <w:tcW w:w="2442" w:type="dxa"/>
            <w:noWrap w:val="0"/>
            <w:vAlign w:val="center"/>
          </w:tcPr>
          <w:p w14:paraId="6581FEA4">
            <w:pPr>
              <w:spacing w:line="240" w:lineRule="auto"/>
              <w:jc w:val="center"/>
              <w:rPr>
                <w:b/>
                <w:bCs/>
                <w:color w:val="auto"/>
                <w:sz w:val="21"/>
                <w:szCs w:val="21"/>
                <w:highlight w:val="none"/>
                <w:vertAlign w:val="baseline"/>
              </w:rPr>
            </w:pPr>
            <w:r>
              <w:rPr>
                <w:bCs/>
                <w:color w:val="auto"/>
                <w:sz w:val="21"/>
                <w:szCs w:val="21"/>
                <w:highlight w:val="none"/>
              </w:rPr>
              <w:t>非甲烷总烃</w:t>
            </w:r>
            <w:r>
              <w:rPr>
                <w:rFonts w:hint="eastAsia"/>
                <w:bCs/>
                <w:color w:val="auto"/>
                <w:sz w:val="21"/>
                <w:szCs w:val="21"/>
                <w:highlight w:val="none"/>
                <w:lang w:eastAsia="zh-CN"/>
              </w:rPr>
              <w:t>、</w:t>
            </w:r>
            <w:r>
              <w:rPr>
                <w:rFonts w:hint="default" w:ascii="Times New Roman" w:hAnsi="Times New Roman" w:eastAsia="宋体" w:cs="Times New Roman"/>
                <w:bCs/>
                <w:color w:val="auto"/>
                <w:sz w:val="21"/>
                <w:szCs w:val="21"/>
                <w:highlight w:val="none"/>
                <w:lang w:val="en-US" w:eastAsia="zh-CN"/>
              </w:rPr>
              <w:t>氨、</w:t>
            </w:r>
            <w:r>
              <w:rPr>
                <w:rFonts w:hint="eastAsia"/>
                <w:bCs/>
                <w:color w:val="auto"/>
                <w:sz w:val="21"/>
                <w:szCs w:val="21"/>
                <w:highlight w:val="none"/>
                <w:lang w:val="en-US" w:eastAsia="zh-CN"/>
              </w:rPr>
              <w:t>臭气浓度</w:t>
            </w:r>
          </w:p>
        </w:tc>
      </w:tr>
      <w:tr w14:paraId="5D6D9A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51FE21FE">
            <w:pPr>
              <w:pStyle w:val="39"/>
              <w:keepNext/>
              <w:keepLines/>
              <w:numPr>
                <w:ilvl w:val="0"/>
                <w:numId w:val="0"/>
              </w:numPr>
              <w:spacing w:line="240" w:lineRule="auto"/>
              <w:jc w:val="center"/>
              <w:rPr>
                <w:b w:val="0"/>
                <w:bCs/>
                <w:color w:val="auto"/>
                <w:sz w:val="21"/>
                <w:szCs w:val="21"/>
                <w:highlight w:val="none"/>
                <w:vertAlign w:val="baseline"/>
              </w:rPr>
            </w:pPr>
          </w:p>
        </w:tc>
        <w:tc>
          <w:tcPr>
            <w:tcW w:w="2438" w:type="dxa"/>
            <w:noWrap w:val="0"/>
            <w:vAlign w:val="center"/>
          </w:tcPr>
          <w:p w14:paraId="5DA2D849">
            <w:pPr>
              <w:spacing w:line="240" w:lineRule="auto"/>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吹胀、冷却废气</w:t>
            </w:r>
          </w:p>
        </w:tc>
        <w:tc>
          <w:tcPr>
            <w:tcW w:w="2440" w:type="dxa"/>
            <w:noWrap w:val="0"/>
            <w:vAlign w:val="center"/>
          </w:tcPr>
          <w:p w14:paraId="62A3701B">
            <w:pPr>
              <w:spacing w:line="240" w:lineRule="auto"/>
              <w:jc w:val="center"/>
              <w:rPr>
                <w:rFonts w:hint="default"/>
                <w:bCs/>
                <w:color w:val="auto"/>
                <w:sz w:val="21"/>
                <w:szCs w:val="21"/>
                <w:highlight w:val="none"/>
                <w:lang w:val="en-US"/>
              </w:rPr>
            </w:pPr>
            <w:r>
              <w:rPr>
                <w:rFonts w:hint="eastAsia" w:ascii="Times New Roman" w:hAnsi="Times New Roman"/>
                <w:color w:val="auto"/>
                <w:sz w:val="21"/>
                <w:szCs w:val="21"/>
                <w:highlight w:val="none"/>
                <w:lang w:val="en-US" w:eastAsia="zh-CN"/>
              </w:rPr>
              <w:t>吹胀、冷却</w:t>
            </w:r>
          </w:p>
        </w:tc>
        <w:tc>
          <w:tcPr>
            <w:tcW w:w="2442" w:type="dxa"/>
            <w:noWrap w:val="0"/>
            <w:vAlign w:val="center"/>
          </w:tcPr>
          <w:p w14:paraId="140D41A8">
            <w:pPr>
              <w:spacing w:line="240" w:lineRule="auto"/>
              <w:jc w:val="center"/>
              <w:rPr>
                <w:bCs/>
                <w:color w:val="auto"/>
                <w:sz w:val="21"/>
                <w:szCs w:val="21"/>
                <w:highlight w:val="none"/>
              </w:rPr>
            </w:pPr>
            <w:r>
              <w:rPr>
                <w:bCs/>
                <w:color w:val="auto"/>
                <w:sz w:val="21"/>
                <w:szCs w:val="21"/>
                <w:highlight w:val="none"/>
              </w:rPr>
              <w:t>非甲烷总烃</w:t>
            </w:r>
            <w:r>
              <w:rPr>
                <w:rFonts w:hint="eastAsia"/>
                <w:bCs/>
                <w:color w:val="auto"/>
                <w:sz w:val="21"/>
                <w:szCs w:val="21"/>
                <w:highlight w:val="none"/>
                <w:lang w:eastAsia="zh-CN"/>
              </w:rPr>
              <w:t>、</w:t>
            </w:r>
            <w:r>
              <w:rPr>
                <w:rFonts w:hint="eastAsia"/>
                <w:bCs/>
                <w:color w:val="auto"/>
                <w:sz w:val="21"/>
                <w:szCs w:val="21"/>
                <w:highlight w:val="none"/>
                <w:lang w:val="en-US" w:eastAsia="zh-CN"/>
              </w:rPr>
              <w:t>氨、臭气浓度</w:t>
            </w:r>
          </w:p>
        </w:tc>
      </w:tr>
      <w:tr w14:paraId="2ED51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76A53CD2">
            <w:pPr>
              <w:pStyle w:val="39"/>
              <w:keepNext/>
              <w:keepLines/>
              <w:numPr>
                <w:ilvl w:val="0"/>
                <w:numId w:val="0"/>
              </w:numPr>
              <w:spacing w:line="240" w:lineRule="auto"/>
              <w:jc w:val="center"/>
              <w:rPr>
                <w:b w:val="0"/>
                <w:bCs/>
                <w:color w:val="auto"/>
                <w:sz w:val="21"/>
                <w:szCs w:val="21"/>
                <w:highlight w:val="none"/>
                <w:vertAlign w:val="baseline"/>
              </w:rPr>
            </w:pPr>
          </w:p>
        </w:tc>
        <w:tc>
          <w:tcPr>
            <w:tcW w:w="2438" w:type="dxa"/>
            <w:noWrap w:val="0"/>
            <w:vAlign w:val="center"/>
          </w:tcPr>
          <w:p w14:paraId="3F932F32">
            <w:pPr>
              <w:pStyle w:val="4"/>
              <w:ind w:left="0" w:leftChars="0" w:firstLine="0" w:firstLineChars="0"/>
              <w:jc w:val="center"/>
              <w:rPr>
                <w:b/>
                <w:bCs/>
                <w:color w:val="auto"/>
                <w:sz w:val="21"/>
                <w:szCs w:val="21"/>
                <w:highlight w:val="none"/>
                <w:vertAlign w:val="baseline"/>
              </w:rPr>
            </w:pPr>
            <w:r>
              <w:rPr>
                <w:rFonts w:hint="eastAsia" w:ascii="Times New Roman" w:hAnsi="Times New Roman"/>
                <w:color w:val="auto"/>
                <w:sz w:val="21"/>
                <w:szCs w:val="21"/>
                <w:highlight w:val="none"/>
              </w:rPr>
              <w:t>电晕废气</w:t>
            </w:r>
          </w:p>
        </w:tc>
        <w:tc>
          <w:tcPr>
            <w:tcW w:w="2440" w:type="dxa"/>
            <w:noWrap w:val="0"/>
            <w:vAlign w:val="center"/>
          </w:tcPr>
          <w:p w14:paraId="6639EB2C">
            <w:pPr>
              <w:pStyle w:val="4"/>
              <w:ind w:left="0" w:leftChars="0" w:firstLine="0" w:firstLineChars="0"/>
              <w:jc w:val="center"/>
              <w:rPr>
                <w:b/>
                <w:bCs/>
                <w:color w:val="auto"/>
                <w:sz w:val="21"/>
                <w:szCs w:val="21"/>
                <w:highlight w:val="none"/>
                <w:vertAlign w:val="baseline"/>
              </w:rPr>
            </w:pPr>
            <w:r>
              <w:rPr>
                <w:rFonts w:hint="eastAsia" w:ascii="Times New Roman" w:hAnsi="Times New Roman"/>
                <w:color w:val="auto"/>
                <w:sz w:val="21"/>
                <w:szCs w:val="21"/>
                <w:highlight w:val="none"/>
              </w:rPr>
              <w:t>电晕</w:t>
            </w:r>
          </w:p>
        </w:tc>
        <w:tc>
          <w:tcPr>
            <w:tcW w:w="2442" w:type="dxa"/>
            <w:noWrap w:val="0"/>
            <w:vAlign w:val="center"/>
          </w:tcPr>
          <w:p w14:paraId="04786555">
            <w:pPr>
              <w:pStyle w:val="4"/>
              <w:ind w:left="0" w:leftChars="0" w:firstLine="0" w:firstLineChars="0"/>
              <w:jc w:val="center"/>
              <w:rPr>
                <w:b/>
                <w:bCs/>
                <w:color w:val="auto"/>
                <w:sz w:val="21"/>
                <w:szCs w:val="21"/>
                <w:highlight w:val="none"/>
                <w:vertAlign w:val="baseline"/>
              </w:rPr>
            </w:pPr>
            <w:r>
              <w:rPr>
                <w:rFonts w:hint="eastAsia" w:ascii="Times New Roman" w:hAnsi="Times New Roman"/>
                <w:color w:val="auto"/>
                <w:sz w:val="21"/>
                <w:szCs w:val="21"/>
                <w:highlight w:val="none"/>
              </w:rPr>
              <w:t>臭氧</w:t>
            </w:r>
          </w:p>
        </w:tc>
      </w:tr>
      <w:tr w14:paraId="7BADC9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01699ECC">
            <w:pPr>
              <w:pStyle w:val="4"/>
              <w:ind w:left="0" w:leftChars="0" w:firstLine="0" w:firstLineChars="0"/>
              <w:jc w:val="center"/>
              <w:rPr>
                <w:color w:val="auto"/>
                <w:sz w:val="21"/>
                <w:highlight w:val="none"/>
              </w:rPr>
            </w:pPr>
          </w:p>
        </w:tc>
        <w:tc>
          <w:tcPr>
            <w:tcW w:w="2438" w:type="dxa"/>
            <w:noWrap w:val="0"/>
            <w:vAlign w:val="center"/>
          </w:tcPr>
          <w:p w14:paraId="5003E7E1">
            <w:pPr>
              <w:pStyle w:val="4"/>
              <w:ind w:left="0" w:leftChars="0" w:firstLine="0" w:firstLine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破碎粉尘</w:t>
            </w:r>
          </w:p>
        </w:tc>
        <w:tc>
          <w:tcPr>
            <w:tcW w:w="2440" w:type="dxa"/>
            <w:noWrap w:val="0"/>
            <w:vAlign w:val="center"/>
          </w:tcPr>
          <w:p w14:paraId="7B0900AB">
            <w:pPr>
              <w:pStyle w:val="4"/>
              <w:ind w:left="0" w:leftChars="0" w:firstLine="0" w:firstLineChars="0"/>
              <w:jc w:val="center"/>
              <w:rPr>
                <w:rFonts w:hint="default"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破碎</w:t>
            </w:r>
          </w:p>
        </w:tc>
        <w:tc>
          <w:tcPr>
            <w:tcW w:w="2442" w:type="dxa"/>
            <w:noWrap w:val="0"/>
            <w:vAlign w:val="center"/>
          </w:tcPr>
          <w:p w14:paraId="153BA584">
            <w:pPr>
              <w:pStyle w:val="4"/>
              <w:ind w:left="0" w:leftChars="0" w:firstLine="0" w:firstLineChars="0"/>
              <w:jc w:val="center"/>
              <w:rPr>
                <w:rFonts w:hint="eastAsia" w:ascii="Times New Roman" w:hAnsi="Times New Roman" w:eastAsia="宋体"/>
                <w:color w:val="auto"/>
                <w:sz w:val="21"/>
                <w:szCs w:val="21"/>
                <w:highlight w:val="none"/>
                <w:lang w:val="en-US" w:eastAsia="zh-CN"/>
              </w:rPr>
            </w:pPr>
            <w:r>
              <w:rPr>
                <w:rFonts w:hint="eastAsia" w:ascii="Times New Roman" w:hAnsi="Times New Roman"/>
                <w:color w:val="auto"/>
                <w:sz w:val="21"/>
                <w:szCs w:val="21"/>
                <w:highlight w:val="none"/>
                <w:lang w:val="en-US" w:eastAsia="zh-CN"/>
              </w:rPr>
              <w:t>颗粒物</w:t>
            </w:r>
          </w:p>
        </w:tc>
      </w:tr>
      <w:tr w14:paraId="64CC37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restart"/>
            <w:noWrap w:val="0"/>
            <w:vAlign w:val="center"/>
          </w:tcPr>
          <w:p w14:paraId="7171D19B">
            <w:pPr>
              <w:pStyle w:val="39"/>
              <w:keepNext/>
              <w:keepLines/>
              <w:numPr>
                <w:ilvl w:val="0"/>
                <w:numId w:val="0"/>
              </w:numPr>
              <w:spacing w:line="240" w:lineRule="auto"/>
              <w:jc w:val="center"/>
              <w:rPr>
                <w:rFonts w:hint="eastAsia" w:eastAsia="宋体"/>
                <w:b w:val="0"/>
                <w:bCs/>
                <w:color w:val="auto"/>
                <w:sz w:val="21"/>
                <w:szCs w:val="21"/>
                <w:highlight w:val="none"/>
                <w:vertAlign w:val="baseline"/>
                <w:lang w:val="en-US" w:eastAsia="zh-CN"/>
              </w:rPr>
            </w:pPr>
            <w:r>
              <w:rPr>
                <w:rFonts w:hint="eastAsia"/>
                <w:b w:val="0"/>
                <w:bCs/>
                <w:color w:val="auto"/>
                <w:sz w:val="21"/>
                <w:szCs w:val="21"/>
                <w:highlight w:val="none"/>
                <w:vertAlign w:val="baseline"/>
                <w:lang w:val="en-US" w:eastAsia="zh-CN"/>
              </w:rPr>
              <w:t>固废</w:t>
            </w:r>
          </w:p>
        </w:tc>
        <w:tc>
          <w:tcPr>
            <w:tcW w:w="2438" w:type="dxa"/>
            <w:noWrap w:val="0"/>
            <w:vAlign w:val="center"/>
          </w:tcPr>
          <w:p w14:paraId="470D68D7">
            <w:pPr>
              <w:spacing w:line="240" w:lineRule="auto"/>
              <w:jc w:val="center"/>
              <w:rPr>
                <w:b/>
                <w:bCs/>
                <w:color w:val="auto"/>
                <w:sz w:val="21"/>
                <w:szCs w:val="21"/>
                <w:highlight w:val="none"/>
                <w:vertAlign w:val="baseline"/>
              </w:rPr>
            </w:pPr>
            <w:r>
              <w:rPr>
                <w:bCs/>
                <w:color w:val="auto"/>
                <w:sz w:val="21"/>
                <w:szCs w:val="21"/>
                <w:highlight w:val="none"/>
              </w:rPr>
              <w:t>废包装袋</w:t>
            </w:r>
          </w:p>
        </w:tc>
        <w:tc>
          <w:tcPr>
            <w:tcW w:w="2440" w:type="dxa"/>
            <w:noWrap w:val="0"/>
            <w:vAlign w:val="center"/>
          </w:tcPr>
          <w:p w14:paraId="778F22FF">
            <w:pPr>
              <w:spacing w:line="240" w:lineRule="auto"/>
              <w:jc w:val="center"/>
              <w:rPr>
                <w:b/>
                <w:bCs/>
                <w:color w:val="auto"/>
                <w:sz w:val="21"/>
                <w:szCs w:val="21"/>
                <w:highlight w:val="none"/>
                <w:vertAlign w:val="baseline"/>
              </w:rPr>
            </w:pPr>
            <w:r>
              <w:rPr>
                <w:rFonts w:hint="eastAsia"/>
                <w:bCs/>
                <w:color w:val="auto"/>
                <w:sz w:val="21"/>
                <w:szCs w:val="21"/>
                <w:highlight w:val="none"/>
                <w:lang w:val="en-US" w:eastAsia="zh-CN"/>
              </w:rPr>
              <w:t>原料使用</w:t>
            </w:r>
          </w:p>
        </w:tc>
        <w:tc>
          <w:tcPr>
            <w:tcW w:w="2442" w:type="dxa"/>
            <w:noWrap w:val="0"/>
            <w:vAlign w:val="center"/>
          </w:tcPr>
          <w:p w14:paraId="583FF659">
            <w:pPr>
              <w:pStyle w:val="39"/>
              <w:keepNext/>
              <w:keepLines/>
              <w:numPr>
                <w:ilvl w:val="0"/>
                <w:numId w:val="0"/>
              </w:numPr>
              <w:spacing w:line="240" w:lineRule="auto"/>
              <w:jc w:val="center"/>
              <w:rPr>
                <w:rFonts w:hint="eastAsia"/>
                <w:b/>
                <w:bCs/>
                <w:color w:val="auto"/>
                <w:sz w:val="21"/>
                <w:szCs w:val="21"/>
                <w:highlight w:val="none"/>
                <w:vertAlign w:val="baseline"/>
              </w:rPr>
            </w:pPr>
            <w:r>
              <w:rPr>
                <w:color w:val="auto"/>
                <w:sz w:val="21"/>
                <w:szCs w:val="21"/>
                <w:highlight w:val="none"/>
              </w:rPr>
              <w:t>塑料袋</w:t>
            </w:r>
            <w:r>
              <w:rPr>
                <w:rFonts w:hint="eastAsia"/>
                <w:color w:val="auto"/>
                <w:sz w:val="21"/>
                <w:szCs w:val="21"/>
                <w:highlight w:val="none"/>
                <w:lang w:eastAsia="zh-CN"/>
              </w:rPr>
              <w:t>、编织袋等</w:t>
            </w:r>
          </w:p>
        </w:tc>
      </w:tr>
      <w:tr w14:paraId="5C2DD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07ADF6CA">
            <w:pPr>
              <w:pStyle w:val="39"/>
              <w:keepNext/>
              <w:keepLines/>
              <w:numPr>
                <w:ilvl w:val="0"/>
                <w:numId w:val="0"/>
              </w:numPr>
              <w:spacing w:line="240" w:lineRule="auto"/>
              <w:jc w:val="center"/>
              <w:rPr>
                <w:b w:val="0"/>
                <w:bCs/>
                <w:color w:val="auto"/>
                <w:sz w:val="21"/>
                <w:szCs w:val="21"/>
                <w:highlight w:val="none"/>
                <w:vertAlign w:val="baseline"/>
              </w:rPr>
            </w:pPr>
          </w:p>
        </w:tc>
        <w:tc>
          <w:tcPr>
            <w:tcW w:w="2438" w:type="dxa"/>
            <w:noWrap w:val="0"/>
            <w:vAlign w:val="center"/>
          </w:tcPr>
          <w:p w14:paraId="1E140289">
            <w:pPr>
              <w:spacing w:line="240" w:lineRule="auto"/>
              <w:jc w:val="center"/>
              <w:rPr>
                <w:b/>
                <w:bCs/>
                <w:color w:val="auto"/>
                <w:sz w:val="21"/>
                <w:szCs w:val="21"/>
                <w:highlight w:val="none"/>
                <w:vertAlign w:val="baseline"/>
              </w:rPr>
            </w:pPr>
            <w:r>
              <w:rPr>
                <w:bCs/>
                <w:color w:val="auto"/>
                <w:sz w:val="21"/>
                <w:szCs w:val="21"/>
                <w:highlight w:val="none"/>
              </w:rPr>
              <w:t>废活性炭</w:t>
            </w:r>
          </w:p>
        </w:tc>
        <w:tc>
          <w:tcPr>
            <w:tcW w:w="2440" w:type="dxa"/>
            <w:noWrap w:val="0"/>
            <w:vAlign w:val="center"/>
          </w:tcPr>
          <w:p w14:paraId="103D4E73">
            <w:pPr>
              <w:spacing w:line="240" w:lineRule="auto"/>
              <w:jc w:val="center"/>
              <w:rPr>
                <w:b/>
                <w:bCs/>
                <w:color w:val="auto"/>
                <w:sz w:val="21"/>
                <w:szCs w:val="21"/>
                <w:highlight w:val="none"/>
                <w:vertAlign w:val="baseline"/>
              </w:rPr>
            </w:pPr>
            <w:r>
              <w:rPr>
                <w:bCs/>
                <w:color w:val="auto"/>
                <w:sz w:val="21"/>
                <w:szCs w:val="21"/>
                <w:highlight w:val="none"/>
              </w:rPr>
              <w:t>废气</w:t>
            </w:r>
            <w:r>
              <w:rPr>
                <w:rFonts w:hint="eastAsia"/>
                <w:bCs/>
                <w:color w:val="auto"/>
                <w:sz w:val="21"/>
                <w:szCs w:val="21"/>
                <w:highlight w:val="none"/>
                <w:lang w:val="en-US" w:eastAsia="zh-CN"/>
              </w:rPr>
              <w:t>处</w:t>
            </w:r>
            <w:r>
              <w:rPr>
                <w:bCs/>
                <w:color w:val="auto"/>
                <w:sz w:val="21"/>
                <w:szCs w:val="21"/>
                <w:highlight w:val="none"/>
              </w:rPr>
              <w:t>理</w:t>
            </w:r>
          </w:p>
        </w:tc>
        <w:tc>
          <w:tcPr>
            <w:tcW w:w="2442" w:type="dxa"/>
            <w:noWrap w:val="0"/>
            <w:vAlign w:val="center"/>
          </w:tcPr>
          <w:p w14:paraId="63A1F4DD">
            <w:pPr>
              <w:spacing w:line="240" w:lineRule="auto"/>
              <w:jc w:val="center"/>
              <w:rPr>
                <w:b/>
                <w:bCs/>
                <w:color w:val="auto"/>
                <w:sz w:val="21"/>
                <w:szCs w:val="21"/>
                <w:highlight w:val="none"/>
                <w:vertAlign w:val="baseline"/>
              </w:rPr>
            </w:pPr>
            <w:r>
              <w:rPr>
                <w:color w:val="auto"/>
                <w:sz w:val="21"/>
                <w:szCs w:val="21"/>
                <w:highlight w:val="none"/>
              </w:rPr>
              <w:t>活性炭、VOCs</w:t>
            </w:r>
          </w:p>
        </w:tc>
      </w:tr>
      <w:tr w14:paraId="44BAC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0F6B1BAE">
            <w:pPr>
              <w:pStyle w:val="39"/>
              <w:keepNext/>
              <w:keepLines/>
              <w:numPr>
                <w:ilvl w:val="0"/>
                <w:numId w:val="0"/>
              </w:numPr>
              <w:spacing w:line="240" w:lineRule="auto"/>
              <w:jc w:val="center"/>
              <w:rPr>
                <w:b w:val="0"/>
                <w:bCs/>
                <w:color w:val="auto"/>
                <w:sz w:val="21"/>
                <w:szCs w:val="21"/>
                <w:highlight w:val="none"/>
              </w:rPr>
            </w:pPr>
          </w:p>
        </w:tc>
        <w:tc>
          <w:tcPr>
            <w:tcW w:w="2438" w:type="dxa"/>
            <w:noWrap w:val="0"/>
            <w:vAlign w:val="center"/>
          </w:tcPr>
          <w:p w14:paraId="748D7D9F">
            <w:pPr>
              <w:spacing w:line="240" w:lineRule="auto"/>
              <w:jc w:val="center"/>
              <w:rPr>
                <w:rFonts w:hint="default" w:eastAsia="宋体"/>
                <w:bCs/>
                <w:color w:val="auto"/>
                <w:sz w:val="21"/>
                <w:szCs w:val="21"/>
                <w:highlight w:val="none"/>
                <w:lang w:val="en-US" w:eastAsia="zh-CN"/>
              </w:rPr>
            </w:pPr>
            <w:r>
              <w:rPr>
                <w:rFonts w:hint="eastAsia"/>
                <w:bCs/>
                <w:color w:val="auto"/>
                <w:sz w:val="21"/>
                <w:szCs w:val="21"/>
                <w:highlight w:val="none"/>
                <w:lang w:val="en-US" w:eastAsia="zh-CN"/>
              </w:rPr>
              <w:t>废催化剂</w:t>
            </w:r>
          </w:p>
        </w:tc>
        <w:tc>
          <w:tcPr>
            <w:tcW w:w="2440" w:type="dxa"/>
            <w:noWrap w:val="0"/>
            <w:vAlign w:val="center"/>
          </w:tcPr>
          <w:p w14:paraId="0618B3CD">
            <w:pPr>
              <w:spacing w:line="240" w:lineRule="auto"/>
              <w:jc w:val="center"/>
              <w:rPr>
                <w:bCs/>
                <w:color w:val="auto"/>
                <w:sz w:val="21"/>
                <w:szCs w:val="21"/>
                <w:highlight w:val="none"/>
              </w:rPr>
            </w:pPr>
            <w:r>
              <w:rPr>
                <w:bCs/>
                <w:color w:val="auto"/>
                <w:sz w:val="21"/>
                <w:szCs w:val="21"/>
                <w:highlight w:val="none"/>
              </w:rPr>
              <w:t>废气</w:t>
            </w:r>
            <w:r>
              <w:rPr>
                <w:rFonts w:hint="eastAsia"/>
                <w:bCs/>
                <w:color w:val="auto"/>
                <w:sz w:val="21"/>
                <w:szCs w:val="21"/>
                <w:highlight w:val="none"/>
                <w:lang w:val="en-US" w:eastAsia="zh-CN"/>
              </w:rPr>
              <w:t>处</w:t>
            </w:r>
            <w:r>
              <w:rPr>
                <w:bCs/>
                <w:color w:val="auto"/>
                <w:sz w:val="21"/>
                <w:szCs w:val="21"/>
                <w:highlight w:val="none"/>
              </w:rPr>
              <w:t>理</w:t>
            </w:r>
          </w:p>
        </w:tc>
        <w:tc>
          <w:tcPr>
            <w:tcW w:w="2442" w:type="dxa"/>
            <w:noWrap w:val="0"/>
            <w:vAlign w:val="center"/>
          </w:tcPr>
          <w:p w14:paraId="4AD193E0">
            <w:pPr>
              <w:keepNext/>
              <w:keepLines/>
              <w:numPr>
                <w:ilvl w:val="0"/>
                <w:numId w:val="0"/>
              </w:numPr>
              <w:spacing w:line="240" w:lineRule="auto"/>
              <w:ind w:left="0" w:leftChars="0" w:firstLine="0" w:firstLineChars="0"/>
              <w:jc w:val="center"/>
              <w:rPr>
                <w:color w:val="auto"/>
                <w:sz w:val="21"/>
                <w:szCs w:val="21"/>
                <w:highlight w:val="none"/>
              </w:rPr>
            </w:pPr>
            <w:r>
              <w:rPr>
                <w:rFonts w:hint="eastAsia"/>
                <w:bCs/>
                <w:color w:val="auto"/>
                <w:sz w:val="21"/>
                <w:szCs w:val="21"/>
                <w:highlight w:val="none"/>
                <w:lang w:val="en-US" w:eastAsia="zh-CN"/>
              </w:rPr>
              <w:t>废催化剂</w:t>
            </w:r>
          </w:p>
        </w:tc>
      </w:tr>
      <w:tr w14:paraId="0442D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2DD06140">
            <w:pPr>
              <w:pStyle w:val="39"/>
              <w:keepNext/>
              <w:keepLines/>
              <w:numPr>
                <w:ilvl w:val="0"/>
                <w:numId w:val="0"/>
              </w:numPr>
              <w:spacing w:line="240" w:lineRule="auto"/>
              <w:jc w:val="center"/>
              <w:rPr>
                <w:b w:val="0"/>
                <w:bCs/>
                <w:color w:val="auto"/>
                <w:sz w:val="21"/>
                <w:szCs w:val="21"/>
                <w:highlight w:val="none"/>
              </w:rPr>
            </w:pPr>
          </w:p>
        </w:tc>
        <w:tc>
          <w:tcPr>
            <w:tcW w:w="2438" w:type="dxa"/>
            <w:noWrap w:val="0"/>
            <w:vAlign w:val="center"/>
          </w:tcPr>
          <w:p w14:paraId="6C3D92A2">
            <w:pPr>
              <w:spacing w:line="240" w:lineRule="auto"/>
              <w:jc w:val="center"/>
              <w:rPr>
                <w:b/>
                <w:bCs/>
                <w:color w:val="auto"/>
                <w:sz w:val="21"/>
                <w:szCs w:val="21"/>
                <w:highlight w:val="none"/>
                <w:vertAlign w:val="baseline"/>
              </w:rPr>
            </w:pPr>
            <w:r>
              <w:rPr>
                <w:rFonts w:hint="eastAsia"/>
                <w:bCs/>
                <w:color w:val="auto"/>
                <w:sz w:val="21"/>
                <w:szCs w:val="21"/>
                <w:highlight w:val="none"/>
                <w:lang w:val="en-US" w:eastAsia="zh-CN"/>
              </w:rPr>
              <w:t>废过滤网</w:t>
            </w:r>
          </w:p>
        </w:tc>
        <w:tc>
          <w:tcPr>
            <w:tcW w:w="2440" w:type="dxa"/>
            <w:noWrap w:val="0"/>
            <w:vAlign w:val="center"/>
          </w:tcPr>
          <w:p w14:paraId="450007EB">
            <w:pPr>
              <w:spacing w:line="240" w:lineRule="auto"/>
              <w:jc w:val="center"/>
              <w:rPr>
                <w:b/>
                <w:bCs/>
                <w:color w:val="auto"/>
                <w:sz w:val="21"/>
                <w:szCs w:val="21"/>
                <w:highlight w:val="none"/>
                <w:vertAlign w:val="baseline"/>
              </w:rPr>
            </w:pPr>
            <w:r>
              <w:rPr>
                <w:rFonts w:hint="eastAsia" w:eastAsia="宋体"/>
                <w:bCs/>
                <w:color w:val="auto"/>
                <w:sz w:val="21"/>
                <w:szCs w:val="21"/>
                <w:highlight w:val="none"/>
                <w:lang w:val="en-US" w:eastAsia="zh-CN"/>
              </w:rPr>
              <w:t>熔融、挤出</w:t>
            </w:r>
          </w:p>
        </w:tc>
        <w:tc>
          <w:tcPr>
            <w:tcW w:w="2442" w:type="dxa"/>
            <w:noWrap w:val="0"/>
            <w:vAlign w:val="center"/>
          </w:tcPr>
          <w:p w14:paraId="233E9E6B">
            <w:pPr>
              <w:spacing w:line="240" w:lineRule="auto"/>
              <w:jc w:val="center"/>
              <w:rPr>
                <w:b/>
                <w:bCs/>
                <w:color w:val="auto"/>
                <w:sz w:val="21"/>
                <w:szCs w:val="21"/>
                <w:highlight w:val="none"/>
                <w:vertAlign w:val="baseline"/>
              </w:rPr>
            </w:pPr>
            <w:r>
              <w:rPr>
                <w:rFonts w:hint="eastAsia"/>
                <w:color w:val="auto"/>
                <w:sz w:val="21"/>
                <w:szCs w:val="21"/>
                <w:highlight w:val="none"/>
                <w:lang w:val="en-US" w:eastAsia="zh-CN"/>
              </w:rPr>
              <w:t>树脂、金属</w:t>
            </w:r>
          </w:p>
        </w:tc>
      </w:tr>
      <w:tr w14:paraId="637D5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05B8C360">
            <w:pPr>
              <w:pStyle w:val="39"/>
              <w:keepNext/>
              <w:keepLines/>
              <w:numPr>
                <w:ilvl w:val="0"/>
                <w:numId w:val="0"/>
              </w:numPr>
              <w:spacing w:line="240" w:lineRule="auto"/>
              <w:jc w:val="center"/>
              <w:rPr>
                <w:b w:val="0"/>
                <w:bCs/>
                <w:color w:val="auto"/>
                <w:sz w:val="21"/>
                <w:szCs w:val="21"/>
                <w:highlight w:val="none"/>
              </w:rPr>
            </w:pPr>
          </w:p>
        </w:tc>
        <w:tc>
          <w:tcPr>
            <w:tcW w:w="2438" w:type="dxa"/>
            <w:noWrap w:val="0"/>
            <w:vAlign w:val="center"/>
          </w:tcPr>
          <w:p w14:paraId="2BFC2EBD">
            <w:pPr>
              <w:spacing w:line="240" w:lineRule="auto"/>
              <w:jc w:val="center"/>
              <w:rPr>
                <w:rFonts w:hint="default"/>
                <w:bCs/>
                <w:color w:val="auto"/>
                <w:sz w:val="21"/>
                <w:szCs w:val="21"/>
                <w:highlight w:val="none"/>
                <w:lang w:val="en-US" w:eastAsia="zh-CN"/>
              </w:rPr>
            </w:pPr>
            <w:r>
              <w:rPr>
                <w:rFonts w:hint="eastAsia"/>
                <w:bCs/>
                <w:color w:val="auto"/>
                <w:sz w:val="21"/>
                <w:szCs w:val="21"/>
                <w:highlight w:val="none"/>
                <w:lang w:val="en-US" w:eastAsia="zh-CN"/>
              </w:rPr>
              <w:t>废边角料</w:t>
            </w:r>
          </w:p>
        </w:tc>
        <w:tc>
          <w:tcPr>
            <w:tcW w:w="2440" w:type="dxa"/>
            <w:noWrap w:val="0"/>
            <w:vAlign w:val="center"/>
          </w:tcPr>
          <w:p w14:paraId="4B978FD8">
            <w:pPr>
              <w:spacing w:line="240" w:lineRule="auto"/>
              <w:jc w:val="center"/>
              <w:rPr>
                <w:bCs/>
                <w:color w:val="auto"/>
                <w:sz w:val="21"/>
                <w:szCs w:val="21"/>
                <w:highlight w:val="none"/>
              </w:rPr>
            </w:pPr>
            <w:r>
              <w:rPr>
                <w:rFonts w:hint="eastAsia"/>
                <w:bCs/>
                <w:color w:val="auto"/>
                <w:sz w:val="21"/>
                <w:szCs w:val="21"/>
                <w:highlight w:val="none"/>
                <w:lang w:val="en-US" w:eastAsia="zh-CN"/>
              </w:rPr>
              <w:t>切边</w:t>
            </w:r>
          </w:p>
        </w:tc>
        <w:tc>
          <w:tcPr>
            <w:tcW w:w="2442" w:type="dxa"/>
            <w:noWrap w:val="0"/>
            <w:vAlign w:val="center"/>
          </w:tcPr>
          <w:p w14:paraId="40456D11">
            <w:pPr>
              <w:spacing w:line="240" w:lineRule="auto"/>
              <w:jc w:val="center"/>
              <w:rPr>
                <w:rFonts w:hint="eastAsia"/>
                <w:color w:val="auto"/>
                <w:sz w:val="21"/>
                <w:szCs w:val="21"/>
                <w:highlight w:val="none"/>
                <w:lang w:val="en-US" w:eastAsia="zh-CN"/>
              </w:rPr>
            </w:pPr>
            <w:r>
              <w:rPr>
                <w:rFonts w:hint="eastAsia"/>
                <w:color w:val="auto"/>
                <w:sz w:val="21"/>
                <w:szCs w:val="21"/>
                <w:highlight w:val="none"/>
                <w:lang w:val="en-US" w:eastAsia="zh-CN"/>
              </w:rPr>
              <w:t>塑料膜</w:t>
            </w:r>
          </w:p>
        </w:tc>
      </w:tr>
      <w:tr w14:paraId="38613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2438" w:type="dxa"/>
            <w:vMerge w:val="continue"/>
            <w:noWrap w:val="0"/>
            <w:vAlign w:val="center"/>
          </w:tcPr>
          <w:p w14:paraId="6E82EA47">
            <w:pPr>
              <w:pStyle w:val="39"/>
              <w:keepNext/>
              <w:keepLines/>
              <w:numPr>
                <w:ilvl w:val="0"/>
                <w:numId w:val="0"/>
              </w:numPr>
              <w:spacing w:line="240" w:lineRule="auto"/>
              <w:jc w:val="center"/>
              <w:rPr>
                <w:b w:val="0"/>
                <w:bCs/>
                <w:color w:val="auto"/>
                <w:sz w:val="21"/>
                <w:szCs w:val="21"/>
                <w:highlight w:val="none"/>
              </w:rPr>
            </w:pPr>
          </w:p>
        </w:tc>
        <w:tc>
          <w:tcPr>
            <w:tcW w:w="2438" w:type="dxa"/>
            <w:shd w:val="clear" w:color="auto" w:fill="auto"/>
            <w:noWrap w:val="0"/>
            <w:vAlign w:val="center"/>
          </w:tcPr>
          <w:p w14:paraId="318E1FAD">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废润滑油</w:t>
            </w:r>
          </w:p>
        </w:tc>
        <w:tc>
          <w:tcPr>
            <w:tcW w:w="2440" w:type="dxa"/>
            <w:shd w:val="clear" w:color="auto" w:fill="auto"/>
            <w:noWrap w:val="0"/>
            <w:vAlign w:val="center"/>
          </w:tcPr>
          <w:p w14:paraId="29B80976">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设备维护</w:t>
            </w:r>
          </w:p>
        </w:tc>
        <w:tc>
          <w:tcPr>
            <w:tcW w:w="2442" w:type="dxa"/>
            <w:shd w:val="clear" w:color="auto" w:fill="auto"/>
            <w:noWrap w:val="0"/>
            <w:vAlign w:val="center"/>
          </w:tcPr>
          <w:p w14:paraId="06E2E099">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废润滑油</w:t>
            </w:r>
          </w:p>
        </w:tc>
      </w:tr>
      <w:tr w14:paraId="1C803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680FA3EE">
            <w:pPr>
              <w:pStyle w:val="39"/>
              <w:keepNext/>
              <w:keepLines/>
              <w:numPr>
                <w:ilvl w:val="0"/>
                <w:numId w:val="0"/>
              </w:numPr>
              <w:spacing w:line="240" w:lineRule="auto"/>
              <w:jc w:val="center"/>
              <w:rPr>
                <w:b w:val="0"/>
                <w:bCs/>
                <w:color w:val="auto"/>
                <w:sz w:val="21"/>
                <w:szCs w:val="21"/>
                <w:highlight w:val="none"/>
              </w:rPr>
            </w:pPr>
          </w:p>
        </w:tc>
        <w:tc>
          <w:tcPr>
            <w:tcW w:w="2438" w:type="dxa"/>
            <w:shd w:val="clear" w:color="auto" w:fill="auto"/>
            <w:noWrap w:val="0"/>
            <w:vAlign w:val="center"/>
          </w:tcPr>
          <w:p w14:paraId="464EEB8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rPr>
              <w:t>废</w:t>
            </w:r>
            <w:r>
              <w:rPr>
                <w:rFonts w:hint="eastAsia"/>
                <w:color w:val="auto"/>
                <w:sz w:val="21"/>
                <w:szCs w:val="21"/>
                <w:highlight w:val="none"/>
                <w:lang w:val="en-US" w:eastAsia="zh-CN"/>
              </w:rPr>
              <w:t>油</w:t>
            </w:r>
            <w:r>
              <w:rPr>
                <w:rFonts w:hint="eastAsia"/>
                <w:color w:val="auto"/>
                <w:sz w:val="21"/>
                <w:szCs w:val="21"/>
                <w:highlight w:val="none"/>
              </w:rPr>
              <w:t>桶</w:t>
            </w:r>
          </w:p>
        </w:tc>
        <w:tc>
          <w:tcPr>
            <w:tcW w:w="2440" w:type="dxa"/>
            <w:shd w:val="clear" w:color="auto" w:fill="auto"/>
            <w:noWrap w:val="0"/>
            <w:vAlign w:val="center"/>
          </w:tcPr>
          <w:p w14:paraId="57693B2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润滑油使用</w:t>
            </w:r>
          </w:p>
        </w:tc>
        <w:tc>
          <w:tcPr>
            <w:tcW w:w="2442" w:type="dxa"/>
            <w:shd w:val="clear" w:color="auto" w:fill="auto"/>
            <w:noWrap w:val="0"/>
            <w:vAlign w:val="center"/>
          </w:tcPr>
          <w:p w14:paraId="14996BF3">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润滑油、</w:t>
            </w:r>
            <w:r>
              <w:rPr>
                <w:rFonts w:hint="eastAsia"/>
                <w:color w:val="auto"/>
                <w:sz w:val="21"/>
                <w:szCs w:val="21"/>
                <w:highlight w:val="none"/>
              </w:rPr>
              <w:t>空桶</w:t>
            </w:r>
          </w:p>
        </w:tc>
      </w:tr>
      <w:tr w14:paraId="6CED9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6E1ED801">
            <w:pPr>
              <w:pStyle w:val="39"/>
              <w:keepNext/>
              <w:keepLines/>
              <w:numPr>
                <w:ilvl w:val="0"/>
                <w:numId w:val="0"/>
              </w:numPr>
              <w:spacing w:line="240" w:lineRule="auto"/>
              <w:jc w:val="center"/>
              <w:rPr>
                <w:b w:val="0"/>
                <w:bCs/>
                <w:color w:val="auto"/>
                <w:sz w:val="21"/>
                <w:szCs w:val="21"/>
                <w:highlight w:val="none"/>
              </w:rPr>
            </w:pPr>
          </w:p>
        </w:tc>
        <w:tc>
          <w:tcPr>
            <w:tcW w:w="2438" w:type="dxa"/>
            <w:shd w:val="clear" w:color="auto" w:fill="auto"/>
            <w:noWrap w:val="0"/>
            <w:vAlign w:val="center"/>
          </w:tcPr>
          <w:p w14:paraId="74C71BED">
            <w:pPr>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废抹布</w:t>
            </w:r>
          </w:p>
        </w:tc>
        <w:tc>
          <w:tcPr>
            <w:tcW w:w="2440" w:type="dxa"/>
            <w:shd w:val="clear" w:color="auto" w:fill="auto"/>
            <w:noWrap w:val="0"/>
            <w:vAlign w:val="center"/>
          </w:tcPr>
          <w:p w14:paraId="5F9609D1">
            <w:pPr>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设备维护</w:t>
            </w:r>
          </w:p>
        </w:tc>
        <w:tc>
          <w:tcPr>
            <w:tcW w:w="2442" w:type="dxa"/>
            <w:shd w:val="clear" w:color="auto" w:fill="auto"/>
            <w:noWrap w:val="0"/>
            <w:vAlign w:val="center"/>
          </w:tcPr>
          <w:p w14:paraId="0DBEB8F3">
            <w:pPr>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油类物质、抹布</w:t>
            </w:r>
          </w:p>
        </w:tc>
      </w:tr>
      <w:tr w14:paraId="1BDF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vMerge w:val="continue"/>
            <w:noWrap w:val="0"/>
            <w:vAlign w:val="center"/>
          </w:tcPr>
          <w:p w14:paraId="78EB1028">
            <w:pPr>
              <w:pStyle w:val="39"/>
              <w:keepNext/>
              <w:keepLines/>
              <w:numPr>
                <w:ilvl w:val="0"/>
                <w:numId w:val="0"/>
              </w:numPr>
              <w:spacing w:line="240" w:lineRule="auto"/>
              <w:jc w:val="center"/>
              <w:rPr>
                <w:b w:val="0"/>
                <w:bCs/>
                <w:color w:val="auto"/>
                <w:sz w:val="21"/>
                <w:szCs w:val="21"/>
                <w:highlight w:val="none"/>
                <w:vertAlign w:val="baseline"/>
              </w:rPr>
            </w:pPr>
          </w:p>
        </w:tc>
        <w:tc>
          <w:tcPr>
            <w:tcW w:w="2438" w:type="dxa"/>
            <w:noWrap w:val="0"/>
            <w:vAlign w:val="center"/>
          </w:tcPr>
          <w:p w14:paraId="7A46F797">
            <w:pPr>
              <w:spacing w:line="240" w:lineRule="auto"/>
              <w:jc w:val="center"/>
              <w:rPr>
                <w:b/>
                <w:bCs/>
                <w:color w:val="auto"/>
                <w:sz w:val="21"/>
                <w:szCs w:val="21"/>
                <w:highlight w:val="none"/>
                <w:vertAlign w:val="baseline"/>
              </w:rPr>
            </w:pPr>
            <w:r>
              <w:rPr>
                <w:bCs/>
                <w:color w:val="auto"/>
                <w:sz w:val="21"/>
                <w:szCs w:val="21"/>
                <w:highlight w:val="none"/>
              </w:rPr>
              <w:t>生活垃圾</w:t>
            </w:r>
          </w:p>
        </w:tc>
        <w:tc>
          <w:tcPr>
            <w:tcW w:w="2440" w:type="dxa"/>
            <w:noWrap w:val="0"/>
            <w:vAlign w:val="center"/>
          </w:tcPr>
          <w:p w14:paraId="7E03E93B">
            <w:pPr>
              <w:spacing w:line="240" w:lineRule="auto"/>
              <w:jc w:val="center"/>
              <w:rPr>
                <w:rFonts w:hint="default"/>
                <w:b/>
                <w:bCs/>
                <w:color w:val="auto"/>
                <w:sz w:val="21"/>
                <w:szCs w:val="21"/>
                <w:highlight w:val="none"/>
                <w:vertAlign w:val="baseline"/>
              </w:rPr>
            </w:pPr>
            <w:r>
              <w:rPr>
                <w:rFonts w:hint="eastAsia"/>
                <w:bCs/>
                <w:color w:val="auto"/>
                <w:sz w:val="21"/>
                <w:szCs w:val="21"/>
                <w:highlight w:val="none"/>
                <w:lang w:val="en-US" w:eastAsia="zh-CN"/>
              </w:rPr>
              <w:t>员工生活</w:t>
            </w:r>
          </w:p>
        </w:tc>
        <w:tc>
          <w:tcPr>
            <w:tcW w:w="2442" w:type="dxa"/>
            <w:noWrap w:val="0"/>
            <w:vAlign w:val="center"/>
          </w:tcPr>
          <w:p w14:paraId="18371C68">
            <w:pPr>
              <w:spacing w:line="240" w:lineRule="auto"/>
              <w:jc w:val="center"/>
              <w:rPr>
                <w:b/>
                <w:bCs/>
                <w:color w:val="auto"/>
                <w:sz w:val="21"/>
                <w:szCs w:val="21"/>
                <w:highlight w:val="none"/>
                <w:vertAlign w:val="baseline"/>
              </w:rPr>
            </w:pPr>
            <w:r>
              <w:rPr>
                <w:rFonts w:hint="default" w:eastAsia="宋体"/>
                <w:color w:val="auto"/>
                <w:sz w:val="21"/>
                <w:szCs w:val="21"/>
                <w:highlight w:val="none"/>
                <w:lang w:val="en-US" w:eastAsia="zh-CN"/>
              </w:rPr>
              <w:t>塑料、废纸等</w:t>
            </w:r>
          </w:p>
        </w:tc>
      </w:tr>
      <w:tr w14:paraId="2F3E9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2438" w:type="dxa"/>
            <w:noWrap w:val="0"/>
            <w:vAlign w:val="center"/>
          </w:tcPr>
          <w:p w14:paraId="33BDEEEA">
            <w:pPr>
              <w:pStyle w:val="4"/>
              <w:ind w:left="0" w:leftChars="0" w:firstLine="0" w:firstLineChars="0"/>
              <w:jc w:val="center"/>
              <w:rPr>
                <w:b w:val="0"/>
                <w:bCs/>
                <w:color w:val="auto"/>
                <w:sz w:val="21"/>
                <w:szCs w:val="21"/>
                <w:highlight w:val="none"/>
                <w:vertAlign w:val="baseline"/>
              </w:rPr>
            </w:pPr>
            <w:r>
              <w:rPr>
                <w:rFonts w:ascii="Times New Roman" w:hAnsi="Times New Roman"/>
                <w:b w:val="0"/>
                <w:bCs/>
                <w:color w:val="auto"/>
                <w:sz w:val="21"/>
                <w:szCs w:val="21"/>
                <w:highlight w:val="none"/>
              </w:rPr>
              <w:t>噪声</w:t>
            </w:r>
          </w:p>
        </w:tc>
        <w:tc>
          <w:tcPr>
            <w:tcW w:w="2438" w:type="dxa"/>
            <w:noWrap w:val="0"/>
            <w:vAlign w:val="center"/>
          </w:tcPr>
          <w:p w14:paraId="40CCB237">
            <w:pPr>
              <w:jc w:val="center"/>
              <w:rPr>
                <w:bCs/>
                <w:color w:val="auto"/>
                <w:sz w:val="21"/>
                <w:szCs w:val="21"/>
                <w:highlight w:val="none"/>
              </w:rPr>
            </w:pPr>
            <w:r>
              <w:rPr>
                <w:smallCaps/>
                <w:color w:val="auto"/>
                <w:spacing w:val="10"/>
                <w:sz w:val="21"/>
                <w:szCs w:val="21"/>
                <w:highlight w:val="none"/>
              </w:rPr>
              <w:t>设备运行噪声</w:t>
            </w:r>
          </w:p>
        </w:tc>
        <w:tc>
          <w:tcPr>
            <w:tcW w:w="2440" w:type="dxa"/>
            <w:noWrap w:val="0"/>
            <w:vAlign w:val="center"/>
          </w:tcPr>
          <w:p w14:paraId="3255FDA5">
            <w:pPr>
              <w:jc w:val="center"/>
              <w:rPr>
                <w:bCs/>
                <w:color w:val="auto"/>
                <w:sz w:val="21"/>
                <w:szCs w:val="21"/>
                <w:highlight w:val="none"/>
              </w:rPr>
            </w:pPr>
            <w:r>
              <w:rPr>
                <w:smallCaps/>
                <w:color w:val="auto"/>
                <w:spacing w:val="10"/>
                <w:sz w:val="21"/>
                <w:szCs w:val="21"/>
                <w:highlight w:val="none"/>
              </w:rPr>
              <w:t>设备运行</w:t>
            </w:r>
          </w:p>
        </w:tc>
        <w:tc>
          <w:tcPr>
            <w:tcW w:w="2442" w:type="dxa"/>
            <w:noWrap w:val="0"/>
            <w:vAlign w:val="center"/>
          </w:tcPr>
          <w:p w14:paraId="1117B8DD">
            <w:pPr>
              <w:pStyle w:val="4"/>
              <w:ind w:left="0" w:leftChars="0" w:firstLine="0" w:firstLineChars="0"/>
              <w:jc w:val="center"/>
              <w:rPr>
                <w:rFonts w:hint="default" w:eastAsia="宋体"/>
                <w:color w:val="auto"/>
                <w:sz w:val="21"/>
                <w:szCs w:val="21"/>
                <w:highlight w:val="none"/>
                <w:lang w:val="en-US" w:eastAsia="zh-CN"/>
              </w:rPr>
            </w:pPr>
            <w:r>
              <w:rPr>
                <w:rFonts w:ascii="Times New Roman" w:hAnsi="Times New Roman"/>
                <w:smallCaps/>
                <w:color w:val="auto"/>
                <w:spacing w:val="10"/>
                <w:sz w:val="21"/>
                <w:szCs w:val="21"/>
                <w:highlight w:val="none"/>
              </w:rPr>
              <w:t>L</w:t>
            </w:r>
            <w:r>
              <w:rPr>
                <w:rFonts w:ascii="Times New Roman" w:hAnsi="Times New Roman"/>
                <w:color w:val="auto"/>
                <w:sz w:val="21"/>
                <w:szCs w:val="21"/>
                <w:highlight w:val="none"/>
                <w:vertAlign w:val="subscript"/>
              </w:rPr>
              <w:t>eq</w:t>
            </w:r>
            <w:r>
              <w:rPr>
                <w:rFonts w:ascii="Times New Roman" w:hAnsi="Times New Roman"/>
                <w:smallCaps/>
                <w:color w:val="auto"/>
                <w:spacing w:val="10"/>
                <w:sz w:val="21"/>
                <w:szCs w:val="21"/>
                <w:highlight w:val="none"/>
              </w:rPr>
              <w:t>（A）</w:t>
            </w:r>
          </w:p>
        </w:tc>
      </w:tr>
    </w:tbl>
    <w:p w14:paraId="5F657680">
      <w:pPr>
        <w:pStyle w:val="24"/>
        <w:ind w:firstLine="422"/>
        <w:rPr>
          <w:rFonts w:hint="default" w:eastAsia="宋体"/>
          <w:b/>
          <w:color w:val="auto"/>
          <w:lang w:val="en-US" w:eastAsia="zh-CN"/>
        </w:rPr>
      </w:pPr>
      <w:r>
        <w:rPr>
          <w:rFonts w:hint="eastAsia"/>
          <w:b/>
          <w:bCs/>
          <w:color w:val="auto"/>
          <w:lang w:val="en-US" w:eastAsia="zh-CN"/>
        </w:rPr>
        <w:t>1.7.1废气</w:t>
      </w:r>
    </w:p>
    <w:p w14:paraId="4218B6D2">
      <w:pPr>
        <w:pStyle w:val="24"/>
        <w:numPr>
          <w:ilvl w:val="0"/>
          <w:numId w:val="7"/>
        </w:numPr>
        <w:adjustRightInd w:val="0"/>
        <w:snapToGrid w:val="0"/>
        <w:rPr>
          <w:color w:val="auto"/>
          <w:szCs w:val="24"/>
        </w:rPr>
      </w:pPr>
      <w:r>
        <w:rPr>
          <w:rFonts w:hint="eastAsia"/>
          <w:color w:val="auto"/>
          <w:szCs w:val="24"/>
        </w:rPr>
        <w:t>污染源强核算</w:t>
      </w:r>
    </w:p>
    <w:p w14:paraId="10DA39BD">
      <w:pPr>
        <w:pStyle w:val="24"/>
        <w:numPr>
          <w:ilvl w:val="-1"/>
          <w:numId w:val="0"/>
        </w:numPr>
        <w:adjustRightInd w:val="0"/>
        <w:snapToGrid w:val="0"/>
        <w:ind w:firstLine="480" w:firstLineChars="200"/>
        <w:rPr>
          <w:rFonts w:hint="eastAsia" w:ascii="Times New Roman" w:hAnsi="Times New Roman" w:eastAsia="宋体" w:cs="Times New Roman"/>
          <w:color w:val="auto"/>
          <w:szCs w:val="24"/>
        </w:rPr>
      </w:pPr>
      <w:r>
        <w:rPr>
          <w:rFonts w:hint="eastAsia" w:ascii="Times New Roman" w:hAnsi="Times New Roman" w:eastAsia="宋体" w:cs="Times New Roman"/>
          <w:color w:val="auto"/>
          <w:szCs w:val="24"/>
        </w:rPr>
        <w:t>根据工艺流程分析可知，本项目废气主要为</w:t>
      </w:r>
      <w:bookmarkStart w:id="11" w:name="_Hlk124586604"/>
      <w:r>
        <w:rPr>
          <w:rFonts w:hint="eastAsia" w:ascii="Times New Roman" w:hAnsi="Times New Roman" w:eastAsia="宋体" w:cs="Times New Roman"/>
          <w:color w:val="auto"/>
          <w:szCs w:val="24"/>
        </w:rPr>
        <w:t>投料粉尘</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rPr>
        <w:t>破碎粉尘</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rPr>
        <w:t>熔融</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rPr>
        <w:t>挤出废气</w:t>
      </w:r>
      <w:r>
        <w:rPr>
          <w:rFonts w:hint="eastAsia" w:ascii="Times New Roman" w:hAnsi="Times New Roman" w:eastAsia="宋体" w:cs="Times New Roman"/>
          <w:color w:val="auto"/>
          <w:szCs w:val="24"/>
          <w:lang w:eastAsia="zh-CN"/>
        </w:rPr>
        <w:t>、</w:t>
      </w:r>
      <w:r>
        <w:rPr>
          <w:rFonts w:hint="eastAsia" w:ascii="Times New Roman" w:hAnsi="Times New Roman" w:eastAsia="宋体" w:cs="Times New Roman"/>
          <w:color w:val="auto"/>
          <w:szCs w:val="24"/>
          <w:lang w:val="en-US" w:eastAsia="zh-CN"/>
        </w:rPr>
        <w:t>吹胀、冷却废气和</w:t>
      </w:r>
      <w:r>
        <w:rPr>
          <w:rFonts w:hint="eastAsia" w:ascii="Times New Roman" w:hAnsi="Times New Roman" w:eastAsia="宋体" w:cs="Times New Roman"/>
          <w:color w:val="auto"/>
          <w:szCs w:val="24"/>
        </w:rPr>
        <w:t>电晕废气</w:t>
      </w:r>
      <w:bookmarkEnd w:id="11"/>
      <w:r>
        <w:rPr>
          <w:rFonts w:hint="eastAsia" w:ascii="Times New Roman" w:hAnsi="Times New Roman" w:eastAsia="宋体" w:cs="Times New Roman"/>
          <w:color w:val="auto"/>
          <w:szCs w:val="24"/>
        </w:rPr>
        <w:t>。</w:t>
      </w:r>
    </w:p>
    <w:p w14:paraId="6F6F4F99">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（1）投料粉尘</w:t>
      </w:r>
    </w:p>
    <w:p w14:paraId="494A4F95">
      <w:pPr>
        <w:spacing w:line="360" w:lineRule="auto"/>
        <w:ind w:firstLine="482"/>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val="en-US" w:eastAsia="zh-CN"/>
        </w:rPr>
        <w:t>本</w:t>
      </w:r>
      <w:r>
        <w:rPr>
          <w:rFonts w:ascii="Times New Roman" w:hAnsi="Times New Roman" w:eastAsia="宋体" w:cs="Times New Roman"/>
          <w:color w:val="auto"/>
          <w:sz w:val="24"/>
          <w:szCs w:val="24"/>
          <w:highlight w:val="none"/>
        </w:rPr>
        <w:t>项目</w:t>
      </w:r>
      <w:r>
        <w:rPr>
          <w:rFonts w:hint="eastAsia" w:ascii="Times New Roman" w:hAnsi="Times New Roman" w:eastAsia="宋体" w:cs="Times New Roman"/>
          <w:color w:val="auto"/>
          <w:sz w:val="24"/>
          <w:szCs w:val="24"/>
          <w:highlight w:val="none"/>
          <w:lang w:val="en-US" w:eastAsia="zh-CN"/>
        </w:rPr>
        <w:t>PE</w:t>
      </w:r>
      <w:r>
        <w:rPr>
          <w:rFonts w:ascii="Times New Roman" w:hAnsi="Times New Roman" w:eastAsia="宋体" w:cs="Times New Roman"/>
          <w:color w:val="auto"/>
          <w:sz w:val="24"/>
          <w:szCs w:val="24"/>
          <w:highlight w:val="none"/>
        </w:rPr>
        <w:t>粒子</w:t>
      </w:r>
      <w:r>
        <w:rPr>
          <w:rFonts w:hint="eastAsia" w:ascii="Times New Roman" w:hAnsi="Times New Roman" w:eastAsia="宋体" w:cs="Times New Roman"/>
          <w:color w:val="auto"/>
          <w:sz w:val="24"/>
          <w:szCs w:val="24"/>
          <w:highlight w:val="none"/>
        </w:rPr>
        <w:t>和</w:t>
      </w:r>
      <w:r>
        <w:rPr>
          <w:rFonts w:hint="eastAsia" w:ascii="Times New Roman" w:hAnsi="Times New Roman" w:eastAsia="宋体" w:cs="Times New Roman"/>
          <w:color w:val="auto"/>
          <w:sz w:val="24"/>
          <w:szCs w:val="24"/>
          <w:highlight w:val="none"/>
          <w:lang w:val="en-US" w:eastAsia="zh-CN"/>
        </w:rPr>
        <w:t>添加剂</w:t>
      </w:r>
      <w:r>
        <w:rPr>
          <w:rFonts w:ascii="Times New Roman" w:hAnsi="Times New Roman" w:eastAsia="宋体" w:cs="Times New Roman"/>
          <w:color w:val="auto"/>
          <w:sz w:val="24"/>
          <w:szCs w:val="24"/>
          <w:highlight w:val="none"/>
        </w:rPr>
        <w:t>等原料</w:t>
      </w:r>
      <w:r>
        <w:rPr>
          <w:rFonts w:hint="eastAsia" w:ascii="Times New Roman" w:hAnsi="Times New Roman" w:eastAsia="宋体" w:cs="Times New Roman"/>
          <w:color w:val="auto"/>
          <w:sz w:val="24"/>
          <w:szCs w:val="24"/>
          <w:highlight w:val="none"/>
        </w:rPr>
        <w:t>粒径</w:t>
      </w:r>
      <w:r>
        <w:rPr>
          <w:rFonts w:ascii="Times New Roman" w:hAnsi="Times New Roman" w:eastAsia="宋体" w:cs="Times New Roman"/>
          <w:color w:val="auto"/>
          <w:sz w:val="24"/>
          <w:szCs w:val="24"/>
          <w:highlight w:val="none"/>
        </w:rPr>
        <w:t>较大，</w:t>
      </w:r>
      <w:r>
        <w:rPr>
          <w:rFonts w:hint="eastAsia" w:ascii="Times New Roman" w:hAnsi="Times New Roman" w:eastAsia="宋体" w:cs="Times New Roman"/>
          <w:color w:val="auto"/>
          <w:sz w:val="24"/>
          <w:szCs w:val="24"/>
          <w:highlight w:val="none"/>
        </w:rPr>
        <w:t>不使用其他粉状原料，因此投</w:t>
      </w:r>
      <w:r>
        <w:rPr>
          <w:rFonts w:ascii="Times New Roman" w:hAnsi="Times New Roman" w:eastAsia="宋体" w:cs="Times New Roman"/>
          <w:color w:val="auto"/>
          <w:sz w:val="24"/>
          <w:szCs w:val="24"/>
          <w:highlight w:val="none"/>
        </w:rPr>
        <w:t>料过程中</w:t>
      </w:r>
      <w:r>
        <w:rPr>
          <w:rFonts w:hint="eastAsia" w:ascii="Times New Roman" w:hAnsi="Times New Roman" w:eastAsia="宋体" w:cs="Times New Roman"/>
          <w:color w:val="auto"/>
          <w:sz w:val="24"/>
          <w:szCs w:val="24"/>
          <w:highlight w:val="none"/>
        </w:rPr>
        <w:t>基本无粉尘产生。</w:t>
      </w:r>
      <w:r>
        <w:rPr>
          <w:rFonts w:ascii="Times New Roman" w:hAnsi="Times New Roman" w:eastAsia="宋体" w:cs="Times New Roman"/>
          <w:color w:val="auto"/>
          <w:sz w:val="24"/>
          <w:szCs w:val="24"/>
          <w:highlight w:val="none"/>
        </w:rPr>
        <w:t>本次环评不做定量分析。</w:t>
      </w:r>
    </w:p>
    <w:p w14:paraId="465035EE">
      <w:pPr>
        <w:spacing w:line="360" w:lineRule="auto"/>
        <w:ind w:firstLine="482"/>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破碎粉尘</w:t>
      </w:r>
    </w:p>
    <w:p w14:paraId="5BD461AC">
      <w:pPr>
        <w:spacing w:line="360" w:lineRule="auto"/>
        <w:ind w:firstLine="482"/>
        <w:rPr>
          <w:rFonts w:hint="eastAsia" w:ascii="Times New Roman" w:hAnsi="Times New Roman" w:eastAsia="宋体" w:cs="Times New Roman"/>
          <w:bCs/>
          <w:color w:val="auto"/>
          <w:sz w:val="24"/>
          <w:szCs w:val="24"/>
          <w:highlight w:val="none"/>
          <w:lang w:val="en-US" w:eastAsia="zh-CN"/>
        </w:rPr>
      </w:pPr>
      <w:r>
        <w:rPr>
          <w:rFonts w:hint="eastAsia" w:ascii="Times New Roman" w:hAnsi="Times New Roman" w:eastAsia="宋体" w:cs="Courier New"/>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切边工序产生的边角料通过自动吸风的方式进入边料回收机，经边料回收机密闭</w:t>
      </w:r>
      <w:r>
        <w:rPr>
          <w:rFonts w:hint="eastAsia" w:cs="Times New Roman"/>
          <w:bCs/>
          <w:color w:val="auto"/>
          <w:sz w:val="24"/>
          <w:szCs w:val="24"/>
          <w:highlight w:val="none"/>
          <w:lang w:val="en-US" w:eastAsia="zh-CN"/>
        </w:rPr>
        <w:t>破</w:t>
      </w:r>
      <w:r>
        <w:rPr>
          <w:rFonts w:hint="eastAsia" w:ascii="Times New Roman" w:hAnsi="Times New Roman" w:eastAsia="宋体" w:cs="Times New Roman"/>
          <w:bCs/>
          <w:color w:val="auto"/>
          <w:sz w:val="24"/>
          <w:szCs w:val="24"/>
          <w:highlight w:val="none"/>
          <w:lang w:val="en-US" w:eastAsia="zh-CN"/>
        </w:rPr>
        <w:t>碎，边料回收机出口通过软管与挤出机</w:t>
      </w:r>
      <w:r>
        <w:rPr>
          <w:rFonts w:hint="eastAsia" w:cs="Times New Roman"/>
          <w:bCs/>
          <w:color w:val="auto"/>
          <w:sz w:val="24"/>
          <w:szCs w:val="24"/>
          <w:highlight w:val="none"/>
          <w:lang w:val="en-US" w:eastAsia="zh-CN"/>
        </w:rPr>
        <w:t>密闭</w:t>
      </w:r>
      <w:r>
        <w:rPr>
          <w:rFonts w:hint="eastAsia" w:ascii="Times New Roman" w:hAnsi="Times New Roman" w:eastAsia="宋体" w:cs="Times New Roman"/>
          <w:bCs/>
          <w:color w:val="auto"/>
          <w:sz w:val="24"/>
          <w:szCs w:val="24"/>
          <w:highlight w:val="none"/>
          <w:lang w:val="en-US" w:eastAsia="zh-CN"/>
        </w:rPr>
        <w:t>连接</w:t>
      </w:r>
      <w:r>
        <w:rPr>
          <w:rFonts w:hint="eastAsia" w:ascii="Times New Roman" w:hAnsi="Times New Roman" w:eastAsia="宋体" w:cs="Times New Roman"/>
          <w:bCs/>
          <w:color w:val="auto"/>
          <w:sz w:val="24"/>
          <w:szCs w:val="24"/>
          <w:highlight w:val="none"/>
          <w:lang w:val="en-US" w:eastAsia="zh-CN"/>
        </w:rPr>
        <w:t>，</w:t>
      </w:r>
      <w:r>
        <w:rPr>
          <w:rFonts w:hint="eastAsia" w:cs="Times New Roman"/>
          <w:bCs/>
          <w:color w:val="auto"/>
          <w:sz w:val="24"/>
          <w:szCs w:val="24"/>
          <w:highlight w:val="none"/>
          <w:lang w:val="en-US" w:eastAsia="zh-CN"/>
        </w:rPr>
        <w:t>破</w:t>
      </w:r>
      <w:r>
        <w:rPr>
          <w:rFonts w:hint="eastAsia" w:ascii="Times New Roman" w:hAnsi="Times New Roman" w:eastAsia="宋体" w:cs="Times New Roman"/>
          <w:bCs/>
          <w:color w:val="auto"/>
          <w:sz w:val="24"/>
          <w:szCs w:val="24"/>
          <w:highlight w:val="none"/>
          <w:lang w:val="en-US" w:eastAsia="zh-CN"/>
        </w:rPr>
        <w:t>碎后的回料通过自动吸风的方式进入挤出机回用到生产中。</w:t>
      </w:r>
    </w:p>
    <w:p w14:paraId="7DCAF94B">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kern w:val="0"/>
          <w:sz w:val="24"/>
          <w:szCs w:val="24"/>
          <w:highlight w:val="none"/>
        </w:rPr>
        <w:t>由于</w:t>
      </w:r>
      <w:r>
        <w:rPr>
          <w:rFonts w:hint="eastAsia" w:cs="Times New Roman"/>
          <w:color w:val="auto"/>
          <w:kern w:val="0"/>
          <w:sz w:val="24"/>
          <w:szCs w:val="24"/>
          <w:highlight w:val="none"/>
          <w:lang w:val="en-US" w:eastAsia="zh-CN"/>
        </w:rPr>
        <w:t>项目</w:t>
      </w:r>
      <w:r>
        <w:rPr>
          <w:rFonts w:hint="eastAsia" w:ascii="Times New Roman" w:hAnsi="Times New Roman" w:eastAsia="宋体" w:cs="Times New Roman"/>
          <w:color w:val="auto"/>
          <w:kern w:val="0"/>
          <w:sz w:val="24"/>
          <w:szCs w:val="24"/>
          <w:highlight w:val="none"/>
          <w:lang w:val="en-US" w:eastAsia="zh-CN"/>
        </w:rPr>
        <w:t>边料回收机</w:t>
      </w:r>
      <w:r>
        <w:rPr>
          <w:rFonts w:hint="eastAsia" w:ascii="Times New Roman" w:hAnsi="Times New Roman" w:eastAsia="宋体" w:cs="Times New Roman"/>
          <w:color w:val="auto"/>
          <w:kern w:val="0"/>
          <w:sz w:val="24"/>
          <w:szCs w:val="24"/>
          <w:highlight w:val="none"/>
        </w:rPr>
        <w:t>密闭性较好，</w:t>
      </w:r>
      <w:r>
        <w:rPr>
          <w:rFonts w:hint="eastAsia" w:cs="Times New Roman"/>
          <w:color w:val="auto"/>
          <w:kern w:val="0"/>
          <w:sz w:val="24"/>
          <w:szCs w:val="24"/>
          <w:highlight w:val="none"/>
          <w:lang w:val="en-US" w:eastAsia="zh-CN"/>
        </w:rPr>
        <w:t>且边角料破碎后粒径较大，</w:t>
      </w:r>
      <w:r>
        <w:rPr>
          <w:rFonts w:hint="eastAsia" w:ascii="Times New Roman" w:hAnsi="Times New Roman" w:eastAsia="宋体" w:cs="Times New Roman"/>
          <w:color w:val="auto"/>
          <w:kern w:val="0"/>
          <w:sz w:val="24"/>
          <w:szCs w:val="24"/>
          <w:highlight w:val="none"/>
        </w:rPr>
        <w:t>因此</w:t>
      </w:r>
      <w:r>
        <w:rPr>
          <w:rFonts w:hint="eastAsia" w:cs="Times New Roman"/>
          <w:color w:val="auto"/>
          <w:kern w:val="0"/>
          <w:sz w:val="24"/>
          <w:szCs w:val="24"/>
          <w:highlight w:val="none"/>
          <w:lang w:val="en-US" w:eastAsia="zh-CN"/>
        </w:rPr>
        <w:t>破</w:t>
      </w:r>
      <w:r>
        <w:rPr>
          <w:rFonts w:hint="eastAsia" w:ascii="Times New Roman" w:hAnsi="Times New Roman" w:eastAsia="宋体" w:cs="Times New Roman"/>
          <w:color w:val="auto"/>
          <w:kern w:val="0"/>
          <w:sz w:val="24"/>
          <w:szCs w:val="24"/>
          <w:highlight w:val="none"/>
        </w:rPr>
        <w:t>碎过程中粉尘产生量较少，</w:t>
      </w:r>
      <w:r>
        <w:rPr>
          <w:rFonts w:hint="eastAsia" w:ascii="Times New Roman" w:hAnsi="Times New Roman" w:eastAsia="宋体" w:cs="Times New Roman"/>
          <w:color w:val="auto"/>
          <w:kern w:val="0"/>
          <w:sz w:val="24"/>
          <w:szCs w:val="24"/>
          <w:highlight w:val="none"/>
        </w:rPr>
        <w:t>综上本次评价不对破碎粉尘进行定量分析。</w:t>
      </w:r>
    </w:p>
    <w:p w14:paraId="127C687A">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（3）熔融</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挤出废气</w:t>
      </w:r>
    </w:p>
    <w:p w14:paraId="157554D4">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使用PPA作为辅料，熔融、挤出工序会有少量的氨排放，由于本项目PPA用量较少，根据《合成树脂工业污染物排放标准》编制说明，氨主要是生产环节产生的，使用过程中产生量较微，经收集处理后排放，影响小，本次评价不对氨进行定量分析。</w:t>
      </w:r>
    </w:p>
    <w:p w14:paraId="300B88BE">
      <w:p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val="en-US" w:eastAsia="zh-CN"/>
        </w:rPr>
        <w:t>原料主要为</w:t>
      </w:r>
      <w:r>
        <w:rPr>
          <w:rFonts w:hint="default" w:ascii="Times New Roman" w:hAnsi="Times New Roman" w:eastAsia="宋体" w:cs="Times New Roman"/>
          <w:color w:val="auto"/>
          <w:sz w:val="24"/>
          <w:szCs w:val="24"/>
          <w:highlight w:val="none"/>
          <w:lang w:val="en-US" w:eastAsia="zh-CN"/>
        </w:rPr>
        <w:t>PE粒子，</w:t>
      </w:r>
      <w:r>
        <w:rPr>
          <w:rFonts w:hint="eastAsia" w:ascii="Times New Roman" w:hAnsi="Times New Roman" w:eastAsia="宋体" w:cs="Times New Roman"/>
          <w:color w:val="auto"/>
          <w:sz w:val="24"/>
          <w:szCs w:val="24"/>
          <w:highlight w:val="none"/>
          <w:lang w:val="en-US" w:eastAsia="zh-CN"/>
        </w:rPr>
        <w:t>PE粒子热</w:t>
      </w:r>
      <w:r>
        <w:rPr>
          <w:rFonts w:hint="eastAsia" w:ascii="Times New Roman" w:hAnsi="Times New Roman" w:eastAsia="宋体" w:cs="Times New Roman"/>
          <w:color w:val="auto"/>
          <w:sz w:val="24"/>
          <w:szCs w:val="24"/>
          <w:highlight w:val="none"/>
        </w:rPr>
        <w:t>分解温度</w:t>
      </w:r>
      <w:r>
        <w:rPr>
          <w:rFonts w:hint="eastAsia" w:ascii="Times New Roman" w:hAnsi="Times New Roman" w:eastAsia="宋体" w:cs="Times New Roman"/>
          <w:color w:val="auto"/>
          <w:sz w:val="24"/>
          <w:szCs w:val="24"/>
          <w:highlight w:val="none"/>
          <w:lang w:val="en-US" w:eastAsia="zh-CN"/>
        </w:rPr>
        <w:t>为</w:t>
      </w:r>
      <w:r>
        <w:rPr>
          <w:rFonts w:hint="eastAsia"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00</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以上，熔融、</w:t>
      </w:r>
      <w:r>
        <w:rPr>
          <w:rFonts w:hint="default" w:ascii="Times New Roman" w:hAnsi="Times New Roman" w:eastAsia="宋体" w:cs="Times New Roman"/>
          <w:color w:val="auto"/>
          <w:sz w:val="24"/>
          <w:szCs w:val="24"/>
          <w:highlight w:val="none"/>
        </w:rPr>
        <w:t>挤</w:t>
      </w:r>
      <w:r>
        <w:rPr>
          <w:rFonts w:hint="eastAsia" w:ascii="Times New Roman" w:hAnsi="Times New Roman" w:eastAsia="宋体" w:cs="Times New Roman"/>
          <w:color w:val="auto"/>
          <w:sz w:val="24"/>
          <w:szCs w:val="24"/>
          <w:highlight w:val="none"/>
        </w:rPr>
        <w:t>出工序温度控制在</w:t>
      </w:r>
      <w:r>
        <w:rPr>
          <w:rFonts w:hint="eastAsia" w:ascii="Times New Roman" w:hAnsi="Times New Roman" w:eastAsia="宋体" w:cs="Times New Roman"/>
          <w:color w:val="auto"/>
          <w:sz w:val="24"/>
          <w:szCs w:val="24"/>
          <w:highlight w:val="none"/>
          <w:lang w:val="en-US" w:eastAsia="zh-CN"/>
        </w:rPr>
        <w:t>140</w:t>
      </w:r>
      <w:r>
        <w:rPr>
          <w:rFonts w:hint="eastAsia"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0</w:t>
      </w:r>
      <w:r>
        <w:rPr>
          <w:rFonts w:hint="eastAsia" w:ascii="Times New Roman" w:hAnsi="Times New Roman" w:eastAsia="宋体" w:cs="Times New Roman"/>
          <w:color w:val="auto"/>
          <w:sz w:val="24"/>
          <w:szCs w:val="24"/>
          <w:highlight w:val="none"/>
        </w:rPr>
        <w:t>0</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，因此该过程中聚</w:t>
      </w:r>
      <w:r>
        <w:rPr>
          <w:rFonts w:hint="eastAsia" w:ascii="Times New Roman" w:hAnsi="Times New Roman" w:eastAsia="宋体" w:cs="Times New Roman"/>
          <w:color w:val="auto"/>
          <w:sz w:val="24"/>
          <w:szCs w:val="24"/>
          <w:highlight w:val="none"/>
          <w:lang w:val="en-US" w:eastAsia="zh-CN"/>
        </w:rPr>
        <w:t>乙</w:t>
      </w:r>
      <w:r>
        <w:rPr>
          <w:rFonts w:hint="eastAsia" w:ascii="Times New Roman" w:hAnsi="Times New Roman" w:eastAsia="宋体" w:cs="Times New Roman"/>
          <w:color w:val="auto"/>
          <w:sz w:val="24"/>
          <w:szCs w:val="24"/>
          <w:highlight w:val="none"/>
        </w:rPr>
        <w:t>烯不会分解，但由于温度的升高，会有少量的有机单体逸出（以非甲烷总烃计）。</w:t>
      </w:r>
    </w:p>
    <w:p w14:paraId="7B400B0D">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熔融</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挤出</w:t>
      </w:r>
      <w:r>
        <w:rPr>
          <w:rFonts w:hint="eastAsia" w:ascii="Times New Roman" w:hAnsi="Times New Roman" w:eastAsia="宋体" w:cs="Times New Roman"/>
          <w:color w:val="auto"/>
          <w:sz w:val="24"/>
          <w:szCs w:val="24"/>
          <w:highlight w:val="none"/>
          <w:lang w:eastAsia="zh-CN"/>
        </w:rPr>
        <w:t>过程</w:t>
      </w:r>
      <w:r>
        <w:rPr>
          <w:rFonts w:ascii="Times New Roman" w:hAnsi="Times New Roman" w:eastAsia="宋体" w:cs="Times New Roman"/>
          <w:color w:val="auto"/>
          <w:sz w:val="24"/>
          <w:szCs w:val="24"/>
          <w:highlight w:val="none"/>
        </w:rPr>
        <w:t>有机废气的排放参考《浙江省重点行业VOCs污染排放源排放量计算方法（1.1版）》中塑料布、膜、袋</w:t>
      </w:r>
      <w:r>
        <w:rPr>
          <w:rFonts w:hint="eastAsia" w:ascii="Times New Roman" w:hAnsi="Times New Roman" w:eastAsia="宋体" w:cs="Times New Roman"/>
          <w:color w:val="auto"/>
          <w:sz w:val="24"/>
          <w:szCs w:val="24"/>
          <w:highlight w:val="none"/>
          <w:lang w:val="en-US" w:eastAsia="zh-CN"/>
        </w:rPr>
        <w:t>等</w:t>
      </w:r>
      <w:r>
        <w:rPr>
          <w:rFonts w:ascii="Times New Roman" w:hAnsi="Times New Roman" w:eastAsia="宋体" w:cs="Times New Roman"/>
          <w:color w:val="auto"/>
          <w:sz w:val="24"/>
          <w:szCs w:val="24"/>
          <w:highlight w:val="none"/>
        </w:rPr>
        <w:t>制造工序的</w:t>
      </w:r>
      <w:r>
        <w:rPr>
          <w:rFonts w:hint="eastAsia" w:ascii="Times New Roman" w:hAnsi="Times New Roman" w:eastAsia="宋体" w:cs="Times New Roman"/>
          <w:color w:val="auto"/>
          <w:sz w:val="24"/>
          <w:szCs w:val="24"/>
          <w:highlight w:val="none"/>
          <w:lang w:eastAsia="zh-CN"/>
        </w:rPr>
        <w:t>产污</w:t>
      </w:r>
      <w:r>
        <w:rPr>
          <w:rFonts w:ascii="Times New Roman" w:hAnsi="Times New Roman" w:eastAsia="宋体" w:cs="Times New Roman"/>
          <w:color w:val="auto"/>
          <w:sz w:val="24"/>
          <w:szCs w:val="24"/>
          <w:highlight w:val="none"/>
        </w:rPr>
        <w:t>系数，详见下表。</w:t>
      </w:r>
    </w:p>
    <w:p w14:paraId="70D89939">
      <w:pPr>
        <w:pStyle w:val="20"/>
        <w:numPr>
          <w:ilvl w:val="0"/>
          <w:numId w:val="6"/>
        </w:numPr>
        <w:spacing w:before="156"/>
        <w:rPr>
          <w:rFonts w:hint="eastAsia" w:ascii="Times New Roman" w:hAnsi="Times New Roman" w:eastAsia="宋体" w:cs="Times New Roman"/>
          <w:b/>
          <w:bCs w:val="0"/>
          <w:color w:val="auto"/>
          <w:spacing w:val="0"/>
          <w:szCs w:val="21"/>
          <w:lang w:val="en-US"/>
        </w:rPr>
      </w:pPr>
      <w:r>
        <w:rPr>
          <w:rFonts w:hint="eastAsia" w:ascii="Times New Roman" w:hAnsi="Times New Roman" w:eastAsia="宋体" w:cs="Times New Roman"/>
          <w:b/>
          <w:bCs w:val="0"/>
          <w:color w:val="auto"/>
          <w:spacing w:val="0"/>
          <w:szCs w:val="21"/>
          <w:lang w:val="en-US"/>
        </w:rPr>
        <w:t>相关资料中产污系数</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80"/>
        <w:gridCol w:w="1148"/>
        <w:gridCol w:w="5788"/>
      </w:tblGrid>
      <w:tr w14:paraId="41CC2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1514" w:type="dxa"/>
            <w:noWrap w:val="0"/>
            <w:vAlign w:val="center"/>
          </w:tcPr>
          <w:p w14:paraId="36C7A631">
            <w:pPr>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污染物</w:t>
            </w:r>
          </w:p>
        </w:tc>
        <w:tc>
          <w:tcPr>
            <w:tcW w:w="1100" w:type="dxa"/>
            <w:noWrap w:val="0"/>
            <w:vAlign w:val="center"/>
          </w:tcPr>
          <w:p w14:paraId="18004C4E">
            <w:pPr>
              <w:jc w:val="center"/>
              <w:rPr>
                <w:rFonts w:ascii="Times New Roman" w:hAnsi="Times New Roman" w:eastAsia="宋体" w:cs="Times New Roman"/>
                <w:bCs/>
                <w:color w:val="auto"/>
                <w:sz w:val="21"/>
                <w:szCs w:val="21"/>
                <w:highlight w:val="none"/>
                <w:lang w:val="en-GB"/>
              </w:rPr>
            </w:pPr>
            <w:r>
              <w:rPr>
                <w:rFonts w:ascii="Times New Roman" w:hAnsi="Times New Roman" w:eastAsia="宋体" w:cs="Times New Roman"/>
                <w:bCs/>
                <w:color w:val="auto"/>
                <w:sz w:val="21"/>
                <w:szCs w:val="21"/>
                <w:highlight w:val="none"/>
                <w:lang w:val="en-GB"/>
              </w:rPr>
              <w:t>产污系数</w:t>
            </w:r>
          </w:p>
        </w:tc>
        <w:tc>
          <w:tcPr>
            <w:tcW w:w="5546" w:type="dxa"/>
            <w:noWrap w:val="0"/>
            <w:vAlign w:val="center"/>
          </w:tcPr>
          <w:p w14:paraId="394FF1E8">
            <w:pPr>
              <w:jc w:val="center"/>
              <w:rPr>
                <w:rFonts w:ascii="Times New Roman" w:hAnsi="Times New Roman" w:eastAsia="宋体" w:cs="Times New Roman"/>
                <w:bCs/>
                <w:color w:val="auto"/>
                <w:sz w:val="21"/>
                <w:szCs w:val="21"/>
                <w:highlight w:val="none"/>
                <w:lang w:val="en-GB"/>
              </w:rPr>
            </w:pPr>
            <w:r>
              <w:rPr>
                <w:rFonts w:ascii="Times New Roman" w:hAnsi="Times New Roman" w:eastAsia="宋体" w:cs="Times New Roman"/>
                <w:bCs/>
                <w:color w:val="auto"/>
                <w:sz w:val="21"/>
                <w:szCs w:val="21"/>
                <w:highlight w:val="none"/>
                <w:lang w:val="en-GB"/>
              </w:rPr>
              <w:t>产污系数资料来源</w:t>
            </w:r>
          </w:p>
        </w:tc>
      </w:tr>
      <w:tr w14:paraId="15F90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514" w:type="dxa"/>
            <w:noWrap w:val="0"/>
            <w:vAlign w:val="center"/>
          </w:tcPr>
          <w:p w14:paraId="68BAC2B1">
            <w:pPr>
              <w:jc w:val="cente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VOCs(kg/t原料)</w:t>
            </w:r>
          </w:p>
        </w:tc>
        <w:tc>
          <w:tcPr>
            <w:tcW w:w="1100" w:type="dxa"/>
            <w:noWrap w:val="0"/>
            <w:vAlign w:val="center"/>
          </w:tcPr>
          <w:p w14:paraId="6A4A8FB4">
            <w:pPr>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22</w:t>
            </w:r>
          </w:p>
        </w:tc>
        <w:tc>
          <w:tcPr>
            <w:tcW w:w="5546" w:type="dxa"/>
            <w:noWrap w:val="0"/>
            <w:vAlign w:val="center"/>
          </w:tcPr>
          <w:p w14:paraId="29324897">
            <w:pPr>
              <w:rPr>
                <w:rFonts w:ascii="Times New Roman" w:hAnsi="Times New Roman" w:eastAsia="宋体" w:cs="Times New Roman"/>
                <w:color w:val="auto"/>
                <w:sz w:val="21"/>
                <w:szCs w:val="21"/>
                <w:highlight w:val="none"/>
                <w:lang w:val="en-GB"/>
              </w:rPr>
            </w:pPr>
            <w:r>
              <w:rPr>
                <w:rFonts w:ascii="Times New Roman" w:hAnsi="Times New Roman" w:eastAsia="宋体" w:cs="Times New Roman"/>
                <w:color w:val="auto"/>
                <w:sz w:val="21"/>
                <w:szCs w:val="21"/>
                <w:highlight w:val="none"/>
                <w:lang w:val="en-GB"/>
              </w:rPr>
              <w:t>浙江省重点行业VOCs污染排放源排放量计算方法（1.1版）》塑料布、膜、袋</w:t>
            </w:r>
            <w:r>
              <w:rPr>
                <w:rFonts w:hint="eastAsia" w:ascii="Times New Roman" w:hAnsi="Times New Roman" w:eastAsia="宋体" w:cs="Times New Roman"/>
                <w:color w:val="auto"/>
                <w:sz w:val="21"/>
                <w:szCs w:val="21"/>
                <w:highlight w:val="none"/>
                <w:lang w:val="en-US" w:eastAsia="zh-CN"/>
              </w:rPr>
              <w:t>等</w:t>
            </w:r>
            <w:r>
              <w:rPr>
                <w:rFonts w:ascii="Times New Roman" w:hAnsi="Times New Roman" w:eastAsia="宋体" w:cs="Times New Roman"/>
                <w:color w:val="auto"/>
                <w:sz w:val="21"/>
                <w:szCs w:val="21"/>
                <w:highlight w:val="none"/>
                <w:lang w:val="en-GB"/>
              </w:rPr>
              <w:t>制造工序。</w:t>
            </w:r>
          </w:p>
        </w:tc>
      </w:tr>
    </w:tbl>
    <w:p w14:paraId="1B61D836">
      <w:pPr>
        <w:numPr>
          <w:ilvl w:val="0"/>
          <w:numId w:val="0"/>
        </w:numPr>
        <w:adjustRightInd w:val="0"/>
        <w:snapToGrid w:val="0"/>
        <w:spacing w:line="360" w:lineRule="auto"/>
        <w:ind w:left="0" w:firstLine="480" w:firstLineChars="200"/>
        <w:jc w:val="both"/>
        <w:rPr>
          <w:rFonts w:ascii="Times New Roman" w:hAnsi="Times New Roman" w:eastAsia="宋体" w:cs="Times New Roman"/>
          <w:b/>
          <w:bCs/>
          <w:color w:val="auto"/>
          <w:spacing w:val="-10"/>
          <w:sz w:val="24"/>
          <w:szCs w:val="24"/>
          <w:highlight w:val="none"/>
        </w:rPr>
      </w:pPr>
      <w:r>
        <w:rPr>
          <w:rFonts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val="en-US" w:eastAsia="zh-CN"/>
        </w:rPr>
        <w:t>塑料粒子</w:t>
      </w:r>
      <w:r>
        <w:rPr>
          <w:rFonts w:ascii="Times New Roman" w:hAnsi="Times New Roman" w:eastAsia="宋体" w:cs="Times New Roman"/>
          <w:color w:val="auto"/>
          <w:sz w:val="24"/>
          <w:szCs w:val="24"/>
          <w:highlight w:val="none"/>
        </w:rPr>
        <w:t>年用量为</w:t>
      </w:r>
      <w:r>
        <w:rPr>
          <w:rFonts w:hint="eastAsia" w:ascii="Times New Roman" w:hAnsi="Times New Roman" w:eastAsia="宋体" w:cs="Times New Roman"/>
          <w:color w:val="auto"/>
          <w:sz w:val="24"/>
          <w:szCs w:val="24"/>
          <w:highlight w:val="none"/>
          <w:lang w:val="en-US" w:eastAsia="zh-CN"/>
        </w:rPr>
        <w:t>10000</w:t>
      </w:r>
      <w:r>
        <w:rPr>
          <w:rFonts w:ascii="Times New Roman" w:hAnsi="Times New Roman" w:eastAsia="宋体" w:cs="Times New Roman"/>
          <w:color w:val="auto"/>
          <w:sz w:val="24"/>
          <w:szCs w:val="24"/>
          <w:highlight w:val="none"/>
        </w:rPr>
        <w:t>t/a，</w:t>
      </w:r>
      <w:r>
        <w:rPr>
          <w:rFonts w:hint="eastAsia" w:ascii="Times New Roman" w:hAnsi="Times New Roman" w:eastAsia="宋体" w:cs="Times New Roman"/>
          <w:color w:val="auto"/>
          <w:sz w:val="24"/>
          <w:szCs w:val="24"/>
          <w:highlight w:val="none"/>
        </w:rPr>
        <w:t>切边等工序会产生少量边角料，产生量约为原料用量的</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%，则</w:t>
      </w:r>
      <w:r>
        <w:rPr>
          <w:rFonts w:hint="eastAsia" w:ascii="Times New Roman" w:hAnsi="Times New Roman" w:eastAsia="宋体" w:cs="Times New Roman"/>
          <w:color w:val="auto"/>
          <w:sz w:val="24"/>
          <w:szCs w:val="24"/>
          <w:highlight w:val="none"/>
          <w:lang w:val="en-US" w:eastAsia="zh-CN"/>
        </w:rPr>
        <w:t>废</w:t>
      </w:r>
      <w:r>
        <w:rPr>
          <w:rFonts w:hint="eastAsia" w:ascii="Times New Roman" w:hAnsi="Times New Roman" w:eastAsia="宋体" w:cs="Times New Roman"/>
          <w:color w:val="auto"/>
          <w:sz w:val="24"/>
          <w:szCs w:val="24"/>
          <w:highlight w:val="none"/>
        </w:rPr>
        <w:t>边角料产生量约为</w:t>
      </w:r>
      <w:r>
        <w:rPr>
          <w:rFonts w:hint="eastAsia" w:ascii="Times New Roman" w:hAnsi="Times New Roman" w:eastAsia="宋体" w:cs="Times New Roman"/>
          <w:color w:val="auto"/>
          <w:sz w:val="24"/>
          <w:szCs w:val="24"/>
          <w:highlight w:val="none"/>
          <w:lang w:val="en-US" w:eastAsia="zh-CN"/>
        </w:rPr>
        <w:t>200</w:t>
      </w:r>
      <w:r>
        <w:rPr>
          <w:rFonts w:hint="eastAsia" w:ascii="Times New Roman" w:hAnsi="Times New Roman" w:eastAsia="宋体" w:cs="Times New Roman"/>
          <w:color w:val="auto"/>
          <w:sz w:val="24"/>
          <w:szCs w:val="24"/>
          <w:highlight w:val="none"/>
        </w:rPr>
        <w:t>t/a，</w:t>
      </w:r>
      <w:r>
        <w:rPr>
          <w:rFonts w:hint="eastAsia" w:ascii="Times New Roman" w:hAnsi="Times New Roman" w:eastAsia="宋体" w:cs="Times New Roman"/>
          <w:color w:val="auto"/>
          <w:sz w:val="24"/>
          <w:szCs w:val="24"/>
          <w:highlight w:val="none"/>
          <w:lang w:val="en-US" w:eastAsia="zh-CN"/>
        </w:rPr>
        <w:t>经边料回收机粉碎后</w:t>
      </w:r>
      <w:r>
        <w:rPr>
          <w:rFonts w:hint="eastAsia" w:ascii="Times New Roman" w:hAnsi="Times New Roman" w:eastAsia="宋体" w:cs="Times New Roman"/>
          <w:color w:val="auto"/>
          <w:sz w:val="24"/>
          <w:szCs w:val="24"/>
          <w:highlight w:val="none"/>
        </w:rPr>
        <w:t>回用于生产。</w:t>
      </w:r>
      <w:r>
        <w:rPr>
          <w:rFonts w:hint="eastAsia" w:ascii="Times New Roman" w:hAnsi="Times New Roman" w:eastAsia="宋体" w:cs="Times New Roman"/>
          <w:color w:val="auto"/>
          <w:sz w:val="24"/>
          <w:szCs w:val="24"/>
          <w:highlight w:val="none"/>
          <w:lang w:val="en-US" w:eastAsia="zh-CN"/>
        </w:rPr>
        <w:t>因此</w:t>
      </w:r>
      <w:r>
        <w:rPr>
          <w:rFonts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rPr>
        <w:t>熔融</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挤出</w:t>
      </w:r>
      <w:r>
        <w:rPr>
          <w:rFonts w:hint="eastAsia" w:ascii="Times New Roman" w:hAnsi="Times New Roman" w:eastAsia="宋体" w:cs="Times New Roman"/>
          <w:color w:val="auto"/>
          <w:sz w:val="24"/>
          <w:szCs w:val="24"/>
          <w:highlight w:val="none"/>
          <w:lang w:eastAsia="zh-CN"/>
        </w:rPr>
        <w:t>过程</w:t>
      </w:r>
      <w:r>
        <w:rPr>
          <w:rFonts w:hint="eastAsia" w:ascii="Times New Roman" w:hAnsi="Times New Roman" w:eastAsia="宋体" w:cs="Times New Roman"/>
          <w:color w:val="auto"/>
          <w:sz w:val="24"/>
          <w:szCs w:val="24"/>
          <w:highlight w:val="none"/>
          <w:lang w:val="en-US" w:eastAsia="zh-CN"/>
        </w:rPr>
        <w:t>原料（新料+回料）</w:t>
      </w:r>
      <w:r>
        <w:rPr>
          <w:rFonts w:hint="eastAsia" w:ascii="Times New Roman" w:hAnsi="Times New Roman" w:eastAsia="宋体" w:cs="Times New Roman"/>
          <w:color w:val="auto"/>
          <w:sz w:val="24"/>
          <w:szCs w:val="24"/>
          <w:highlight w:val="none"/>
          <w:lang w:eastAsia="zh-CN"/>
        </w:rPr>
        <w:t>年用量</w:t>
      </w:r>
      <w:r>
        <w:rPr>
          <w:rFonts w:hint="eastAsia" w:ascii="Times New Roman" w:hAnsi="Times New Roman" w:eastAsia="宋体" w:cs="Times New Roman"/>
          <w:color w:val="auto"/>
          <w:sz w:val="24"/>
          <w:szCs w:val="24"/>
          <w:highlight w:val="none"/>
          <w:lang w:val="en-US" w:eastAsia="zh-CN"/>
        </w:rPr>
        <w:t>约为10200</w:t>
      </w:r>
      <w:r>
        <w:rPr>
          <w:rFonts w:hint="eastAsia" w:ascii="Times New Roman" w:hAnsi="Times New Roman" w:eastAsia="宋体" w:cs="Times New Roman"/>
          <w:color w:val="auto"/>
          <w:sz w:val="24"/>
          <w:szCs w:val="24"/>
          <w:highlight w:val="none"/>
        </w:rPr>
        <w:t>t/a</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非甲烷总烃的产生量为</w:t>
      </w:r>
      <w:r>
        <w:rPr>
          <w:rFonts w:hint="eastAsia" w:ascii="Times New Roman" w:hAnsi="Times New Roman" w:eastAsia="宋体" w:cs="Times New Roman"/>
          <w:color w:val="auto"/>
          <w:sz w:val="24"/>
          <w:szCs w:val="24"/>
          <w:highlight w:val="none"/>
          <w:lang w:val="en-US" w:eastAsia="zh-CN"/>
        </w:rPr>
        <w:t>2.244</w:t>
      </w:r>
      <w:r>
        <w:rPr>
          <w:rFonts w:ascii="Times New Roman" w:hAnsi="Times New Roman" w:eastAsia="宋体" w:cs="Times New Roman"/>
          <w:color w:val="auto"/>
          <w:sz w:val="24"/>
          <w:szCs w:val="24"/>
          <w:highlight w:val="none"/>
        </w:rPr>
        <w:t>t/a。本项目单</w:t>
      </w:r>
      <w:r>
        <w:rPr>
          <w:rFonts w:hint="eastAsia" w:ascii="Times New Roman" w:hAnsi="Times New Roman" w:eastAsia="宋体" w:cs="Times New Roman"/>
          <w:color w:val="auto"/>
          <w:sz w:val="24"/>
          <w:szCs w:val="24"/>
          <w:highlight w:val="none"/>
          <w:lang w:val="en-US" w:eastAsia="zh-CN"/>
        </w:rPr>
        <w:t>条生产线最大生产能力</w:t>
      </w:r>
      <w:r>
        <w:rPr>
          <w:rFonts w:ascii="Times New Roman" w:hAnsi="Times New Roman" w:eastAsia="宋体" w:cs="Times New Roman"/>
          <w:color w:val="auto"/>
          <w:sz w:val="24"/>
          <w:szCs w:val="24"/>
          <w:highlight w:val="none"/>
        </w:rPr>
        <w:t>为</w:t>
      </w:r>
      <w:r>
        <w:rPr>
          <w:rFonts w:hint="eastAsia" w:ascii="Times New Roman" w:hAnsi="Times New Roman" w:eastAsia="宋体" w:cs="Times New Roman"/>
          <w:color w:val="auto"/>
          <w:sz w:val="24"/>
          <w:szCs w:val="24"/>
          <w:highlight w:val="none"/>
          <w:lang w:val="en-US" w:eastAsia="zh-CN"/>
        </w:rPr>
        <w:t>400</w:t>
      </w:r>
      <w:r>
        <w:rPr>
          <w:rFonts w:ascii="Times New Roman" w:hAnsi="Times New Roman" w:eastAsia="宋体" w:cs="Times New Roman"/>
          <w:color w:val="auto"/>
          <w:sz w:val="24"/>
          <w:szCs w:val="24"/>
          <w:highlight w:val="none"/>
        </w:rPr>
        <w:t>kg/h，则最大工况下的工作时间约为</w:t>
      </w:r>
      <w:r>
        <w:rPr>
          <w:rFonts w:hint="eastAsia" w:ascii="Times New Roman" w:hAnsi="Times New Roman" w:eastAsia="宋体" w:cs="Times New Roman"/>
          <w:color w:val="auto"/>
          <w:sz w:val="24"/>
          <w:szCs w:val="24"/>
          <w:highlight w:val="none"/>
          <w:lang w:val="en-US" w:eastAsia="zh-CN"/>
        </w:rPr>
        <w:t>6375</w:t>
      </w:r>
      <w:r>
        <w:rPr>
          <w:rFonts w:ascii="Times New Roman" w:hAnsi="Times New Roman" w:eastAsia="宋体" w:cs="Times New Roman"/>
          <w:color w:val="auto"/>
          <w:sz w:val="24"/>
          <w:szCs w:val="24"/>
          <w:highlight w:val="none"/>
        </w:rPr>
        <w:t>h，按最不利因素考虑</w:t>
      </w:r>
      <w:r>
        <w:rPr>
          <w:rFonts w:hint="eastAsia" w:ascii="Times New Roman" w:hAnsi="Times New Roman" w:eastAsia="宋体" w:cs="Times New Roman"/>
          <w:color w:val="auto"/>
          <w:sz w:val="24"/>
          <w:szCs w:val="24"/>
          <w:highlight w:val="none"/>
          <w:lang w:val="en-US" w:eastAsia="zh-CN"/>
        </w:rPr>
        <w:t>4</w:t>
      </w:r>
      <w:r>
        <w:rPr>
          <w:rFonts w:ascii="Times New Roman" w:hAnsi="Times New Roman" w:eastAsia="宋体" w:cs="Times New Roman"/>
          <w:color w:val="auto"/>
          <w:sz w:val="24"/>
          <w:szCs w:val="24"/>
          <w:highlight w:val="none"/>
        </w:rPr>
        <w:t>台</w:t>
      </w:r>
      <w:r>
        <w:rPr>
          <w:rFonts w:hint="eastAsia" w:ascii="Times New Roman" w:hAnsi="Times New Roman" w:eastAsia="宋体" w:cs="Times New Roman"/>
          <w:color w:val="auto"/>
          <w:sz w:val="24"/>
          <w:szCs w:val="24"/>
          <w:highlight w:val="none"/>
          <w:lang w:val="en-US" w:eastAsia="zh-CN"/>
        </w:rPr>
        <w:t>共挤吹膜机组</w:t>
      </w:r>
      <w:r>
        <w:rPr>
          <w:rFonts w:ascii="Times New Roman" w:hAnsi="Times New Roman" w:eastAsia="宋体" w:cs="Times New Roman"/>
          <w:color w:val="auto"/>
          <w:sz w:val="24"/>
          <w:szCs w:val="24"/>
          <w:highlight w:val="none"/>
        </w:rPr>
        <w:t>同时运行，本项目</w:t>
      </w:r>
      <w:r>
        <w:rPr>
          <w:rFonts w:hint="eastAsia" w:ascii="Times New Roman" w:hAnsi="Times New Roman" w:eastAsia="宋体" w:cs="Times New Roman"/>
          <w:color w:val="auto"/>
          <w:sz w:val="24"/>
          <w:szCs w:val="24"/>
          <w:highlight w:val="none"/>
          <w:lang w:val="en-US" w:eastAsia="zh-CN"/>
        </w:rPr>
        <w:t>熔融、挤出</w:t>
      </w:r>
      <w:r>
        <w:rPr>
          <w:rFonts w:ascii="Times New Roman" w:hAnsi="Times New Roman" w:eastAsia="宋体" w:cs="Times New Roman"/>
          <w:color w:val="auto"/>
          <w:sz w:val="24"/>
          <w:szCs w:val="24"/>
          <w:highlight w:val="none"/>
        </w:rPr>
        <w:t>废气产生情况见</w:t>
      </w:r>
      <w:r>
        <w:rPr>
          <w:rFonts w:hint="eastAsia" w:ascii="Times New Roman" w:hAnsi="Times New Roman" w:eastAsia="宋体" w:cs="Times New Roman"/>
          <w:color w:val="auto"/>
          <w:sz w:val="24"/>
          <w:szCs w:val="24"/>
          <w:highlight w:val="none"/>
          <w:lang w:val="en-US" w:eastAsia="zh-CN"/>
        </w:rPr>
        <w:t>下表</w:t>
      </w:r>
      <w:r>
        <w:rPr>
          <w:rFonts w:ascii="Times New Roman" w:hAnsi="Times New Roman" w:eastAsia="宋体" w:cs="Times New Roman"/>
          <w:color w:val="auto"/>
          <w:sz w:val="24"/>
          <w:szCs w:val="24"/>
          <w:highlight w:val="none"/>
        </w:rPr>
        <w:t>。</w:t>
      </w:r>
    </w:p>
    <w:p w14:paraId="4E8CF784">
      <w:pPr>
        <w:pStyle w:val="20"/>
        <w:numPr>
          <w:ilvl w:val="0"/>
          <w:numId w:val="6"/>
        </w:numPr>
        <w:spacing w:before="156"/>
        <w:rPr>
          <w:rFonts w:ascii="Times New Roman" w:hAnsi="Times New Roman" w:eastAsia="宋体" w:cs="Times New Roman"/>
          <w:b/>
          <w:bCs w:val="0"/>
          <w:color w:val="auto"/>
          <w:spacing w:val="0"/>
          <w:szCs w:val="21"/>
        </w:rPr>
      </w:pPr>
      <w:r>
        <w:rPr>
          <w:rFonts w:ascii="Times New Roman" w:hAnsi="Times New Roman" w:eastAsia="宋体" w:cs="Times New Roman"/>
          <w:b/>
          <w:bCs w:val="0"/>
          <w:color w:val="auto"/>
          <w:spacing w:val="0"/>
          <w:szCs w:val="21"/>
        </w:rPr>
        <w:t>项目</w:t>
      </w:r>
      <w:r>
        <w:rPr>
          <w:rFonts w:hint="default" w:ascii="Times New Roman" w:hAnsi="Times New Roman" w:eastAsia="宋体" w:cs="Times New Roman"/>
          <w:b/>
          <w:bCs w:val="0"/>
          <w:color w:val="auto"/>
          <w:spacing w:val="0"/>
          <w:szCs w:val="21"/>
          <w:lang w:val="en-US" w:eastAsia="zh-CN"/>
        </w:rPr>
        <w:t>熔融、挤出</w:t>
      </w:r>
      <w:r>
        <w:rPr>
          <w:rFonts w:ascii="Times New Roman" w:hAnsi="Times New Roman" w:eastAsia="宋体" w:cs="Times New Roman"/>
          <w:b/>
          <w:bCs w:val="0"/>
          <w:color w:val="auto"/>
          <w:spacing w:val="0"/>
          <w:szCs w:val="21"/>
        </w:rPr>
        <w:t>废气产生情况</w:t>
      </w:r>
    </w:p>
    <w:tbl>
      <w:tblPr>
        <w:tblStyle w:val="15"/>
        <w:tblW w:w="5000" w:type="pct"/>
        <w:jc w:val="center"/>
        <w:tblLayout w:type="fixed"/>
        <w:tblCellMar>
          <w:top w:w="0" w:type="dxa"/>
          <w:left w:w="108" w:type="dxa"/>
          <w:bottom w:w="0" w:type="dxa"/>
          <w:right w:w="108" w:type="dxa"/>
        </w:tblCellMar>
      </w:tblPr>
      <w:tblGrid>
        <w:gridCol w:w="1148"/>
        <w:gridCol w:w="883"/>
        <w:gridCol w:w="1023"/>
        <w:gridCol w:w="1057"/>
        <w:gridCol w:w="913"/>
        <w:gridCol w:w="996"/>
        <w:gridCol w:w="1248"/>
        <w:gridCol w:w="1248"/>
      </w:tblGrid>
      <w:tr w14:paraId="4397CC75">
        <w:tblPrEx>
          <w:tblCellMar>
            <w:top w:w="0" w:type="dxa"/>
            <w:left w:w="108" w:type="dxa"/>
            <w:bottom w:w="0" w:type="dxa"/>
            <w:right w:w="108" w:type="dxa"/>
          </w:tblCellMar>
        </w:tblPrEx>
        <w:trPr>
          <w:trHeight w:val="340" w:hRule="atLeast"/>
          <w:jc w:val="center"/>
        </w:trPr>
        <w:tc>
          <w:tcPr>
            <w:tcW w:w="673" w:type="pct"/>
            <w:tcBorders>
              <w:top w:val="single" w:color="auto" w:sz="4" w:space="0"/>
              <w:left w:val="single" w:color="auto" w:sz="4" w:space="0"/>
              <w:bottom w:val="single" w:color="auto" w:sz="4" w:space="0"/>
              <w:right w:val="single" w:color="auto" w:sz="4" w:space="0"/>
            </w:tcBorders>
            <w:noWrap w:val="0"/>
            <w:vAlign w:val="center"/>
          </w:tcPr>
          <w:p w14:paraId="29C084AA">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污染物</w:t>
            </w:r>
          </w:p>
        </w:tc>
        <w:tc>
          <w:tcPr>
            <w:tcW w:w="519" w:type="pct"/>
            <w:tcBorders>
              <w:top w:val="single" w:color="auto" w:sz="4" w:space="0"/>
              <w:left w:val="single" w:color="auto" w:sz="4" w:space="0"/>
              <w:bottom w:val="single" w:color="auto" w:sz="4" w:space="0"/>
              <w:right w:val="single" w:color="auto" w:sz="4" w:space="0"/>
            </w:tcBorders>
            <w:noWrap w:val="0"/>
            <w:vAlign w:val="center"/>
          </w:tcPr>
          <w:p w14:paraId="1C67CDE8">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原料年用量 (t/a)</w:t>
            </w:r>
          </w:p>
        </w:tc>
        <w:tc>
          <w:tcPr>
            <w:tcW w:w="600" w:type="pct"/>
            <w:tcBorders>
              <w:top w:val="single" w:color="auto" w:sz="4" w:space="0"/>
              <w:left w:val="single" w:color="auto" w:sz="4" w:space="0"/>
              <w:bottom w:val="single" w:color="auto" w:sz="4" w:space="0"/>
              <w:right w:val="single" w:color="auto" w:sz="4" w:space="0"/>
            </w:tcBorders>
            <w:noWrap w:val="0"/>
            <w:vAlign w:val="center"/>
          </w:tcPr>
          <w:p w14:paraId="70E46286">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最大</w:t>
            </w:r>
            <w:r>
              <w:rPr>
                <w:rFonts w:hint="eastAsia" w:ascii="Times New Roman" w:hAnsi="Times New Roman" w:eastAsia="宋体" w:cs="Times New Roman"/>
                <w:color w:val="auto"/>
                <w:kern w:val="0"/>
                <w:sz w:val="21"/>
                <w:szCs w:val="21"/>
                <w:highlight w:val="none"/>
                <w:lang w:val="en-US" w:eastAsia="zh-CN"/>
              </w:rPr>
              <w:t>生产能力</w:t>
            </w:r>
            <w:r>
              <w:rPr>
                <w:rFonts w:ascii="Times New Roman" w:hAnsi="Times New Roman" w:eastAsia="宋体" w:cs="Times New Roman"/>
                <w:color w:val="auto"/>
                <w:kern w:val="0"/>
                <w:sz w:val="21"/>
                <w:szCs w:val="21"/>
                <w:highlight w:val="none"/>
              </w:rPr>
              <w:t>(kg/h)</w:t>
            </w:r>
          </w:p>
        </w:tc>
        <w:tc>
          <w:tcPr>
            <w:tcW w:w="620" w:type="pct"/>
            <w:tcBorders>
              <w:top w:val="single" w:color="auto" w:sz="4" w:space="0"/>
              <w:left w:val="single" w:color="auto" w:sz="4" w:space="0"/>
              <w:bottom w:val="single" w:color="auto" w:sz="4" w:space="0"/>
              <w:right w:val="single" w:color="auto" w:sz="4" w:space="0"/>
            </w:tcBorders>
            <w:noWrap w:val="0"/>
            <w:vAlign w:val="center"/>
          </w:tcPr>
          <w:p w14:paraId="66568D02">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产污系数</w:t>
            </w:r>
          </w:p>
          <w:p w14:paraId="3D709E14">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(kg/t原料)</w:t>
            </w:r>
          </w:p>
        </w:tc>
        <w:tc>
          <w:tcPr>
            <w:tcW w:w="536" w:type="pct"/>
            <w:tcBorders>
              <w:top w:val="single" w:color="auto" w:sz="4" w:space="0"/>
              <w:left w:val="single" w:color="auto" w:sz="4" w:space="0"/>
              <w:bottom w:val="single" w:color="auto" w:sz="4" w:space="0"/>
              <w:right w:val="single" w:color="auto" w:sz="4" w:space="0"/>
            </w:tcBorders>
            <w:noWrap w:val="0"/>
            <w:vAlign w:val="center"/>
          </w:tcPr>
          <w:p w14:paraId="737DAD98">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产生量(t/a)</w:t>
            </w:r>
          </w:p>
        </w:tc>
        <w:tc>
          <w:tcPr>
            <w:tcW w:w="584" w:type="pct"/>
            <w:tcBorders>
              <w:top w:val="single" w:color="auto" w:sz="4" w:space="0"/>
              <w:left w:val="single" w:color="auto" w:sz="4" w:space="0"/>
              <w:bottom w:val="single" w:color="000000" w:sz="4" w:space="0"/>
              <w:right w:val="single" w:color="auto" w:sz="4" w:space="0"/>
            </w:tcBorders>
            <w:noWrap w:val="0"/>
            <w:vAlign w:val="center"/>
          </w:tcPr>
          <w:p w14:paraId="7C4A2E19">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最大产生速率(kg/h)</w:t>
            </w:r>
          </w:p>
        </w:tc>
        <w:tc>
          <w:tcPr>
            <w:tcW w:w="732" w:type="pct"/>
            <w:tcBorders>
              <w:top w:val="single" w:color="auto" w:sz="4" w:space="0"/>
              <w:left w:val="nil"/>
              <w:bottom w:val="single" w:color="auto" w:sz="4" w:space="0"/>
              <w:right w:val="single" w:color="auto" w:sz="4" w:space="0"/>
            </w:tcBorders>
            <w:noWrap w:val="0"/>
            <w:vAlign w:val="center"/>
          </w:tcPr>
          <w:p w14:paraId="118F63B4">
            <w:pPr>
              <w:widowControl/>
              <w:adjustRightInd w:val="0"/>
              <w:snapToGrid w:val="0"/>
              <w:spacing w:line="240" w:lineRule="atLeast"/>
              <w:jc w:val="center"/>
              <w:rPr>
                <w:rFonts w:hint="eastAsia" w:ascii="Times New Roman" w:hAnsi="Times New Roman" w:eastAsia="宋体" w:cs="Times New Roman"/>
                <w:color w:val="auto"/>
                <w:kern w:val="0"/>
                <w:sz w:val="21"/>
                <w:szCs w:val="21"/>
                <w:highlight w:val="none"/>
                <w:lang w:eastAsia="zh-CN"/>
              </w:rPr>
            </w:pPr>
            <w:r>
              <w:rPr>
                <w:rFonts w:ascii="Times New Roman" w:hAnsi="Times New Roman" w:eastAsia="宋体" w:cs="Times New Roman"/>
                <w:color w:val="auto"/>
                <w:kern w:val="0"/>
                <w:sz w:val="21"/>
                <w:szCs w:val="21"/>
                <w:highlight w:val="none"/>
              </w:rPr>
              <w:t>最大工况下</w:t>
            </w:r>
            <w:r>
              <w:rPr>
                <w:rFonts w:hint="eastAsia" w:ascii="Times New Roman" w:hAnsi="Times New Roman" w:eastAsia="宋体" w:cs="Times New Roman"/>
                <w:color w:val="auto"/>
                <w:kern w:val="0"/>
                <w:sz w:val="21"/>
                <w:szCs w:val="21"/>
                <w:highlight w:val="none"/>
                <w:lang w:val="en-US" w:eastAsia="zh-CN"/>
              </w:rPr>
              <w:t>年</w:t>
            </w:r>
            <w:r>
              <w:rPr>
                <w:rFonts w:ascii="Times New Roman" w:hAnsi="Times New Roman" w:eastAsia="宋体" w:cs="Times New Roman"/>
                <w:color w:val="auto"/>
                <w:kern w:val="0"/>
                <w:sz w:val="21"/>
                <w:szCs w:val="21"/>
                <w:highlight w:val="none"/>
              </w:rPr>
              <w:t>工作时间</w:t>
            </w:r>
            <w:r>
              <w:rPr>
                <w:rFonts w:hint="eastAsia" w:ascii="Times New Roman" w:hAnsi="Times New Roman" w:eastAsia="宋体" w:cs="Times New Roman"/>
                <w:color w:val="auto"/>
                <w:kern w:val="0"/>
                <w:sz w:val="21"/>
                <w:szCs w:val="21"/>
                <w:highlight w:val="none"/>
                <w:lang w:eastAsia="zh-CN"/>
              </w:rPr>
              <w:t>（</w:t>
            </w:r>
            <w:r>
              <w:rPr>
                <w:rFonts w:hint="eastAsia" w:ascii="Times New Roman" w:hAnsi="Times New Roman" w:eastAsia="宋体" w:cs="Times New Roman"/>
                <w:color w:val="auto"/>
                <w:kern w:val="0"/>
                <w:sz w:val="21"/>
                <w:szCs w:val="21"/>
                <w:highlight w:val="none"/>
                <w:lang w:val="en-US" w:eastAsia="zh-CN"/>
              </w:rPr>
              <w:t>h</w:t>
            </w:r>
            <w:r>
              <w:rPr>
                <w:rFonts w:hint="eastAsia" w:ascii="Times New Roman" w:hAnsi="Times New Roman" w:eastAsia="宋体" w:cs="Times New Roman"/>
                <w:color w:val="auto"/>
                <w:kern w:val="0"/>
                <w:sz w:val="21"/>
                <w:szCs w:val="21"/>
                <w:highlight w:val="none"/>
                <w:lang w:eastAsia="zh-CN"/>
              </w:rPr>
              <w:t>）</w:t>
            </w:r>
          </w:p>
        </w:tc>
        <w:tc>
          <w:tcPr>
            <w:tcW w:w="732" w:type="pct"/>
            <w:tcBorders>
              <w:top w:val="single" w:color="auto" w:sz="4" w:space="0"/>
              <w:left w:val="nil"/>
              <w:bottom w:val="single" w:color="auto" w:sz="4" w:space="0"/>
              <w:right w:val="single" w:color="auto" w:sz="4" w:space="0"/>
            </w:tcBorders>
            <w:shd w:val="clear" w:color="auto" w:fill="auto"/>
            <w:noWrap w:val="0"/>
            <w:vAlign w:val="center"/>
          </w:tcPr>
          <w:p w14:paraId="5C06A2F4">
            <w:pPr>
              <w:widowControl/>
              <w:adjustRightInd w:val="0"/>
              <w:snapToGrid w:val="0"/>
              <w:spacing w:line="240" w:lineRule="atLeast"/>
              <w:jc w:val="center"/>
              <w:rPr>
                <w:rFonts w:ascii="Times New Roman" w:hAnsi="Times New Roman" w:eastAsia="宋体" w:cs="Times New Roman"/>
                <w:color w:val="auto"/>
                <w:kern w:val="0"/>
                <w:sz w:val="21"/>
                <w:szCs w:val="21"/>
                <w:highlight w:val="none"/>
                <w:lang w:val="en-US" w:eastAsia="zh-CN" w:bidi="ar-SA"/>
              </w:rPr>
            </w:pPr>
            <w:r>
              <w:rPr>
                <w:rFonts w:ascii="Times New Roman" w:hAnsi="Times New Roman" w:eastAsia="宋体" w:cs="Times New Roman"/>
                <w:color w:val="auto"/>
                <w:kern w:val="0"/>
                <w:sz w:val="21"/>
                <w:szCs w:val="21"/>
                <w:highlight w:val="none"/>
              </w:rPr>
              <w:t>备注</w:t>
            </w:r>
          </w:p>
        </w:tc>
      </w:tr>
      <w:tr w14:paraId="25F59AE1">
        <w:tblPrEx>
          <w:tblCellMar>
            <w:top w:w="0" w:type="dxa"/>
            <w:left w:w="108" w:type="dxa"/>
            <w:bottom w:w="0" w:type="dxa"/>
            <w:right w:w="108" w:type="dxa"/>
          </w:tblCellMar>
        </w:tblPrEx>
        <w:trPr>
          <w:trHeight w:val="340" w:hRule="atLeast"/>
          <w:jc w:val="center"/>
        </w:trPr>
        <w:tc>
          <w:tcPr>
            <w:tcW w:w="673" w:type="pct"/>
            <w:tcBorders>
              <w:top w:val="nil"/>
              <w:left w:val="single" w:color="auto" w:sz="4" w:space="0"/>
              <w:bottom w:val="single" w:color="auto" w:sz="4" w:space="0"/>
              <w:right w:val="single" w:color="auto" w:sz="4" w:space="0"/>
            </w:tcBorders>
            <w:noWrap w:val="0"/>
            <w:vAlign w:val="center"/>
          </w:tcPr>
          <w:p w14:paraId="36E52DDD">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非甲烷总烃</w:t>
            </w:r>
          </w:p>
        </w:tc>
        <w:tc>
          <w:tcPr>
            <w:tcW w:w="519" w:type="pct"/>
            <w:tcBorders>
              <w:top w:val="nil"/>
              <w:left w:val="nil"/>
              <w:bottom w:val="single" w:color="auto" w:sz="4" w:space="0"/>
              <w:right w:val="single" w:color="auto" w:sz="4" w:space="0"/>
            </w:tcBorders>
            <w:noWrap w:val="0"/>
            <w:vAlign w:val="center"/>
          </w:tcPr>
          <w:p w14:paraId="2AA079FA">
            <w:pPr>
              <w:widowControl/>
              <w:adjustRightInd w:val="0"/>
              <w:snapToGrid w:val="0"/>
              <w:spacing w:line="240" w:lineRule="atLeast"/>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10200</w:t>
            </w:r>
          </w:p>
        </w:tc>
        <w:tc>
          <w:tcPr>
            <w:tcW w:w="600" w:type="pct"/>
            <w:tcBorders>
              <w:top w:val="nil"/>
              <w:left w:val="nil"/>
              <w:bottom w:val="single" w:color="auto" w:sz="4" w:space="0"/>
              <w:right w:val="single" w:color="auto" w:sz="4" w:space="0"/>
            </w:tcBorders>
            <w:noWrap w:val="0"/>
            <w:vAlign w:val="center"/>
          </w:tcPr>
          <w:p w14:paraId="5C522363">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color w:val="auto"/>
                <w:kern w:val="0"/>
                <w:sz w:val="21"/>
                <w:szCs w:val="21"/>
                <w:highlight w:val="none"/>
                <w:lang w:val="en-US" w:eastAsia="zh-CN"/>
              </w:rPr>
              <w:t>44</w:t>
            </w:r>
            <w:r>
              <w:rPr>
                <w:rFonts w:ascii="Times New Roman" w:hAnsi="Times New Roman" w:eastAsia="宋体" w:cs="Times New Roman"/>
                <w:color w:val="auto"/>
                <w:kern w:val="0"/>
                <w:sz w:val="21"/>
                <w:szCs w:val="21"/>
                <w:highlight w:val="none"/>
              </w:rPr>
              <w:t>0</w:t>
            </w:r>
          </w:p>
        </w:tc>
        <w:tc>
          <w:tcPr>
            <w:tcW w:w="620" w:type="pct"/>
            <w:tcBorders>
              <w:top w:val="nil"/>
              <w:left w:val="nil"/>
              <w:bottom w:val="single" w:color="auto" w:sz="4" w:space="0"/>
              <w:right w:val="single" w:color="auto" w:sz="4" w:space="0"/>
            </w:tcBorders>
            <w:noWrap w:val="0"/>
            <w:vAlign w:val="center"/>
          </w:tcPr>
          <w:p w14:paraId="1B948C3B">
            <w:pPr>
              <w:widowControl/>
              <w:adjustRightInd w:val="0"/>
              <w:snapToGrid w:val="0"/>
              <w:spacing w:line="240" w:lineRule="atLeast"/>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0.22</w:t>
            </w:r>
          </w:p>
        </w:tc>
        <w:tc>
          <w:tcPr>
            <w:tcW w:w="536" w:type="pct"/>
            <w:tcBorders>
              <w:top w:val="nil"/>
              <w:left w:val="nil"/>
              <w:bottom w:val="single" w:color="auto" w:sz="4" w:space="0"/>
              <w:right w:val="single" w:color="auto" w:sz="4" w:space="0"/>
            </w:tcBorders>
            <w:noWrap w:val="0"/>
            <w:vAlign w:val="center"/>
          </w:tcPr>
          <w:p w14:paraId="3BAF486A">
            <w:pPr>
              <w:widowControl/>
              <w:jc w:val="center"/>
              <w:rPr>
                <w:rFonts w:hint="default" w:ascii="Times New Roman" w:hAnsi="Times New Roman" w:eastAsia="等线" w:cs="Times New Roman"/>
                <w:color w:val="auto"/>
                <w:kern w:val="0"/>
                <w:sz w:val="21"/>
                <w:szCs w:val="21"/>
                <w:highlight w:val="none"/>
                <w:lang w:val="en-US" w:eastAsia="zh-CN"/>
              </w:rPr>
            </w:pPr>
            <w:r>
              <w:rPr>
                <w:rFonts w:hint="eastAsia" w:ascii="Times New Roman" w:hAnsi="Times New Roman" w:eastAsia="等线" w:cs="Times New Roman"/>
                <w:color w:val="auto"/>
                <w:sz w:val="21"/>
                <w:szCs w:val="21"/>
                <w:highlight w:val="none"/>
                <w:lang w:val="en-US" w:eastAsia="zh-CN"/>
              </w:rPr>
              <w:t>2.244</w:t>
            </w:r>
          </w:p>
        </w:tc>
        <w:tc>
          <w:tcPr>
            <w:tcW w:w="584" w:type="pct"/>
            <w:tcBorders>
              <w:top w:val="nil"/>
              <w:left w:val="nil"/>
              <w:bottom w:val="single" w:color="auto" w:sz="4" w:space="0"/>
              <w:right w:val="single" w:color="auto" w:sz="4" w:space="0"/>
            </w:tcBorders>
            <w:noWrap/>
            <w:vAlign w:val="center"/>
          </w:tcPr>
          <w:p w14:paraId="4B5ED53C">
            <w:pPr>
              <w:jc w:val="center"/>
              <w:rPr>
                <w:rFonts w:hint="default" w:ascii="Times New Roman" w:hAnsi="Times New Roman" w:eastAsia="等线" w:cs="Times New Roman"/>
                <w:color w:val="auto"/>
                <w:sz w:val="21"/>
                <w:szCs w:val="21"/>
                <w:highlight w:val="none"/>
                <w:lang w:val="en-US" w:eastAsia="zh-CN"/>
              </w:rPr>
            </w:pPr>
            <w:r>
              <w:rPr>
                <w:rFonts w:hint="eastAsia" w:ascii="Times New Roman" w:hAnsi="Times New Roman" w:eastAsia="等线" w:cs="Times New Roman"/>
                <w:color w:val="auto"/>
                <w:sz w:val="21"/>
                <w:szCs w:val="21"/>
                <w:highlight w:val="none"/>
                <w:lang w:val="en-US" w:eastAsia="zh-CN"/>
              </w:rPr>
              <w:t>0.485</w:t>
            </w:r>
          </w:p>
        </w:tc>
        <w:tc>
          <w:tcPr>
            <w:tcW w:w="732" w:type="pct"/>
            <w:tcBorders>
              <w:top w:val="nil"/>
              <w:left w:val="nil"/>
              <w:bottom w:val="single" w:color="auto" w:sz="4" w:space="0"/>
              <w:right w:val="single" w:color="auto" w:sz="4" w:space="0"/>
            </w:tcBorders>
            <w:noWrap/>
            <w:vAlign w:val="center"/>
          </w:tcPr>
          <w:p w14:paraId="05DEDE59">
            <w:pPr>
              <w:widowControl/>
              <w:adjustRightInd w:val="0"/>
              <w:snapToGrid w:val="0"/>
              <w:spacing w:line="240" w:lineRule="atLeast"/>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6375</w:t>
            </w:r>
          </w:p>
        </w:tc>
        <w:tc>
          <w:tcPr>
            <w:tcW w:w="732" w:type="pct"/>
            <w:tcBorders>
              <w:top w:val="nil"/>
              <w:left w:val="nil"/>
              <w:bottom w:val="single" w:color="auto" w:sz="4" w:space="0"/>
              <w:right w:val="single" w:color="auto" w:sz="4" w:space="0"/>
            </w:tcBorders>
            <w:shd w:val="clear" w:color="auto" w:fill="auto"/>
            <w:noWrap/>
            <w:vAlign w:val="center"/>
          </w:tcPr>
          <w:p w14:paraId="42518171">
            <w:pPr>
              <w:widowControl/>
              <w:adjustRightInd w:val="0"/>
              <w:snapToGrid w:val="0"/>
              <w:spacing w:line="240" w:lineRule="atLeast"/>
              <w:jc w:val="center"/>
              <w:rPr>
                <w:rFonts w:hint="eastAsia"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4</w:t>
            </w:r>
            <w:r>
              <w:rPr>
                <w:rFonts w:ascii="Times New Roman" w:hAnsi="Times New Roman" w:eastAsia="宋体" w:cs="Times New Roman"/>
                <w:color w:val="auto"/>
                <w:kern w:val="0"/>
                <w:sz w:val="21"/>
                <w:szCs w:val="21"/>
                <w:highlight w:val="none"/>
              </w:rPr>
              <w:t>台</w:t>
            </w:r>
            <w:r>
              <w:rPr>
                <w:rFonts w:hint="eastAsia" w:ascii="Times New Roman" w:hAnsi="Times New Roman" w:eastAsia="宋体" w:cs="Times New Roman"/>
                <w:color w:val="auto"/>
                <w:kern w:val="0"/>
                <w:sz w:val="21"/>
                <w:szCs w:val="21"/>
                <w:highlight w:val="none"/>
                <w:lang w:val="en-US" w:eastAsia="zh-CN"/>
              </w:rPr>
              <w:t>共挤吹膜机组</w:t>
            </w:r>
          </w:p>
        </w:tc>
      </w:tr>
      <w:tr w14:paraId="25ABF1C1">
        <w:tblPrEx>
          <w:tblCellMar>
            <w:top w:w="0" w:type="dxa"/>
            <w:left w:w="108" w:type="dxa"/>
            <w:bottom w:w="0" w:type="dxa"/>
            <w:right w:w="108" w:type="dxa"/>
          </w:tblCellMar>
        </w:tblPrEx>
        <w:trPr>
          <w:trHeight w:val="340" w:hRule="atLeast"/>
          <w:jc w:val="center"/>
        </w:trPr>
        <w:tc>
          <w:tcPr>
            <w:tcW w:w="5000" w:type="pct"/>
            <w:gridSpan w:val="8"/>
            <w:tcBorders>
              <w:top w:val="single" w:color="auto" w:sz="4" w:space="0"/>
              <w:left w:val="single" w:color="auto" w:sz="4" w:space="0"/>
              <w:bottom w:val="single" w:color="auto" w:sz="4" w:space="0"/>
              <w:right w:val="single" w:color="000000" w:sz="4" w:space="0"/>
            </w:tcBorders>
            <w:noWrap w:val="0"/>
            <w:vAlign w:val="center"/>
          </w:tcPr>
          <w:p w14:paraId="6ADCE490">
            <w:pPr>
              <w:widowControl/>
              <w:adjustRightInd w:val="0"/>
              <w:snapToGrid w:val="0"/>
              <w:spacing w:line="240" w:lineRule="atLeast"/>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kern w:val="0"/>
                <w:sz w:val="21"/>
                <w:szCs w:val="21"/>
                <w:highlight w:val="none"/>
              </w:rPr>
              <w:t>注：</w:t>
            </w:r>
            <w:r>
              <w:rPr>
                <w:rFonts w:hint="eastAsia" w:ascii="宋体" w:hAnsi="宋体" w:eastAsia="宋体" w:cs="宋体"/>
                <w:color w:val="auto"/>
                <w:kern w:val="0"/>
                <w:sz w:val="21"/>
                <w:szCs w:val="21"/>
                <w:highlight w:val="none"/>
              </w:rPr>
              <w:t>①</w:t>
            </w:r>
            <w:r>
              <w:rPr>
                <w:rFonts w:ascii="Times New Roman" w:hAnsi="Times New Roman" w:eastAsia="宋体" w:cs="Times New Roman"/>
                <w:color w:val="auto"/>
                <w:kern w:val="0"/>
                <w:sz w:val="21"/>
                <w:szCs w:val="21"/>
                <w:highlight w:val="none"/>
              </w:rPr>
              <w:t>根据原料年用量和最大</w:t>
            </w:r>
            <w:r>
              <w:rPr>
                <w:rFonts w:hint="eastAsia" w:ascii="Times New Roman" w:hAnsi="Times New Roman" w:eastAsia="宋体" w:cs="Times New Roman"/>
                <w:color w:val="auto"/>
                <w:kern w:val="0"/>
                <w:sz w:val="21"/>
                <w:szCs w:val="21"/>
                <w:highlight w:val="none"/>
                <w:lang w:val="en-US" w:eastAsia="zh-CN"/>
              </w:rPr>
              <w:t>生产能力</w:t>
            </w:r>
            <w:r>
              <w:rPr>
                <w:rFonts w:ascii="Times New Roman" w:hAnsi="Times New Roman" w:eastAsia="宋体" w:cs="Times New Roman"/>
                <w:color w:val="auto"/>
                <w:kern w:val="0"/>
                <w:sz w:val="21"/>
                <w:szCs w:val="21"/>
                <w:highlight w:val="none"/>
              </w:rPr>
              <w:t>核算，最大工况下的工作时间</w:t>
            </w:r>
            <w:r>
              <w:rPr>
                <w:rFonts w:hint="eastAsia" w:ascii="Times New Roman" w:hAnsi="Times New Roman" w:eastAsia="宋体" w:cs="Times New Roman"/>
                <w:color w:val="auto"/>
                <w:kern w:val="0"/>
                <w:sz w:val="21"/>
                <w:szCs w:val="21"/>
                <w:highlight w:val="none"/>
                <w:lang w:val="en-US" w:eastAsia="zh-CN"/>
              </w:rPr>
              <w:t>约</w:t>
            </w:r>
            <w:r>
              <w:rPr>
                <w:rFonts w:ascii="Times New Roman" w:hAnsi="Times New Roman" w:eastAsia="宋体" w:cs="Times New Roman"/>
                <w:color w:val="auto"/>
                <w:kern w:val="0"/>
                <w:sz w:val="21"/>
                <w:szCs w:val="21"/>
                <w:highlight w:val="none"/>
              </w:rPr>
              <w:t>为</w:t>
            </w:r>
            <w:r>
              <w:rPr>
                <w:rFonts w:hint="eastAsia" w:ascii="Times New Roman" w:hAnsi="Times New Roman" w:eastAsia="宋体" w:cs="Times New Roman"/>
                <w:color w:val="auto"/>
                <w:kern w:val="0"/>
                <w:sz w:val="21"/>
                <w:szCs w:val="21"/>
                <w:highlight w:val="none"/>
                <w:lang w:val="en-US" w:eastAsia="zh-CN"/>
              </w:rPr>
              <w:t>6375</w:t>
            </w:r>
            <w:r>
              <w:rPr>
                <w:rFonts w:ascii="Times New Roman" w:hAnsi="Times New Roman" w:eastAsia="宋体" w:cs="Times New Roman"/>
                <w:color w:val="auto"/>
                <w:kern w:val="0"/>
                <w:sz w:val="21"/>
                <w:szCs w:val="21"/>
                <w:highlight w:val="none"/>
              </w:rPr>
              <w:t xml:space="preserve">h。 </w:t>
            </w:r>
          </w:p>
        </w:tc>
      </w:tr>
    </w:tbl>
    <w:p w14:paraId="6DE5C125">
      <w:pPr>
        <w:numPr>
          <w:ilvl w:val="255"/>
          <w:numId w:val="0"/>
        </w:num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rPr>
        <w:t>共挤吹膜机组</w:t>
      </w:r>
      <w:r>
        <w:rPr>
          <w:rFonts w:ascii="Times New Roman" w:hAnsi="Times New Roman" w:eastAsia="宋体" w:cs="Times New Roman"/>
          <w:color w:val="auto"/>
          <w:sz w:val="24"/>
          <w:szCs w:val="24"/>
          <w:highlight w:val="none"/>
        </w:rPr>
        <w:t>内熔融过程全密闭，</w:t>
      </w:r>
      <w:r>
        <w:rPr>
          <w:rFonts w:hint="eastAsia" w:ascii="Times New Roman" w:hAnsi="Times New Roman" w:eastAsia="宋体" w:cs="Times New Roman"/>
          <w:color w:val="auto"/>
          <w:sz w:val="24"/>
          <w:szCs w:val="24"/>
          <w:highlight w:val="none"/>
          <w:lang w:val="en-US" w:eastAsia="zh-CN"/>
        </w:rPr>
        <w:t>企业拟</w:t>
      </w:r>
      <w:r>
        <w:rPr>
          <w:rFonts w:ascii="Times New Roman" w:hAnsi="Times New Roman" w:eastAsia="宋体" w:cs="Times New Roman"/>
          <w:color w:val="auto"/>
          <w:sz w:val="24"/>
          <w:szCs w:val="24"/>
          <w:highlight w:val="none"/>
        </w:rPr>
        <w:t>在</w:t>
      </w:r>
      <w:r>
        <w:rPr>
          <w:rFonts w:hint="eastAsia" w:ascii="Times New Roman" w:hAnsi="Times New Roman" w:eastAsia="宋体" w:cs="Times New Roman"/>
          <w:color w:val="auto"/>
          <w:sz w:val="24"/>
          <w:szCs w:val="24"/>
          <w:highlight w:val="none"/>
          <w:lang w:val="en-US" w:eastAsia="zh-CN"/>
        </w:rPr>
        <w:t>每台</w:t>
      </w:r>
      <w:r>
        <w:rPr>
          <w:rFonts w:hint="eastAsia" w:ascii="Times New Roman" w:hAnsi="Times New Roman" w:eastAsia="宋体" w:cs="Times New Roman"/>
          <w:color w:val="auto"/>
          <w:sz w:val="24"/>
          <w:szCs w:val="24"/>
          <w:highlight w:val="none"/>
        </w:rPr>
        <w:t>共挤吹膜机组挤出</w:t>
      </w:r>
      <w:r>
        <w:rPr>
          <w:rFonts w:ascii="Times New Roman" w:hAnsi="Times New Roman" w:eastAsia="宋体" w:cs="Times New Roman"/>
          <w:color w:val="auto"/>
          <w:sz w:val="24"/>
          <w:szCs w:val="24"/>
          <w:highlight w:val="none"/>
        </w:rPr>
        <w:t>模头上方设置集气罩，集气罩设置垂帘，单个集气罩集气面积约为</w:t>
      </w:r>
      <w:r>
        <w:rPr>
          <w:rFonts w:hint="eastAsia" w:ascii="Times New Roman" w:hAnsi="Times New Roman" w:eastAsia="宋体" w:cs="Times New Roman"/>
          <w:color w:val="auto"/>
          <w:sz w:val="24"/>
          <w:szCs w:val="24"/>
          <w:highlight w:val="none"/>
          <w:lang w:val="en-US" w:eastAsia="zh-CN"/>
        </w:rPr>
        <w:t>3.6</w:t>
      </w:r>
      <w:r>
        <w:rPr>
          <w:rFonts w:ascii="Times New Roman" w:hAnsi="Times New Roman" w:eastAsia="宋体" w:cs="Times New Roman"/>
          <w:color w:val="auto"/>
          <w:sz w:val="24"/>
          <w:szCs w:val="24"/>
          <w:highlight w:val="none"/>
        </w:rPr>
        <w:t>m</w:t>
      </w:r>
      <w:r>
        <w:rPr>
          <w:rFonts w:ascii="Times New Roman" w:hAnsi="Times New Roman" w:eastAsia="宋体" w:cs="Times New Roman"/>
          <w:color w:val="auto"/>
          <w:sz w:val="24"/>
          <w:szCs w:val="24"/>
          <w:highlight w:val="none"/>
          <w:vertAlign w:val="superscript"/>
        </w:rPr>
        <w:t>2</w:t>
      </w:r>
      <w:r>
        <w:rPr>
          <w:rFonts w:ascii="Times New Roman" w:hAnsi="Times New Roman" w:eastAsia="宋体" w:cs="Times New Roman"/>
          <w:color w:val="auto"/>
          <w:sz w:val="24"/>
          <w:szCs w:val="24"/>
          <w:highlight w:val="none"/>
        </w:rPr>
        <w:t>（集气罩尺寸2.</w:t>
      </w:r>
      <w:r>
        <w:rPr>
          <w:rFonts w:hint="eastAsia" w:ascii="Times New Roman" w:hAnsi="Times New Roman" w:eastAsia="宋体" w:cs="Times New Roman"/>
          <w:color w:val="auto"/>
          <w:sz w:val="24"/>
          <w:szCs w:val="24"/>
          <w:highlight w:val="none"/>
          <w:lang w:val="en-US" w:eastAsia="zh-CN"/>
        </w:rPr>
        <w:t>4</w:t>
      </w:r>
      <w:r>
        <w:rPr>
          <w:rFonts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lang w:val="en-US" w:eastAsia="zh-CN"/>
        </w:rPr>
        <w:t>1.5</w:t>
      </w:r>
      <w:r>
        <w:rPr>
          <w:rFonts w:ascii="Times New Roman" w:hAnsi="Times New Roman" w:eastAsia="宋体" w:cs="Times New Roman"/>
          <w:color w:val="auto"/>
          <w:sz w:val="24"/>
          <w:szCs w:val="24"/>
          <w:highlight w:val="none"/>
        </w:rPr>
        <w:t>m）；根据《浙江省塑料制品业挥发性有机物污染防治可行技术指南》，控制集气罩口断面平均风速不低于0.6m/s，即单个集气罩集气风量应不低于</w:t>
      </w:r>
      <w:r>
        <w:rPr>
          <w:rFonts w:hint="eastAsia" w:ascii="Times New Roman" w:hAnsi="Times New Roman" w:eastAsia="宋体" w:cs="Times New Roman"/>
          <w:color w:val="auto"/>
          <w:sz w:val="24"/>
          <w:szCs w:val="24"/>
          <w:highlight w:val="none"/>
          <w:lang w:val="en-US" w:eastAsia="zh-CN"/>
        </w:rPr>
        <w:t>7776</w:t>
      </w:r>
      <w:r>
        <w:rPr>
          <w:rFonts w:ascii="Times New Roman" w:hAnsi="Times New Roman" w:eastAsia="宋体" w:cs="Times New Roman"/>
          <w:color w:val="auto"/>
          <w:sz w:val="24"/>
          <w:szCs w:val="24"/>
          <w:highlight w:val="none"/>
        </w:rPr>
        <w:t>m</w:t>
      </w:r>
      <w:r>
        <w:rPr>
          <w:rFonts w:ascii="Times New Roman" w:hAnsi="Times New Roman" w:eastAsia="宋体" w:cs="Times New Roman"/>
          <w:color w:val="auto"/>
          <w:sz w:val="24"/>
          <w:szCs w:val="24"/>
          <w:highlight w:val="none"/>
          <w:vertAlign w:val="superscript"/>
        </w:rPr>
        <w:t>3</w:t>
      </w:r>
      <w:r>
        <w:rPr>
          <w:rFonts w:ascii="Times New Roman" w:hAnsi="Times New Roman" w:eastAsia="宋体" w:cs="Times New Roman"/>
          <w:color w:val="auto"/>
          <w:sz w:val="24"/>
          <w:szCs w:val="24"/>
          <w:highlight w:val="none"/>
        </w:rPr>
        <w:t>/h，</w:t>
      </w:r>
      <w:r>
        <w:rPr>
          <w:rFonts w:hint="eastAsia" w:ascii="Times New Roman" w:hAnsi="Times New Roman" w:eastAsia="宋体" w:cs="Times New Roman"/>
          <w:color w:val="auto"/>
          <w:sz w:val="24"/>
          <w:szCs w:val="24"/>
          <w:highlight w:val="none"/>
        </w:rPr>
        <w:t>本项目共设置</w:t>
      </w:r>
      <w:r>
        <w:rPr>
          <w:rFonts w:hint="eastAsia" w:ascii="Times New Roman" w:hAnsi="Times New Roman" w:eastAsia="宋体"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rPr>
        <w:t>台</w:t>
      </w:r>
      <w:r>
        <w:rPr>
          <w:rFonts w:hint="eastAsia" w:ascii="Times New Roman" w:hAnsi="Times New Roman" w:eastAsia="宋体" w:cs="Times New Roman"/>
          <w:color w:val="auto"/>
          <w:sz w:val="24"/>
          <w:szCs w:val="24"/>
          <w:highlight w:val="none"/>
          <w:lang w:val="en-US" w:eastAsia="zh-CN"/>
        </w:rPr>
        <w:t>共挤吹膜机组</w:t>
      </w:r>
      <w:r>
        <w:rPr>
          <w:rFonts w:hint="eastAsia" w:ascii="Times New Roman" w:hAnsi="Times New Roman" w:eastAsia="宋体" w:cs="Times New Roman"/>
          <w:color w:val="auto"/>
          <w:sz w:val="24"/>
          <w:szCs w:val="24"/>
          <w:highlight w:val="none"/>
        </w:rPr>
        <w:t>，据此计算得到风量不低于</w:t>
      </w:r>
      <w:r>
        <w:rPr>
          <w:rFonts w:hint="eastAsia" w:ascii="Times New Roman" w:hAnsi="Times New Roman" w:eastAsia="宋体" w:cs="Times New Roman"/>
          <w:color w:val="auto"/>
          <w:sz w:val="24"/>
          <w:szCs w:val="24"/>
          <w:highlight w:val="none"/>
          <w:lang w:val="en-US" w:eastAsia="zh-CN"/>
        </w:rPr>
        <w:t>31104</w:t>
      </w:r>
      <w:r>
        <w:rPr>
          <w:rFonts w:hint="eastAsia" w:ascii="Times New Roman" w:hAnsi="Times New Roman" w:eastAsia="宋体" w:cs="Times New Roman"/>
          <w:color w:val="auto"/>
          <w:sz w:val="24"/>
          <w:szCs w:val="24"/>
          <w:highlight w:val="none"/>
        </w:rPr>
        <w:t>m</w:t>
      </w:r>
      <w:r>
        <w:rPr>
          <w:rFonts w:hint="eastAsia" w:ascii="Times New Roman" w:hAnsi="Times New Roman" w:eastAsia="宋体" w:cs="Times New Roman"/>
          <w:color w:val="auto"/>
          <w:sz w:val="24"/>
          <w:szCs w:val="24"/>
          <w:highlight w:val="none"/>
          <w:vertAlign w:val="superscript"/>
        </w:rPr>
        <w:t>3</w:t>
      </w:r>
      <w:r>
        <w:rPr>
          <w:rFonts w:hint="eastAsia" w:ascii="Times New Roman" w:hAnsi="Times New Roman" w:eastAsia="宋体" w:cs="Times New Roman"/>
          <w:color w:val="auto"/>
          <w:sz w:val="24"/>
          <w:szCs w:val="24"/>
          <w:highlight w:val="none"/>
        </w:rPr>
        <w:t>/h</w:t>
      </w:r>
      <w:r>
        <w:rPr>
          <w:rFonts w:hint="eastAsia" w:ascii="Times New Roman" w:hAnsi="Times New Roman" w:eastAsia="宋体" w:cs="Times New Roman"/>
          <w:color w:val="auto"/>
          <w:sz w:val="24"/>
          <w:szCs w:val="24"/>
          <w:highlight w:val="none"/>
          <w:lang w:val="en-US" w:eastAsia="zh-CN"/>
        </w:rPr>
        <w:t>，</w:t>
      </w:r>
      <w:r>
        <w:rPr>
          <w:rFonts w:hint="eastAsia" w:cs="Courier New"/>
          <w:bCs/>
          <w:color w:val="auto"/>
          <w:sz w:val="24"/>
          <w:szCs w:val="24"/>
        </w:rPr>
        <w:t>考虑到风量损失，本环评建议挤出废气收集风量为</w:t>
      </w:r>
      <w:r>
        <w:rPr>
          <w:rFonts w:hint="eastAsia" w:cs="Courier New"/>
          <w:bCs/>
          <w:color w:val="auto"/>
          <w:sz w:val="24"/>
          <w:szCs w:val="24"/>
          <w:lang w:val="en-US" w:eastAsia="zh-CN"/>
        </w:rPr>
        <w:t>32</w:t>
      </w:r>
      <w:r>
        <w:rPr>
          <w:rFonts w:hint="eastAsia" w:cs="Courier New"/>
          <w:bCs/>
          <w:color w:val="auto"/>
          <w:sz w:val="24"/>
          <w:szCs w:val="24"/>
        </w:rPr>
        <w:t>000m</w:t>
      </w:r>
      <w:r>
        <w:rPr>
          <w:rFonts w:hint="eastAsia" w:cs="Courier New"/>
          <w:bCs/>
          <w:color w:val="auto"/>
          <w:sz w:val="24"/>
          <w:szCs w:val="24"/>
          <w:vertAlign w:val="superscript"/>
        </w:rPr>
        <w:t>3</w:t>
      </w:r>
      <w:r>
        <w:rPr>
          <w:rFonts w:hint="eastAsia" w:cs="Courier New"/>
          <w:bCs/>
          <w:color w:val="auto"/>
          <w:sz w:val="24"/>
          <w:szCs w:val="24"/>
        </w:rPr>
        <w:t>/h</w:t>
      </w:r>
      <w:r>
        <w:rPr>
          <w:rFonts w:hint="eastAsia" w:ascii="Times New Roman" w:hAnsi="Times New Roman" w:eastAsia="宋体" w:cs="Times New Roman"/>
          <w:color w:val="auto"/>
          <w:sz w:val="24"/>
          <w:szCs w:val="24"/>
          <w:highlight w:val="none"/>
          <w:lang w:val="en-US" w:eastAsia="zh-CN"/>
        </w:rPr>
        <w:t xml:space="preserve">。收集的有机废气经1套活性炭吸附/脱附+催化燃烧装置处理，最终经不低于45米高排气筒（DA001）高空排放。 </w:t>
      </w:r>
    </w:p>
    <w:p w14:paraId="6C3325DD">
      <w:pPr>
        <w:numPr>
          <w:ilvl w:val="255"/>
          <w:numId w:val="0"/>
        </w:numPr>
        <w:spacing w:line="360" w:lineRule="auto"/>
        <w:ind w:firstLine="480" w:firstLineChars="200"/>
        <w:rPr>
          <w:rFonts w:cs="Courier New"/>
          <w:bCs/>
          <w:color w:val="auto"/>
          <w:sz w:val="24"/>
          <w:szCs w:val="24"/>
        </w:rPr>
      </w:pPr>
      <w:r>
        <w:rPr>
          <w:rFonts w:hint="eastAsia" w:ascii="Times New Roman" w:hAnsi="Times New Roman" w:eastAsia="宋体" w:cs="Times New Roman"/>
          <w:color w:val="auto"/>
          <w:sz w:val="24"/>
          <w:szCs w:val="24"/>
          <w:highlight w:val="none"/>
        </w:rPr>
        <w:t>熔融</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挤出废气</w:t>
      </w:r>
      <w:r>
        <w:rPr>
          <w:rFonts w:hint="eastAsia" w:cs="Courier New"/>
          <w:bCs/>
          <w:color w:val="auto"/>
          <w:sz w:val="24"/>
          <w:szCs w:val="24"/>
        </w:rPr>
        <w:t>废气产排情况如下：</w:t>
      </w:r>
    </w:p>
    <w:p w14:paraId="01407737">
      <w:pPr>
        <w:numPr>
          <w:ilvl w:val="255"/>
          <w:numId w:val="0"/>
        </w:numPr>
        <w:spacing w:line="360" w:lineRule="auto"/>
        <w:ind w:firstLine="480" w:firstLineChars="200"/>
        <w:rPr>
          <w:rFonts w:cs="Courier New"/>
          <w:bCs/>
          <w:color w:val="auto"/>
          <w:sz w:val="24"/>
          <w:szCs w:val="24"/>
        </w:rPr>
      </w:pPr>
      <w:r>
        <w:rPr>
          <w:rFonts w:hint="eastAsia" w:cs="Courier New"/>
          <w:bCs/>
          <w:color w:val="auto"/>
          <w:sz w:val="24"/>
          <w:szCs w:val="24"/>
        </w:rPr>
        <w:t>①活性炭吸附阶段</w:t>
      </w:r>
    </w:p>
    <w:p w14:paraId="212A2A10">
      <w:pPr>
        <w:numPr>
          <w:ilvl w:val="255"/>
          <w:numId w:val="0"/>
        </w:numPr>
        <w:spacing w:line="360" w:lineRule="auto"/>
        <w:ind w:firstLine="480" w:firstLineChars="200"/>
        <w:rPr>
          <w:color w:val="auto"/>
          <w:sz w:val="24"/>
          <w:szCs w:val="24"/>
        </w:rPr>
      </w:pPr>
      <w:r>
        <w:rPr>
          <w:rFonts w:hint="eastAsia"/>
          <w:color w:val="auto"/>
          <w:sz w:val="24"/>
          <w:szCs w:val="24"/>
        </w:rPr>
        <w:t>本项目挤出废气经集气罩收集后经活性炭吸附处理，</w:t>
      </w:r>
      <w:r>
        <w:rPr>
          <w:rFonts w:hint="eastAsia" w:cs="Courier New"/>
          <w:bCs/>
          <w:color w:val="auto"/>
          <w:sz w:val="24"/>
          <w:szCs w:val="24"/>
        </w:rPr>
        <w:t>废气收集风量约</w:t>
      </w:r>
      <w:r>
        <w:rPr>
          <w:rFonts w:hint="eastAsia" w:cs="Courier New"/>
          <w:bCs/>
          <w:color w:val="auto"/>
          <w:sz w:val="24"/>
          <w:szCs w:val="24"/>
          <w:lang w:val="en-US" w:eastAsia="zh-CN"/>
        </w:rPr>
        <w:t>32</w:t>
      </w:r>
      <w:r>
        <w:rPr>
          <w:rFonts w:hint="eastAsia" w:cs="Courier New"/>
          <w:bCs/>
          <w:color w:val="auto"/>
          <w:sz w:val="24"/>
          <w:szCs w:val="24"/>
        </w:rPr>
        <w:t>000m</w:t>
      </w:r>
      <w:r>
        <w:rPr>
          <w:rFonts w:hint="eastAsia" w:cs="Courier New"/>
          <w:bCs/>
          <w:color w:val="auto"/>
          <w:sz w:val="24"/>
          <w:szCs w:val="24"/>
          <w:vertAlign w:val="superscript"/>
        </w:rPr>
        <w:t>3</w:t>
      </w:r>
      <w:r>
        <w:rPr>
          <w:rFonts w:hint="eastAsia" w:cs="Courier New"/>
          <w:bCs/>
          <w:color w:val="auto"/>
          <w:sz w:val="24"/>
          <w:szCs w:val="24"/>
        </w:rPr>
        <w:t>/h，</w:t>
      </w:r>
      <w:r>
        <w:rPr>
          <w:rFonts w:hint="eastAsia"/>
          <w:color w:val="auto"/>
          <w:sz w:val="24"/>
          <w:szCs w:val="24"/>
        </w:rPr>
        <w:t>废气收集效率以8</w:t>
      </w:r>
      <w:r>
        <w:rPr>
          <w:rFonts w:hint="eastAsia"/>
          <w:color w:val="auto"/>
          <w:sz w:val="24"/>
          <w:szCs w:val="24"/>
          <w:lang w:val="en-US" w:eastAsia="zh-CN"/>
        </w:rPr>
        <w:t>0</w:t>
      </w:r>
      <w:r>
        <w:rPr>
          <w:rFonts w:hint="eastAsia"/>
          <w:color w:val="auto"/>
          <w:sz w:val="24"/>
          <w:szCs w:val="24"/>
        </w:rPr>
        <w:t>%计，活性炭对非甲烷总烃处理效率以7</w:t>
      </w:r>
      <w:r>
        <w:rPr>
          <w:rFonts w:hint="eastAsia"/>
          <w:color w:val="auto"/>
          <w:sz w:val="24"/>
          <w:szCs w:val="24"/>
          <w:lang w:val="en-US" w:eastAsia="zh-CN"/>
        </w:rPr>
        <w:t>0</w:t>
      </w:r>
      <w:r>
        <w:rPr>
          <w:rFonts w:hint="eastAsia"/>
          <w:color w:val="auto"/>
          <w:sz w:val="24"/>
          <w:szCs w:val="24"/>
        </w:rPr>
        <w:t>%计。则</w:t>
      </w:r>
      <w:r>
        <w:rPr>
          <w:rFonts w:hint="eastAsia" w:cs="Courier New"/>
          <w:bCs/>
          <w:color w:val="auto"/>
          <w:sz w:val="24"/>
          <w:szCs w:val="24"/>
        </w:rPr>
        <w:t>活性炭吸附阶段废气</w:t>
      </w:r>
      <w:r>
        <w:rPr>
          <w:rFonts w:hint="eastAsia"/>
          <w:color w:val="auto"/>
          <w:sz w:val="24"/>
          <w:szCs w:val="24"/>
        </w:rPr>
        <w:t>产排情况见下表。</w:t>
      </w:r>
    </w:p>
    <w:p w14:paraId="763955E9">
      <w:pPr>
        <w:pStyle w:val="20"/>
        <w:numPr>
          <w:ilvl w:val="0"/>
          <w:numId w:val="6"/>
        </w:numPr>
        <w:spacing w:before="156"/>
        <w:rPr>
          <w:rFonts w:ascii="Times New Roman" w:hAnsi="Times New Roman" w:eastAsia="宋体" w:cs="Times New Roman"/>
          <w:b/>
          <w:bCs w:val="0"/>
          <w:color w:val="auto"/>
          <w:spacing w:val="0"/>
          <w:szCs w:val="21"/>
        </w:rPr>
      </w:pPr>
      <w:r>
        <w:rPr>
          <w:rFonts w:hint="default" w:ascii="Times New Roman" w:hAnsi="Times New Roman" w:eastAsia="宋体" w:cs="Times New Roman"/>
          <w:b/>
          <w:bCs w:val="0"/>
          <w:color w:val="auto"/>
          <w:spacing w:val="0"/>
          <w:szCs w:val="21"/>
        </w:rPr>
        <w:t>吸附阶段废气产排情况</w:t>
      </w:r>
    </w:p>
    <w:tbl>
      <w:tblPr>
        <w:tblStyle w:val="16"/>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57" w:type="dxa"/>
          <w:bottom w:w="0" w:type="dxa"/>
          <w:right w:w="57" w:type="dxa"/>
        </w:tblCellMar>
      </w:tblPr>
      <w:tblGrid>
        <w:gridCol w:w="758"/>
        <w:gridCol w:w="918"/>
        <w:gridCol w:w="798"/>
        <w:gridCol w:w="892"/>
        <w:gridCol w:w="892"/>
        <w:gridCol w:w="798"/>
        <w:gridCol w:w="621"/>
        <w:gridCol w:w="678"/>
        <w:gridCol w:w="633"/>
        <w:gridCol w:w="628"/>
        <w:gridCol w:w="798"/>
      </w:tblGrid>
      <w:tr w14:paraId="013A02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4" w:hRule="atLeast"/>
          <w:jc w:val="center"/>
        </w:trPr>
        <w:tc>
          <w:tcPr>
            <w:tcW w:w="398" w:type="pct"/>
            <w:vMerge w:val="restart"/>
            <w:noWrap/>
            <w:vAlign w:val="center"/>
          </w:tcPr>
          <w:p w14:paraId="2E41A4BD">
            <w:pPr>
              <w:spacing w:line="0" w:lineRule="atLeast"/>
              <w:jc w:val="center"/>
              <w:rPr>
                <w:color w:val="auto"/>
                <w:sz w:val="21"/>
                <w:szCs w:val="21"/>
              </w:rPr>
            </w:pPr>
            <w:r>
              <w:rPr>
                <w:rFonts w:hint="eastAsia"/>
                <w:color w:val="auto"/>
                <w:sz w:val="21"/>
                <w:szCs w:val="21"/>
              </w:rPr>
              <w:t>产生工序</w:t>
            </w:r>
          </w:p>
        </w:tc>
        <w:tc>
          <w:tcPr>
            <w:tcW w:w="331" w:type="pct"/>
            <w:vMerge w:val="restart"/>
            <w:noWrap/>
            <w:vAlign w:val="center"/>
          </w:tcPr>
          <w:p w14:paraId="2759B796">
            <w:pPr>
              <w:spacing w:line="0" w:lineRule="atLeast"/>
              <w:jc w:val="center"/>
              <w:rPr>
                <w:color w:val="auto"/>
                <w:sz w:val="21"/>
                <w:szCs w:val="21"/>
              </w:rPr>
            </w:pPr>
            <w:r>
              <w:rPr>
                <w:rFonts w:hint="eastAsia"/>
                <w:color w:val="auto"/>
                <w:sz w:val="21"/>
                <w:szCs w:val="21"/>
              </w:rPr>
              <w:t>污染物</w:t>
            </w:r>
          </w:p>
        </w:tc>
        <w:tc>
          <w:tcPr>
            <w:tcW w:w="453" w:type="pct"/>
            <w:vMerge w:val="restart"/>
            <w:noWrap/>
            <w:vAlign w:val="center"/>
          </w:tcPr>
          <w:p w14:paraId="37E4AF90">
            <w:pPr>
              <w:spacing w:line="0" w:lineRule="atLeast"/>
              <w:jc w:val="center"/>
              <w:rPr>
                <w:color w:val="auto"/>
                <w:sz w:val="21"/>
                <w:szCs w:val="21"/>
              </w:rPr>
            </w:pPr>
            <w:r>
              <w:rPr>
                <w:rFonts w:hint="eastAsia"/>
                <w:color w:val="auto"/>
                <w:sz w:val="21"/>
                <w:szCs w:val="21"/>
              </w:rPr>
              <w:t>产生量</w:t>
            </w:r>
            <w:r>
              <w:rPr>
                <w:color w:val="auto"/>
                <w:kern w:val="0"/>
                <w:sz w:val="21"/>
                <w:szCs w:val="21"/>
              </w:rPr>
              <w:t>t/a</w:t>
            </w:r>
          </w:p>
        </w:tc>
        <w:tc>
          <w:tcPr>
            <w:tcW w:w="501" w:type="pct"/>
            <w:vMerge w:val="restart"/>
            <w:noWrap/>
            <w:vAlign w:val="center"/>
          </w:tcPr>
          <w:p w14:paraId="5B2FF862">
            <w:pPr>
              <w:spacing w:line="0" w:lineRule="atLeast"/>
              <w:jc w:val="center"/>
              <w:rPr>
                <w:color w:val="auto"/>
                <w:sz w:val="21"/>
                <w:szCs w:val="21"/>
              </w:rPr>
            </w:pPr>
            <w:r>
              <w:rPr>
                <w:rFonts w:hint="eastAsia"/>
                <w:color w:val="auto"/>
                <w:sz w:val="21"/>
                <w:szCs w:val="21"/>
              </w:rPr>
              <w:t>收集效率%</w:t>
            </w:r>
          </w:p>
        </w:tc>
        <w:tc>
          <w:tcPr>
            <w:tcW w:w="422" w:type="pct"/>
            <w:vMerge w:val="restart"/>
            <w:noWrap/>
            <w:vAlign w:val="center"/>
          </w:tcPr>
          <w:p w14:paraId="5A58B5F8">
            <w:pPr>
              <w:spacing w:line="0" w:lineRule="atLeast"/>
              <w:jc w:val="center"/>
              <w:rPr>
                <w:color w:val="auto"/>
                <w:sz w:val="21"/>
                <w:szCs w:val="21"/>
              </w:rPr>
            </w:pPr>
            <w:r>
              <w:rPr>
                <w:color w:val="auto"/>
                <w:sz w:val="21"/>
                <w:szCs w:val="21"/>
              </w:rPr>
              <w:t>处理效率</w:t>
            </w:r>
            <w:r>
              <w:rPr>
                <w:rFonts w:hint="eastAsia"/>
                <w:color w:val="auto"/>
                <w:sz w:val="21"/>
                <w:szCs w:val="21"/>
              </w:rPr>
              <w:t>%</w:t>
            </w:r>
          </w:p>
        </w:tc>
        <w:tc>
          <w:tcPr>
            <w:tcW w:w="414" w:type="pct"/>
            <w:vMerge w:val="restart"/>
            <w:noWrap/>
            <w:vAlign w:val="center"/>
          </w:tcPr>
          <w:p w14:paraId="1849DA4A">
            <w:pPr>
              <w:spacing w:line="0" w:lineRule="atLeast"/>
              <w:jc w:val="center"/>
              <w:rPr>
                <w:color w:val="auto"/>
                <w:sz w:val="21"/>
                <w:szCs w:val="21"/>
              </w:rPr>
            </w:pPr>
            <w:r>
              <w:rPr>
                <w:rFonts w:hint="eastAsia"/>
                <w:color w:val="auto"/>
                <w:sz w:val="21"/>
                <w:szCs w:val="21"/>
              </w:rPr>
              <w:t>吸附量</w:t>
            </w:r>
            <w:r>
              <w:rPr>
                <w:color w:val="auto"/>
                <w:kern w:val="0"/>
                <w:sz w:val="21"/>
                <w:szCs w:val="21"/>
              </w:rPr>
              <w:t>t/a</w:t>
            </w:r>
          </w:p>
        </w:tc>
        <w:tc>
          <w:tcPr>
            <w:tcW w:w="1026" w:type="pct"/>
            <w:gridSpan w:val="2"/>
            <w:noWrap/>
            <w:vAlign w:val="center"/>
          </w:tcPr>
          <w:p w14:paraId="644811A3">
            <w:pPr>
              <w:spacing w:line="0" w:lineRule="atLeast"/>
              <w:jc w:val="center"/>
              <w:rPr>
                <w:color w:val="auto"/>
                <w:sz w:val="21"/>
                <w:szCs w:val="21"/>
              </w:rPr>
            </w:pPr>
            <w:r>
              <w:rPr>
                <w:rFonts w:hint="eastAsia"/>
                <w:color w:val="auto"/>
                <w:sz w:val="21"/>
                <w:szCs w:val="21"/>
              </w:rPr>
              <w:t>有组织排放</w:t>
            </w:r>
          </w:p>
        </w:tc>
        <w:tc>
          <w:tcPr>
            <w:tcW w:w="1000" w:type="pct"/>
            <w:gridSpan w:val="2"/>
            <w:noWrap/>
            <w:vAlign w:val="center"/>
          </w:tcPr>
          <w:p w14:paraId="3BD9825E">
            <w:pPr>
              <w:spacing w:line="0" w:lineRule="atLeast"/>
              <w:jc w:val="center"/>
              <w:rPr>
                <w:color w:val="auto"/>
                <w:sz w:val="21"/>
                <w:szCs w:val="21"/>
              </w:rPr>
            </w:pPr>
            <w:r>
              <w:rPr>
                <w:rFonts w:hint="eastAsia"/>
                <w:color w:val="auto"/>
                <w:sz w:val="21"/>
                <w:szCs w:val="21"/>
              </w:rPr>
              <w:t>无组织排放</w:t>
            </w:r>
          </w:p>
        </w:tc>
        <w:tc>
          <w:tcPr>
            <w:tcW w:w="449" w:type="pct"/>
            <w:vMerge w:val="restart"/>
            <w:noWrap/>
            <w:vAlign w:val="center"/>
          </w:tcPr>
          <w:p w14:paraId="226B160F">
            <w:pPr>
              <w:spacing w:line="0" w:lineRule="atLeast"/>
              <w:jc w:val="center"/>
              <w:rPr>
                <w:color w:val="auto"/>
                <w:sz w:val="21"/>
                <w:szCs w:val="21"/>
              </w:rPr>
            </w:pPr>
            <w:r>
              <w:rPr>
                <w:rFonts w:hint="eastAsia"/>
                <w:color w:val="auto"/>
                <w:sz w:val="21"/>
                <w:szCs w:val="21"/>
              </w:rPr>
              <w:t>排放量</w:t>
            </w:r>
            <w:r>
              <w:rPr>
                <w:color w:val="auto"/>
                <w:kern w:val="0"/>
                <w:sz w:val="21"/>
                <w:szCs w:val="21"/>
              </w:rPr>
              <w:t>t/a</w:t>
            </w:r>
          </w:p>
        </w:tc>
      </w:tr>
      <w:tr w14:paraId="7007C49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4" w:hRule="atLeast"/>
          <w:jc w:val="center"/>
        </w:trPr>
        <w:tc>
          <w:tcPr>
            <w:tcW w:w="398" w:type="pct"/>
            <w:vMerge w:val="continue"/>
            <w:noWrap/>
            <w:vAlign w:val="center"/>
          </w:tcPr>
          <w:p w14:paraId="2991469B">
            <w:pPr>
              <w:spacing w:line="0" w:lineRule="atLeast"/>
              <w:jc w:val="center"/>
              <w:rPr>
                <w:color w:val="auto"/>
                <w:sz w:val="21"/>
                <w:szCs w:val="21"/>
              </w:rPr>
            </w:pPr>
          </w:p>
        </w:tc>
        <w:tc>
          <w:tcPr>
            <w:tcW w:w="331" w:type="pct"/>
            <w:vMerge w:val="continue"/>
            <w:noWrap/>
            <w:vAlign w:val="center"/>
          </w:tcPr>
          <w:p w14:paraId="454E5F9B">
            <w:pPr>
              <w:spacing w:line="0" w:lineRule="atLeast"/>
              <w:jc w:val="center"/>
              <w:rPr>
                <w:color w:val="auto"/>
                <w:sz w:val="21"/>
                <w:szCs w:val="21"/>
              </w:rPr>
            </w:pPr>
          </w:p>
        </w:tc>
        <w:tc>
          <w:tcPr>
            <w:tcW w:w="453" w:type="pct"/>
            <w:vMerge w:val="continue"/>
            <w:noWrap/>
            <w:vAlign w:val="center"/>
          </w:tcPr>
          <w:p w14:paraId="6AB6A498">
            <w:pPr>
              <w:spacing w:line="0" w:lineRule="atLeast"/>
              <w:jc w:val="center"/>
              <w:rPr>
                <w:color w:val="auto"/>
                <w:sz w:val="21"/>
                <w:szCs w:val="21"/>
              </w:rPr>
            </w:pPr>
          </w:p>
        </w:tc>
        <w:tc>
          <w:tcPr>
            <w:tcW w:w="501" w:type="pct"/>
            <w:vMerge w:val="continue"/>
            <w:noWrap/>
            <w:vAlign w:val="center"/>
          </w:tcPr>
          <w:p w14:paraId="7BD5574C">
            <w:pPr>
              <w:spacing w:line="0" w:lineRule="atLeast"/>
              <w:jc w:val="center"/>
              <w:rPr>
                <w:color w:val="auto"/>
                <w:sz w:val="21"/>
                <w:szCs w:val="21"/>
              </w:rPr>
            </w:pPr>
          </w:p>
        </w:tc>
        <w:tc>
          <w:tcPr>
            <w:tcW w:w="422" w:type="pct"/>
            <w:vMerge w:val="continue"/>
            <w:noWrap/>
            <w:vAlign w:val="center"/>
          </w:tcPr>
          <w:p w14:paraId="4282F705">
            <w:pPr>
              <w:spacing w:line="0" w:lineRule="atLeast"/>
              <w:jc w:val="center"/>
              <w:rPr>
                <w:color w:val="auto"/>
                <w:sz w:val="21"/>
                <w:szCs w:val="21"/>
              </w:rPr>
            </w:pPr>
          </w:p>
        </w:tc>
        <w:tc>
          <w:tcPr>
            <w:tcW w:w="414" w:type="pct"/>
            <w:vMerge w:val="continue"/>
            <w:noWrap/>
            <w:vAlign w:val="center"/>
          </w:tcPr>
          <w:p w14:paraId="354B50C3">
            <w:pPr>
              <w:spacing w:line="0" w:lineRule="atLeast"/>
              <w:jc w:val="center"/>
              <w:rPr>
                <w:color w:val="auto"/>
                <w:sz w:val="21"/>
                <w:szCs w:val="21"/>
              </w:rPr>
            </w:pPr>
          </w:p>
        </w:tc>
        <w:tc>
          <w:tcPr>
            <w:tcW w:w="494" w:type="pct"/>
            <w:shd w:val="clear" w:color="auto" w:fill="auto"/>
            <w:noWrap/>
            <w:vAlign w:val="center"/>
          </w:tcPr>
          <w:p w14:paraId="2566096E">
            <w:pPr>
              <w:spacing w:line="0" w:lineRule="atLeast"/>
              <w:jc w:val="center"/>
              <w:rPr>
                <w:color w:val="auto"/>
                <w:sz w:val="21"/>
                <w:szCs w:val="21"/>
              </w:rPr>
            </w:pPr>
            <w:r>
              <w:rPr>
                <w:color w:val="auto"/>
                <w:kern w:val="0"/>
                <w:sz w:val="21"/>
                <w:szCs w:val="21"/>
              </w:rPr>
              <w:t>t/a</w:t>
            </w:r>
          </w:p>
        </w:tc>
        <w:tc>
          <w:tcPr>
            <w:tcW w:w="532" w:type="pct"/>
            <w:noWrap/>
            <w:vAlign w:val="center"/>
          </w:tcPr>
          <w:p w14:paraId="56848A77">
            <w:pPr>
              <w:spacing w:line="0" w:lineRule="atLeast"/>
              <w:jc w:val="center"/>
              <w:rPr>
                <w:color w:val="auto"/>
                <w:sz w:val="21"/>
                <w:szCs w:val="21"/>
              </w:rPr>
            </w:pPr>
            <w:r>
              <w:rPr>
                <w:color w:val="auto"/>
                <w:kern w:val="0"/>
                <w:sz w:val="21"/>
                <w:szCs w:val="21"/>
              </w:rPr>
              <w:t>kg/h</w:t>
            </w:r>
          </w:p>
        </w:tc>
        <w:tc>
          <w:tcPr>
            <w:tcW w:w="502" w:type="pct"/>
            <w:noWrap/>
            <w:vAlign w:val="center"/>
          </w:tcPr>
          <w:p w14:paraId="35C0D857">
            <w:pPr>
              <w:spacing w:line="0" w:lineRule="atLeast"/>
              <w:jc w:val="center"/>
              <w:rPr>
                <w:color w:val="auto"/>
                <w:sz w:val="21"/>
                <w:szCs w:val="21"/>
              </w:rPr>
            </w:pPr>
            <w:r>
              <w:rPr>
                <w:color w:val="auto"/>
                <w:kern w:val="0"/>
                <w:sz w:val="21"/>
                <w:szCs w:val="21"/>
              </w:rPr>
              <w:t>t/a</w:t>
            </w:r>
          </w:p>
        </w:tc>
        <w:tc>
          <w:tcPr>
            <w:tcW w:w="498" w:type="pct"/>
            <w:noWrap/>
            <w:vAlign w:val="center"/>
          </w:tcPr>
          <w:p w14:paraId="423844AB">
            <w:pPr>
              <w:spacing w:line="0" w:lineRule="atLeast"/>
              <w:jc w:val="center"/>
              <w:rPr>
                <w:color w:val="auto"/>
                <w:sz w:val="21"/>
                <w:szCs w:val="21"/>
              </w:rPr>
            </w:pPr>
            <w:r>
              <w:rPr>
                <w:color w:val="auto"/>
                <w:kern w:val="0"/>
                <w:sz w:val="21"/>
                <w:szCs w:val="21"/>
              </w:rPr>
              <w:t>kg/h</w:t>
            </w:r>
          </w:p>
        </w:tc>
        <w:tc>
          <w:tcPr>
            <w:tcW w:w="449" w:type="pct"/>
            <w:vMerge w:val="continue"/>
            <w:noWrap/>
            <w:vAlign w:val="center"/>
          </w:tcPr>
          <w:p w14:paraId="03AF1D68">
            <w:pPr>
              <w:spacing w:line="0" w:lineRule="atLeast"/>
              <w:jc w:val="center"/>
              <w:rPr>
                <w:color w:val="auto"/>
                <w:sz w:val="21"/>
                <w:szCs w:val="21"/>
              </w:rPr>
            </w:pPr>
          </w:p>
        </w:tc>
      </w:tr>
      <w:tr w14:paraId="07E821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408" w:hRule="atLeast"/>
          <w:jc w:val="center"/>
        </w:trPr>
        <w:tc>
          <w:tcPr>
            <w:tcW w:w="398" w:type="pct"/>
            <w:noWrap/>
            <w:vAlign w:val="center"/>
          </w:tcPr>
          <w:p w14:paraId="750ED72F">
            <w:pPr>
              <w:spacing w:line="0" w:lineRule="atLeast"/>
              <w:jc w:val="center"/>
              <w:rPr>
                <w:color w:val="auto"/>
                <w:sz w:val="21"/>
                <w:szCs w:val="21"/>
              </w:rPr>
            </w:pPr>
            <w:r>
              <w:rPr>
                <w:rFonts w:hint="eastAsia"/>
                <w:color w:val="auto"/>
                <w:sz w:val="21"/>
                <w:szCs w:val="21"/>
              </w:rPr>
              <w:t>熔融挤出</w:t>
            </w:r>
          </w:p>
        </w:tc>
        <w:tc>
          <w:tcPr>
            <w:tcW w:w="331" w:type="pct"/>
            <w:noWrap/>
            <w:vAlign w:val="center"/>
          </w:tcPr>
          <w:p w14:paraId="55621498">
            <w:pPr>
              <w:spacing w:line="0" w:lineRule="atLeast"/>
              <w:jc w:val="center"/>
              <w:rPr>
                <w:color w:val="auto"/>
                <w:sz w:val="21"/>
                <w:szCs w:val="21"/>
              </w:rPr>
            </w:pPr>
            <w:r>
              <w:rPr>
                <w:rFonts w:hint="eastAsia"/>
                <w:color w:val="auto"/>
                <w:sz w:val="21"/>
                <w:szCs w:val="21"/>
              </w:rPr>
              <w:t>非甲烷总烃</w:t>
            </w:r>
          </w:p>
        </w:tc>
        <w:tc>
          <w:tcPr>
            <w:tcW w:w="453" w:type="pct"/>
            <w:noWrap/>
            <w:vAlign w:val="center"/>
          </w:tcPr>
          <w:p w14:paraId="2EBCE210">
            <w:pPr>
              <w:spacing w:line="0" w:lineRule="atLeast"/>
              <w:jc w:val="center"/>
              <w:rPr>
                <w:rFonts w:hint="default" w:eastAsia="宋体"/>
                <w:color w:val="auto"/>
                <w:sz w:val="21"/>
                <w:szCs w:val="21"/>
                <w:lang w:val="en-US" w:eastAsia="zh-CN"/>
              </w:rPr>
            </w:pPr>
            <w:r>
              <w:rPr>
                <w:rFonts w:hint="eastAsia"/>
                <w:color w:val="auto"/>
                <w:sz w:val="21"/>
                <w:szCs w:val="21"/>
                <w:lang w:val="en-US" w:eastAsia="zh-CN"/>
              </w:rPr>
              <w:t>2.244</w:t>
            </w:r>
          </w:p>
        </w:tc>
        <w:tc>
          <w:tcPr>
            <w:tcW w:w="501" w:type="pct"/>
            <w:noWrap/>
            <w:vAlign w:val="center"/>
          </w:tcPr>
          <w:p w14:paraId="1F39474C">
            <w:pPr>
              <w:spacing w:line="0" w:lineRule="atLeast"/>
              <w:jc w:val="center"/>
              <w:rPr>
                <w:rFonts w:hint="eastAsia" w:eastAsia="宋体"/>
                <w:color w:val="auto"/>
                <w:sz w:val="21"/>
                <w:szCs w:val="21"/>
                <w:lang w:eastAsia="zh-CN"/>
              </w:rPr>
            </w:pPr>
            <w:r>
              <w:rPr>
                <w:rFonts w:hint="eastAsia"/>
                <w:color w:val="auto"/>
                <w:sz w:val="21"/>
                <w:szCs w:val="21"/>
              </w:rPr>
              <w:t>8</w:t>
            </w:r>
            <w:r>
              <w:rPr>
                <w:rFonts w:hint="eastAsia"/>
                <w:color w:val="auto"/>
                <w:sz w:val="21"/>
                <w:szCs w:val="21"/>
                <w:lang w:val="en-US" w:eastAsia="zh-CN"/>
              </w:rPr>
              <w:t>0</w:t>
            </w:r>
          </w:p>
        </w:tc>
        <w:tc>
          <w:tcPr>
            <w:tcW w:w="422" w:type="pct"/>
            <w:noWrap/>
            <w:vAlign w:val="center"/>
          </w:tcPr>
          <w:p w14:paraId="7370ED06">
            <w:pPr>
              <w:spacing w:line="0" w:lineRule="atLeast"/>
              <w:jc w:val="center"/>
              <w:rPr>
                <w:rFonts w:hint="eastAsia" w:eastAsia="宋体"/>
                <w:color w:val="auto"/>
                <w:sz w:val="21"/>
                <w:szCs w:val="21"/>
                <w:lang w:eastAsia="zh-CN"/>
              </w:rPr>
            </w:pPr>
            <w:r>
              <w:rPr>
                <w:rFonts w:hint="eastAsia"/>
                <w:color w:val="auto"/>
                <w:sz w:val="21"/>
                <w:szCs w:val="21"/>
              </w:rPr>
              <w:t>7</w:t>
            </w:r>
            <w:r>
              <w:rPr>
                <w:rFonts w:hint="eastAsia"/>
                <w:color w:val="auto"/>
                <w:sz w:val="21"/>
                <w:szCs w:val="21"/>
                <w:lang w:val="en-US" w:eastAsia="zh-CN"/>
              </w:rPr>
              <w:t>0</w:t>
            </w:r>
          </w:p>
        </w:tc>
        <w:tc>
          <w:tcPr>
            <w:tcW w:w="879" w:type="dxa"/>
            <w:noWrap/>
            <w:vAlign w:val="center"/>
          </w:tcPr>
          <w:p w14:paraId="4E41E4C8">
            <w:pPr>
              <w:keepNext w:val="0"/>
              <w:keepLines w:val="0"/>
              <w:widowControl/>
              <w:suppressLineNumbers w:val="0"/>
              <w:jc w:val="center"/>
              <w:textAlignment w:val="center"/>
              <w:rPr>
                <w:rFonts w:hint="default" w:eastAsia="宋体"/>
                <w:color w:val="auto"/>
                <w:sz w:val="21"/>
                <w:szCs w:val="21"/>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1.257 </w:t>
            </w:r>
          </w:p>
        </w:tc>
        <w:tc>
          <w:tcPr>
            <w:tcW w:w="776" w:type="dxa"/>
            <w:noWrap/>
            <w:vAlign w:val="center"/>
          </w:tcPr>
          <w:p w14:paraId="50F2B22F">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0.539 </w:t>
            </w:r>
          </w:p>
        </w:tc>
        <w:tc>
          <w:tcPr>
            <w:tcW w:w="850" w:type="dxa"/>
            <w:noWrap/>
            <w:vAlign w:val="center"/>
          </w:tcPr>
          <w:p w14:paraId="09AA93A3">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792" w:type="dxa"/>
            <w:noWrap/>
            <w:vAlign w:val="center"/>
          </w:tcPr>
          <w:p w14:paraId="6FEE9088">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0.449 </w:t>
            </w:r>
          </w:p>
        </w:tc>
        <w:tc>
          <w:tcPr>
            <w:tcW w:w="785" w:type="dxa"/>
            <w:noWrap/>
            <w:vAlign w:val="center"/>
          </w:tcPr>
          <w:p w14:paraId="2E2B93B7">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0.070 </w:t>
            </w:r>
          </w:p>
        </w:tc>
        <w:tc>
          <w:tcPr>
            <w:tcW w:w="449" w:type="pct"/>
            <w:noWrap/>
            <w:vAlign w:val="center"/>
          </w:tcPr>
          <w:p w14:paraId="58CE92F2">
            <w:pPr>
              <w:spacing w:line="0" w:lineRule="atLeast"/>
              <w:jc w:val="center"/>
              <w:rPr>
                <w:rFonts w:hint="default" w:eastAsia="宋体"/>
                <w:color w:val="auto"/>
                <w:sz w:val="21"/>
                <w:szCs w:val="21"/>
                <w:lang w:val="en-US" w:eastAsia="zh-CN"/>
              </w:rPr>
            </w:pPr>
            <w:r>
              <w:rPr>
                <w:rFonts w:hint="eastAsia"/>
                <w:color w:val="auto"/>
                <w:sz w:val="21"/>
                <w:szCs w:val="21"/>
                <w:lang w:val="en-US" w:eastAsia="zh-CN"/>
              </w:rPr>
              <w:t>1.705</w:t>
            </w:r>
          </w:p>
        </w:tc>
      </w:tr>
      <w:tr w14:paraId="334666D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28" w:hRule="atLeast"/>
          <w:jc w:val="center"/>
        </w:trPr>
        <w:tc>
          <w:tcPr>
            <w:tcW w:w="5000" w:type="pct"/>
            <w:gridSpan w:val="11"/>
            <w:noWrap/>
            <w:vAlign w:val="center"/>
          </w:tcPr>
          <w:p w14:paraId="6F6C92BE">
            <w:pPr>
              <w:widowControl/>
              <w:jc w:val="left"/>
              <w:rPr>
                <w:color w:val="auto"/>
                <w:sz w:val="21"/>
                <w:szCs w:val="21"/>
              </w:rPr>
            </w:pPr>
            <w:r>
              <w:rPr>
                <w:rFonts w:hint="eastAsia" w:ascii="宋体" w:hAnsi="宋体" w:cs="宋体"/>
                <w:color w:val="auto"/>
                <w:kern w:val="0"/>
                <w:sz w:val="21"/>
                <w:szCs w:val="21"/>
                <w:lang w:bidi="ar"/>
              </w:rPr>
              <w:t>注：根据涉及原料年用量和设备最大生产能力计算，</w:t>
            </w:r>
            <w:r>
              <w:rPr>
                <w:rFonts w:hint="eastAsia" w:ascii="宋体" w:hAnsi="宋体" w:cs="宋体"/>
                <w:color w:val="auto"/>
                <w:kern w:val="0"/>
                <w:sz w:val="21"/>
                <w:szCs w:val="21"/>
                <w:lang w:val="en-US" w:eastAsia="zh-CN" w:bidi="ar"/>
              </w:rPr>
              <w:t>共挤吹膜机组</w:t>
            </w:r>
            <w:r>
              <w:rPr>
                <w:rFonts w:hint="eastAsia" w:ascii="宋体" w:hAnsi="宋体" w:cs="宋体"/>
                <w:color w:val="auto"/>
                <w:kern w:val="0"/>
                <w:sz w:val="21"/>
                <w:szCs w:val="21"/>
                <w:lang w:bidi="ar"/>
              </w:rPr>
              <w:t>最大工况下的工作</w:t>
            </w:r>
            <w:r>
              <w:rPr>
                <w:color w:val="auto"/>
                <w:kern w:val="0"/>
                <w:sz w:val="21"/>
                <w:szCs w:val="21"/>
                <w:lang w:bidi="ar"/>
              </w:rPr>
              <w:t>时间为</w:t>
            </w:r>
            <w:r>
              <w:rPr>
                <w:rFonts w:hint="eastAsia"/>
                <w:color w:val="auto"/>
                <w:kern w:val="0"/>
                <w:sz w:val="21"/>
                <w:szCs w:val="21"/>
                <w:lang w:val="en-US" w:eastAsia="zh-CN" w:bidi="ar"/>
              </w:rPr>
              <w:t>6375</w:t>
            </w:r>
            <w:r>
              <w:rPr>
                <w:color w:val="auto"/>
                <w:kern w:val="0"/>
                <w:sz w:val="21"/>
                <w:szCs w:val="21"/>
                <w:lang w:bidi="ar"/>
              </w:rPr>
              <w:t>h。</w:t>
            </w:r>
          </w:p>
        </w:tc>
      </w:tr>
    </w:tbl>
    <w:p w14:paraId="2EE3AAC2">
      <w:pPr>
        <w:numPr>
          <w:ilvl w:val="255"/>
          <w:numId w:val="0"/>
        </w:numPr>
        <w:spacing w:line="360" w:lineRule="auto"/>
        <w:ind w:firstLine="480" w:firstLineChars="200"/>
        <w:rPr>
          <w:bCs/>
          <w:color w:val="auto"/>
          <w:sz w:val="24"/>
          <w:szCs w:val="24"/>
        </w:rPr>
      </w:pPr>
      <w:r>
        <w:rPr>
          <w:rFonts w:hint="eastAsia"/>
          <w:bCs/>
          <w:color w:val="auto"/>
          <w:sz w:val="24"/>
          <w:szCs w:val="24"/>
        </w:rPr>
        <w:t>②废气脱附阶段</w:t>
      </w:r>
    </w:p>
    <w:p w14:paraId="2E6542FB">
      <w:pPr>
        <w:numPr>
          <w:ilvl w:val="255"/>
          <w:numId w:val="0"/>
        </w:numPr>
        <w:spacing w:line="360" w:lineRule="auto"/>
        <w:ind w:firstLine="480" w:firstLineChars="200"/>
        <w:rPr>
          <w:color w:val="auto"/>
          <w:sz w:val="24"/>
          <w:szCs w:val="24"/>
        </w:rPr>
      </w:pPr>
      <w:r>
        <w:rPr>
          <w:bCs/>
          <w:color w:val="auto"/>
          <w:sz w:val="24"/>
          <w:szCs w:val="24"/>
        </w:rPr>
        <w:t>有机废气收集经活性炭吸附饱和后脱附送入催化燃烧室燃烧。项目共设置1套“活性炭吸附</w:t>
      </w:r>
      <w:r>
        <w:rPr>
          <w:rFonts w:hint="eastAsia"/>
          <w:bCs/>
          <w:color w:val="auto"/>
          <w:sz w:val="24"/>
          <w:szCs w:val="24"/>
        </w:rPr>
        <w:t>-</w:t>
      </w:r>
      <w:r>
        <w:rPr>
          <w:bCs/>
          <w:color w:val="auto"/>
          <w:sz w:val="24"/>
          <w:szCs w:val="24"/>
        </w:rPr>
        <w:t>脱附+催化燃烧”处理装置，</w:t>
      </w:r>
      <w:r>
        <w:rPr>
          <w:rFonts w:hint="eastAsia"/>
          <w:bCs/>
          <w:color w:val="auto"/>
          <w:sz w:val="24"/>
          <w:szCs w:val="24"/>
          <w:lang w:val="en-US" w:eastAsia="zh-CN"/>
        </w:rPr>
        <w:t>为在线吸附和离线脱附，活性炭设备及离线脱附设备连接在一起，吸附及脱附尾气通过同一排气筒排放。</w:t>
      </w:r>
      <w:r>
        <w:rPr>
          <w:bCs/>
          <w:color w:val="auto"/>
          <w:sz w:val="24"/>
          <w:szCs w:val="24"/>
        </w:rPr>
        <w:t>为了保证吸附去除效率企业约</w:t>
      </w:r>
      <w:r>
        <w:rPr>
          <w:rFonts w:hint="eastAsia"/>
          <w:bCs/>
          <w:color w:val="auto"/>
          <w:sz w:val="24"/>
          <w:szCs w:val="24"/>
          <w:lang w:val="en-US" w:eastAsia="zh-CN"/>
        </w:rPr>
        <w:t>15</w:t>
      </w:r>
      <w:r>
        <w:rPr>
          <w:bCs/>
          <w:color w:val="auto"/>
          <w:sz w:val="24"/>
          <w:szCs w:val="24"/>
        </w:rPr>
        <w:t>天</w:t>
      </w:r>
      <w:r>
        <w:rPr>
          <w:rFonts w:hint="eastAsia"/>
          <w:bCs/>
          <w:color w:val="auto"/>
          <w:sz w:val="24"/>
          <w:szCs w:val="24"/>
          <w:lang w:val="en-US" w:eastAsia="zh-CN"/>
        </w:rPr>
        <w:t>进行一次脱附催化燃烧</w:t>
      </w:r>
      <w:r>
        <w:rPr>
          <w:bCs/>
          <w:color w:val="auto"/>
          <w:sz w:val="24"/>
          <w:szCs w:val="24"/>
        </w:rPr>
        <w:t>，每次脱附时间为8h，则脱附催化燃烧时间为</w:t>
      </w:r>
      <w:r>
        <w:rPr>
          <w:rFonts w:hint="eastAsia"/>
          <w:bCs/>
          <w:color w:val="auto"/>
          <w:sz w:val="24"/>
          <w:szCs w:val="24"/>
          <w:lang w:val="en-US" w:eastAsia="zh-CN"/>
        </w:rPr>
        <w:t>16</w:t>
      </w:r>
      <w:r>
        <w:rPr>
          <w:bCs/>
          <w:color w:val="auto"/>
          <w:sz w:val="24"/>
          <w:szCs w:val="24"/>
        </w:rPr>
        <w:t>0h/a，脱附单元风量约3000m</w:t>
      </w:r>
      <w:r>
        <w:rPr>
          <w:bCs/>
          <w:color w:val="auto"/>
          <w:sz w:val="24"/>
          <w:szCs w:val="24"/>
          <w:vertAlign w:val="superscript"/>
        </w:rPr>
        <w:t>3</w:t>
      </w:r>
      <w:r>
        <w:rPr>
          <w:bCs/>
          <w:color w:val="auto"/>
          <w:sz w:val="24"/>
          <w:szCs w:val="24"/>
        </w:rPr>
        <w:t>/h，本项目集气风量为</w:t>
      </w:r>
      <w:r>
        <w:rPr>
          <w:rFonts w:hint="eastAsia"/>
          <w:bCs/>
          <w:color w:val="auto"/>
          <w:sz w:val="24"/>
          <w:szCs w:val="24"/>
          <w:lang w:val="en-US" w:eastAsia="zh-CN"/>
        </w:rPr>
        <w:t>32</w:t>
      </w:r>
      <w:r>
        <w:rPr>
          <w:bCs/>
          <w:color w:val="auto"/>
          <w:sz w:val="24"/>
          <w:szCs w:val="24"/>
        </w:rPr>
        <w:t>000m</w:t>
      </w:r>
      <w:r>
        <w:rPr>
          <w:bCs/>
          <w:color w:val="auto"/>
          <w:sz w:val="24"/>
          <w:szCs w:val="24"/>
          <w:vertAlign w:val="superscript"/>
        </w:rPr>
        <w:t>3</w:t>
      </w:r>
      <w:r>
        <w:rPr>
          <w:bCs/>
          <w:color w:val="auto"/>
          <w:sz w:val="24"/>
          <w:szCs w:val="24"/>
        </w:rPr>
        <w:t>/h，故系统总风量为</w:t>
      </w:r>
      <w:r>
        <w:rPr>
          <w:rFonts w:hint="eastAsia"/>
          <w:bCs/>
          <w:color w:val="auto"/>
          <w:sz w:val="24"/>
          <w:szCs w:val="24"/>
          <w:lang w:val="en-US" w:eastAsia="zh-CN"/>
        </w:rPr>
        <w:t>35</w:t>
      </w:r>
      <w:r>
        <w:rPr>
          <w:bCs/>
          <w:color w:val="auto"/>
          <w:sz w:val="24"/>
          <w:szCs w:val="24"/>
        </w:rPr>
        <w:t>000m</w:t>
      </w:r>
      <w:r>
        <w:rPr>
          <w:bCs/>
          <w:color w:val="auto"/>
          <w:sz w:val="24"/>
          <w:szCs w:val="24"/>
          <w:vertAlign w:val="superscript"/>
        </w:rPr>
        <w:t>3</w:t>
      </w:r>
      <w:r>
        <w:rPr>
          <w:bCs/>
          <w:color w:val="auto"/>
          <w:sz w:val="24"/>
          <w:szCs w:val="24"/>
        </w:rPr>
        <w:t>/h。《</w:t>
      </w:r>
      <w:bookmarkStart w:id="12" w:name="OLE_LINK6"/>
      <w:r>
        <w:rPr>
          <w:bCs/>
          <w:color w:val="auto"/>
          <w:sz w:val="24"/>
          <w:szCs w:val="24"/>
        </w:rPr>
        <w:t>催化燃烧法工业有机废气治理工程技术规范</w:t>
      </w:r>
      <w:bookmarkEnd w:id="12"/>
      <w:r>
        <w:rPr>
          <w:bCs/>
          <w:color w:val="auto"/>
          <w:sz w:val="24"/>
          <w:szCs w:val="24"/>
        </w:rPr>
        <w:t>》（HJ2027-2013）中6.1.2，催化燃烧装置的净化效率不得低于97%，本项目按照9</w:t>
      </w:r>
      <w:r>
        <w:rPr>
          <w:rFonts w:hint="eastAsia"/>
          <w:bCs/>
          <w:color w:val="auto"/>
          <w:sz w:val="24"/>
          <w:szCs w:val="24"/>
        </w:rPr>
        <w:t>7</w:t>
      </w:r>
      <w:r>
        <w:rPr>
          <w:bCs/>
          <w:color w:val="auto"/>
          <w:sz w:val="24"/>
          <w:szCs w:val="24"/>
        </w:rPr>
        <w:t>%计，则脱附催化燃烧阶段废气</w:t>
      </w:r>
      <w:r>
        <w:rPr>
          <w:rFonts w:hint="eastAsia"/>
          <w:color w:val="auto"/>
          <w:sz w:val="24"/>
          <w:szCs w:val="24"/>
        </w:rPr>
        <w:t>产排情况见下表。</w:t>
      </w:r>
    </w:p>
    <w:p w14:paraId="6BE65EE2">
      <w:pPr>
        <w:pStyle w:val="20"/>
        <w:numPr>
          <w:ilvl w:val="0"/>
          <w:numId w:val="6"/>
        </w:numPr>
        <w:spacing w:before="156"/>
        <w:rPr>
          <w:rFonts w:ascii="Times New Roman" w:hAnsi="Times New Roman" w:eastAsia="宋体" w:cs="Times New Roman"/>
          <w:b/>
          <w:bCs w:val="0"/>
          <w:color w:val="auto"/>
          <w:spacing w:val="0"/>
          <w:szCs w:val="21"/>
        </w:rPr>
      </w:pPr>
      <w:r>
        <w:rPr>
          <w:rFonts w:hint="default" w:ascii="Times New Roman" w:hAnsi="Times New Roman" w:eastAsia="宋体" w:cs="Times New Roman"/>
          <w:b/>
          <w:bCs w:val="0"/>
          <w:color w:val="auto"/>
          <w:spacing w:val="0"/>
          <w:szCs w:val="21"/>
        </w:rPr>
        <w:t>脱附催化燃烧阶段废气产排情况</w:t>
      </w:r>
    </w:p>
    <w:tbl>
      <w:tblPr>
        <w:tblStyle w:val="15"/>
        <w:tblW w:w="5175"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778"/>
        <w:gridCol w:w="744"/>
        <w:gridCol w:w="771"/>
        <w:gridCol w:w="810"/>
        <w:gridCol w:w="1110"/>
        <w:gridCol w:w="990"/>
        <w:gridCol w:w="960"/>
        <w:gridCol w:w="1050"/>
        <w:gridCol w:w="825"/>
        <w:gridCol w:w="672"/>
      </w:tblGrid>
      <w:tr w14:paraId="201C50F9">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4" w:hRule="atLeast"/>
          <w:jc w:val="center"/>
        </w:trPr>
        <w:tc>
          <w:tcPr>
            <w:tcW w:w="778" w:type="dxa"/>
            <w:vMerge w:val="restart"/>
            <w:noWrap/>
            <w:vAlign w:val="center"/>
          </w:tcPr>
          <w:p w14:paraId="11537167">
            <w:pPr>
              <w:spacing w:line="0" w:lineRule="atLeast"/>
              <w:jc w:val="center"/>
              <w:rPr>
                <w:color w:val="auto"/>
                <w:sz w:val="21"/>
                <w:szCs w:val="21"/>
              </w:rPr>
            </w:pPr>
            <w:r>
              <w:rPr>
                <w:rFonts w:hint="eastAsia"/>
                <w:color w:val="auto"/>
                <w:sz w:val="21"/>
                <w:szCs w:val="21"/>
              </w:rPr>
              <w:t>工序</w:t>
            </w:r>
          </w:p>
        </w:tc>
        <w:tc>
          <w:tcPr>
            <w:tcW w:w="744" w:type="dxa"/>
            <w:vMerge w:val="restart"/>
            <w:noWrap/>
            <w:vAlign w:val="center"/>
          </w:tcPr>
          <w:p w14:paraId="6B8BAB31">
            <w:pPr>
              <w:spacing w:line="0" w:lineRule="atLeast"/>
              <w:jc w:val="center"/>
              <w:rPr>
                <w:color w:val="auto"/>
                <w:sz w:val="21"/>
                <w:szCs w:val="21"/>
              </w:rPr>
            </w:pPr>
            <w:r>
              <w:rPr>
                <w:rFonts w:hint="eastAsia"/>
                <w:color w:val="auto"/>
                <w:sz w:val="21"/>
                <w:szCs w:val="21"/>
              </w:rPr>
              <w:t>污染物</w:t>
            </w:r>
          </w:p>
        </w:tc>
        <w:tc>
          <w:tcPr>
            <w:tcW w:w="771" w:type="dxa"/>
            <w:vMerge w:val="restart"/>
            <w:noWrap/>
            <w:vAlign w:val="center"/>
          </w:tcPr>
          <w:p w14:paraId="2E282512">
            <w:pPr>
              <w:spacing w:line="0" w:lineRule="atLeast"/>
              <w:jc w:val="center"/>
              <w:rPr>
                <w:color w:val="auto"/>
                <w:sz w:val="21"/>
                <w:szCs w:val="21"/>
              </w:rPr>
            </w:pPr>
            <w:r>
              <w:rPr>
                <w:rFonts w:hint="eastAsia"/>
                <w:color w:val="auto"/>
                <w:sz w:val="21"/>
                <w:szCs w:val="21"/>
              </w:rPr>
              <w:t>脱附量</w:t>
            </w:r>
            <w:r>
              <w:rPr>
                <w:color w:val="auto"/>
                <w:kern w:val="0"/>
                <w:sz w:val="21"/>
                <w:szCs w:val="21"/>
              </w:rPr>
              <w:t>t/a</w:t>
            </w:r>
          </w:p>
        </w:tc>
        <w:tc>
          <w:tcPr>
            <w:tcW w:w="810" w:type="dxa"/>
            <w:vMerge w:val="restart"/>
            <w:noWrap/>
            <w:vAlign w:val="center"/>
          </w:tcPr>
          <w:p w14:paraId="306FE0D6">
            <w:pPr>
              <w:spacing w:line="0" w:lineRule="atLeast"/>
              <w:jc w:val="center"/>
              <w:rPr>
                <w:color w:val="auto"/>
                <w:sz w:val="21"/>
                <w:szCs w:val="21"/>
              </w:rPr>
            </w:pPr>
            <w:r>
              <w:rPr>
                <w:rFonts w:hint="eastAsia"/>
                <w:color w:val="auto"/>
                <w:sz w:val="21"/>
                <w:szCs w:val="21"/>
                <w:lang w:val="en-US" w:eastAsia="zh-CN"/>
              </w:rPr>
              <w:t>脱附</w:t>
            </w:r>
            <w:r>
              <w:rPr>
                <w:rFonts w:hint="eastAsia"/>
                <w:color w:val="auto"/>
                <w:sz w:val="21"/>
                <w:szCs w:val="21"/>
              </w:rPr>
              <w:t>效率%</w:t>
            </w:r>
          </w:p>
        </w:tc>
        <w:tc>
          <w:tcPr>
            <w:tcW w:w="1110" w:type="dxa"/>
            <w:vMerge w:val="restart"/>
            <w:noWrap/>
            <w:vAlign w:val="center"/>
          </w:tcPr>
          <w:p w14:paraId="1F8C88EE">
            <w:pPr>
              <w:spacing w:line="0" w:lineRule="atLeast"/>
              <w:jc w:val="center"/>
              <w:rPr>
                <w:color w:val="auto"/>
                <w:sz w:val="21"/>
                <w:szCs w:val="21"/>
              </w:rPr>
            </w:pPr>
            <w:r>
              <w:rPr>
                <w:rFonts w:hint="eastAsia"/>
                <w:color w:val="auto"/>
                <w:sz w:val="21"/>
                <w:szCs w:val="21"/>
              </w:rPr>
              <w:t>催化燃烧效率%</w:t>
            </w:r>
          </w:p>
        </w:tc>
        <w:tc>
          <w:tcPr>
            <w:tcW w:w="1950" w:type="dxa"/>
            <w:gridSpan w:val="2"/>
            <w:noWrap/>
            <w:vAlign w:val="center"/>
          </w:tcPr>
          <w:p w14:paraId="6C311E67">
            <w:pPr>
              <w:spacing w:line="0" w:lineRule="atLeast"/>
              <w:jc w:val="center"/>
              <w:rPr>
                <w:color w:val="auto"/>
                <w:sz w:val="21"/>
                <w:szCs w:val="21"/>
              </w:rPr>
            </w:pPr>
            <w:r>
              <w:rPr>
                <w:rFonts w:hint="eastAsia"/>
                <w:color w:val="auto"/>
                <w:sz w:val="21"/>
                <w:szCs w:val="21"/>
              </w:rPr>
              <w:t>有组织排放</w:t>
            </w:r>
          </w:p>
        </w:tc>
        <w:tc>
          <w:tcPr>
            <w:tcW w:w="1875" w:type="dxa"/>
            <w:gridSpan w:val="2"/>
            <w:noWrap/>
            <w:vAlign w:val="center"/>
          </w:tcPr>
          <w:p w14:paraId="452FE8CC">
            <w:pPr>
              <w:spacing w:line="0" w:lineRule="atLeast"/>
              <w:jc w:val="center"/>
              <w:rPr>
                <w:color w:val="auto"/>
                <w:sz w:val="21"/>
                <w:szCs w:val="21"/>
              </w:rPr>
            </w:pPr>
            <w:r>
              <w:rPr>
                <w:rFonts w:hint="eastAsia"/>
                <w:color w:val="auto"/>
                <w:sz w:val="21"/>
                <w:szCs w:val="21"/>
              </w:rPr>
              <w:t>无组织排放</w:t>
            </w:r>
          </w:p>
        </w:tc>
        <w:tc>
          <w:tcPr>
            <w:tcW w:w="672" w:type="dxa"/>
            <w:vMerge w:val="restart"/>
            <w:noWrap/>
            <w:vAlign w:val="center"/>
          </w:tcPr>
          <w:p w14:paraId="1321238D">
            <w:pPr>
              <w:spacing w:line="0" w:lineRule="atLeast"/>
              <w:jc w:val="center"/>
              <w:rPr>
                <w:color w:val="auto"/>
                <w:sz w:val="21"/>
                <w:szCs w:val="21"/>
              </w:rPr>
            </w:pPr>
            <w:r>
              <w:rPr>
                <w:rFonts w:hint="eastAsia"/>
                <w:color w:val="auto"/>
                <w:sz w:val="21"/>
                <w:szCs w:val="21"/>
              </w:rPr>
              <w:t>排放量</w:t>
            </w:r>
            <w:r>
              <w:rPr>
                <w:color w:val="auto"/>
                <w:kern w:val="0"/>
                <w:sz w:val="21"/>
                <w:szCs w:val="21"/>
              </w:rPr>
              <w:t>t/a</w:t>
            </w:r>
          </w:p>
        </w:tc>
      </w:tr>
      <w:tr w14:paraId="78F3708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4" w:hRule="atLeast"/>
          <w:jc w:val="center"/>
        </w:trPr>
        <w:tc>
          <w:tcPr>
            <w:tcW w:w="778" w:type="dxa"/>
            <w:vMerge w:val="continue"/>
            <w:noWrap/>
            <w:vAlign w:val="center"/>
          </w:tcPr>
          <w:p w14:paraId="48EDCC69">
            <w:pPr>
              <w:spacing w:line="0" w:lineRule="atLeast"/>
              <w:jc w:val="center"/>
              <w:rPr>
                <w:color w:val="auto"/>
                <w:sz w:val="21"/>
                <w:szCs w:val="21"/>
              </w:rPr>
            </w:pPr>
          </w:p>
        </w:tc>
        <w:tc>
          <w:tcPr>
            <w:tcW w:w="744" w:type="dxa"/>
            <w:vMerge w:val="continue"/>
            <w:noWrap/>
            <w:vAlign w:val="center"/>
          </w:tcPr>
          <w:p w14:paraId="1F5518C0">
            <w:pPr>
              <w:spacing w:line="0" w:lineRule="atLeast"/>
              <w:jc w:val="center"/>
              <w:rPr>
                <w:color w:val="auto"/>
                <w:sz w:val="21"/>
                <w:szCs w:val="21"/>
              </w:rPr>
            </w:pPr>
          </w:p>
        </w:tc>
        <w:tc>
          <w:tcPr>
            <w:tcW w:w="771" w:type="dxa"/>
            <w:vMerge w:val="continue"/>
            <w:noWrap/>
            <w:vAlign w:val="center"/>
          </w:tcPr>
          <w:p w14:paraId="40EC1A93">
            <w:pPr>
              <w:spacing w:line="0" w:lineRule="atLeast"/>
              <w:jc w:val="center"/>
              <w:rPr>
                <w:color w:val="auto"/>
                <w:sz w:val="21"/>
                <w:szCs w:val="21"/>
              </w:rPr>
            </w:pPr>
          </w:p>
        </w:tc>
        <w:tc>
          <w:tcPr>
            <w:tcW w:w="810" w:type="dxa"/>
            <w:vMerge w:val="continue"/>
            <w:noWrap/>
            <w:vAlign w:val="center"/>
          </w:tcPr>
          <w:p w14:paraId="2EFA7D4C">
            <w:pPr>
              <w:spacing w:line="0" w:lineRule="atLeast"/>
              <w:jc w:val="center"/>
              <w:rPr>
                <w:color w:val="auto"/>
                <w:sz w:val="21"/>
                <w:szCs w:val="21"/>
              </w:rPr>
            </w:pPr>
          </w:p>
        </w:tc>
        <w:tc>
          <w:tcPr>
            <w:tcW w:w="1110" w:type="dxa"/>
            <w:vMerge w:val="continue"/>
            <w:noWrap/>
            <w:vAlign w:val="center"/>
          </w:tcPr>
          <w:p w14:paraId="2AE50570">
            <w:pPr>
              <w:spacing w:line="0" w:lineRule="atLeast"/>
              <w:jc w:val="center"/>
              <w:rPr>
                <w:color w:val="auto"/>
                <w:sz w:val="21"/>
                <w:szCs w:val="21"/>
              </w:rPr>
            </w:pPr>
          </w:p>
        </w:tc>
        <w:tc>
          <w:tcPr>
            <w:tcW w:w="990" w:type="dxa"/>
            <w:shd w:val="clear" w:color="auto" w:fill="auto"/>
            <w:noWrap/>
            <w:vAlign w:val="center"/>
          </w:tcPr>
          <w:p w14:paraId="5593C2D3">
            <w:pPr>
              <w:spacing w:line="0" w:lineRule="atLeast"/>
              <w:jc w:val="center"/>
              <w:rPr>
                <w:color w:val="auto"/>
                <w:sz w:val="21"/>
                <w:szCs w:val="21"/>
              </w:rPr>
            </w:pPr>
            <w:r>
              <w:rPr>
                <w:color w:val="auto"/>
                <w:kern w:val="0"/>
                <w:sz w:val="21"/>
                <w:szCs w:val="21"/>
              </w:rPr>
              <w:t>t/a</w:t>
            </w:r>
          </w:p>
        </w:tc>
        <w:tc>
          <w:tcPr>
            <w:tcW w:w="960" w:type="dxa"/>
            <w:noWrap/>
            <w:vAlign w:val="center"/>
          </w:tcPr>
          <w:p w14:paraId="75929939">
            <w:pPr>
              <w:spacing w:line="0" w:lineRule="atLeast"/>
              <w:jc w:val="center"/>
              <w:rPr>
                <w:color w:val="auto"/>
                <w:sz w:val="21"/>
                <w:szCs w:val="21"/>
              </w:rPr>
            </w:pPr>
            <w:r>
              <w:rPr>
                <w:color w:val="auto"/>
                <w:kern w:val="0"/>
                <w:sz w:val="21"/>
                <w:szCs w:val="21"/>
              </w:rPr>
              <w:t>kg/h</w:t>
            </w:r>
          </w:p>
        </w:tc>
        <w:tc>
          <w:tcPr>
            <w:tcW w:w="1050" w:type="dxa"/>
            <w:noWrap/>
            <w:vAlign w:val="center"/>
          </w:tcPr>
          <w:p w14:paraId="398770AC">
            <w:pPr>
              <w:spacing w:line="0" w:lineRule="atLeast"/>
              <w:jc w:val="center"/>
              <w:rPr>
                <w:color w:val="auto"/>
                <w:sz w:val="21"/>
                <w:szCs w:val="21"/>
              </w:rPr>
            </w:pPr>
            <w:r>
              <w:rPr>
                <w:color w:val="auto"/>
                <w:kern w:val="0"/>
                <w:sz w:val="21"/>
                <w:szCs w:val="21"/>
              </w:rPr>
              <w:t>t/a</w:t>
            </w:r>
          </w:p>
        </w:tc>
        <w:tc>
          <w:tcPr>
            <w:tcW w:w="825" w:type="dxa"/>
            <w:noWrap/>
            <w:vAlign w:val="center"/>
          </w:tcPr>
          <w:p w14:paraId="7A8910D8">
            <w:pPr>
              <w:spacing w:line="0" w:lineRule="atLeast"/>
              <w:jc w:val="center"/>
              <w:rPr>
                <w:color w:val="auto"/>
                <w:sz w:val="21"/>
                <w:szCs w:val="21"/>
              </w:rPr>
            </w:pPr>
            <w:r>
              <w:rPr>
                <w:color w:val="auto"/>
                <w:kern w:val="0"/>
                <w:sz w:val="21"/>
                <w:szCs w:val="21"/>
              </w:rPr>
              <w:t>kg/h</w:t>
            </w:r>
          </w:p>
        </w:tc>
        <w:tc>
          <w:tcPr>
            <w:tcW w:w="672" w:type="dxa"/>
            <w:vMerge w:val="continue"/>
            <w:noWrap/>
            <w:vAlign w:val="center"/>
          </w:tcPr>
          <w:p w14:paraId="35457C5C">
            <w:pPr>
              <w:spacing w:line="0" w:lineRule="atLeast"/>
              <w:jc w:val="center"/>
              <w:rPr>
                <w:color w:val="auto"/>
                <w:sz w:val="21"/>
                <w:szCs w:val="21"/>
              </w:rPr>
            </w:pPr>
          </w:p>
        </w:tc>
      </w:tr>
      <w:tr w14:paraId="7E50D5D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1408" w:hRule="atLeast"/>
          <w:jc w:val="center"/>
        </w:trPr>
        <w:tc>
          <w:tcPr>
            <w:tcW w:w="778" w:type="dxa"/>
            <w:noWrap/>
            <w:vAlign w:val="center"/>
          </w:tcPr>
          <w:p w14:paraId="1CD7D686">
            <w:pPr>
              <w:spacing w:line="0" w:lineRule="atLeast"/>
              <w:jc w:val="center"/>
              <w:rPr>
                <w:color w:val="auto"/>
                <w:sz w:val="21"/>
                <w:szCs w:val="21"/>
              </w:rPr>
            </w:pPr>
            <w:r>
              <w:rPr>
                <w:rFonts w:hint="eastAsia"/>
                <w:color w:val="auto"/>
                <w:sz w:val="21"/>
                <w:szCs w:val="21"/>
              </w:rPr>
              <w:t>熔融挤出</w:t>
            </w:r>
          </w:p>
        </w:tc>
        <w:tc>
          <w:tcPr>
            <w:tcW w:w="744" w:type="dxa"/>
            <w:noWrap/>
            <w:vAlign w:val="center"/>
          </w:tcPr>
          <w:p w14:paraId="66E60597">
            <w:pPr>
              <w:spacing w:line="0" w:lineRule="atLeast"/>
              <w:jc w:val="center"/>
              <w:rPr>
                <w:color w:val="auto"/>
                <w:sz w:val="21"/>
                <w:szCs w:val="21"/>
              </w:rPr>
            </w:pPr>
            <w:r>
              <w:rPr>
                <w:rFonts w:hint="eastAsia"/>
                <w:color w:val="auto"/>
                <w:sz w:val="21"/>
                <w:szCs w:val="21"/>
              </w:rPr>
              <w:t>非甲烷总烃</w:t>
            </w:r>
          </w:p>
        </w:tc>
        <w:tc>
          <w:tcPr>
            <w:tcW w:w="771" w:type="dxa"/>
            <w:noWrap/>
            <w:vAlign w:val="center"/>
          </w:tcPr>
          <w:p w14:paraId="20B635B2">
            <w:pPr>
              <w:widowControl/>
              <w:jc w:val="center"/>
              <w:textAlignment w:val="center"/>
              <w:rPr>
                <w:rFonts w:hint="default" w:eastAsia="宋体"/>
                <w:color w:val="auto"/>
                <w:sz w:val="21"/>
                <w:szCs w:val="21"/>
                <w:lang w:val="en-US" w:eastAsia="zh-CN"/>
              </w:rPr>
            </w:pPr>
            <w:r>
              <w:rPr>
                <w:rFonts w:hint="eastAsia"/>
                <w:color w:val="auto"/>
                <w:kern w:val="0"/>
                <w:sz w:val="21"/>
                <w:szCs w:val="21"/>
                <w:lang w:val="en-US" w:eastAsia="zh-CN" w:bidi="ar"/>
              </w:rPr>
              <w:t>1.257</w:t>
            </w:r>
          </w:p>
        </w:tc>
        <w:tc>
          <w:tcPr>
            <w:tcW w:w="810" w:type="dxa"/>
            <w:noWrap/>
            <w:vAlign w:val="center"/>
          </w:tcPr>
          <w:p w14:paraId="7760141E">
            <w:pPr>
              <w:widowControl/>
              <w:jc w:val="center"/>
              <w:textAlignment w:val="center"/>
              <w:rPr>
                <w:rFonts w:hint="eastAsia" w:eastAsia="宋体"/>
                <w:color w:val="auto"/>
                <w:sz w:val="21"/>
                <w:szCs w:val="21"/>
                <w:lang w:eastAsia="zh-CN"/>
              </w:rPr>
            </w:pPr>
            <w:r>
              <w:rPr>
                <w:rFonts w:hint="eastAsia"/>
                <w:color w:val="auto"/>
                <w:kern w:val="0"/>
                <w:sz w:val="21"/>
                <w:szCs w:val="21"/>
                <w:lang w:val="en-US" w:eastAsia="zh-CN" w:bidi="ar"/>
              </w:rPr>
              <w:t>100</w:t>
            </w:r>
          </w:p>
        </w:tc>
        <w:tc>
          <w:tcPr>
            <w:tcW w:w="1110" w:type="dxa"/>
            <w:noWrap/>
            <w:vAlign w:val="center"/>
          </w:tcPr>
          <w:p w14:paraId="029960D2">
            <w:pPr>
              <w:keepNext w:val="0"/>
              <w:keepLines w:val="0"/>
              <w:widowControl/>
              <w:suppressLineNumbers w:val="0"/>
              <w:jc w:val="center"/>
              <w:textAlignment w:val="center"/>
              <w:rPr>
                <w:rFonts w:hint="default" w:eastAsia="宋体"/>
                <w:color w:val="auto"/>
                <w:sz w:val="21"/>
                <w:szCs w:val="21"/>
                <w:lang w:val="en-US" w:eastAsia="zh-CN"/>
              </w:rPr>
            </w:pPr>
            <w:r>
              <w:rPr>
                <w:color w:val="auto"/>
                <w:kern w:val="0"/>
                <w:sz w:val="21"/>
                <w:szCs w:val="21"/>
                <w:lang w:bidi="ar"/>
              </w:rPr>
              <w:t>97</w:t>
            </w:r>
          </w:p>
        </w:tc>
        <w:tc>
          <w:tcPr>
            <w:tcW w:w="990" w:type="dxa"/>
            <w:noWrap/>
            <w:vAlign w:val="center"/>
          </w:tcPr>
          <w:p w14:paraId="58A8AEDB">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0.038 </w:t>
            </w:r>
          </w:p>
        </w:tc>
        <w:tc>
          <w:tcPr>
            <w:tcW w:w="960" w:type="dxa"/>
            <w:noWrap/>
            <w:vAlign w:val="center"/>
          </w:tcPr>
          <w:p w14:paraId="628D9A58">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0.236 </w:t>
            </w:r>
          </w:p>
        </w:tc>
        <w:tc>
          <w:tcPr>
            <w:tcW w:w="1050" w:type="dxa"/>
            <w:noWrap/>
            <w:vAlign w:val="center"/>
          </w:tcPr>
          <w:p w14:paraId="1B93D807">
            <w:pPr>
              <w:keepNext w:val="0"/>
              <w:keepLines w:val="0"/>
              <w:widowControl/>
              <w:suppressLineNumbers w:val="0"/>
              <w:jc w:val="center"/>
              <w:textAlignment w:val="center"/>
              <w:rPr>
                <w:rFonts w:hint="eastAsia" w:ascii="Times New Roman" w:hAnsi="Times New Roman" w:eastAsia="宋体" w:cs="Times New Roman"/>
                <w:color w:val="auto"/>
                <w:kern w:val="0"/>
                <w:sz w:val="21"/>
                <w:szCs w:val="21"/>
                <w:u w:val="none"/>
                <w:lang w:val="en-US" w:eastAsia="zh-CN" w:bidi="ar"/>
              </w:rPr>
            </w:pPr>
            <w:r>
              <w:rPr>
                <w:rFonts w:hint="eastAsia" w:ascii="Times New Roman" w:hAnsi="Times New Roman" w:eastAsia="宋体" w:cs="Times New Roman"/>
                <w:color w:val="auto"/>
                <w:kern w:val="0"/>
                <w:sz w:val="21"/>
                <w:szCs w:val="21"/>
                <w:u w:val="none"/>
                <w:lang w:val="en-US" w:eastAsia="zh-CN" w:bidi="ar"/>
              </w:rPr>
              <w:t>/</w:t>
            </w:r>
          </w:p>
        </w:tc>
        <w:tc>
          <w:tcPr>
            <w:tcW w:w="825" w:type="dxa"/>
            <w:noWrap/>
            <w:vAlign w:val="center"/>
          </w:tcPr>
          <w:p w14:paraId="1FE2D56F">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eastAsia" w:ascii="Times New Roman" w:hAnsi="Times New Roman" w:eastAsia="宋体" w:cs="Times New Roman"/>
                <w:i w:val="0"/>
                <w:iCs w:val="0"/>
                <w:color w:val="auto"/>
                <w:kern w:val="0"/>
                <w:sz w:val="21"/>
                <w:szCs w:val="21"/>
                <w:u w:val="none"/>
                <w:lang w:val="en-US" w:eastAsia="zh-CN" w:bidi="ar"/>
              </w:rPr>
              <w:t>/</w:t>
            </w:r>
            <w:r>
              <w:rPr>
                <w:rFonts w:hint="default" w:ascii="Times New Roman" w:hAnsi="Times New Roman" w:eastAsia="宋体" w:cs="Times New Roman"/>
                <w:i w:val="0"/>
                <w:iCs w:val="0"/>
                <w:color w:val="auto"/>
                <w:kern w:val="0"/>
                <w:sz w:val="21"/>
                <w:szCs w:val="21"/>
                <w:u w:val="none"/>
                <w:lang w:val="en-US" w:eastAsia="zh-CN" w:bidi="ar"/>
              </w:rPr>
              <w:t xml:space="preserve"> </w:t>
            </w:r>
          </w:p>
        </w:tc>
        <w:tc>
          <w:tcPr>
            <w:tcW w:w="672" w:type="dxa"/>
            <w:noWrap/>
            <w:vAlign w:val="center"/>
          </w:tcPr>
          <w:p w14:paraId="3CB9D799">
            <w:pPr>
              <w:spacing w:line="0" w:lineRule="atLeast"/>
              <w:jc w:val="center"/>
              <w:rPr>
                <w:rFonts w:hint="default" w:eastAsia="宋体"/>
                <w:color w:val="auto"/>
                <w:sz w:val="21"/>
                <w:szCs w:val="21"/>
                <w:lang w:val="en-US" w:eastAsia="zh-CN"/>
              </w:rPr>
            </w:pPr>
            <w:r>
              <w:rPr>
                <w:rFonts w:hint="eastAsia"/>
                <w:color w:val="auto"/>
                <w:sz w:val="21"/>
                <w:szCs w:val="21"/>
                <w:lang w:val="en-US" w:eastAsia="zh-CN"/>
              </w:rPr>
              <w:t>0.038</w:t>
            </w:r>
          </w:p>
        </w:tc>
      </w:tr>
      <w:tr w14:paraId="3E72915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28" w:hRule="atLeast"/>
          <w:jc w:val="center"/>
        </w:trPr>
        <w:tc>
          <w:tcPr>
            <w:tcW w:w="8710" w:type="dxa"/>
            <w:gridSpan w:val="10"/>
            <w:noWrap/>
            <w:vAlign w:val="center"/>
          </w:tcPr>
          <w:p w14:paraId="6B160245">
            <w:pPr>
              <w:widowControl/>
              <w:jc w:val="left"/>
              <w:rPr>
                <w:color w:val="auto"/>
                <w:sz w:val="21"/>
                <w:szCs w:val="21"/>
              </w:rPr>
            </w:pPr>
            <w:r>
              <w:rPr>
                <w:rFonts w:hint="eastAsia" w:ascii="宋体" w:hAnsi="宋体" w:cs="宋体"/>
                <w:color w:val="auto"/>
                <w:kern w:val="0"/>
                <w:sz w:val="21"/>
                <w:szCs w:val="21"/>
                <w:lang w:bidi="ar"/>
              </w:rPr>
              <w:t>注：</w:t>
            </w:r>
            <w:r>
              <w:rPr>
                <w:rFonts w:hint="default" w:ascii="Times New Roman" w:hAnsi="Times New Roman" w:cs="Times New Roman"/>
                <w:color w:val="auto"/>
                <w:kern w:val="0"/>
                <w:sz w:val="21"/>
                <w:szCs w:val="21"/>
                <w:lang w:bidi="ar"/>
              </w:rPr>
              <w:t>脱附催化燃烧时间为</w:t>
            </w:r>
            <w:r>
              <w:rPr>
                <w:rFonts w:hint="default" w:ascii="Times New Roman" w:hAnsi="Times New Roman" w:cs="Times New Roman"/>
                <w:color w:val="auto"/>
                <w:kern w:val="0"/>
                <w:sz w:val="21"/>
                <w:szCs w:val="21"/>
                <w:lang w:val="en-US" w:eastAsia="zh-CN" w:bidi="ar"/>
              </w:rPr>
              <w:t>16</w:t>
            </w:r>
            <w:r>
              <w:rPr>
                <w:rFonts w:hint="default" w:ascii="Times New Roman" w:hAnsi="Times New Roman" w:cs="Times New Roman"/>
                <w:color w:val="auto"/>
                <w:kern w:val="0"/>
                <w:sz w:val="21"/>
                <w:szCs w:val="21"/>
                <w:lang w:bidi="ar"/>
              </w:rPr>
              <w:t>0h/a</w:t>
            </w:r>
            <w:r>
              <w:rPr>
                <w:rFonts w:ascii="Times New Roman" w:hAnsi="Times New Roman" w:cs="Times New Roman"/>
                <w:color w:val="auto"/>
                <w:kern w:val="0"/>
                <w:sz w:val="21"/>
                <w:szCs w:val="21"/>
                <w:lang w:bidi="ar"/>
              </w:rPr>
              <w:t>。</w:t>
            </w:r>
          </w:p>
        </w:tc>
      </w:tr>
    </w:tbl>
    <w:p w14:paraId="53CCCC7C">
      <w:pPr>
        <w:numPr>
          <w:ilvl w:val="0"/>
          <w:numId w:val="8"/>
        </w:num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吹胀、冷却废气</w:t>
      </w:r>
    </w:p>
    <w:p w14:paraId="2645D803">
      <w:pPr>
        <w:numPr>
          <w:ilvl w:val="0"/>
          <w:numId w:val="0"/>
        </w:numPr>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本项目吹胀、冷却工序温度控制在</w:t>
      </w:r>
      <w:r>
        <w:rPr>
          <w:rFonts w:hint="default" w:ascii="Times New Roman" w:hAnsi="Times New Roman" w:eastAsia="宋体" w:cs="Times New Roman"/>
          <w:color w:val="auto"/>
          <w:sz w:val="24"/>
          <w:szCs w:val="24"/>
          <w:highlight w:val="none"/>
          <w:lang w:val="en-US" w:eastAsia="zh-CN"/>
        </w:rPr>
        <w:t>20℃~35℃</w:t>
      </w:r>
      <w:r>
        <w:rPr>
          <w:rFonts w:hint="eastAsia" w:ascii="Times New Roman" w:hAnsi="Times New Roman" w:eastAsia="宋体" w:cs="Times New Roman"/>
          <w:color w:val="auto"/>
          <w:sz w:val="24"/>
          <w:szCs w:val="24"/>
          <w:highlight w:val="none"/>
          <w:lang w:val="en-US" w:eastAsia="zh-CN"/>
        </w:rPr>
        <w:t>，PE粒子热分解温度为300℃以上，因此吹胀、冷却工序产生的废气很小，本环评不对其进行定量分析。</w:t>
      </w:r>
    </w:p>
    <w:p w14:paraId="5B7E5867">
      <w:pPr>
        <w:numPr>
          <w:ilvl w:val="0"/>
          <w:numId w:val="0"/>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吹胀、冷却工序位于挤出膜头上方，</w:t>
      </w:r>
      <w:r>
        <w:rPr>
          <w:rFonts w:hint="eastAsia" w:ascii="Times New Roman" w:hAnsi="Times New Roman" w:eastAsia="宋体" w:cs="Times New Roman"/>
          <w:color w:val="auto"/>
          <w:sz w:val="24"/>
          <w:szCs w:val="24"/>
          <w:highlight w:val="none"/>
          <w:lang w:val="en-US" w:eastAsia="zh-CN"/>
        </w:rPr>
        <w:t>吹胀、冷却废气可与熔融、挤出废气一同采用集气罩收集</w:t>
      </w:r>
      <w:r>
        <w:rPr>
          <w:rFonts w:hint="eastAsia" w:cs="Times New Roman"/>
          <w:color w:val="auto"/>
          <w:sz w:val="24"/>
          <w:szCs w:val="24"/>
          <w:highlight w:val="none"/>
          <w:lang w:val="en-US" w:eastAsia="zh-CN"/>
        </w:rPr>
        <w:t>后经</w:t>
      </w:r>
      <w:r>
        <w:rPr>
          <w:rFonts w:hint="eastAsia" w:ascii="Times New Roman" w:hAnsi="Times New Roman" w:eastAsia="宋体" w:cs="Times New Roman"/>
          <w:color w:val="auto"/>
          <w:sz w:val="24"/>
          <w:szCs w:val="24"/>
          <w:highlight w:val="none"/>
          <w:lang w:val="en-US" w:eastAsia="zh-CN"/>
        </w:rPr>
        <w:t>活性炭吸附/脱附+催化燃烧装置处理。</w:t>
      </w:r>
    </w:p>
    <w:p w14:paraId="525F1B19">
      <w:pPr>
        <w:numPr>
          <w:ilvl w:val="0"/>
          <w:numId w:val="0"/>
        </w:numPr>
        <w:spacing w:line="360" w:lineRule="auto"/>
        <w:ind w:firstLine="480" w:firstLineChars="200"/>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电晕废气</w:t>
      </w:r>
    </w:p>
    <w:p w14:paraId="55D9AEFA">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kern w:val="0"/>
          <w:sz w:val="24"/>
          <w:szCs w:val="24"/>
          <w:highlight w:val="none"/>
        </w:rPr>
        <w:t>为改善塑料薄膜附着力，项目使用电晕</w:t>
      </w:r>
      <w:r>
        <w:rPr>
          <w:rFonts w:hint="eastAsia" w:ascii="Times New Roman" w:hAnsi="Times New Roman" w:eastAsia="宋体" w:cs="Times New Roman"/>
          <w:color w:val="auto"/>
          <w:kern w:val="0"/>
          <w:sz w:val="24"/>
          <w:szCs w:val="24"/>
          <w:highlight w:val="none"/>
          <w:lang w:val="en-US" w:eastAsia="zh-CN"/>
        </w:rPr>
        <w:t>处理装置</w:t>
      </w:r>
      <w:r>
        <w:rPr>
          <w:rFonts w:hint="eastAsia" w:ascii="Times New Roman" w:hAnsi="Times New Roman" w:eastAsia="宋体" w:cs="Times New Roman"/>
          <w:color w:val="auto"/>
          <w:kern w:val="0"/>
          <w:sz w:val="24"/>
          <w:szCs w:val="24"/>
          <w:highlight w:val="none"/>
        </w:rPr>
        <w:t>对塑料薄膜表面进行</w:t>
      </w:r>
      <w:r>
        <w:rPr>
          <w:rFonts w:hint="eastAsia" w:ascii="Times New Roman" w:hAnsi="Times New Roman" w:eastAsia="宋体" w:cs="Times New Roman"/>
          <w:color w:val="auto"/>
          <w:kern w:val="0"/>
          <w:sz w:val="24"/>
          <w:szCs w:val="24"/>
          <w:highlight w:val="none"/>
          <w:lang w:val="en-US" w:eastAsia="zh-CN"/>
        </w:rPr>
        <w:t>电晕</w:t>
      </w:r>
      <w:r>
        <w:rPr>
          <w:rFonts w:hint="eastAsia" w:ascii="Times New Roman" w:hAnsi="Times New Roman" w:eastAsia="宋体" w:cs="Times New Roman"/>
          <w:color w:val="auto"/>
          <w:kern w:val="0"/>
          <w:sz w:val="24"/>
          <w:szCs w:val="24"/>
          <w:highlight w:val="none"/>
        </w:rPr>
        <w:t>处理。在电晕处理过程中，电晕</w:t>
      </w:r>
      <w:r>
        <w:rPr>
          <w:rFonts w:hint="eastAsia" w:ascii="Times New Roman" w:hAnsi="Times New Roman" w:eastAsia="宋体" w:cs="Times New Roman"/>
          <w:color w:val="auto"/>
          <w:kern w:val="0"/>
          <w:sz w:val="24"/>
          <w:szCs w:val="24"/>
          <w:highlight w:val="none"/>
          <w:lang w:val="en-US" w:eastAsia="zh-CN"/>
        </w:rPr>
        <w:t>处理装置</w:t>
      </w:r>
      <w:r>
        <w:rPr>
          <w:rFonts w:hint="eastAsia" w:ascii="Times New Roman" w:hAnsi="Times New Roman" w:eastAsia="宋体" w:cs="Times New Roman"/>
          <w:color w:val="auto"/>
          <w:kern w:val="0"/>
          <w:sz w:val="24"/>
          <w:szCs w:val="24"/>
          <w:highlight w:val="none"/>
        </w:rPr>
        <w:t>的高频低电流会使空气电离产生少量臭氧、氮氧化物。考虑到电晕电压（</w:t>
      </w:r>
      <w:r>
        <w:rPr>
          <w:rFonts w:ascii="Times New Roman" w:hAnsi="Times New Roman" w:eastAsia="宋体" w:cs="Times New Roman"/>
          <w:color w:val="auto"/>
          <w:kern w:val="0"/>
          <w:sz w:val="24"/>
          <w:szCs w:val="24"/>
          <w:highlight w:val="none"/>
        </w:rPr>
        <w:t>10~30KV</w:t>
      </w:r>
      <w:r>
        <w:rPr>
          <w:rFonts w:hint="eastAsia" w:ascii="Times New Roman" w:hAnsi="Times New Roman" w:eastAsia="宋体" w:cs="Times New Roman"/>
          <w:color w:val="auto"/>
          <w:kern w:val="0"/>
          <w:sz w:val="24"/>
          <w:szCs w:val="24"/>
          <w:highlight w:val="none"/>
        </w:rPr>
        <w:t>）相较于闪电电压（1亿至10亿伏特）较低，因此臭氧、氮氧化物产生量极小，本环评对此不进行定量分析。</w:t>
      </w:r>
    </w:p>
    <w:p w14:paraId="0CF32F55">
      <w:pPr>
        <w:spacing w:line="360" w:lineRule="auto"/>
        <w:ind w:firstLine="482"/>
        <w:rPr>
          <w:rFonts w:hint="eastAsia" w:ascii="Times New Roman" w:hAnsi="Times New Roman" w:eastAsia="宋体" w:cs="Times New Roman"/>
          <w:color w:val="auto"/>
          <w:sz w:val="24"/>
          <w:szCs w:val="24"/>
          <w:highlight w:val="none"/>
          <w:lang w:eastAsia="zh-CN"/>
        </w:rPr>
      </w:pP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6</w:t>
      </w:r>
      <w:r>
        <w:rPr>
          <w:rFonts w:hint="eastAsia"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恶臭</w:t>
      </w:r>
    </w:p>
    <w:p w14:paraId="3A860D7D">
      <w:pPr>
        <w:numPr>
          <w:ilvl w:val="255"/>
          <w:numId w:val="0"/>
        </w:numPr>
        <w:spacing w:line="360" w:lineRule="auto"/>
        <w:ind w:firstLine="480" w:firstLineChars="200"/>
        <w:jc w:val="left"/>
        <w:rPr>
          <w:color w:val="auto"/>
          <w:sz w:val="24"/>
          <w:szCs w:val="24"/>
        </w:rPr>
      </w:pPr>
      <w:r>
        <w:rPr>
          <w:rFonts w:hint="eastAsia"/>
          <w:color w:val="auto"/>
          <w:sz w:val="24"/>
          <w:szCs w:val="24"/>
        </w:rPr>
        <w:t>本项目熔融挤出过程中会产生生产异味，即为恶臭，根据恶臭污染物的定义，恶臭污染物主要指一切刺激嗅觉器官引起人们不愉快及损害生活环境的气体物质，本项目异味主要为生产车间工艺废气，本项目异味统一按臭气浓度进行定性描述。恶臭为人们对恶臭物质所感知的一种污染指标，其主要物质种类达上万种之多。由于其各种物质之间的相互作用（相加、协同、抵消及掩饰作用等），加之人类的嗅觉功能和恶臭物质取样分析等因素，迄今还难以对大多数恶臭物质作出浓度标准。北京环境监测中心在吸取国外经验的基础上提出了恶臭6级分级法，该分级法以感受器—嗅觉的感觉和人的主观感觉特征两个方面来描述各级特征，即明确了各级的差别，也提高了分级的准确程度。</w:t>
      </w:r>
    </w:p>
    <w:p w14:paraId="64F308B1">
      <w:pPr>
        <w:pStyle w:val="20"/>
        <w:numPr>
          <w:ilvl w:val="0"/>
          <w:numId w:val="6"/>
        </w:numPr>
        <w:spacing w:before="156"/>
        <w:rPr>
          <w:rFonts w:ascii="Times New Roman" w:hAnsi="Times New Roman" w:eastAsia="宋体" w:cs="Times New Roman"/>
          <w:b/>
          <w:bCs w:val="0"/>
          <w:color w:val="auto"/>
          <w:spacing w:val="0"/>
          <w:szCs w:val="21"/>
        </w:rPr>
      </w:pPr>
      <w:r>
        <w:rPr>
          <w:rFonts w:hint="default" w:ascii="Times New Roman" w:hAnsi="Times New Roman" w:eastAsia="宋体" w:cs="Times New Roman"/>
          <w:b/>
          <w:bCs w:val="0"/>
          <w:color w:val="auto"/>
          <w:spacing w:val="0"/>
          <w:szCs w:val="21"/>
        </w:rPr>
        <w:t>恶臭6级分级法</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05"/>
        <w:gridCol w:w="7111"/>
      </w:tblGrid>
      <w:tr w14:paraId="038EC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36992841">
            <w:pPr>
              <w:jc w:val="center"/>
              <w:rPr>
                <w:rFonts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恶臭强度级</w:t>
            </w:r>
          </w:p>
        </w:tc>
        <w:tc>
          <w:tcPr>
            <w:tcW w:w="6948" w:type="dxa"/>
            <w:noWrap w:val="0"/>
            <w:vAlign w:val="center"/>
          </w:tcPr>
          <w:p w14:paraId="0AF604DD">
            <w:pPr>
              <w:jc w:val="center"/>
              <w:rPr>
                <w:rFonts w:ascii="Times New Roman" w:hAnsi="Times New Roman" w:eastAsia="宋体" w:cs="Times New Roman"/>
                <w:b w:val="0"/>
                <w:bCs w:val="0"/>
                <w:color w:val="auto"/>
                <w:sz w:val="21"/>
                <w:szCs w:val="21"/>
                <w:highlight w:val="none"/>
              </w:rPr>
            </w:pPr>
            <w:r>
              <w:rPr>
                <w:rFonts w:hint="eastAsia" w:ascii="Times New Roman" w:hAnsi="Times New Roman" w:eastAsia="宋体" w:cs="Times New Roman"/>
                <w:b w:val="0"/>
                <w:bCs w:val="0"/>
                <w:color w:val="auto"/>
                <w:sz w:val="21"/>
                <w:szCs w:val="21"/>
                <w:highlight w:val="none"/>
              </w:rPr>
              <w:t>特征</w:t>
            </w:r>
          </w:p>
        </w:tc>
      </w:tr>
      <w:tr w14:paraId="3715F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2B2D3930">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w:t>
            </w:r>
          </w:p>
        </w:tc>
        <w:tc>
          <w:tcPr>
            <w:tcW w:w="6948" w:type="dxa"/>
            <w:noWrap w:val="0"/>
            <w:vAlign w:val="center"/>
          </w:tcPr>
          <w:p w14:paraId="118A3633">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未闻到有任何气味，无任何反应</w:t>
            </w:r>
          </w:p>
        </w:tc>
      </w:tr>
      <w:tr w14:paraId="575C4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1CF29178">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w:t>
            </w:r>
          </w:p>
        </w:tc>
        <w:tc>
          <w:tcPr>
            <w:tcW w:w="6948" w:type="dxa"/>
            <w:noWrap w:val="0"/>
            <w:vAlign w:val="center"/>
          </w:tcPr>
          <w:p w14:paraId="25BE5315">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勉强能闻到有气味，但不宜辩认气味性质（感觉阈值）认为无所谓</w:t>
            </w:r>
          </w:p>
        </w:tc>
      </w:tr>
      <w:tr w14:paraId="60B96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529B9D14">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p>
        </w:tc>
        <w:tc>
          <w:tcPr>
            <w:tcW w:w="6948" w:type="dxa"/>
            <w:noWrap w:val="0"/>
            <w:vAlign w:val="center"/>
          </w:tcPr>
          <w:p w14:paraId="05183F9E">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能闻到气味，且能辨认气味的性质（识别阈值），但感到很正常</w:t>
            </w:r>
          </w:p>
        </w:tc>
      </w:tr>
      <w:tr w14:paraId="52842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42ACDDD4">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w:t>
            </w:r>
          </w:p>
        </w:tc>
        <w:tc>
          <w:tcPr>
            <w:tcW w:w="6948" w:type="dxa"/>
            <w:noWrap w:val="0"/>
            <w:vAlign w:val="center"/>
          </w:tcPr>
          <w:p w14:paraId="48C28381">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很容易闻到气味，有所不快，但不反感</w:t>
            </w:r>
          </w:p>
        </w:tc>
      </w:tr>
      <w:tr w14:paraId="7B651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223C003D">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w:t>
            </w:r>
          </w:p>
        </w:tc>
        <w:tc>
          <w:tcPr>
            <w:tcW w:w="6948" w:type="dxa"/>
            <w:noWrap w:val="0"/>
            <w:vAlign w:val="center"/>
          </w:tcPr>
          <w:p w14:paraId="11652E4D">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有很强的气味，而且很反感，想离开</w:t>
            </w:r>
          </w:p>
        </w:tc>
      </w:tr>
      <w:tr w14:paraId="7F31E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73" w:type="dxa"/>
            <w:noWrap w:val="0"/>
            <w:vAlign w:val="center"/>
          </w:tcPr>
          <w:p w14:paraId="7DAEE2B7">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5</w:t>
            </w:r>
          </w:p>
        </w:tc>
        <w:tc>
          <w:tcPr>
            <w:tcW w:w="6948" w:type="dxa"/>
            <w:noWrap w:val="0"/>
            <w:vAlign w:val="center"/>
          </w:tcPr>
          <w:p w14:paraId="652DE436">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有极强的气味，无法忍受，立即逃跑</w:t>
            </w:r>
          </w:p>
        </w:tc>
      </w:tr>
    </w:tbl>
    <w:p w14:paraId="67E49985">
      <w:pPr>
        <w:numPr>
          <w:ilvl w:val="255"/>
          <w:numId w:val="0"/>
        </w:numPr>
        <w:spacing w:line="360" w:lineRule="auto"/>
        <w:ind w:firstLine="480" w:firstLineChars="200"/>
        <w:rPr>
          <w:rFonts w:ascii="Times New Roman" w:hAnsi="Times New Roman" w:eastAsia="宋体" w:cs="Times New Roman"/>
          <w:color w:val="auto"/>
          <w:sz w:val="24"/>
          <w:szCs w:val="24"/>
          <w:highlight w:val="none"/>
        </w:rPr>
      </w:pPr>
      <w:r>
        <w:rPr>
          <w:rFonts w:hint="eastAsia"/>
          <w:color w:val="auto"/>
          <w:sz w:val="24"/>
          <w:szCs w:val="24"/>
        </w:rPr>
        <w:t>根据类比调查，一般生产车间内恶臭强度在 2-3 级，车间外恶臭强度为 0-1 级。熔融挤出工序产生的恶臭废气经集气罩一并收集后高空排放，对周边环境产生明显影响较小。因此本报告仅作定性分析。</w:t>
      </w:r>
    </w:p>
    <w:p w14:paraId="7179537F">
      <w:pPr>
        <w:numPr>
          <w:ilvl w:val="0"/>
          <w:numId w:val="9"/>
        </w:num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废气污染源源强核算结果</w:t>
      </w:r>
    </w:p>
    <w:p w14:paraId="515D042F">
      <w:pPr>
        <w:numPr>
          <w:ilvl w:val="-1"/>
          <w:numId w:val="0"/>
        </w:numPr>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w:t>
      </w:r>
      <w:r>
        <w:rPr>
          <w:rFonts w:ascii="Times New Roman" w:hAnsi="Times New Roman" w:eastAsia="宋体" w:cs="Times New Roman"/>
          <w:color w:val="auto"/>
          <w:sz w:val="24"/>
          <w:szCs w:val="24"/>
          <w:highlight w:val="none"/>
        </w:rPr>
        <w:t>废气污染源源强核算结果</w:t>
      </w:r>
      <w:r>
        <w:rPr>
          <w:rFonts w:hint="eastAsia" w:ascii="Times New Roman" w:hAnsi="Times New Roman" w:eastAsia="宋体" w:cs="Times New Roman"/>
          <w:color w:val="auto"/>
          <w:sz w:val="24"/>
          <w:szCs w:val="24"/>
          <w:highlight w:val="none"/>
          <w:lang w:val="en-US" w:eastAsia="zh-CN"/>
        </w:rPr>
        <w:t>详见下表。</w:t>
      </w:r>
    </w:p>
    <w:p w14:paraId="74B56B66">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项目废气污染源源强核算结果及相关参数一览表</w:t>
      </w:r>
    </w:p>
    <w:tbl>
      <w:tblPr>
        <w:tblStyle w:val="15"/>
        <w:tblW w:w="5001"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542"/>
        <w:gridCol w:w="568"/>
        <w:gridCol w:w="420"/>
        <w:gridCol w:w="660"/>
        <w:gridCol w:w="600"/>
        <w:gridCol w:w="630"/>
        <w:gridCol w:w="615"/>
        <w:gridCol w:w="630"/>
        <w:gridCol w:w="585"/>
        <w:gridCol w:w="630"/>
        <w:gridCol w:w="615"/>
        <w:gridCol w:w="585"/>
        <w:gridCol w:w="630"/>
        <w:gridCol w:w="707"/>
      </w:tblGrid>
      <w:tr w14:paraId="4ED256D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4" w:hRule="atLeast"/>
        </w:trPr>
        <w:tc>
          <w:tcPr>
            <w:tcW w:w="321" w:type="pct"/>
            <w:vMerge w:val="restart"/>
            <w:noWrap/>
            <w:vAlign w:val="center"/>
          </w:tcPr>
          <w:p w14:paraId="23177E5A">
            <w:pPr>
              <w:spacing w:line="0" w:lineRule="atLeast"/>
              <w:jc w:val="center"/>
              <w:rPr>
                <w:color w:val="auto"/>
                <w:sz w:val="21"/>
                <w:szCs w:val="21"/>
              </w:rPr>
            </w:pPr>
            <w:r>
              <w:rPr>
                <w:rFonts w:hint="eastAsia"/>
                <w:color w:val="auto"/>
                <w:sz w:val="21"/>
                <w:szCs w:val="21"/>
              </w:rPr>
              <w:t>产生位置</w:t>
            </w:r>
          </w:p>
        </w:tc>
        <w:tc>
          <w:tcPr>
            <w:tcW w:w="337" w:type="pct"/>
            <w:vMerge w:val="restart"/>
            <w:noWrap/>
            <w:vAlign w:val="center"/>
          </w:tcPr>
          <w:p w14:paraId="60E25A5E">
            <w:pPr>
              <w:spacing w:line="0" w:lineRule="atLeast"/>
              <w:jc w:val="center"/>
              <w:rPr>
                <w:color w:val="auto"/>
                <w:sz w:val="21"/>
                <w:szCs w:val="21"/>
              </w:rPr>
            </w:pPr>
            <w:r>
              <w:rPr>
                <w:rFonts w:hint="eastAsia"/>
                <w:color w:val="auto"/>
                <w:sz w:val="21"/>
                <w:szCs w:val="21"/>
              </w:rPr>
              <w:t>产生工序</w:t>
            </w:r>
          </w:p>
        </w:tc>
        <w:tc>
          <w:tcPr>
            <w:tcW w:w="249" w:type="pct"/>
            <w:vMerge w:val="restart"/>
            <w:noWrap/>
            <w:vAlign w:val="center"/>
          </w:tcPr>
          <w:p w14:paraId="3CF02BF8">
            <w:pPr>
              <w:spacing w:line="0" w:lineRule="atLeast"/>
              <w:jc w:val="center"/>
              <w:rPr>
                <w:color w:val="auto"/>
                <w:sz w:val="21"/>
                <w:szCs w:val="21"/>
              </w:rPr>
            </w:pPr>
            <w:r>
              <w:rPr>
                <w:rFonts w:hint="eastAsia"/>
                <w:color w:val="auto"/>
                <w:sz w:val="21"/>
                <w:szCs w:val="21"/>
              </w:rPr>
              <w:t>污染物</w:t>
            </w:r>
          </w:p>
        </w:tc>
        <w:tc>
          <w:tcPr>
            <w:tcW w:w="392" w:type="pct"/>
            <w:vMerge w:val="restart"/>
            <w:noWrap/>
            <w:vAlign w:val="center"/>
          </w:tcPr>
          <w:p w14:paraId="59B8D441">
            <w:pPr>
              <w:spacing w:line="0" w:lineRule="atLeast"/>
              <w:jc w:val="center"/>
              <w:rPr>
                <w:color w:val="auto"/>
                <w:sz w:val="21"/>
                <w:szCs w:val="21"/>
              </w:rPr>
            </w:pPr>
            <w:r>
              <w:rPr>
                <w:rFonts w:hint="eastAsia"/>
                <w:color w:val="auto"/>
                <w:sz w:val="21"/>
                <w:szCs w:val="21"/>
              </w:rPr>
              <w:t>产生量</w:t>
            </w:r>
            <w:r>
              <w:rPr>
                <w:color w:val="auto"/>
                <w:kern w:val="0"/>
                <w:sz w:val="21"/>
                <w:szCs w:val="21"/>
              </w:rPr>
              <w:t>t/a</w:t>
            </w:r>
          </w:p>
        </w:tc>
        <w:tc>
          <w:tcPr>
            <w:tcW w:w="356" w:type="pct"/>
            <w:vMerge w:val="restart"/>
            <w:noWrap/>
            <w:vAlign w:val="center"/>
          </w:tcPr>
          <w:p w14:paraId="3D70AF5D">
            <w:pPr>
              <w:spacing w:line="0" w:lineRule="atLeast"/>
              <w:jc w:val="center"/>
              <w:rPr>
                <w:color w:val="auto"/>
                <w:sz w:val="21"/>
                <w:szCs w:val="21"/>
              </w:rPr>
            </w:pPr>
            <w:r>
              <w:rPr>
                <w:rFonts w:hint="eastAsia"/>
                <w:color w:val="auto"/>
                <w:sz w:val="21"/>
                <w:szCs w:val="21"/>
              </w:rPr>
              <w:t>产生速率</w:t>
            </w:r>
            <w:r>
              <w:rPr>
                <w:color w:val="auto"/>
                <w:kern w:val="0"/>
                <w:sz w:val="21"/>
                <w:szCs w:val="21"/>
              </w:rPr>
              <w:t>kg/h</w:t>
            </w:r>
          </w:p>
        </w:tc>
        <w:tc>
          <w:tcPr>
            <w:tcW w:w="1461" w:type="pct"/>
            <w:gridSpan w:val="4"/>
            <w:noWrap/>
            <w:vAlign w:val="center"/>
          </w:tcPr>
          <w:p w14:paraId="2F3706EA">
            <w:pPr>
              <w:spacing w:line="0" w:lineRule="atLeast"/>
              <w:jc w:val="center"/>
              <w:rPr>
                <w:color w:val="auto"/>
                <w:sz w:val="21"/>
                <w:szCs w:val="21"/>
              </w:rPr>
            </w:pPr>
            <w:r>
              <w:rPr>
                <w:rFonts w:hint="eastAsia"/>
                <w:color w:val="auto"/>
                <w:sz w:val="21"/>
                <w:szCs w:val="21"/>
              </w:rPr>
              <w:t>有组织排放</w:t>
            </w:r>
          </w:p>
        </w:tc>
        <w:tc>
          <w:tcPr>
            <w:tcW w:w="739" w:type="pct"/>
            <w:gridSpan w:val="2"/>
            <w:noWrap/>
            <w:vAlign w:val="center"/>
          </w:tcPr>
          <w:p w14:paraId="3FA3BADF">
            <w:pPr>
              <w:spacing w:line="0" w:lineRule="atLeast"/>
              <w:jc w:val="center"/>
              <w:rPr>
                <w:color w:val="auto"/>
                <w:sz w:val="21"/>
                <w:szCs w:val="21"/>
              </w:rPr>
            </w:pPr>
            <w:r>
              <w:rPr>
                <w:rFonts w:hint="eastAsia"/>
                <w:color w:val="auto"/>
                <w:sz w:val="21"/>
                <w:szCs w:val="21"/>
              </w:rPr>
              <w:t>无组织排放</w:t>
            </w:r>
          </w:p>
        </w:tc>
        <w:tc>
          <w:tcPr>
            <w:tcW w:w="721" w:type="pct"/>
            <w:gridSpan w:val="2"/>
            <w:noWrap/>
            <w:vAlign w:val="center"/>
          </w:tcPr>
          <w:p w14:paraId="7260464C">
            <w:pPr>
              <w:spacing w:line="0" w:lineRule="atLeast"/>
              <w:jc w:val="center"/>
              <w:rPr>
                <w:color w:val="auto"/>
                <w:sz w:val="21"/>
                <w:szCs w:val="21"/>
              </w:rPr>
            </w:pPr>
            <w:r>
              <w:rPr>
                <w:rFonts w:hint="eastAsia"/>
                <w:color w:val="auto"/>
                <w:sz w:val="21"/>
                <w:szCs w:val="21"/>
              </w:rPr>
              <w:t>治理措施</w:t>
            </w:r>
          </w:p>
        </w:tc>
        <w:tc>
          <w:tcPr>
            <w:tcW w:w="419" w:type="pct"/>
            <w:vMerge w:val="restart"/>
            <w:noWrap/>
            <w:vAlign w:val="center"/>
          </w:tcPr>
          <w:p w14:paraId="2C069364">
            <w:pPr>
              <w:spacing w:line="0" w:lineRule="atLeast"/>
              <w:jc w:val="center"/>
              <w:rPr>
                <w:color w:val="auto"/>
                <w:sz w:val="21"/>
                <w:szCs w:val="21"/>
              </w:rPr>
            </w:pPr>
            <w:r>
              <w:rPr>
                <w:rFonts w:hint="eastAsia"/>
                <w:color w:val="auto"/>
                <w:sz w:val="21"/>
                <w:szCs w:val="21"/>
              </w:rPr>
              <w:t>备注</w:t>
            </w:r>
          </w:p>
        </w:tc>
      </w:tr>
      <w:tr w14:paraId="39DD57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718" w:hRule="atLeast"/>
        </w:trPr>
        <w:tc>
          <w:tcPr>
            <w:tcW w:w="321" w:type="pct"/>
            <w:vMerge w:val="continue"/>
            <w:noWrap/>
            <w:vAlign w:val="center"/>
          </w:tcPr>
          <w:p w14:paraId="5CD6EE87">
            <w:pPr>
              <w:spacing w:line="0" w:lineRule="atLeast"/>
              <w:jc w:val="center"/>
              <w:rPr>
                <w:color w:val="auto"/>
                <w:sz w:val="21"/>
                <w:szCs w:val="21"/>
              </w:rPr>
            </w:pPr>
          </w:p>
        </w:tc>
        <w:tc>
          <w:tcPr>
            <w:tcW w:w="337" w:type="pct"/>
            <w:vMerge w:val="continue"/>
            <w:noWrap/>
            <w:vAlign w:val="center"/>
          </w:tcPr>
          <w:p w14:paraId="668F96BE">
            <w:pPr>
              <w:spacing w:line="0" w:lineRule="atLeast"/>
              <w:jc w:val="center"/>
              <w:rPr>
                <w:color w:val="auto"/>
                <w:sz w:val="21"/>
                <w:szCs w:val="21"/>
              </w:rPr>
            </w:pPr>
          </w:p>
        </w:tc>
        <w:tc>
          <w:tcPr>
            <w:tcW w:w="249" w:type="pct"/>
            <w:vMerge w:val="continue"/>
            <w:noWrap/>
            <w:vAlign w:val="center"/>
          </w:tcPr>
          <w:p w14:paraId="627C5F4B">
            <w:pPr>
              <w:spacing w:line="0" w:lineRule="atLeast"/>
              <w:jc w:val="center"/>
              <w:rPr>
                <w:color w:val="auto"/>
                <w:sz w:val="21"/>
                <w:szCs w:val="21"/>
              </w:rPr>
            </w:pPr>
          </w:p>
        </w:tc>
        <w:tc>
          <w:tcPr>
            <w:tcW w:w="392" w:type="pct"/>
            <w:vMerge w:val="continue"/>
            <w:noWrap/>
            <w:vAlign w:val="center"/>
          </w:tcPr>
          <w:p w14:paraId="4B655568">
            <w:pPr>
              <w:spacing w:line="0" w:lineRule="atLeast"/>
              <w:jc w:val="center"/>
              <w:rPr>
                <w:color w:val="auto"/>
                <w:sz w:val="21"/>
                <w:szCs w:val="21"/>
              </w:rPr>
            </w:pPr>
          </w:p>
        </w:tc>
        <w:tc>
          <w:tcPr>
            <w:tcW w:w="356" w:type="pct"/>
            <w:vMerge w:val="continue"/>
            <w:noWrap/>
            <w:vAlign w:val="center"/>
          </w:tcPr>
          <w:p w14:paraId="15938181">
            <w:pPr>
              <w:spacing w:line="0" w:lineRule="atLeast"/>
              <w:jc w:val="center"/>
              <w:rPr>
                <w:color w:val="auto"/>
                <w:sz w:val="21"/>
                <w:szCs w:val="21"/>
              </w:rPr>
            </w:pPr>
          </w:p>
        </w:tc>
        <w:tc>
          <w:tcPr>
            <w:tcW w:w="374" w:type="pct"/>
            <w:shd w:val="clear" w:color="auto" w:fill="auto"/>
            <w:noWrap/>
            <w:vAlign w:val="center"/>
          </w:tcPr>
          <w:p w14:paraId="2EABB64C">
            <w:pPr>
              <w:spacing w:line="0" w:lineRule="atLeast"/>
              <w:jc w:val="center"/>
              <w:rPr>
                <w:color w:val="auto"/>
                <w:sz w:val="21"/>
                <w:szCs w:val="21"/>
              </w:rPr>
            </w:pPr>
            <w:r>
              <w:rPr>
                <w:rFonts w:hint="eastAsia"/>
                <w:color w:val="auto"/>
                <w:kern w:val="0"/>
                <w:sz w:val="21"/>
                <w:szCs w:val="21"/>
              </w:rPr>
              <w:t>削减量</w:t>
            </w:r>
            <w:r>
              <w:rPr>
                <w:color w:val="auto"/>
                <w:kern w:val="0"/>
                <w:sz w:val="21"/>
                <w:szCs w:val="21"/>
              </w:rPr>
              <w:t>t/a</w:t>
            </w:r>
          </w:p>
        </w:tc>
        <w:tc>
          <w:tcPr>
            <w:tcW w:w="365" w:type="pct"/>
            <w:shd w:val="clear" w:color="auto" w:fill="auto"/>
            <w:noWrap/>
            <w:vAlign w:val="center"/>
          </w:tcPr>
          <w:p w14:paraId="49C6FA39">
            <w:pPr>
              <w:spacing w:line="0" w:lineRule="atLeast"/>
              <w:jc w:val="center"/>
              <w:rPr>
                <w:color w:val="auto"/>
                <w:sz w:val="21"/>
                <w:szCs w:val="21"/>
              </w:rPr>
            </w:pPr>
            <w:r>
              <w:rPr>
                <w:rFonts w:hint="eastAsia"/>
                <w:color w:val="auto"/>
                <w:sz w:val="21"/>
                <w:szCs w:val="21"/>
              </w:rPr>
              <w:t>排放量</w:t>
            </w:r>
            <w:r>
              <w:rPr>
                <w:color w:val="auto"/>
                <w:kern w:val="0"/>
                <w:sz w:val="21"/>
                <w:szCs w:val="21"/>
              </w:rPr>
              <w:t>t/a</w:t>
            </w:r>
          </w:p>
        </w:tc>
        <w:tc>
          <w:tcPr>
            <w:tcW w:w="374" w:type="pct"/>
            <w:shd w:val="clear" w:color="auto" w:fill="auto"/>
            <w:noWrap/>
            <w:vAlign w:val="center"/>
          </w:tcPr>
          <w:p w14:paraId="5DFAD4C5">
            <w:pPr>
              <w:spacing w:line="0" w:lineRule="atLeast"/>
              <w:jc w:val="center"/>
              <w:rPr>
                <w:color w:val="auto"/>
                <w:sz w:val="21"/>
                <w:szCs w:val="21"/>
              </w:rPr>
            </w:pPr>
            <w:r>
              <w:rPr>
                <w:rFonts w:hint="eastAsia"/>
                <w:color w:val="auto"/>
                <w:kern w:val="0"/>
                <w:sz w:val="21"/>
                <w:szCs w:val="21"/>
              </w:rPr>
              <w:t>排放速率</w:t>
            </w:r>
            <w:r>
              <w:rPr>
                <w:color w:val="auto"/>
                <w:kern w:val="0"/>
                <w:sz w:val="21"/>
                <w:szCs w:val="21"/>
              </w:rPr>
              <w:t>kg/h</w:t>
            </w:r>
          </w:p>
        </w:tc>
        <w:tc>
          <w:tcPr>
            <w:tcW w:w="347" w:type="pct"/>
            <w:shd w:val="clear" w:color="auto" w:fill="auto"/>
            <w:noWrap/>
            <w:vAlign w:val="center"/>
          </w:tcPr>
          <w:p w14:paraId="69EA74DA">
            <w:pPr>
              <w:spacing w:line="0" w:lineRule="atLeast"/>
              <w:jc w:val="center"/>
              <w:rPr>
                <w:color w:val="auto"/>
                <w:kern w:val="0"/>
                <w:sz w:val="21"/>
                <w:szCs w:val="21"/>
              </w:rPr>
            </w:pPr>
            <w:r>
              <w:rPr>
                <w:rFonts w:hint="eastAsia"/>
                <w:color w:val="auto"/>
                <w:kern w:val="0"/>
                <w:sz w:val="21"/>
                <w:szCs w:val="21"/>
              </w:rPr>
              <w:t>排放</w:t>
            </w:r>
          </w:p>
          <w:p w14:paraId="457A7684">
            <w:pPr>
              <w:spacing w:line="0" w:lineRule="atLeast"/>
              <w:jc w:val="center"/>
              <w:rPr>
                <w:color w:val="auto"/>
                <w:sz w:val="21"/>
                <w:szCs w:val="21"/>
              </w:rPr>
            </w:pPr>
            <w:r>
              <w:rPr>
                <w:rFonts w:hint="eastAsia"/>
                <w:color w:val="auto"/>
                <w:kern w:val="0"/>
                <w:sz w:val="21"/>
                <w:szCs w:val="21"/>
              </w:rPr>
              <w:t>浓度</w:t>
            </w:r>
            <w:r>
              <w:rPr>
                <w:color w:val="auto"/>
                <w:kern w:val="0"/>
                <w:sz w:val="21"/>
                <w:szCs w:val="21"/>
              </w:rPr>
              <w:t>mg/m</w:t>
            </w:r>
            <w:r>
              <w:rPr>
                <w:color w:val="auto"/>
                <w:kern w:val="0"/>
                <w:sz w:val="21"/>
                <w:szCs w:val="21"/>
                <w:vertAlign w:val="superscript"/>
              </w:rPr>
              <w:t>3</w:t>
            </w:r>
          </w:p>
        </w:tc>
        <w:tc>
          <w:tcPr>
            <w:tcW w:w="374" w:type="pct"/>
            <w:noWrap/>
            <w:vAlign w:val="center"/>
          </w:tcPr>
          <w:p w14:paraId="7A75FF53">
            <w:pPr>
              <w:spacing w:line="0" w:lineRule="atLeast"/>
              <w:jc w:val="center"/>
              <w:rPr>
                <w:color w:val="auto"/>
                <w:sz w:val="21"/>
                <w:szCs w:val="21"/>
              </w:rPr>
            </w:pPr>
            <w:r>
              <w:rPr>
                <w:rFonts w:hint="eastAsia"/>
                <w:color w:val="auto"/>
                <w:sz w:val="21"/>
                <w:szCs w:val="21"/>
              </w:rPr>
              <w:t>排放量</w:t>
            </w:r>
            <w:r>
              <w:rPr>
                <w:color w:val="auto"/>
                <w:kern w:val="0"/>
                <w:sz w:val="21"/>
                <w:szCs w:val="21"/>
              </w:rPr>
              <w:t>t/a</w:t>
            </w:r>
          </w:p>
        </w:tc>
        <w:tc>
          <w:tcPr>
            <w:tcW w:w="365" w:type="pct"/>
            <w:noWrap/>
            <w:vAlign w:val="center"/>
          </w:tcPr>
          <w:p w14:paraId="5B0D8F79">
            <w:pPr>
              <w:spacing w:line="0" w:lineRule="atLeast"/>
              <w:jc w:val="center"/>
              <w:rPr>
                <w:color w:val="auto"/>
                <w:sz w:val="21"/>
                <w:szCs w:val="21"/>
              </w:rPr>
            </w:pPr>
            <w:r>
              <w:rPr>
                <w:rFonts w:hint="eastAsia"/>
                <w:color w:val="auto"/>
                <w:kern w:val="0"/>
                <w:sz w:val="21"/>
                <w:szCs w:val="21"/>
              </w:rPr>
              <w:t>排放速率</w:t>
            </w:r>
            <w:r>
              <w:rPr>
                <w:color w:val="auto"/>
                <w:kern w:val="0"/>
                <w:sz w:val="21"/>
                <w:szCs w:val="21"/>
              </w:rPr>
              <w:t>kg/h</w:t>
            </w:r>
          </w:p>
        </w:tc>
        <w:tc>
          <w:tcPr>
            <w:tcW w:w="347" w:type="pct"/>
            <w:noWrap/>
            <w:vAlign w:val="center"/>
          </w:tcPr>
          <w:p w14:paraId="68F3CF17">
            <w:pPr>
              <w:spacing w:line="0" w:lineRule="atLeast"/>
              <w:jc w:val="center"/>
              <w:rPr>
                <w:color w:val="auto"/>
                <w:kern w:val="0"/>
                <w:sz w:val="21"/>
                <w:szCs w:val="21"/>
              </w:rPr>
            </w:pPr>
            <w:r>
              <w:rPr>
                <w:rFonts w:hint="eastAsia"/>
                <w:color w:val="auto"/>
                <w:kern w:val="0"/>
                <w:sz w:val="21"/>
                <w:szCs w:val="21"/>
              </w:rPr>
              <w:t>工艺</w:t>
            </w:r>
          </w:p>
        </w:tc>
        <w:tc>
          <w:tcPr>
            <w:tcW w:w="374" w:type="pct"/>
            <w:noWrap/>
            <w:vAlign w:val="center"/>
          </w:tcPr>
          <w:p w14:paraId="079B5301">
            <w:pPr>
              <w:spacing w:line="0" w:lineRule="atLeast"/>
              <w:jc w:val="center"/>
              <w:rPr>
                <w:color w:val="auto"/>
                <w:kern w:val="0"/>
                <w:sz w:val="21"/>
                <w:szCs w:val="21"/>
              </w:rPr>
            </w:pPr>
            <w:r>
              <w:rPr>
                <w:rFonts w:hint="eastAsia"/>
                <w:color w:val="auto"/>
                <w:kern w:val="0"/>
                <w:sz w:val="21"/>
                <w:szCs w:val="21"/>
              </w:rPr>
              <w:t>效率</w:t>
            </w:r>
          </w:p>
        </w:tc>
        <w:tc>
          <w:tcPr>
            <w:tcW w:w="419" w:type="pct"/>
            <w:vMerge w:val="continue"/>
            <w:noWrap/>
            <w:vAlign w:val="center"/>
          </w:tcPr>
          <w:p w14:paraId="5058070B">
            <w:pPr>
              <w:spacing w:line="0" w:lineRule="atLeast"/>
              <w:jc w:val="center"/>
              <w:rPr>
                <w:color w:val="auto"/>
                <w:sz w:val="21"/>
                <w:szCs w:val="21"/>
              </w:rPr>
            </w:pPr>
          </w:p>
        </w:tc>
      </w:tr>
      <w:tr w14:paraId="27CBDA4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9" w:hRule="atLeast"/>
        </w:trPr>
        <w:tc>
          <w:tcPr>
            <w:tcW w:w="321" w:type="pct"/>
            <w:vMerge w:val="restart"/>
            <w:noWrap/>
            <w:vAlign w:val="center"/>
          </w:tcPr>
          <w:p w14:paraId="630B1033">
            <w:pPr>
              <w:spacing w:line="0" w:lineRule="atLeast"/>
              <w:jc w:val="center"/>
              <w:rPr>
                <w:rFonts w:hint="eastAsia" w:eastAsia="宋体"/>
                <w:color w:val="auto"/>
                <w:sz w:val="21"/>
                <w:szCs w:val="21"/>
                <w:lang w:eastAsia="zh-CN"/>
              </w:rPr>
            </w:pPr>
            <w:r>
              <w:rPr>
                <w:rFonts w:hint="eastAsia"/>
                <w:color w:val="auto"/>
                <w:sz w:val="21"/>
                <w:szCs w:val="21"/>
              </w:rPr>
              <w:t>共挤吹膜机组</w:t>
            </w:r>
            <w:r>
              <w:rPr>
                <w:rFonts w:hint="eastAsia"/>
                <w:color w:val="auto"/>
                <w:sz w:val="21"/>
                <w:szCs w:val="21"/>
                <w:lang w:eastAsia="zh-CN"/>
              </w:rPr>
              <w:t>、</w:t>
            </w:r>
            <w:r>
              <w:rPr>
                <w:rFonts w:hint="eastAsia"/>
                <w:color w:val="auto"/>
                <w:sz w:val="21"/>
                <w:szCs w:val="21"/>
                <w:lang w:val="en-US" w:eastAsia="zh-CN"/>
              </w:rPr>
              <w:t>活性炭吸附/脱附+催化燃烧装置</w:t>
            </w:r>
          </w:p>
        </w:tc>
        <w:tc>
          <w:tcPr>
            <w:tcW w:w="337" w:type="pct"/>
            <w:noWrap/>
            <w:vAlign w:val="center"/>
          </w:tcPr>
          <w:p w14:paraId="72045547">
            <w:pPr>
              <w:spacing w:line="0" w:lineRule="atLeast"/>
              <w:jc w:val="center"/>
              <w:rPr>
                <w:color w:val="auto"/>
                <w:sz w:val="21"/>
                <w:szCs w:val="21"/>
              </w:rPr>
            </w:pPr>
            <w:r>
              <w:rPr>
                <w:rFonts w:hint="eastAsia"/>
                <w:color w:val="auto"/>
                <w:sz w:val="21"/>
                <w:szCs w:val="21"/>
              </w:rPr>
              <w:t>吸附阶段</w:t>
            </w:r>
          </w:p>
        </w:tc>
        <w:tc>
          <w:tcPr>
            <w:tcW w:w="249" w:type="pct"/>
            <w:noWrap/>
            <w:vAlign w:val="center"/>
          </w:tcPr>
          <w:p w14:paraId="0CFC7D80">
            <w:pPr>
              <w:spacing w:line="0" w:lineRule="atLeast"/>
              <w:jc w:val="center"/>
              <w:rPr>
                <w:color w:val="auto"/>
                <w:sz w:val="21"/>
                <w:szCs w:val="21"/>
              </w:rPr>
            </w:pPr>
            <w:r>
              <w:rPr>
                <w:rFonts w:hint="eastAsia"/>
                <w:color w:val="auto"/>
                <w:sz w:val="21"/>
                <w:szCs w:val="21"/>
              </w:rPr>
              <w:t>非甲烷总烃</w:t>
            </w:r>
          </w:p>
        </w:tc>
        <w:tc>
          <w:tcPr>
            <w:tcW w:w="392" w:type="pct"/>
            <w:noWrap/>
            <w:vAlign w:val="center"/>
          </w:tcPr>
          <w:p w14:paraId="67722222">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2.244 </w:t>
            </w:r>
          </w:p>
        </w:tc>
        <w:tc>
          <w:tcPr>
            <w:tcW w:w="356" w:type="pct"/>
            <w:noWrap/>
            <w:vAlign w:val="center"/>
          </w:tcPr>
          <w:p w14:paraId="06F80EBD">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0.352 </w:t>
            </w:r>
          </w:p>
        </w:tc>
        <w:tc>
          <w:tcPr>
            <w:tcW w:w="374" w:type="pct"/>
            <w:noWrap/>
            <w:vAlign w:val="center"/>
          </w:tcPr>
          <w:p w14:paraId="10FAB4ED">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1.257 </w:t>
            </w:r>
          </w:p>
        </w:tc>
        <w:tc>
          <w:tcPr>
            <w:tcW w:w="365" w:type="pct"/>
            <w:noWrap/>
            <w:vAlign w:val="center"/>
          </w:tcPr>
          <w:p w14:paraId="7DA0F002">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0.539 </w:t>
            </w:r>
          </w:p>
        </w:tc>
        <w:tc>
          <w:tcPr>
            <w:tcW w:w="374" w:type="pct"/>
            <w:noWrap/>
            <w:vAlign w:val="center"/>
          </w:tcPr>
          <w:p w14:paraId="1EB8B835">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0.084 </w:t>
            </w:r>
          </w:p>
        </w:tc>
        <w:tc>
          <w:tcPr>
            <w:tcW w:w="347" w:type="pct"/>
            <w:noWrap/>
            <w:vAlign w:val="center"/>
          </w:tcPr>
          <w:p w14:paraId="11A23468">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374" w:type="pct"/>
            <w:noWrap/>
            <w:vAlign w:val="center"/>
          </w:tcPr>
          <w:p w14:paraId="6C8078CA">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0.449 </w:t>
            </w:r>
          </w:p>
        </w:tc>
        <w:tc>
          <w:tcPr>
            <w:tcW w:w="365" w:type="pct"/>
            <w:noWrap/>
            <w:vAlign w:val="center"/>
          </w:tcPr>
          <w:p w14:paraId="35F7D4E4">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0.070 </w:t>
            </w:r>
          </w:p>
        </w:tc>
        <w:tc>
          <w:tcPr>
            <w:tcW w:w="347" w:type="pct"/>
            <w:noWrap/>
            <w:vAlign w:val="center"/>
          </w:tcPr>
          <w:p w14:paraId="18FD7141">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活性炭吸附</w:t>
            </w:r>
          </w:p>
        </w:tc>
        <w:tc>
          <w:tcPr>
            <w:tcW w:w="374" w:type="pct"/>
            <w:noWrap/>
            <w:vAlign w:val="center"/>
          </w:tcPr>
          <w:p w14:paraId="22DD9463">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收集效率</w:t>
            </w:r>
            <w:r>
              <w:rPr>
                <w:rStyle w:val="49"/>
                <w:rFonts w:eastAsia="宋体"/>
                <w:color w:val="auto"/>
                <w:sz w:val="21"/>
                <w:szCs w:val="21"/>
                <w:lang w:val="en-US" w:eastAsia="zh-CN" w:bidi="ar"/>
              </w:rPr>
              <w:t>80%</w:t>
            </w:r>
            <w:r>
              <w:rPr>
                <w:rStyle w:val="50"/>
                <w:rFonts w:hint="default" w:ascii="Times New Roman" w:hAnsi="Times New Roman" w:cs="Times New Roman"/>
                <w:color w:val="auto"/>
                <w:sz w:val="21"/>
                <w:szCs w:val="21"/>
                <w:lang w:val="en-US" w:eastAsia="zh-CN" w:bidi="ar"/>
              </w:rPr>
              <w:t>，处理效率</w:t>
            </w:r>
            <w:r>
              <w:rPr>
                <w:rStyle w:val="49"/>
                <w:rFonts w:eastAsia="宋体"/>
                <w:color w:val="auto"/>
                <w:sz w:val="21"/>
                <w:szCs w:val="21"/>
                <w:lang w:val="en-US" w:eastAsia="zh-CN" w:bidi="ar"/>
              </w:rPr>
              <w:t>70%</w:t>
            </w:r>
            <w:r>
              <w:rPr>
                <w:rStyle w:val="50"/>
                <w:rFonts w:hint="default" w:ascii="Times New Roman" w:hAnsi="Times New Roman" w:cs="Times New Roman"/>
                <w:color w:val="auto"/>
                <w:sz w:val="21"/>
                <w:szCs w:val="21"/>
                <w:lang w:val="en-US" w:eastAsia="zh-CN" w:bidi="ar"/>
              </w:rPr>
              <w:t>计</w:t>
            </w:r>
          </w:p>
        </w:tc>
        <w:tc>
          <w:tcPr>
            <w:tcW w:w="419" w:type="pct"/>
            <w:noWrap/>
            <w:vAlign w:val="center"/>
          </w:tcPr>
          <w:p w14:paraId="3C46EAB2">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风量32</w:t>
            </w:r>
            <w:r>
              <w:rPr>
                <w:rStyle w:val="49"/>
                <w:rFonts w:eastAsia="宋体"/>
                <w:color w:val="auto"/>
                <w:sz w:val="21"/>
                <w:szCs w:val="21"/>
                <w:lang w:val="en-US" w:eastAsia="zh-CN" w:bidi="ar"/>
              </w:rPr>
              <w:t>000m</w:t>
            </w:r>
            <w:r>
              <w:rPr>
                <w:rStyle w:val="51"/>
                <w:rFonts w:eastAsia="宋体"/>
                <w:color w:val="auto"/>
                <w:sz w:val="21"/>
                <w:szCs w:val="21"/>
                <w:lang w:val="en-US" w:eastAsia="zh-CN" w:bidi="ar"/>
              </w:rPr>
              <w:t>3</w:t>
            </w:r>
            <w:r>
              <w:rPr>
                <w:rStyle w:val="49"/>
                <w:rFonts w:eastAsia="宋体"/>
                <w:color w:val="auto"/>
                <w:sz w:val="21"/>
                <w:szCs w:val="21"/>
                <w:lang w:val="en-US" w:eastAsia="zh-CN" w:bidi="ar"/>
              </w:rPr>
              <w:t>/h</w:t>
            </w:r>
          </w:p>
        </w:tc>
      </w:tr>
      <w:tr w14:paraId="4A67CC1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9" w:hRule="atLeast"/>
        </w:trPr>
        <w:tc>
          <w:tcPr>
            <w:tcW w:w="321" w:type="pct"/>
            <w:vMerge w:val="continue"/>
            <w:noWrap/>
            <w:vAlign w:val="center"/>
          </w:tcPr>
          <w:p w14:paraId="0BE7CBF8">
            <w:pPr>
              <w:spacing w:line="0" w:lineRule="atLeast"/>
              <w:jc w:val="center"/>
              <w:rPr>
                <w:color w:val="auto"/>
                <w:sz w:val="21"/>
                <w:szCs w:val="21"/>
              </w:rPr>
            </w:pPr>
          </w:p>
        </w:tc>
        <w:tc>
          <w:tcPr>
            <w:tcW w:w="337" w:type="pct"/>
            <w:noWrap/>
            <w:vAlign w:val="center"/>
          </w:tcPr>
          <w:p w14:paraId="5D5B4422">
            <w:pPr>
              <w:spacing w:line="0" w:lineRule="atLeast"/>
              <w:jc w:val="center"/>
              <w:rPr>
                <w:color w:val="auto"/>
                <w:sz w:val="21"/>
                <w:szCs w:val="21"/>
              </w:rPr>
            </w:pPr>
            <w:r>
              <w:rPr>
                <w:rFonts w:hint="eastAsia"/>
                <w:color w:val="auto"/>
                <w:sz w:val="21"/>
                <w:szCs w:val="21"/>
              </w:rPr>
              <w:t>脱附阶段</w:t>
            </w:r>
          </w:p>
        </w:tc>
        <w:tc>
          <w:tcPr>
            <w:tcW w:w="249" w:type="pct"/>
            <w:noWrap/>
            <w:vAlign w:val="center"/>
          </w:tcPr>
          <w:p w14:paraId="60DB2805">
            <w:pPr>
              <w:spacing w:line="0" w:lineRule="atLeast"/>
              <w:jc w:val="center"/>
              <w:rPr>
                <w:color w:val="auto"/>
                <w:sz w:val="21"/>
                <w:szCs w:val="21"/>
              </w:rPr>
            </w:pPr>
            <w:r>
              <w:rPr>
                <w:rFonts w:hint="eastAsia"/>
                <w:color w:val="auto"/>
                <w:sz w:val="21"/>
                <w:szCs w:val="21"/>
              </w:rPr>
              <w:t>非甲烷总烃</w:t>
            </w:r>
          </w:p>
        </w:tc>
        <w:tc>
          <w:tcPr>
            <w:tcW w:w="392" w:type="pct"/>
            <w:noWrap/>
            <w:vAlign w:val="center"/>
          </w:tcPr>
          <w:p w14:paraId="505C2526">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1.257 </w:t>
            </w:r>
          </w:p>
        </w:tc>
        <w:tc>
          <w:tcPr>
            <w:tcW w:w="356" w:type="pct"/>
            <w:noWrap/>
            <w:vAlign w:val="center"/>
          </w:tcPr>
          <w:p w14:paraId="553F2CF6">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7.854 </w:t>
            </w:r>
          </w:p>
        </w:tc>
        <w:tc>
          <w:tcPr>
            <w:tcW w:w="374" w:type="pct"/>
            <w:noWrap/>
            <w:vAlign w:val="center"/>
          </w:tcPr>
          <w:p w14:paraId="3AE7D7D0">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1.219 </w:t>
            </w:r>
          </w:p>
        </w:tc>
        <w:tc>
          <w:tcPr>
            <w:tcW w:w="365" w:type="pct"/>
            <w:noWrap/>
            <w:vAlign w:val="center"/>
          </w:tcPr>
          <w:p w14:paraId="06B36FAC">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0.038 </w:t>
            </w:r>
          </w:p>
        </w:tc>
        <w:tc>
          <w:tcPr>
            <w:tcW w:w="374" w:type="pct"/>
            <w:noWrap/>
            <w:vAlign w:val="center"/>
          </w:tcPr>
          <w:p w14:paraId="368D3F58">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0.236 </w:t>
            </w:r>
          </w:p>
        </w:tc>
        <w:tc>
          <w:tcPr>
            <w:tcW w:w="347" w:type="pct"/>
            <w:noWrap/>
            <w:vAlign w:val="center"/>
          </w:tcPr>
          <w:p w14:paraId="358A506F">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78.540 </w:t>
            </w:r>
          </w:p>
        </w:tc>
        <w:tc>
          <w:tcPr>
            <w:tcW w:w="374" w:type="pct"/>
            <w:noWrap/>
            <w:vAlign w:val="center"/>
          </w:tcPr>
          <w:p w14:paraId="04A66D43">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365" w:type="pct"/>
            <w:noWrap/>
            <w:vAlign w:val="center"/>
          </w:tcPr>
          <w:p w14:paraId="719742FB">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347" w:type="pct"/>
            <w:noWrap/>
            <w:vAlign w:val="center"/>
          </w:tcPr>
          <w:p w14:paraId="0250345F">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脱附催化燃烧</w:t>
            </w:r>
          </w:p>
        </w:tc>
        <w:tc>
          <w:tcPr>
            <w:tcW w:w="374" w:type="pct"/>
            <w:noWrap/>
            <w:vAlign w:val="center"/>
          </w:tcPr>
          <w:p w14:paraId="5EF45CA6">
            <w:pPr>
              <w:keepNext w:val="0"/>
              <w:keepLines w:val="0"/>
              <w:widowControl/>
              <w:suppressLineNumbers w:val="0"/>
              <w:jc w:val="center"/>
              <w:textAlignment w:val="center"/>
              <w:rPr>
                <w:rFonts w:ascii="Times New Roman" w:hAnsi="Times New Roman" w:cs="Times New Roman"/>
                <w:color w:val="auto"/>
                <w:sz w:val="21"/>
                <w:szCs w:val="21"/>
              </w:rPr>
            </w:pPr>
            <w:r>
              <w:rPr>
                <w:rStyle w:val="50"/>
                <w:rFonts w:hint="default" w:ascii="Times New Roman" w:hAnsi="Times New Roman" w:cs="Times New Roman"/>
                <w:color w:val="auto"/>
                <w:sz w:val="21"/>
                <w:szCs w:val="21"/>
                <w:lang w:val="en-US" w:eastAsia="zh-CN" w:bidi="ar"/>
              </w:rPr>
              <w:t>脱附催化燃烧</w:t>
            </w:r>
            <w:r>
              <w:rPr>
                <w:rStyle w:val="49"/>
                <w:rFonts w:eastAsia="宋体"/>
                <w:color w:val="auto"/>
                <w:sz w:val="21"/>
                <w:szCs w:val="21"/>
                <w:lang w:val="en-US" w:eastAsia="zh-CN" w:bidi="ar"/>
              </w:rPr>
              <w:t>97%</w:t>
            </w:r>
            <w:r>
              <w:rPr>
                <w:rStyle w:val="50"/>
                <w:rFonts w:hint="default" w:ascii="Times New Roman" w:hAnsi="Times New Roman" w:cs="Times New Roman"/>
                <w:color w:val="auto"/>
                <w:sz w:val="21"/>
                <w:szCs w:val="21"/>
                <w:lang w:val="en-US" w:eastAsia="zh-CN" w:bidi="ar"/>
              </w:rPr>
              <w:t>计</w:t>
            </w:r>
          </w:p>
        </w:tc>
        <w:tc>
          <w:tcPr>
            <w:tcW w:w="419" w:type="pct"/>
            <w:noWrap/>
            <w:vAlign w:val="center"/>
          </w:tcPr>
          <w:p w14:paraId="1ABB8092">
            <w:pPr>
              <w:keepNext w:val="0"/>
              <w:keepLines w:val="0"/>
              <w:widowControl/>
              <w:suppressLineNumbers w:val="0"/>
              <w:jc w:val="center"/>
              <w:textAlignment w:val="center"/>
              <w:rPr>
                <w:rStyle w:val="49"/>
                <w:rFonts w:eastAsia="宋体"/>
                <w:color w:val="auto"/>
                <w:sz w:val="21"/>
                <w:szCs w:val="21"/>
                <w:lang w:val="en-US" w:eastAsia="zh-CN" w:bidi="ar"/>
              </w:rPr>
            </w:pPr>
            <w:r>
              <w:rPr>
                <w:rStyle w:val="50"/>
                <w:rFonts w:hint="default" w:ascii="Times New Roman" w:hAnsi="Times New Roman" w:cs="Times New Roman"/>
                <w:color w:val="auto"/>
                <w:sz w:val="21"/>
                <w:szCs w:val="21"/>
                <w:lang w:val="en-US" w:eastAsia="zh-CN" w:bidi="ar"/>
              </w:rPr>
              <w:t>风量</w:t>
            </w:r>
            <w:r>
              <w:rPr>
                <w:rStyle w:val="49"/>
                <w:rFonts w:eastAsia="宋体"/>
                <w:color w:val="auto"/>
                <w:sz w:val="21"/>
                <w:szCs w:val="21"/>
                <w:lang w:val="en-US" w:eastAsia="zh-CN" w:bidi="ar"/>
              </w:rPr>
              <w:t>3000</w:t>
            </w:r>
          </w:p>
          <w:p w14:paraId="0AFB365F">
            <w:pPr>
              <w:keepNext w:val="0"/>
              <w:keepLines w:val="0"/>
              <w:widowControl/>
              <w:suppressLineNumbers w:val="0"/>
              <w:jc w:val="center"/>
              <w:textAlignment w:val="center"/>
              <w:rPr>
                <w:rFonts w:ascii="Times New Roman" w:hAnsi="Times New Roman" w:cs="Times New Roman"/>
                <w:color w:val="auto"/>
                <w:sz w:val="21"/>
                <w:szCs w:val="21"/>
              </w:rPr>
            </w:pPr>
            <w:r>
              <w:rPr>
                <w:rStyle w:val="49"/>
                <w:rFonts w:eastAsia="宋体"/>
                <w:color w:val="auto"/>
                <w:sz w:val="21"/>
                <w:szCs w:val="21"/>
                <w:lang w:val="en-US" w:eastAsia="zh-CN" w:bidi="ar"/>
              </w:rPr>
              <w:t>m</w:t>
            </w:r>
            <w:r>
              <w:rPr>
                <w:rStyle w:val="51"/>
                <w:rFonts w:eastAsia="宋体"/>
                <w:color w:val="auto"/>
                <w:sz w:val="21"/>
                <w:szCs w:val="21"/>
                <w:lang w:val="en-US" w:eastAsia="zh-CN" w:bidi="ar"/>
              </w:rPr>
              <w:t>3</w:t>
            </w:r>
            <w:r>
              <w:rPr>
                <w:rStyle w:val="49"/>
                <w:rFonts w:eastAsia="宋体"/>
                <w:color w:val="auto"/>
                <w:sz w:val="21"/>
                <w:szCs w:val="21"/>
                <w:lang w:val="en-US" w:eastAsia="zh-CN" w:bidi="ar"/>
              </w:rPr>
              <w:t>/h</w:t>
            </w:r>
          </w:p>
        </w:tc>
      </w:tr>
      <w:tr w14:paraId="27E71BA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9" w:hRule="atLeast"/>
        </w:trPr>
        <w:tc>
          <w:tcPr>
            <w:tcW w:w="321" w:type="pct"/>
            <w:vMerge w:val="continue"/>
            <w:noWrap/>
            <w:vAlign w:val="center"/>
          </w:tcPr>
          <w:p w14:paraId="2A0271BB">
            <w:pPr>
              <w:spacing w:line="0" w:lineRule="atLeast"/>
              <w:jc w:val="center"/>
              <w:rPr>
                <w:color w:val="auto"/>
                <w:sz w:val="21"/>
                <w:szCs w:val="21"/>
              </w:rPr>
            </w:pPr>
          </w:p>
        </w:tc>
        <w:tc>
          <w:tcPr>
            <w:tcW w:w="337" w:type="pct"/>
            <w:noWrap/>
            <w:vAlign w:val="center"/>
          </w:tcPr>
          <w:p w14:paraId="58A0C87F">
            <w:pPr>
              <w:spacing w:line="0" w:lineRule="atLeast"/>
              <w:jc w:val="center"/>
              <w:rPr>
                <w:color w:val="auto"/>
                <w:sz w:val="21"/>
                <w:szCs w:val="21"/>
              </w:rPr>
            </w:pPr>
            <w:r>
              <w:rPr>
                <w:rFonts w:hint="eastAsia"/>
                <w:color w:val="auto"/>
                <w:sz w:val="21"/>
                <w:szCs w:val="21"/>
              </w:rPr>
              <w:t>吸附阶段+脱附阶段同时进行</w:t>
            </w:r>
          </w:p>
        </w:tc>
        <w:tc>
          <w:tcPr>
            <w:tcW w:w="249" w:type="pct"/>
            <w:noWrap/>
            <w:vAlign w:val="center"/>
          </w:tcPr>
          <w:p w14:paraId="2B6CBC51">
            <w:pPr>
              <w:spacing w:line="0" w:lineRule="atLeast"/>
              <w:jc w:val="center"/>
              <w:rPr>
                <w:color w:val="auto"/>
                <w:sz w:val="21"/>
                <w:szCs w:val="21"/>
              </w:rPr>
            </w:pPr>
            <w:r>
              <w:rPr>
                <w:rFonts w:hint="eastAsia"/>
                <w:color w:val="auto"/>
                <w:sz w:val="21"/>
                <w:szCs w:val="21"/>
              </w:rPr>
              <w:t>非甲烷总烃</w:t>
            </w:r>
          </w:p>
        </w:tc>
        <w:tc>
          <w:tcPr>
            <w:tcW w:w="392" w:type="pct"/>
            <w:noWrap/>
            <w:vAlign w:val="center"/>
          </w:tcPr>
          <w:p w14:paraId="6C42CA15">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2.244 </w:t>
            </w:r>
          </w:p>
        </w:tc>
        <w:tc>
          <w:tcPr>
            <w:tcW w:w="356" w:type="pct"/>
            <w:noWrap/>
            <w:vAlign w:val="center"/>
          </w:tcPr>
          <w:p w14:paraId="6AF247CB">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w:t>
            </w:r>
          </w:p>
        </w:tc>
        <w:tc>
          <w:tcPr>
            <w:tcW w:w="374" w:type="pct"/>
            <w:noWrap/>
            <w:vAlign w:val="center"/>
          </w:tcPr>
          <w:p w14:paraId="1D9344CD">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1.219 </w:t>
            </w:r>
          </w:p>
        </w:tc>
        <w:tc>
          <w:tcPr>
            <w:tcW w:w="365" w:type="pct"/>
            <w:noWrap/>
            <w:vAlign w:val="center"/>
          </w:tcPr>
          <w:p w14:paraId="737588F6">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0.576 </w:t>
            </w:r>
          </w:p>
        </w:tc>
        <w:tc>
          <w:tcPr>
            <w:tcW w:w="374" w:type="pct"/>
            <w:noWrap/>
            <w:vAlign w:val="center"/>
          </w:tcPr>
          <w:p w14:paraId="63085105">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0.320 </w:t>
            </w:r>
          </w:p>
        </w:tc>
        <w:tc>
          <w:tcPr>
            <w:tcW w:w="347" w:type="pct"/>
            <w:noWrap/>
            <w:vAlign w:val="center"/>
          </w:tcPr>
          <w:p w14:paraId="148D617A">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9.146 </w:t>
            </w:r>
          </w:p>
        </w:tc>
        <w:tc>
          <w:tcPr>
            <w:tcW w:w="374" w:type="pct"/>
            <w:noWrap/>
            <w:vAlign w:val="center"/>
          </w:tcPr>
          <w:p w14:paraId="03B92AC7">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0.449 </w:t>
            </w:r>
          </w:p>
        </w:tc>
        <w:tc>
          <w:tcPr>
            <w:tcW w:w="365" w:type="pct"/>
            <w:noWrap/>
            <w:vAlign w:val="center"/>
          </w:tcPr>
          <w:p w14:paraId="484CCD85">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0.070 </w:t>
            </w:r>
          </w:p>
        </w:tc>
        <w:tc>
          <w:tcPr>
            <w:tcW w:w="347" w:type="pct"/>
            <w:noWrap/>
            <w:vAlign w:val="center"/>
          </w:tcPr>
          <w:p w14:paraId="5277E1F0">
            <w:pPr>
              <w:keepNext w:val="0"/>
              <w:keepLines w:val="0"/>
              <w:widowControl/>
              <w:suppressLineNumbers w:val="0"/>
              <w:jc w:val="center"/>
              <w:textAlignment w:val="center"/>
              <w:rPr>
                <w:rFonts w:ascii="Times New Roman" w:hAnsi="Times New Roman" w:cs="Times New Roman"/>
                <w:color w:val="auto"/>
                <w:sz w:val="21"/>
                <w:szCs w:val="21"/>
              </w:rPr>
            </w:pPr>
            <w:r>
              <w:rPr>
                <w:rStyle w:val="50"/>
                <w:rFonts w:hint="default" w:ascii="Times New Roman" w:hAnsi="Times New Roman" w:cs="Times New Roman"/>
                <w:color w:val="auto"/>
                <w:sz w:val="21"/>
                <w:szCs w:val="21"/>
                <w:lang w:val="en-US" w:eastAsia="zh-CN" w:bidi="ar"/>
              </w:rPr>
              <w:t>活性炭吸附</w:t>
            </w:r>
            <w:r>
              <w:rPr>
                <w:rStyle w:val="49"/>
                <w:rFonts w:eastAsia="宋体"/>
                <w:color w:val="auto"/>
                <w:sz w:val="21"/>
                <w:szCs w:val="21"/>
                <w:lang w:val="en-US" w:eastAsia="zh-CN" w:bidi="ar"/>
              </w:rPr>
              <w:t>+</w:t>
            </w:r>
            <w:r>
              <w:rPr>
                <w:rStyle w:val="50"/>
                <w:rFonts w:hint="default" w:ascii="Times New Roman" w:hAnsi="Times New Roman" w:cs="Times New Roman"/>
                <w:color w:val="auto"/>
                <w:sz w:val="21"/>
                <w:szCs w:val="21"/>
                <w:lang w:val="en-US" w:eastAsia="zh-CN" w:bidi="ar"/>
              </w:rPr>
              <w:t>脱附催化燃烧</w:t>
            </w:r>
          </w:p>
        </w:tc>
        <w:tc>
          <w:tcPr>
            <w:tcW w:w="374" w:type="pct"/>
            <w:noWrap/>
            <w:vAlign w:val="center"/>
          </w:tcPr>
          <w:p w14:paraId="36D658BD">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处理效率</w:t>
            </w:r>
            <w:r>
              <w:rPr>
                <w:rStyle w:val="49"/>
                <w:rFonts w:eastAsia="宋体"/>
                <w:color w:val="auto"/>
                <w:sz w:val="21"/>
                <w:szCs w:val="21"/>
                <w:lang w:val="en-US" w:eastAsia="zh-CN" w:bidi="ar"/>
              </w:rPr>
              <w:t>70%</w:t>
            </w:r>
            <w:r>
              <w:rPr>
                <w:rStyle w:val="50"/>
                <w:rFonts w:hint="default" w:ascii="Times New Roman" w:hAnsi="Times New Roman" w:cs="Times New Roman"/>
                <w:color w:val="auto"/>
                <w:sz w:val="21"/>
                <w:szCs w:val="21"/>
                <w:lang w:val="en-US" w:eastAsia="zh-CN" w:bidi="ar"/>
              </w:rPr>
              <w:t>计，脱附催化燃烧</w:t>
            </w:r>
            <w:r>
              <w:rPr>
                <w:rStyle w:val="49"/>
                <w:rFonts w:eastAsia="宋体"/>
                <w:color w:val="auto"/>
                <w:sz w:val="21"/>
                <w:szCs w:val="21"/>
                <w:lang w:val="en-US" w:eastAsia="zh-CN" w:bidi="ar"/>
              </w:rPr>
              <w:t>97%</w:t>
            </w:r>
            <w:r>
              <w:rPr>
                <w:rStyle w:val="50"/>
                <w:rFonts w:hint="default" w:ascii="Times New Roman" w:hAnsi="Times New Roman" w:cs="Times New Roman"/>
                <w:color w:val="auto"/>
                <w:sz w:val="21"/>
                <w:szCs w:val="21"/>
                <w:lang w:val="en-US" w:eastAsia="zh-CN" w:bidi="ar"/>
              </w:rPr>
              <w:t>计</w:t>
            </w:r>
          </w:p>
        </w:tc>
        <w:tc>
          <w:tcPr>
            <w:tcW w:w="419" w:type="pct"/>
            <w:noWrap/>
            <w:vAlign w:val="center"/>
          </w:tcPr>
          <w:p w14:paraId="2AE62154">
            <w:pPr>
              <w:keepNext w:val="0"/>
              <w:keepLines w:val="0"/>
              <w:widowControl/>
              <w:suppressLineNumbers w:val="0"/>
              <w:jc w:val="center"/>
              <w:textAlignment w:val="center"/>
              <w:rPr>
                <w:rFonts w:ascii="Times New Roman" w:hAnsi="Times New Roman"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系统风量35</w:t>
            </w:r>
            <w:r>
              <w:rPr>
                <w:rStyle w:val="49"/>
                <w:rFonts w:eastAsia="宋体"/>
                <w:color w:val="auto"/>
                <w:sz w:val="21"/>
                <w:szCs w:val="21"/>
                <w:lang w:val="en-US" w:eastAsia="zh-CN" w:bidi="ar"/>
              </w:rPr>
              <w:t>000m</w:t>
            </w:r>
            <w:r>
              <w:rPr>
                <w:rStyle w:val="51"/>
                <w:rFonts w:eastAsia="宋体"/>
                <w:color w:val="auto"/>
                <w:sz w:val="21"/>
                <w:szCs w:val="21"/>
                <w:lang w:val="en-US" w:eastAsia="zh-CN" w:bidi="ar"/>
              </w:rPr>
              <w:t>3</w:t>
            </w:r>
            <w:r>
              <w:rPr>
                <w:rStyle w:val="49"/>
                <w:rFonts w:eastAsia="宋体"/>
                <w:color w:val="auto"/>
                <w:sz w:val="21"/>
                <w:szCs w:val="21"/>
                <w:lang w:val="en-US" w:eastAsia="zh-CN" w:bidi="ar"/>
              </w:rPr>
              <w:t>/h</w:t>
            </w:r>
          </w:p>
        </w:tc>
      </w:tr>
      <w:tr w14:paraId="008F4BFC">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469" w:hRule="atLeast"/>
        </w:trPr>
        <w:tc>
          <w:tcPr>
            <w:tcW w:w="5000" w:type="pct"/>
            <w:gridSpan w:val="14"/>
            <w:noWrap/>
            <w:vAlign w:val="center"/>
          </w:tcPr>
          <w:p w14:paraId="535D95DC">
            <w:pPr>
              <w:spacing w:line="0" w:lineRule="atLeast"/>
              <w:rPr>
                <w:rFonts w:hint="eastAsia" w:eastAsia="宋体"/>
                <w:color w:val="auto"/>
                <w:sz w:val="21"/>
                <w:szCs w:val="21"/>
                <w:lang w:eastAsia="zh-CN"/>
              </w:rPr>
            </w:pPr>
            <w:r>
              <w:rPr>
                <w:rFonts w:hint="eastAsia" w:ascii="宋体" w:hAnsi="宋体" w:cs="宋体"/>
                <w:color w:val="auto"/>
                <w:kern w:val="0"/>
                <w:sz w:val="21"/>
                <w:szCs w:val="21"/>
                <w:lang w:bidi="ar"/>
              </w:rPr>
              <w:t>注：根据涉及原料年用量和设备最大生产能力计算，</w:t>
            </w:r>
            <w:r>
              <w:rPr>
                <w:rFonts w:hint="eastAsia" w:ascii="宋体" w:hAnsi="宋体" w:cs="宋体"/>
                <w:color w:val="auto"/>
                <w:kern w:val="0"/>
                <w:sz w:val="21"/>
                <w:szCs w:val="21"/>
                <w:lang w:val="en-US" w:eastAsia="zh-CN" w:bidi="ar"/>
              </w:rPr>
              <w:t>共挤吹膜机组</w:t>
            </w:r>
            <w:r>
              <w:rPr>
                <w:rFonts w:hint="eastAsia" w:ascii="宋体" w:hAnsi="宋体" w:cs="宋体"/>
                <w:color w:val="auto"/>
                <w:kern w:val="0"/>
                <w:sz w:val="21"/>
                <w:szCs w:val="21"/>
                <w:lang w:bidi="ar"/>
              </w:rPr>
              <w:t>最大工况下的工作</w:t>
            </w:r>
            <w:r>
              <w:rPr>
                <w:color w:val="auto"/>
                <w:kern w:val="0"/>
                <w:sz w:val="21"/>
                <w:szCs w:val="21"/>
                <w:lang w:bidi="ar"/>
              </w:rPr>
              <w:t>时间为</w:t>
            </w:r>
            <w:r>
              <w:rPr>
                <w:rFonts w:hint="eastAsia"/>
                <w:color w:val="auto"/>
                <w:kern w:val="0"/>
                <w:sz w:val="21"/>
                <w:szCs w:val="21"/>
                <w:lang w:val="en-US" w:eastAsia="zh-CN" w:bidi="ar"/>
              </w:rPr>
              <w:t>6375</w:t>
            </w:r>
            <w:r>
              <w:rPr>
                <w:color w:val="auto"/>
                <w:kern w:val="0"/>
                <w:sz w:val="21"/>
                <w:szCs w:val="21"/>
                <w:lang w:bidi="ar"/>
              </w:rPr>
              <w:t>h</w:t>
            </w:r>
            <w:r>
              <w:rPr>
                <w:rFonts w:hint="eastAsia"/>
                <w:color w:val="auto"/>
                <w:kern w:val="0"/>
                <w:sz w:val="21"/>
                <w:szCs w:val="21"/>
                <w:lang w:eastAsia="zh-CN" w:bidi="ar"/>
              </w:rPr>
              <w:t>；</w:t>
            </w:r>
            <w:r>
              <w:rPr>
                <w:rFonts w:hint="default" w:ascii="Times New Roman" w:hAnsi="Times New Roman" w:cs="Times New Roman"/>
                <w:color w:val="auto"/>
                <w:kern w:val="0"/>
                <w:sz w:val="21"/>
                <w:szCs w:val="21"/>
                <w:lang w:bidi="ar"/>
              </w:rPr>
              <w:t>脱附催化燃烧时间为</w:t>
            </w:r>
            <w:r>
              <w:rPr>
                <w:rFonts w:hint="default" w:ascii="Times New Roman" w:hAnsi="Times New Roman" w:cs="Times New Roman"/>
                <w:color w:val="auto"/>
                <w:kern w:val="0"/>
                <w:sz w:val="21"/>
                <w:szCs w:val="21"/>
                <w:lang w:val="en-US" w:eastAsia="zh-CN" w:bidi="ar"/>
              </w:rPr>
              <w:t>16</w:t>
            </w:r>
            <w:r>
              <w:rPr>
                <w:rFonts w:hint="default" w:ascii="Times New Roman" w:hAnsi="Times New Roman" w:cs="Times New Roman"/>
                <w:color w:val="auto"/>
                <w:kern w:val="0"/>
                <w:sz w:val="21"/>
                <w:szCs w:val="21"/>
                <w:lang w:bidi="ar"/>
              </w:rPr>
              <w:t>0h/a</w:t>
            </w:r>
            <w:r>
              <w:rPr>
                <w:rFonts w:ascii="Times New Roman" w:hAnsi="Times New Roman" w:cs="Times New Roman"/>
                <w:color w:val="auto"/>
                <w:kern w:val="0"/>
                <w:sz w:val="21"/>
                <w:szCs w:val="21"/>
                <w:lang w:bidi="ar"/>
              </w:rPr>
              <w:t>。</w:t>
            </w:r>
          </w:p>
        </w:tc>
      </w:tr>
    </w:tbl>
    <w:p w14:paraId="52F96A29">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非正常排放参数表</w:t>
      </w:r>
    </w:p>
    <w:tbl>
      <w:tblPr>
        <w:tblStyle w:val="15"/>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28" w:type="dxa"/>
          <w:bottom w:w="0" w:type="dxa"/>
          <w:right w:w="28" w:type="dxa"/>
        </w:tblCellMar>
      </w:tblPr>
      <w:tblGrid>
        <w:gridCol w:w="392"/>
        <w:gridCol w:w="891"/>
        <w:gridCol w:w="561"/>
        <w:gridCol w:w="1117"/>
        <w:gridCol w:w="1100"/>
        <w:gridCol w:w="1266"/>
        <w:gridCol w:w="1134"/>
        <w:gridCol w:w="650"/>
        <w:gridCol w:w="691"/>
        <w:gridCol w:w="887"/>
      </w:tblGrid>
      <w:tr w14:paraId="1890B152">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92" w:type="dxa"/>
            <w:vMerge w:val="restart"/>
            <w:noWrap/>
            <w:vAlign w:val="center"/>
          </w:tcPr>
          <w:p w14:paraId="584F6C83">
            <w:pPr>
              <w:spacing w:line="0" w:lineRule="atLeast"/>
              <w:jc w:val="center"/>
              <w:rPr>
                <w:color w:val="auto"/>
                <w:kern w:val="0"/>
                <w:sz w:val="21"/>
                <w:szCs w:val="21"/>
              </w:rPr>
            </w:pPr>
            <w:r>
              <w:rPr>
                <w:rFonts w:hint="eastAsia"/>
                <w:color w:val="auto"/>
                <w:sz w:val="21"/>
                <w:szCs w:val="21"/>
              </w:rPr>
              <w:t>产生位置</w:t>
            </w:r>
          </w:p>
        </w:tc>
        <w:tc>
          <w:tcPr>
            <w:tcW w:w="891" w:type="dxa"/>
            <w:vMerge w:val="restart"/>
            <w:noWrap/>
            <w:vAlign w:val="center"/>
          </w:tcPr>
          <w:p w14:paraId="7A02B76D">
            <w:pPr>
              <w:spacing w:line="0" w:lineRule="atLeast"/>
              <w:jc w:val="center"/>
              <w:rPr>
                <w:color w:val="auto"/>
                <w:kern w:val="0"/>
                <w:sz w:val="21"/>
                <w:szCs w:val="21"/>
              </w:rPr>
            </w:pPr>
            <w:r>
              <w:rPr>
                <w:rFonts w:hint="eastAsia"/>
                <w:color w:val="auto"/>
                <w:sz w:val="21"/>
                <w:szCs w:val="21"/>
              </w:rPr>
              <w:t>产生工序</w:t>
            </w:r>
          </w:p>
        </w:tc>
        <w:tc>
          <w:tcPr>
            <w:tcW w:w="561" w:type="dxa"/>
            <w:vMerge w:val="restart"/>
            <w:noWrap/>
            <w:vAlign w:val="center"/>
          </w:tcPr>
          <w:p w14:paraId="5543C8A2">
            <w:pPr>
              <w:widowControl/>
              <w:jc w:val="center"/>
              <w:rPr>
                <w:color w:val="auto"/>
                <w:kern w:val="0"/>
                <w:sz w:val="21"/>
                <w:szCs w:val="21"/>
              </w:rPr>
            </w:pPr>
            <w:r>
              <w:rPr>
                <w:color w:val="auto"/>
                <w:kern w:val="0"/>
                <w:sz w:val="21"/>
                <w:szCs w:val="21"/>
              </w:rPr>
              <w:t>非正常排放原因</w:t>
            </w:r>
          </w:p>
        </w:tc>
        <w:tc>
          <w:tcPr>
            <w:tcW w:w="1117" w:type="dxa"/>
            <w:vMerge w:val="restart"/>
            <w:noWrap/>
            <w:vAlign w:val="center"/>
          </w:tcPr>
          <w:p w14:paraId="2474C865">
            <w:pPr>
              <w:spacing w:line="0" w:lineRule="atLeast"/>
              <w:jc w:val="center"/>
              <w:rPr>
                <w:color w:val="auto"/>
                <w:kern w:val="0"/>
                <w:sz w:val="21"/>
                <w:szCs w:val="21"/>
              </w:rPr>
            </w:pPr>
            <w:r>
              <w:rPr>
                <w:rFonts w:hint="eastAsia"/>
                <w:color w:val="auto"/>
                <w:sz w:val="21"/>
                <w:szCs w:val="21"/>
              </w:rPr>
              <w:t>污染物</w:t>
            </w:r>
          </w:p>
        </w:tc>
        <w:tc>
          <w:tcPr>
            <w:tcW w:w="3500" w:type="dxa"/>
            <w:gridSpan w:val="3"/>
            <w:noWrap/>
            <w:vAlign w:val="center"/>
          </w:tcPr>
          <w:p w14:paraId="2F38807E">
            <w:pPr>
              <w:widowControl/>
              <w:jc w:val="center"/>
              <w:rPr>
                <w:color w:val="auto"/>
                <w:kern w:val="0"/>
                <w:sz w:val="21"/>
                <w:szCs w:val="21"/>
              </w:rPr>
            </w:pPr>
            <w:r>
              <w:rPr>
                <w:color w:val="auto"/>
                <w:kern w:val="0"/>
                <w:sz w:val="21"/>
                <w:szCs w:val="21"/>
              </w:rPr>
              <w:t>污染物排放情况</w:t>
            </w:r>
          </w:p>
        </w:tc>
        <w:tc>
          <w:tcPr>
            <w:tcW w:w="650" w:type="dxa"/>
            <w:vMerge w:val="restart"/>
            <w:noWrap/>
            <w:vAlign w:val="center"/>
          </w:tcPr>
          <w:p w14:paraId="25A62549">
            <w:pPr>
              <w:widowControl/>
              <w:jc w:val="center"/>
              <w:rPr>
                <w:color w:val="auto"/>
                <w:kern w:val="0"/>
                <w:sz w:val="21"/>
                <w:szCs w:val="21"/>
              </w:rPr>
            </w:pPr>
            <w:r>
              <w:rPr>
                <w:color w:val="auto"/>
                <w:kern w:val="0"/>
                <w:sz w:val="21"/>
                <w:szCs w:val="21"/>
              </w:rPr>
              <w:t>单次持续时间(h)</w:t>
            </w:r>
          </w:p>
        </w:tc>
        <w:tc>
          <w:tcPr>
            <w:tcW w:w="691" w:type="dxa"/>
            <w:vMerge w:val="restart"/>
            <w:noWrap/>
            <w:vAlign w:val="center"/>
          </w:tcPr>
          <w:p w14:paraId="71F12E3E">
            <w:pPr>
              <w:widowControl/>
              <w:jc w:val="center"/>
              <w:rPr>
                <w:color w:val="auto"/>
                <w:kern w:val="0"/>
                <w:sz w:val="21"/>
                <w:szCs w:val="21"/>
              </w:rPr>
            </w:pPr>
            <w:r>
              <w:rPr>
                <w:color w:val="auto"/>
                <w:kern w:val="0"/>
                <w:sz w:val="21"/>
                <w:szCs w:val="21"/>
              </w:rPr>
              <w:t>年发生频次(次)</w:t>
            </w:r>
          </w:p>
        </w:tc>
        <w:tc>
          <w:tcPr>
            <w:tcW w:w="887" w:type="dxa"/>
            <w:vMerge w:val="restart"/>
            <w:noWrap/>
            <w:vAlign w:val="center"/>
          </w:tcPr>
          <w:p w14:paraId="4C8800BA">
            <w:pPr>
              <w:widowControl/>
              <w:jc w:val="center"/>
              <w:rPr>
                <w:color w:val="auto"/>
                <w:kern w:val="0"/>
                <w:sz w:val="21"/>
                <w:szCs w:val="21"/>
              </w:rPr>
            </w:pPr>
            <w:r>
              <w:rPr>
                <w:color w:val="auto"/>
                <w:kern w:val="0"/>
                <w:sz w:val="21"/>
                <w:szCs w:val="21"/>
              </w:rPr>
              <w:t>应对措施</w:t>
            </w:r>
          </w:p>
        </w:tc>
      </w:tr>
      <w:tr w14:paraId="59333B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392" w:type="dxa"/>
            <w:vMerge w:val="continue"/>
            <w:noWrap/>
            <w:vAlign w:val="center"/>
          </w:tcPr>
          <w:p w14:paraId="01EF50CA">
            <w:pPr>
              <w:widowControl/>
              <w:jc w:val="left"/>
              <w:rPr>
                <w:color w:val="auto"/>
                <w:kern w:val="0"/>
                <w:sz w:val="21"/>
                <w:szCs w:val="21"/>
              </w:rPr>
            </w:pPr>
          </w:p>
        </w:tc>
        <w:tc>
          <w:tcPr>
            <w:tcW w:w="891" w:type="dxa"/>
            <w:vMerge w:val="continue"/>
            <w:noWrap/>
            <w:vAlign w:val="center"/>
          </w:tcPr>
          <w:p w14:paraId="54FAF91F">
            <w:pPr>
              <w:widowControl/>
              <w:jc w:val="left"/>
              <w:rPr>
                <w:color w:val="auto"/>
                <w:kern w:val="0"/>
                <w:sz w:val="21"/>
                <w:szCs w:val="21"/>
              </w:rPr>
            </w:pPr>
          </w:p>
        </w:tc>
        <w:tc>
          <w:tcPr>
            <w:tcW w:w="561" w:type="dxa"/>
            <w:vMerge w:val="continue"/>
            <w:noWrap/>
            <w:vAlign w:val="center"/>
          </w:tcPr>
          <w:p w14:paraId="3B340CC1">
            <w:pPr>
              <w:widowControl/>
              <w:jc w:val="left"/>
              <w:rPr>
                <w:color w:val="auto"/>
                <w:kern w:val="0"/>
                <w:sz w:val="21"/>
                <w:szCs w:val="21"/>
              </w:rPr>
            </w:pPr>
          </w:p>
        </w:tc>
        <w:tc>
          <w:tcPr>
            <w:tcW w:w="1117" w:type="dxa"/>
            <w:vMerge w:val="continue"/>
            <w:noWrap/>
            <w:vAlign w:val="center"/>
          </w:tcPr>
          <w:p w14:paraId="56DA2792">
            <w:pPr>
              <w:widowControl/>
              <w:jc w:val="left"/>
              <w:rPr>
                <w:color w:val="auto"/>
                <w:kern w:val="0"/>
                <w:sz w:val="21"/>
                <w:szCs w:val="21"/>
              </w:rPr>
            </w:pPr>
          </w:p>
        </w:tc>
        <w:tc>
          <w:tcPr>
            <w:tcW w:w="1100" w:type="dxa"/>
            <w:noWrap/>
            <w:vAlign w:val="center"/>
          </w:tcPr>
          <w:p w14:paraId="0A2CF59E">
            <w:pPr>
              <w:widowControl/>
              <w:jc w:val="center"/>
              <w:rPr>
                <w:color w:val="auto"/>
                <w:kern w:val="0"/>
                <w:sz w:val="21"/>
                <w:szCs w:val="21"/>
              </w:rPr>
            </w:pPr>
            <w:r>
              <w:rPr>
                <w:rFonts w:hint="eastAsia"/>
                <w:color w:val="auto"/>
                <w:kern w:val="0"/>
                <w:sz w:val="21"/>
                <w:szCs w:val="21"/>
              </w:rPr>
              <w:t>排放量（</w:t>
            </w:r>
            <w:r>
              <w:rPr>
                <w:color w:val="auto"/>
                <w:kern w:val="0"/>
                <w:sz w:val="21"/>
                <w:szCs w:val="21"/>
              </w:rPr>
              <w:t>t/a</w:t>
            </w:r>
            <w:r>
              <w:rPr>
                <w:rFonts w:hint="eastAsia"/>
                <w:color w:val="auto"/>
                <w:kern w:val="0"/>
                <w:sz w:val="21"/>
                <w:szCs w:val="21"/>
              </w:rPr>
              <w:t>）</w:t>
            </w:r>
          </w:p>
        </w:tc>
        <w:tc>
          <w:tcPr>
            <w:tcW w:w="1266" w:type="dxa"/>
            <w:noWrap/>
            <w:vAlign w:val="center"/>
          </w:tcPr>
          <w:p w14:paraId="79D75F40">
            <w:pPr>
              <w:widowControl/>
              <w:jc w:val="center"/>
              <w:rPr>
                <w:color w:val="auto"/>
                <w:kern w:val="0"/>
                <w:sz w:val="21"/>
                <w:szCs w:val="21"/>
              </w:rPr>
            </w:pPr>
            <w:r>
              <w:rPr>
                <w:color w:val="auto"/>
                <w:kern w:val="0"/>
                <w:sz w:val="21"/>
                <w:szCs w:val="21"/>
              </w:rPr>
              <w:t>排放浓度(mg/m</w:t>
            </w:r>
            <w:r>
              <w:rPr>
                <w:color w:val="auto"/>
                <w:kern w:val="0"/>
                <w:sz w:val="21"/>
                <w:szCs w:val="21"/>
                <w:vertAlign w:val="superscript"/>
              </w:rPr>
              <w:t>3</w:t>
            </w:r>
            <w:r>
              <w:rPr>
                <w:color w:val="auto"/>
                <w:kern w:val="0"/>
                <w:sz w:val="21"/>
                <w:szCs w:val="21"/>
              </w:rPr>
              <w:t>)</w:t>
            </w:r>
          </w:p>
        </w:tc>
        <w:tc>
          <w:tcPr>
            <w:tcW w:w="1134" w:type="dxa"/>
            <w:noWrap/>
            <w:vAlign w:val="center"/>
          </w:tcPr>
          <w:p w14:paraId="566E0492">
            <w:pPr>
              <w:widowControl/>
              <w:jc w:val="center"/>
              <w:rPr>
                <w:color w:val="auto"/>
                <w:kern w:val="0"/>
                <w:sz w:val="21"/>
                <w:szCs w:val="21"/>
              </w:rPr>
            </w:pPr>
            <w:r>
              <w:rPr>
                <w:color w:val="auto"/>
                <w:kern w:val="0"/>
                <w:sz w:val="21"/>
                <w:szCs w:val="21"/>
              </w:rPr>
              <w:t>排放量(kg/h)</w:t>
            </w:r>
          </w:p>
        </w:tc>
        <w:tc>
          <w:tcPr>
            <w:tcW w:w="650" w:type="dxa"/>
            <w:vMerge w:val="continue"/>
            <w:noWrap/>
            <w:vAlign w:val="center"/>
          </w:tcPr>
          <w:p w14:paraId="55B24BA6">
            <w:pPr>
              <w:widowControl/>
              <w:jc w:val="left"/>
              <w:rPr>
                <w:color w:val="auto"/>
                <w:kern w:val="0"/>
                <w:sz w:val="21"/>
                <w:szCs w:val="21"/>
              </w:rPr>
            </w:pPr>
          </w:p>
        </w:tc>
        <w:tc>
          <w:tcPr>
            <w:tcW w:w="691" w:type="dxa"/>
            <w:vMerge w:val="continue"/>
            <w:noWrap/>
            <w:vAlign w:val="center"/>
          </w:tcPr>
          <w:p w14:paraId="340D0DC0">
            <w:pPr>
              <w:widowControl/>
              <w:jc w:val="left"/>
              <w:rPr>
                <w:color w:val="auto"/>
                <w:kern w:val="0"/>
                <w:sz w:val="21"/>
                <w:szCs w:val="21"/>
              </w:rPr>
            </w:pPr>
          </w:p>
        </w:tc>
        <w:tc>
          <w:tcPr>
            <w:tcW w:w="887" w:type="dxa"/>
            <w:vMerge w:val="continue"/>
            <w:noWrap/>
            <w:vAlign w:val="center"/>
          </w:tcPr>
          <w:p w14:paraId="73D54E8C">
            <w:pPr>
              <w:widowControl/>
              <w:jc w:val="left"/>
              <w:rPr>
                <w:color w:val="auto"/>
                <w:kern w:val="0"/>
                <w:sz w:val="21"/>
                <w:szCs w:val="21"/>
              </w:rPr>
            </w:pPr>
          </w:p>
        </w:tc>
      </w:tr>
      <w:tr w14:paraId="5A6F58DB">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9" w:hRule="atLeast"/>
          <w:jc w:val="center"/>
        </w:trPr>
        <w:tc>
          <w:tcPr>
            <w:tcW w:w="392" w:type="dxa"/>
            <w:vMerge w:val="restart"/>
            <w:noWrap/>
            <w:vAlign w:val="center"/>
          </w:tcPr>
          <w:p w14:paraId="1D8C2916">
            <w:pPr>
              <w:spacing w:line="0" w:lineRule="atLeast"/>
              <w:jc w:val="center"/>
              <w:rPr>
                <w:color w:val="auto"/>
                <w:sz w:val="21"/>
                <w:szCs w:val="21"/>
              </w:rPr>
            </w:pPr>
            <w:r>
              <w:rPr>
                <w:rFonts w:hint="eastAsia"/>
                <w:color w:val="auto"/>
                <w:sz w:val="21"/>
                <w:szCs w:val="21"/>
              </w:rPr>
              <w:t>挤出机</w:t>
            </w:r>
          </w:p>
        </w:tc>
        <w:tc>
          <w:tcPr>
            <w:tcW w:w="891" w:type="dxa"/>
            <w:noWrap/>
            <w:vAlign w:val="center"/>
          </w:tcPr>
          <w:p w14:paraId="2510F361">
            <w:pPr>
              <w:spacing w:line="0" w:lineRule="atLeast"/>
              <w:jc w:val="center"/>
              <w:rPr>
                <w:color w:val="auto"/>
                <w:sz w:val="21"/>
                <w:szCs w:val="21"/>
              </w:rPr>
            </w:pPr>
            <w:r>
              <w:rPr>
                <w:rFonts w:hint="eastAsia"/>
                <w:color w:val="auto"/>
                <w:sz w:val="21"/>
                <w:szCs w:val="21"/>
              </w:rPr>
              <w:t>吸附阶段</w:t>
            </w:r>
          </w:p>
        </w:tc>
        <w:tc>
          <w:tcPr>
            <w:tcW w:w="561" w:type="dxa"/>
            <w:vMerge w:val="restart"/>
            <w:noWrap/>
            <w:vAlign w:val="center"/>
          </w:tcPr>
          <w:p w14:paraId="1655A788">
            <w:pPr>
              <w:widowControl/>
              <w:jc w:val="center"/>
              <w:rPr>
                <w:color w:val="auto"/>
                <w:kern w:val="0"/>
                <w:sz w:val="21"/>
                <w:szCs w:val="21"/>
              </w:rPr>
            </w:pPr>
            <w:r>
              <w:rPr>
                <w:color w:val="auto"/>
                <w:kern w:val="0"/>
                <w:sz w:val="21"/>
                <w:szCs w:val="21"/>
              </w:rPr>
              <w:t>废气处理装置故障</w:t>
            </w:r>
          </w:p>
        </w:tc>
        <w:tc>
          <w:tcPr>
            <w:tcW w:w="1117" w:type="dxa"/>
            <w:noWrap/>
            <w:vAlign w:val="center"/>
          </w:tcPr>
          <w:p w14:paraId="6F08D755">
            <w:pPr>
              <w:spacing w:line="0" w:lineRule="atLeast"/>
              <w:jc w:val="center"/>
              <w:rPr>
                <w:color w:val="auto"/>
                <w:kern w:val="0"/>
                <w:sz w:val="21"/>
                <w:szCs w:val="21"/>
              </w:rPr>
            </w:pPr>
            <w:r>
              <w:rPr>
                <w:rFonts w:hint="eastAsia"/>
                <w:color w:val="auto"/>
                <w:sz w:val="21"/>
                <w:szCs w:val="21"/>
              </w:rPr>
              <w:t>非甲烷总烃</w:t>
            </w:r>
          </w:p>
        </w:tc>
        <w:tc>
          <w:tcPr>
            <w:tcW w:w="1100" w:type="dxa"/>
            <w:noWrap/>
            <w:vAlign w:val="center"/>
          </w:tcPr>
          <w:p w14:paraId="4139CA4B">
            <w:pPr>
              <w:keepNext w:val="0"/>
              <w:keepLines w:val="0"/>
              <w:widowControl/>
              <w:suppressLineNumbers w:val="0"/>
              <w:jc w:val="center"/>
              <w:textAlignment w:val="center"/>
              <w:rPr>
                <w:color w:val="auto"/>
                <w:kern w:val="0"/>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1.167 </w:t>
            </w:r>
          </w:p>
        </w:tc>
        <w:tc>
          <w:tcPr>
            <w:tcW w:w="1266" w:type="dxa"/>
            <w:noWrap/>
            <w:vAlign w:val="center"/>
          </w:tcPr>
          <w:p w14:paraId="6112872C">
            <w:pPr>
              <w:widowControl/>
              <w:jc w:val="center"/>
              <w:textAlignment w:val="center"/>
              <w:rPr>
                <w:color w:val="auto"/>
                <w:sz w:val="21"/>
                <w:szCs w:val="21"/>
              </w:rPr>
            </w:pPr>
            <w:r>
              <w:rPr>
                <w:color w:val="auto"/>
                <w:kern w:val="0"/>
                <w:sz w:val="21"/>
                <w:szCs w:val="21"/>
                <w:lang w:bidi="ar"/>
              </w:rPr>
              <w:t>/</w:t>
            </w:r>
          </w:p>
        </w:tc>
        <w:tc>
          <w:tcPr>
            <w:tcW w:w="1134" w:type="dxa"/>
            <w:noWrap/>
            <w:vAlign w:val="center"/>
          </w:tcPr>
          <w:p w14:paraId="1ED87A5A">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0.183 </w:t>
            </w:r>
          </w:p>
        </w:tc>
        <w:tc>
          <w:tcPr>
            <w:tcW w:w="650" w:type="dxa"/>
            <w:vMerge w:val="restart"/>
            <w:noWrap/>
            <w:vAlign w:val="center"/>
          </w:tcPr>
          <w:p w14:paraId="71DAA097">
            <w:pPr>
              <w:jc w:val="center"/>
              <w:rPr>
                <w:color w:val="auto"/>
                <w:sz w:val="21"/>
                <w:szCs w:val="21"/>
              </w:rPr>
            </w:pPr>
            <w:r>
              <w:rPr>
                <w:color w:val="auto"/>
                <w:sz w:val="21"/>
                <w:szCs w:val="21"/>
              </w:rPr>
              <w:t>1~2</w:t>
            </w:r>
          </w:p>
        </w:tc>
        <w:tc>
          <w:tcPr>
            <w:tcW w:w="691" w:type="dxa"/>
            <w:vMerge w:val="restart"/>
            <w:noWrap/>
            <w:vAlign w:val="center"/>
          </w:tcPr>
          <w:p w14:paraId="6B4FAF26">
            <w:pPr>
              <w:jc w:val="center"/>
              <w:rPr>
                <w:color w:val="auto"/>
                <w:sz w:val="21"/>
                <w:szCs w:val="21"/>
              </w:rPr>
            </w:pPr>
            <w:r>
              <w:rPr>
                <w:color w:val="auto"/>
                <w:sz w:val="21"/>
                <w:szCs w:val="21"/>
              </w:rPr>
              <w:t>1~2</w:t>
            </w:r>
          </w:p>
        </w:tc>
        <w:tc>
          <w:tcPr>
            <w:tcW w:w="887" w:type="dxa"/>
            <w:vMerge w:val="restart"/>
            <w:noWrap/>
            <w:vAlign w:val="center"/>
          </w:tcPr>
          <w:p w14:paraId="6AFF2D07">
            <w:pPr>
              <w:jc w:val="center"/>
              <w:rPr>
                <w:color w:val="auto"/>
                <w:sz w:val="21"/>
                <w:szCs w:val="21"/>
              </w:rPr>
            </w:pPr>
            <w:r>
              <w:rPr>
                <w:color w:val="auto"/>
                <w:sz w:val="21"/>
                <w:szCs w:val="21"/>
              </w:rPr>
              <w:t>立即停止生产，及时进行废气处理装置维修</w:t>
            </w:r>
          </w:p>
        </w:tc>
      </w:tr>
      <w:tr w14:paraId="2BA346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9" w:hRule="atLeast"/>
          <w:jc w:val="center"/>
        </w:trPr>
        <w:tc>
          <w:tcPr>
            <w:tcW w:w="392" w:type="dxa"/>
            <w:vMerge w:val="continue"/>
            <w:noWrap/>
            <w:vAlign w:val="center"/>
          </w:tcPr>
          <w:p w14:paraId="7CB0B860">
            <w:pPr>
              <w:spacing w:line="0" w:lineRule="atLeast"/>
              <w:jc w:val="center"/>
              <w:rPr>
                <w:color w:val="auto"/>
                <w:sz w:val="21"/>
                <w:szCs w:val="21"/>
              </w:rPr>
            </w:pPr>
          </w:p>
        </w:tc>
        <w:tc>
          <w:tcPr>
            <w:tcW w:w="891" w:type="dxa"/>
            <w:noWrap/>
            <w:vAlign w:val="center"/>
          </w:tcPr>
          <w:p w14:paraId="229E2D84">
            <w:pPr>
              <w:spacing w:line="0" w:lineRule="atLeast"/>
              <w:jc w:val="center"/>
              <w:rPr>
                <w:color w:val="auto"/>
                <w:sz w:val="21"/>
                <w:szCs w:val="21"/>
              </w:rPr>
            </w:pPr>
            <w:r>
              <w:rPr>
                <w:rFonts w:hint="eastAsia"/>
                <w:color w:val="auto"/>
                <w:sz w:val="21"/>
                <w:szCs w:val="21"/>
              </w:rPr>
              <w:t>脱附阶段</w:t>
            </w:r>
          </w:p>
        </w:tc>
        <w:tc>
          <w:tcPr>
            <w:tcW w:w="561" w:type="dxa"/>
            <w:vMerge w:val="continue"/>
            <w:noWrap/>
            <w:vAlign w:val="center"/>
          </w:tcPr>
          <w:p w14:paraId="2944F77F">
            <w:pPr>
              <w:widowControl/>
              <w:jc w:val="center"/>
              <w:textAlignment w:val="center"/>
              <w:rPr>
                <w:color w:val="auto"/>
                <w:sz w:val="21"/>
                <w:szCs w:val="21"/>
              </w:rPr>
            </w:pPr>
          </w:p>
        </w:tc>
        <w:tc>
          <w:tcPr>
            <w:tcW w:w="1117" w:type="dxa"/>
            <w:noWrap/>
            <w:vAlign w:val="center"/>
          </w:tcPr>
          <w:p w14:paraId="55D7951B">
            <w:pPr>
              <w:spacing w:line="0" w:lineRule="atLeast"/>
              <w:jc w:val="center"/>
              <w:rPr>
                <w:color w:val="auto"/>
                <w:sz w:val="21"/>
                <w:szCs w:val="21"/>
              </w:rPr>
            </w:pPr>
            <w:r>
              <w:rPr>
                <w:rFonts w:hint="eastAsia"/>
                <w:color w:val="auto"/>
                <w:sz w:val="21"/>
                <w:szCs w:val="21"/>
              </w:rPr>
              <w:t>非甲烷总烃</w:t>
            </w:r>
          </w:p>
        </w:tc>
        <w:tc>
          <w:tcPr>
            <w:tcW w:w="1100" w:type="dxa"/>
            <w:noWrap/>
            <w:vAlign w:val="center"/>
          </w:tcPr>
          <w:p w14:paraId="4A802212">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0.324 </w:t>
            </w:r>
          </w:p>
        </w:tc>
        <w:tc>
          <w:tcPr>
            <w:tcW w:w="1266" w:type="dxa"/>
            <w:noWrap/>
            <w:vAlign w:val="center"/>
          </w:tcPr>
          <w:p w14:paraId="30A7F0A5">
            <w:pPr>
              <w:widowControl/>
              <w:jc w:val="center"/>
              <w:textAlignment w:val="center"/>
              <w:rPr>
                <w:color w:val="auto"/>
                <w:sz w:val="21"/>
                <w:szCs w:val="21"/>
              </w:rPr>
            </w:pPr>
            <w:r>
              <w:rPr>
                <w:color w:val="auto"/>
                <w:kern w:val="0"/>
                <w:sz w:val="21"/>
                <w:szCs w:val="21"/>
                <w:lang w:bidi="ar"/>
              </w:rPr>
              <w:t>/</w:t>
            </w:r>
          </w:p>
        </w:tc>
        <w:tc>
          <w:tcPr>
            <w:tcW w:w="1134" w:type="dxa"/>
            <w:noWrap/>
            <w:vAlign w:val="center"/>
          </w:tcPr>
          <w:p w14:paraId="35C7B732">
            <w:pPr>
              <w:keepNext w:val="0"/>
              <w:keepLines w:val="0"/>
              <w:widowControl/>
              <w:suppressLineNumbers w:val="0"/>
              <w:jc w:val="center"/>
              <w:textAlignment w:val="center"/>
              <w:rPr>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 xml:space="preserve">2.022 </w:t>
            </w:r>
          </w:p>
        </w:tc>
        <w:tc>
          <w:tcPr>
            <w:tcW w:w="650" w:type="dxa"/>
            <w:vMerge w:val="continue"/>
            <w:noWrap/>
            <w:vAlign w:val="center"/>
          </w:tcPr>
          <w:p w14:paraId="49CBB70E">
            <w:pPr>
              <w:widowControl/>
              <w:jc w:val="center"/>
              <w:textAlignment w:val="center"/>
              <w:rPr>
                <w:color w:val="auto"/>
                <w:sz w:val="21"/>
                <w:szCs w:val="21"/>
              </w:rPr>
            </w:pPr>
          </w:p>
        </w:tc>
        <w:tc>
          <w:tcPr>
            <w:tcW w:w="691" w:type="dxa"/>
            <w:vMerge w:val="continue"/>
            <w:noWrap/>
            <w:vAlign w:val="center"/>
          </w:tcPr>
          <w:p w14:paraId="273A6F47">
            <w:pPr>
              <w:widowControl/>
              <w:jc w:val="center"/>
              <w:textAlignment w:val="center"/>
              <w:rPr>
                <w:color w:val="auto"/>
                <w:sz w:val="21"/>
                <w:szCs w:val="21"/>
              </w:rPr>
            </w:pPr>
          </w:p>
        </w:tc>
        <w:tc>
          <w:tcPr>
            <w:tcW w:w="887" w:type="dxa"/>
            <w:vMerge w:val="continue"/>
            <w:noWrap/>
            <w:vAlign w:val="center"/>
          </w:tcPr>
          <w:p w14:paraId="07CBAC72">
            <w:pPr>
              <w:widowControl/>
              <w:jc w:val="center"/>
              <w:textAlignment w:val="center"/>
              <w:rPr>
                <w:color w:val="auto"/>
                <w:sz w:val="21"/>
                <w:szCs w:val="21"/>
              </w:rPr>
            </w:pPr>
          </w:p>
        </w:tc>
      </w:tr>
      <w:tr w14:paraId="0CECC31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09" w:hRule="atLeast"/>
          <w:jc w:val="center"/>
        </w:trPr>
        <w:tc>
          <w:tcPr>
            <w:tcW w:w="392" w:type="dxa"/>
            <w:vMerge w:val="continue"/>
            <w:noWrap/>
            <w:vAlign w:val="center"/>
          </w:tcPr>
          <w:p w14:paraId="31E72CE1">
            <w:pPr>
              <w:spacing w:line="0" w:lineRule="atLeast"/>
              <w:jc w:val="center"/>
              <w:rPr>
                <w:color w:val="auto"/>
                <w:sz w:val="21"/>
                <w:szCs w:val="21"/>
              </w:rPr>
            </w:pPr>
          </w:p>
        </w:tc>
        <w:tc>
          <w:tcPr>
            <w:tcW w:w="891" w:type="dxa"/>
            <w:noWrap/>
            <w:vAlign w:val="center"/>
          </w:tcPr>
          <w:p w14:paraId="0CB18CD5">
            <w:pPr>
              <w:spacing w:line="0" w:lineRule="atLeast"/>
              <w:jc w:val="center"/>
              <w:rPr>
                <w:color w:val="auto"/>
                <w:sz w:val="21"/>
                <w:szCs w:val="21"/>
              </w:rPr>
            </w:pPr>
            <w:r>
              <w:rPr>
                <w:rFonts w:hint="eastAsia"/>
                <w:color w:val="auto"/>
                <w:sz w:val="21"/>
                <w:szCs w:val="21"/>
              </w:rPr>
              <w:t>吸附阶段+脱附阶段同时进行</w:t>
            </w:r>
          </w:p>
        </w:tc>
        <w:tc>
          <w:tcPr>
            <w:tcW w:w="561" w:type="dxa"/>
            <w:vMerge w:val="continue"/>
            <w:noWrap/>
            <w:vAlign w:val="center"/>
          </w:tcPr>
          <w:p w14:paraId="127479BC">
            <w:pPr>
              <w:widowControl/>
              <w:jc w:val="center"/>
              <w:textAlignment w:val="center"/>
              <w:rPr>
                <w:color w:val="auto"/>
                <w:sz w:val="21"/>
                <w:szCs w:val="21"/>
              </w:rPr>
            </w:pPr>
          </w:p>
        </w:tc>
        <w:tc>
          <w:tcPr>
            <w:tcW w:w="1117" w:type="dxa"/>
            <w:noWrap/>
            <w:vAlign w:val="center"/>
          </w:tcPr>
          <w:p w14:paraId="196ED72C">
            <w:pPr>
              <w:spacing w:line="0" w:lineRule="atLeast"/>
              <w:jc w:val="center"/>
              <w:rPr>
                <w:color w:val="auto"/>
                <w:sz w:val="21"/>
                <w:szCs w:val="21"/>
              </w:rPr>
            </w:pPr>
            <w:r>
              <w:rPr>
                <w:rFonts w:hint="eastAsia"/>
                <w:color w:val="auto"/>
                <w:sz w:val="21"/>
                <w:szCs w:val="21"/>
              </w:rPr>
              <w:t>非甲烷总烃</w:t>
            </w:r>
          </w:p>
        </w:tc>
        <w:tc>
          <w:tcPr>
            <w:tcW w:w="1100" w:type="dxa"/>
            <w:noWrap/>
            <w:vAlign w:val="center"/>
          </w:tcPr>
          <w:p w14:paraId="4C417D76">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1.490 </w:t>
            </w:r>
          </w:p>
        </w:tc>
        <w:tc>
          <w:tcPr>
            <w:tcW w:w="1266" w:type="dxa"/>
            <w:shd w:val="clear" w:color="auto" w:fill="auto"/>
            <w:noWrap/>
            <w:vAlign w:val="center"/>
          </w:tcPr>
          <w:p w14:paraId="077706D7">
            <w:pPr>
              <w:keepNext w:val="0"/>
              <w:keepLines w:val="0"/>
              <w:widowControl/>
              <w:suppressLineNumbers w:val="0"/>
              <w:jc w:val="center"/>
              <w:textAlignment w:val="center"/>
              <w:rPr>
                <w:rFonts w:hint="default" w:ascii="Times New Roman" w:hAnsi="Times New Roman" w:eastAsia="宋体" w:cs="Times New Roman"/>
                <w:i w:val="0"/>
                <w:iCs w:val="0"/>
                <w:color w:val="auto"/>
                <w:kern w:val="0"/>
                <w:sz w:val="21"/>
                <w:szCs w:val="21"/>
                <w:u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63.013 </w:t>
            </w:r>
          </w:p>
        </w:tc>
        <w:tc>
          <w:tcPr>
            <w:tcW w:w="1134" w:type="dxa"/>
            <w:noWrap/>
            <w:vAlign w:val="center"/>
          </w:tcPr>
          <w:p w14:paraId="7C4E19F4">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2.205 </w:t>
            </w:r>
          </w:p>
        </w:tc>
        <w:tc>
          <w:tcPr>
            <w:tcW w:w="650" w:type="dxa"/>
            <w:vMerge w:val="continue"/>
            <w:noWrap/>
            <w:vAlign w:val="center"/>
          </w:tcPr>
          <w:p w14:paraId="5B469A27">
            <w:pPr>
              <w:widowControl/>
              <w:jc w:val="center"/>
              <w:textAlignment w:val="center"/>
              <w:rPr>
                <w:color w:val="auto"/>
                <w:sz w:val="21"/>
                <w:szCs w:val="21"/>
              </w:rPr>
            </w:pPr>
          </w:p>
        </w:tc>
        <w:tc>
          <w:tcPr>
            <w:tcW w:w="691" w:type="dxa"/>
            <w:vMerge w:val="continue"/>
            <w:noWrap/>
            <w:vAlign w:val="center"/>
          </w:tcPr>
          <w:p w14:paraId="3E94B564">
            <w:pPr>
              <w:widowControl/>
              <w:jc w:val="center"/>
              <w:textAlignment w:val="center"/>
              <w:rPr>
                <w:color w:val="auto"/>
                <w:sz w:val="21"/>
                <w:szCs w:val="21"/>
              </w:rPr>
            </w:pPr>
          </w:p>
        </w:tc>
        <w:tc>
          <w:tcPr>
            <w:tcW w:w="887" w:type="dxa"/>
            <w:vMerge w:val="continue"/>
            <w:noWrap/>
            <w:vAlign w:val="center"/>
          </w:tcPr>
          <w:p w14:paraId="69FF9464">
            <w:pPr>
              <w:widowControl/>
              <w:jc w:val="center"/>
              <w:textAlignment w:val="center"/>
              <w:rPr>
                <w:color w:val="auto"/>
                <w:sz w:val="21"/>
                <w:szCs w:val="21"/>
              </w:rPr>
            </w:pPr>
          </w:p>
        </w:tc>
      </w:tr>
      <w:tr w14:paraId="6D20D9B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1283" w:type="dxa"/>
            <w:gridSpan w:val="2"/>
            <w:noWrap/>
            <w:vAlign w:val="center"/>
          </w:tcPr>
          <w:p w14:paraId="7204AEAE">
            <w:pPr>
              <w:widowControl/>
              <w:jc w:val="center"/>
              <w:rPr>
                <w:color w:val="auto"/>
                <w:kern w:val="0"/>
                <w:sz w:val="21"/>
                <w:szCs w:val="21"/>
              </w:rPr>
            </w:pPr>
            <w:r>
              <w:rPr>
                <w:color w:val="auto"/>
                <w:sz w:val="21"/>
                <w:szCs w:val="21"/>
              </w:rPr>
              <w:t>DA001</w:t>
            </w:r>
          </w:p>
        </w:tc>
        <w:tc>
          <w:tcPr>
            <w:tcW w:w="561" w:type="dxa"/>
            <w:vMerge w:val="continue"/>
            <w:noWrap/>
            <w:vAlign w:val="center"/>
          </w:tcPr>
          <w:p w14:paraId="38AE2FF0">
            <w:pPr>
              <w:widowControl/>
              <w:jc w:val="center"/>
              <w:rPr>
                <w:color w:val="auto"/>
                <w:kern w:val="0"/>
                <w:sz w:val="21"/>
                <w:szCs w:val="21"/>
              </w:rPr>
            </w:pPr>
          </w:p>
        </w:tc>
        <w:tc>
          <w:tcPr>
            <w:tcW w:w="1117" w:type="dxa"/>
            <w:noWrap/>
            <w:vAlign w:val="center"/>
          </w:tcPr>
          <w:p w14:paraId="0D71E53B">
            <w:pPr>
              <w:spacing w:line="0" w:lineRule="atLeast"/>
              <w:jc w:val="center"/>
              <w:rPr>
                <w:color w:val="auto"/>
                <w:kern w:val="0"/>
                <w:sz w:val="21"/>
                <w:szCs w:val="21"/>
              </w:rPr>
            </w:pPr>
            <w:r>
              <w:rPr>
                <w:rFonts w:hint="eastAsia"/>
                <w:color w:val="auto"/>
                <w:sz w:val="21"/>
                <w:szCs w:val="21"/>
              </w:rPr>
              <w:t>非甲烷总烃</w:t>
            </w:r>
          </w:p>
        </w:tc>
        <w:tc>
          <w:tcPr>
            <w:tcW w:w="1100" w:type="dxa"/>
            <w:noWrap/>
            <w:vAlign w:val="center"/>
          </w:tcPr>
          <w:p w14:paraId="6573B025">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1.490 </w:t>
            </w:r>
          </w:p>
        </w:tc>
        <w:tc>
          <w:tcPr>
            <w:tcW w:w="1266" w:type="dxa"/>
            <w:noWrap/>
            <w:vAlign w:val="center"/>
          </w:tcPr>
          <w:p w14:paraId="22395F9F">
            <w:pPr>
              <w:keepNext w:val="0"/>
              <w:keepLines w:val="0"/>
              <w:widowControl/>
              <w:suppressLineNumbers w:val="0"/>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63.013 </w:t>
            </w:r>
          </w:p>
        </w:tc>
        <w:tc>
          <w:tcPr>
            <w:tcW w:w="1134" w:type="dxa"/>
            <w:noWrap/>
            <w:vAlign w:val="center"/>
          </w:tcPr>
          <w:p w14:paraId="0E162AFC">
            <w:pPr>
              <w:widowControl/>
              <w:jc w:val="center"/>
              <w:textAlignment w:val="center"/>
              <w:rPr>
                <w:rFonts w:ascii="Times New Roman" w:hAnsi="Times New Roman" w:eastAsia="宋体" w:cs="Times New Roman"/>
                <w:color w:val="auto"/>
                <w:kern w:val="0"/>
                <w:sz w:val="21"/>
                <w:szCs w:val="21"/>
                <w:u w:val="none"/>
                <w:lang w:bidi="ar"/>
              </w:rPr>
            </w:pPr>
            <w:r>
              <w:rPr>
                <w:rFonts w:hint="default" w:ascii="Times New Roman" w:hAnsi="Times New Roman" w:eastAsia="宋体" w:cs="Times New Roman"/>
                <w:i w:val="0"/>
                <w:iCs w:val="0"/>
                <w:color w:val="auto"/>
                <w:kern w:val="0"/>
                <w:sz w:val="21"/>
                <w:szCs w:val="21"/>
                <w:u w:val="none"/>
                <w:lang w:val="en-US" w:eastAsia="zh-CN" w:bidi="ar"/>
              </w:rPr>
              <w:t xml:space="preserve">2.205 </w:t>
            </w:r>
            <w:r>
              <w:rPr>
                <w:rFonts w:ascii="Times New Roman" w:hAnsi="Times New Roman" w:eastAsia="宋体" w:cs="Times New Roman"/>
                <w:color w:val="auto"/>
                <w:kern w:val="0"/>
                <w:sz w:val="21"/>
                <w:szCs w:val="21"/>
                <w:u w:val="none"/>
                <w:lang w:bidi="ar"/>
              </w:rPr>
              <w:t xml:space="preserve"> </w:t>
            </w:r>
          </w:p>
        </w:tc>
        <w:tc>
          <w:tcPr>
            <w:tcW w:w="650" w:type="dxa"/>
            <w:vMerge w:val="continue"/>
            <w:noWrap/>
            <w:vAlign w:val="center"/>
          </w:tcPr>
          <w:p w14:paraId="037BBF52">
            <w:pPr>
              <w:jc w:val="center"/>
              <w:rPr>
                <w:color w:val="auto"/>
                <w:sz w:val="21"/>
                <w:szCs w:val="21"/>
              </w:rPr>
            </w:pPr>
          </w:p>
        </w:tc>
        <w:tc>
          <w:tcPr>
            <w:tcW w:w="691" w:type="dxa"/>
            <w:vMerge w:val="continue"/>
            <w:noWrap/>
            <w:vAlign w:val="center"/>
          </w:tcPr>
          <w:p w14:paraId="3D6761FD">
            <w:pPr>
              <w:jc w:val="center"/>
              <w:rPr>
                <w:color w:val="auto"/>
                <w:sz w:val="21"/>
                <w:szCs w:val="21"/>
              </w:rPr>
            </w:pPr>
          </w:p>
        </w:tc>
        <w:tc>
          <w:tcPr>
            <w:tcW w:w="887" w:type="dxa"/>
            <w:vMerge w:val="continue"/>
            <w:noWrap/>
            <w:vAlign w:val="center"/>
          </w:tcPr>
          <w:p w14:paraId="4226FF67">
            <w:pPr>
              <w:jc w:val="center"/>
              <w:rPr>
                <w:color w:val="auto"/>
                <w:sz w:val="21"/>
                <w:szCs w:val="21"/>
              </w:rPr>
            </w:pPr>
          </w:p>
        </w:tc>
      </w:tr>
      <w:tr w14:paraId="7C689BC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28" w:type="dxa"/>
            <w:bottom w:w="0" w:type="dxa"/>
            <w:right w:w="28" w:type="dxa"/>
          </w:tblCellMar>
        </w:tblPrEx>
        <w:trPr>
          <w:trHeight w:val="340" w:hRule="atLeast"/>
          <w:jc w:val="center"/>
        </w:trPr>
        <w:tc>
          <w:tcPr>
            <w:tcW w:w="8689" w:type="dxa"/>
            <w:gridSpan w:val="10"/>
            <w:noWrap/>
            <w:vAlign w:val="center"/>
          </w:tcPr>
          <w:p w14:paraId="204E7198">
            <w:pPr>
              <w:widowControl/>
              <w:rPr>
                <w:color w:val="auto"/>
                <w:sz w:val="21"/>
                <w:szCs w:val="21"/>
              </w:rPr>
            </w:pPr>
            <w:r>
              <w:rPr>
                <w:color w:val="auto"/>
                <w:kern w:val="0"/>
                <w:sz w:val="21"/>
                <w:szCs w:val="21"/>
              </w:rPr>
              <w:t>注：非正常工况按废气处理装置故障净化效率降低50%计</w:t>
            </w:r>
            <w:r>
              <w:rPr>
                <w:rFonts w:hint="eastAsia"/>
                <w:color w:val="auto"/>
                <w:kern w:val="0"/>
                <w:sz w:val="21"/>
                <w:szCs w:val="21"/>
              </w:rPr>
              <w:t>。</w:t>
            </w:r>
          </w:p>
        </w:tc>
      </w:tr>
    </w:tbl>
    <w:p w14:paraId="1F2F3F56">
      <w:p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2、</w:t>
      </w:r>
      <w:r>
        <w:rPr>
          <w:rFonts w:hint="eastAsia" w:ascii="Times New Roman" w:hAnsi="Times New Roman" w:eastAsia="宋体" w:cs="Times New Roman"/>
          <w:b w:val="0"/>
          <w:bCs w:val="0"/>
          <w:color w:val="auto"/>
          <w:sz w:val="24"/>
          <w:szCs w:val="24"/>
          <w:highlight w:val="none"/>
        </w:rPr>
        <w:t>废气排放达标</w:t>
      </w:r>
      <w:r>
        <w:rPr>
          <w:rFonts w:ascii="Times New Roman" w:hAnsi="Times New Roman" w:eastAsia="宋体" w:cs="Times New Roman"/>
          <w:b w:val="0"/>
          <w:bCs w:val="0"/>
          <w:color w:val="auto"/>
          <w:sz w:val="24"/>
          <w:szCs w:val="24"/>
          <w:highlight w:val="none"/>
        </w:rPr>
        <w:t>性分析</w:t>
      </w:r>
    </w:p>
    <w:p w14:paraId="1B2D0B27">
      <w:pPr>
        <w:pStyle w:val="20"/>
        <w:numPr>
          <w:ilvl w:val="0"/>
          <w:numId w:val="6"/>
        </w:numPr>
        <w:spacing w:before="156"/>
        <w:rPr>
          <w:rFonts w:ascii="Times New Roman" w:hAnsi="Times New Roman" w:eastAsia="宋体" w:cs="Times New Roman"/>
          <w:b/>
          <w:bCs w:val="0"/>
          <w:color w:val="auto"/>
          <w:szCs w:val="21"/>
        </w:rPr>
      </w:pPr>
      <w:r>
        <w:rPr>
          <w:rFonts w:hint="default" w:ascii="Times New Roman" w:hAnsi="Times New Roman" w:eastAsia="宋体" w:cs="Times New Roman"/>
          <w:b/>
          <w:bCs w:val="0"/>
          <w:color w:val="auto"/>
          <w:szCs w:val="21"/>
        </w:rPr>
        <w:t>项目废气达标排放</w:t>
      </w:r>
      <w:r>
        <w:rPr>
          <w:rFonts w:ascii="Times New Roman" w:hAnsi="Times New Roman" w:eastAsia="宋体" w:cs="Times New Roman"/>
          <w:b/>
          <w:bCs w:val="0"/>
          <w:color w:val="auto"/>
          <w:szCs w:val="21"/>
        </w:rPr>
        <w:t>情况表</w:t>
      </w:r>
    </w:p>
    <w:tbl>
      <w:tblPr>
        <w:tblStyle w:val="15"/>
        <w:tblW w:w="4867"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097"/>
        <w:gridCol w:w="1231"/>
        <w:gridCol w:w="1120"/>
        <w:gridCol w:w="1230"/>
        <w:gridCol w:w="1217"/>
        <w:gridCol w:w="1150"/>
        <w:gridCol w:w="1243"/>
      </w:tblGrid>
      <w:tr w14:paraId="5A1F6F9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61" w:type="pct"/>
            <w:vMerge w:val="restart"/>
            <w:tcBorders>
              <w:left w:val="single" w:color="auto" w:sz="4" w:space="0"/>
            </w:tcBorders>
            <w:noWrap/>
            <w:vAlign w:val="center"/>
          </w:tcPr>
          <w:p w14:paraId="0C71FFB2">
            <w:pPr>
              <w:jc w:val="center"/>
              <w:rPr>
                <w:color w:val="auto"/>
                <w:sz w:val="21"/>
                <w:szCs w:val="21"/>
              </w:rPr>
            </w:pPr>
            <w:r>
              <w:rPr>
                <w:color w:val="auto"/>
                <w:sz w:val="21"/>
                <w:szCs w:val="21"/>
              </w:rPr>
              <w:t>排放口编号</w:t>
            </w:r>
          </w:p>
        </w:tc>
        <w:tc>
          <w:tcPr>
            <w:tcW w:w="742" w:type="pct"/>
            <w:vMerge w:val="restart"/>
            <w:noWrap/>
            <w:vAlign w:val="center"/>
          </w:tcPr>
          <w:p w14:paraId="0C6AF821">
            <w:pPr>
              <w:jc w:val="center"/>
              <w:rPr>
                <w:color w:val="auto"/>
                <w:sz w:val="21"/>
                <w:szCs w:val="21"/>
              </w:rPr>
            </w:pPr>
            <w:r>
              <w:rPr>
                <w:color w:val="auto"/>
                <w:sz w:val="21"/>
                <w:szCs w:val="21"/>
              </w:rPr>
              <w:t>污染物</w:t>
            </w:r>
          </w:p>
        </w:tc>
        <w:tc>
          <w:tcPr>
            <w:tcW w:w="1417" w:type="pct"/>
            <w:gridSpan w:val="2"/>
            <w:noWrap/>
            <w:vAlign w:val="center"/>
          </w:tcPr>
          <w:p w14:paraId="7EBDC0C2">
            <w:pPr>
              <w:jc w:val="center"/>
              <w:rPr>
                <w:color w:val="auto"/>
                <w:sz w:val="21"/>
                <w:szCs w:val="21"/>
              </w:rPr>
            </w:pPr>
            <w:r>
              <w:rPr>
                <w:color w:val="auto"/>
                <w:sz w:val="21"/>
                <w:szCs w:val="21"/>
              </w:rPr>
              <w:t>排放值</w:t>
            </w:r>
          </w:p>
        </w:tc>
        <w:tc>
          <w:tcPr>
            <w:tcW w:w="1428" w:type="pct"/>
            <w:gridSpan w:val="2"/>
            <w:noWrap/>
            <w:vAlign w:val="center"/>
          </w:tcPr>
          <w:p w14:paraId="5098CA36">
            <w:pPr>
              <w:jc w:val="center"/>
              <w:rPr>
                <w:color w:val="auto"/>
                <w:sz w:val="21"/>
                <w:szCs w:val="21"/>
              </w:rPr>
            </w:pPr>
            <w:r>
              <w:rPr>
                <w:color w:val="auto"/>
                <w:sz w:val="21"/>
                <w:szCs w:val="21"/>
              </w:rPr>
              <w:t>标准值</w:t>
            </w:r>
          </w:p>
        </w:tc>
        <w:tc>
          <w:tcPr>
            <w:tcW w:w="750" w:type="pct"/>
            <w:vMerge w:val="restart"/>
            <w:noWrap/>
            <w:vAlign w:val="center"/>
          </w:tcPr>
          <w:p w14:paraId="10925DA6">
            <w:pPr>
              <w:jc w:val="center"/>
              <w:rPr>
                <w:color w:val="auto"/>
                <w:sz w:val="21"/>
                <w:szCs w:val="21"/>
              </w:rPr>
            </w:pPr>
            <w:r>
              <w:rPr>
                <w:color w:val="auto"/>
                <w:sz w:val="21"/>
                <w:szCs w:val="21"/>
              </w:rPr>
              <w:t>是否达标</w:t>
            </w:r>
          </w:p>
        </w:tc>
      </w:tr>
      <w:tr w14:paraId="7D3C0FF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61" w:type="pct"/>
            <w:vMerge w:val="continue"/>
            <w:tcBorders>
              <w:left w:val="single" w:color="auto" w:sz="4" w:space="0"/>
            </w:tcBorders>
            <w:noWrap/>
            <w:vAlign w:val="center"/>
          </w:tcPr>
          <w:p w14:paraId="0308B5DF">
            <w:pPr>
              <w:jc w:val="center"/>
              <w:rPr>
                <w:color w:val="auto"/>
                <w:sz w:val="21"/>
                <w:szCs w:val="21"/>
              </w:rPr>
            </w:pPr>
          </w:p>
        </w:tc>
        <w:tc>
          <w:tcPr>
            <w:tcW w:w="742" w:type="pct"/>
            <w:vMerge w:val="continue"/>
            <w:noWrap/>
            <w:vAlign w:val="center"/>
          </w:tcPr>
          <w:p w14:paraId="0035E077">
            <w:pPr>
              <w:rPr>
                <w:color w:val="auto"/>
                <w:sz w:val="21"/>
                <w:szCs w:val="21"/>
              </w:rPr>
            </w:pPr>
          </w:p>
        </w:tc>
        <w:tc>
          <w:tcPr>
            <w:tcW w:w="675" w:type="pct"/>
            <w:noWrap/>
            <w:vAlign w:val="center"/>
          </w:tcPr>
          <w:p w14:paraId="2DF0EE68">
            <w:pPr>
              <w:jc w:val="center"/>
              <w:rPr>
                <w:color w:val="auto"/>
                <w:sz w:val="21"/>
                <w:szCs w:val="21"/>
              </w:rPr>
            </w:pPr>
            <w:r>
              <w:rPr>
                <w:color w:val="auto"/>
                <w:sz w:val="21"/>
                <w:szCs w:val="21"/>
              </w:rPr>
              <w:t>mg/m</w:t>
            </w:r>
            <w:r>
              <w:rPr>
                <w:color w:val="auto"/>
                <w:sz w:val="21"/>
                <w:szCs w:val="21"/>
                <w:vertAlign w:val="superscript"/>
              </w:rPr>
              <w:t>3</w:t>
            </w:r>
          </w:p>
        </w:tc>
        <w:tc>
          <w:tcPr>
            <w:tcW w:w="742" w:type="pct"/>
            <w:noWrap/>
            <w:vAlign w:val="center"/>
          </w:tcPr>
          <w:p w14:paraId="0EF6C699">
            <w:pPr>
              <w:jc w:val="center"/>
              <w:rPr>
                <w:color w:val="auto"/>
                <w:sz w:val="21"/>
                <w:szCs w:val="21"/>
              </w:rPr>
            </w:pPr>
            <w:r>
              <w:rPr>
                <w:color w:val="auto"/>
                <w:sz w:val="21"/>
                <w:szCs w:val="21"/>
              </w:rPr>
              <w:t>kg/h</w:t>
            </w:r>
          </w:p>
        </w:tc>
        <w:tc>
          <w:tcPr>
            <w:tcW w:w="734" w:type="pct"/>
            <w:noWrap/>
            <w:vAlign w:val="center"/>
          </w:tcPr>
          <w:p w14:paraId="2C2D955A">
            <w:pPr>
              <w:jc w:val="center"/>
              <w:rPr>
                <w:color w:val="auto"/>
                <w:sz w:val="21"/>
                <w:szCs w:val="21"/>
              </w:rPr>
            </w:pPr>
            <w:r>
              <w:rPr>
                <w:color w:val="auto"/>
                <w:sz w:val="21"/>
                <w:szCs w:val="21"/>
              </w:rPr>
              <w:t>mg/m</w:t>
            </w:r>
            <w:r>
              <w:rPr>
                <w:color w:val="auto"/>
                <w:sz w:val="21"/>
                <w:szCs w:val="21"/>
                <w:vertAlign w:val="superscript"/>
              </w:rPr>
              <w:t>3</w:t>
            </w:r>
          </w:p>
        </w:tc>
        <w:tc>
          <w:tcPr>
            <w:tcW w:w="693" w:type="pct"/>
            <w:noWrap/>
            <w:vAlign w:val="center"/>
          </w:tcPr>
          <w:p w14:paraId="6BC77941">
            <w:pPr>
              <w:jc w:val="center"/>
              <w:rPr>
                <w:color w:val="auto"/>
                <w:sz w:val="21"/>
                <w:szCs w:val="21"/>
              </w:rPr>
            </w:pPr>
            <w:r>
              <w:rPr>
                <w:color w:val="auto"/>
                <w:sz w:val="21"/>
                <w:szCs w:val="21"/>
              </w:rPr>
              <w:t>kg/h</w:t>
            </w:r>
          </w:p>
        </w:tc>
        <w:tc>
          <w:tcPr>
            <w:tcW w:w="750" w:type="pct"/>
            <w:vMerge w:val="continue"/>
            <w:noWrap/>
            <w:vAlign w:val="center"/>
          </w:tcPr>
          <w:p w14:paraId="5E83B177">
            <w:pPr>
              <w:rPr>
                <w:color w:val="auto"/>
                <w:sz w:val="21"/>
                <w:szCs w:val="21"/>
              </w:rPr>
            </w:pPr>
          </w:p>
        </w:tc>
      </w:tr>
      <w:tr w14:paraId="7B80D09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40" w:hRule="atLeast"/>
          <w:jc w:val="center"/>
        </w:trPr>
        <w:tc>
          <w:tcPr>
            <w:tcW w:w="661" w:type="pct"/>
            <w:noWrap/>
            <w:vAlign w:val="center"/>
          </w:tcPr>
          <w:p w14:paraId="043EADD0">
            <w:pPr>
              <w:widowControl/>
              <w:jc w:val="center"/>
              <w:rPr>
                <w:color w:val="auto"/>
                <w:sz w:val="21"/>
                <w:szCs w:val="21"/>
              </w:rPr>
            </w:pPr>
            <w:r>
              <w:rPr>
                <w:color w:val="auto"/>
                <w:sz w:val="21"/>
                <w:szCs w:val="21"/>
              </w:rPr>
              <w:t>DA001</w:t>
            </w:r>
          </w:p>
        </w:tc>
        <w:tc>
          <w:tcPr>
            <w:tcW w:w="742" w:type="pct"/>
            <w:noWrap/>
            <w:vAlign w:val="center"/>
          </w:tcPr>
          <w:p w14:paraId="739EC7EC">
            <w:pPr>
              <w:widowControl/>
              <w:adjustRightInd w:val="0"/>
              <w:snapToGrid w:val="0"/>
              <w:jc w:val="center"/>
              <w:rPr>
                <w:color w:val="auto"/>
                <w:kern w:val="0"/>
                <w:sz w:val="21"/>
                <w:szCs w:val="21"/>
              </w:rPr>
            </w:pPr>
            <w:r>
              <w:rPr>
                <w:rFonts w:hint="eastAsia"/>
                <w:color w:val="auto"/>
                <w:sz w:val="21"/>
                <w:szCs w:val="21"/>
              </w:rPr>
              <w:t>非甲烷总烃</w:t>
            </w:r>
          </w:p>
        </w:tc>
        <w:tc>
          <w:tcPr>
            <w:tcW w:w="675" w:type="pct"/>
            <w:noWrap/>
            <w:vAlign w:val="center"/>
          </w:tcPr>
          <w:p w14:paraId="2D688DE4">
            <w:pPr>
              <w:widowControl/>
              <w:jc w:val="center"/>
              <w:textAlignment w:val="center"/>
              <w:rPr>
                <w:color w:val="auto"/>
                <w:sz w:val="21"/>
                <w:szCs w:val="21"/>
              </w:rPr>
            </w:pPr>
            <w:r>
              <w:rPr>
                <w:rFonts w:hint="default"/>
                <w:color w:val="auto"/>
                <w:sz w:val="21"/>
                <w:szCs w:val="21"/>
                <w:lang w:val="en-US" w:eastAsia="zh-CN"/>
              </w:rPr>
              <w:t>9.146</w:t>
            </w:r>
          </w:p>
        </w:tc>
        <w:tc>
          <w:tcPr>
            <w:tcW w:w="742" w:type="pct"/>
            <w:noWrap/>
            <w:vAlign w:val="center"/>
          </w:tcPr>
          <w:p w14:paraId="1F181FB3">
            <w:pPr>
              <w:widowControl/>
              <w:jc w:val="center"/>
              <w:textAlignment w:val="center"/>
              <w:rPr>
                <w:color w:val="auto"/>
                <w:sz w:val="21"/>
                <w:szCs w:val="21"/>
              </w:rPr>
            </w:pPr>
            <w:r>
              <w:rPr>
                <w:rFonts w:hint="default"/>
                <w:color w:val="auto"/>
                <w:sz w:val="21"/>
                <w:szCs w:val="21"/>
                <w:lang w:val="en-US" w:eastAsia="zh-CN"/>
              </w:rPr>
              <w:t>0.320</w:t>
            </w:r>
          </w:p>
        </w:tc>
        <w:tc>
          <w:tcPr>
            <w:tcW w:w="734" w:type="pct"/>
            <w:noWrap/>
            <w:vAlign w:val="center"/>
          </w:tcPr>
          <w:p w14:paraId="7B84CE85">
            <w:pPr>
              <w:widowControl/>
              <w:jc w:val="center"/>
              <w:textAlignment w:val="center"/>
              <w:rPr>
                <w:color w:val="auto"/>
                <w:sz w:val="21"/>
                <w:szCs w:val="21"/>
              </w:rPr>
            </w:pPr>
            <w:r>
              <w:rPr>
                <w:rFonts w:hint="eastAsia"/>
                <w:color w:val="auto"/>
                <w:kern w:val="0"/>
                <w:sz w:val="21"/>
                <w:szCs w:val="21"/>
                <w:lang w:bidi="ar"/>
              </w:rPr>
              <w:t>60</w:t>
            </w:r>
          </w:p>
        </w:tc>
        <w:tc>
          <w:tcPr>
            <w:tcW w:w="693" w:type="pct"/>
            <w:noWrap/>
            <w:vAlign w:val="center"/>
          </w:tcPr>
          <w:p w14:paraId="30F3C2DF">
            <w:pPr>
              <w:widowControl/>
              <w:jc w:val="center"/>
              <w:textAlignment w:val="center"/>
              <w:rPr>
                <w:color w:val="auto"/>
                <w:sz w:val="21"/>
                <w:szCs w:val="21"/>
              </w:rPr>
            </w:pPr>
            <w:r>
              <w:rPr>
                <w:rFonts w:hint="eastAsia"/>
                <w:color w:val="auto"/>
                <w:kern w:val="0"/>
                <w:sz w:val="21"/>
                <w:szCs w:val="21"/>
                <w:lang w:bidi="ar"/>
              </w:rPr>
              <w:t>/</w:t>
            </w:r>
          </w:p>
        </w:tc>
        <w:tc>
          <w:tcPr>
            <w:tcW w:w="750" w:type="pct"/>
            <w:noWrap/>
            <w:vAlign w:val="center"/>
          </w:tcPr>
          <w:p w14:paraId="1287B6E9">
            <w:pPr>
              <w:jc w:val="center"/>
              <w:rPr>
                <w:color w:val="auto"/>
                <w:sz w:val="21"/>
                <w:szCs w:val="21"/>
              </w:rPr>
            </w:pPr>
            <w:r>
              <w:rPr>
                <w:rFonts w:hint="eastAsia"/>
                <w:color w:val="auto"/>
                <w:sz w:val="21"/>
                <w:szCs w:val="21"/>
              </w:rPr>
              <w:t>达标</w:t>
            </w:r>
          </w:p>
        </w:tc>
      </w:tr>
    </w:tbl>
    <w:p w14:paraId="25E953CE">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从上表可知，项目</w:t>
      </w:r>
      <w:r>
        <w:rPr>
          <w:rFonts w:hint="eastAsia" w:ascii="Times New Roman" w:hAnsi="Times New Roman" w:eastAsia="宋体" w:cs="Times New Roman"/>
          <w:bCs/>
          <w:color w:val="auto"/>
          <w:sz w:val="24"/>
          <w:szCs w:val="24"/>
          <w:highlight w:val="none"/>
          <w:lang w:val="en-US" w:eastAsia="zh-CN"/>
        </w:rPr>
        <w:t>非甲烷总烃有组织</w:t>
      </w:r>
      <w:r>
        <w:rPr>
          <w:rFonts w:ascii="Times New Roman" w:hAnsi="Times New Roman" w:eastAsia="宋体" w:cs="Times New Roman"/>
          <w:bCs/>
          <w:color w:val="auto"/>
          <w:sz w:val="24"/>
          <w:szCs w:val="24"/>
          <w:highlight w:val="none"/>
        </w:rPr>
        <w:t>排放满足《合成树脂工业污染物排放标准》（GB 31572-2015</w:t>
      </w:r>
      <w:r>
        <w:rPr>
          <w:rFonts w:hint="eastAsia" w:ascii="Times New Roman" w:hAnsi="Times New Roman" w:eastAsia="宋体" w:cs="Times New Roman"/>
          <w:bCs/>
          <w:color w:val="auto"/>
          <w:sz w:val="24"/>
          <w:szCs w:val="24"/>
          <w:highlight w:val="none"/>
          <w:lang w:eastAsia="zh-CN"/>
        </w:rPr>
        <w:t>，含2024年修改单</w:t>
      </w:r>
      <w:r>
        <w:rPr>
          <w:rFonts w:ascii="Times New Roman" w:hAnsi="Times New Roman" w:eastAsia="宋体" w:cs="Times New Roman"/>
          <w:bCs/>
          <w:color w:val="auto"/>
          <w:sz w:val="24"/>
          <w:szCs w:val="24"/>
          <w:highlight w:val="none"/>
        </w:rPr>
        <w:t>）表5中特别排放限值要求。</w:t>
      </w:r>
    </w:p>
    <w:p w14:paraId="01893279">
      <w:p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3、</w:t>
      </w:r>
      <w:r>
        <w:rPr>
          <w:rFonts w:hint="eastAsia" w:ascii="Times New Roman" w:hAnsi="Times New Roman" w:eastAsia="宋体" w:cs="Times New Roman"/>
          <w:b w:val="0"/>
          <w:bCs w:val="0"/>
          <w:color w:val="auto"/>
          <w:sz w:val="24"/>
          <w:szCs w:val="24"/>
          <w:highlight w:val="none"/>
        </w:rPr>
        <w:t>废气治理技术可行性</w:t>
      </w:r>
    </w:p>
    <w:p w14:paraId="47795EF7">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本项目污染物产生量较小且设备密闭性较好，熔融</w:t>
      </w:r>
      <w:r>
        <w:rPr>
          <w:rFonts w:hint="eastAsia" w:ascii="Times New Roman" w:hAnsi="Times New Roman" w:eastAsia="宋体" w:cs="Times New Roman"/>
          <w:bCs/>
          <w:color w:val="auto"/>
          <w:sz w:val="24"/>
          <w:szCs w:val="24"/>
          <w:highlight w:val="none"/>
          <w:lang w:eastAsia="zh-CN"/>
        </w:rPr>
        <w:t>、</w:t>
      </w:r>
      <w:r>
        <w:rPr>
          <w:rFonts w:ascii="Times New Roman" w:hAnsi="Times New Roman" w:eastAsia="宋体" w:cs="Times New Roman"/>
          <w:bCs/>
          <w:color w:val="auto"/>
          <w:sz w:val="24"/>
          <w:szCs w:val="24"/>
          <w:highlight w:val="none"/>
        </w:rPr>
        <w:t>挤出过程中产生的有机废气</w:t>
      </w:r>
      <w:r>
        <w:rPr>
          <w:rFonts w:hint="eastAsia" w:ascii="Times New Roman" w:hAnsi="Times New Roman" w:eastAsia="宋体" w:cs="Times New Roman"/>
          <w:bCs/>
          <w:color w:val="auto"/>
          <w:sz w:val="24"/>
          <w:szCs w:val="24"/>
          <w:highlight w:val="none"/>
          <w:lang w:val="en-US" w:eastAsia="zh-CN"/>
        </w:rPr>
        <w:t>经</w:t>
      </w:r>
      <w:r>
        <w:rPr>
          <w:rFonts w:ascii="Times New Roman" w:hAnsi="Times New Roman" w:eastAsia="宋体" w:cs="Times New Roman"/>
          <w:bCs/>
          <w:color w:val="auto"/>
          <w:sz w:val="24"/>
          <w:szCs w:val="24"/>
          <w:highlight w:val="none"/>
        </w:rPr>
        <w:t>集气罩</w:t>
      </w:r>
      <w:r>
        <w:rPr>
          <w:rFonts w:hint="eastAsia" w:ascii="Times New Roman" w:hAnsi="Times New Roman" w:eastAsia="宋体" w:cs="Times New Roman"/>
          <w:bCs/>
          <w:color w:val="auto"/>
          <w:sz w:val="24"/>
          <w:szCs w:val="24"/>
          <w:highlight w:val="none"/>
          <w:lang w:eastAsia="zh-CN"/>
        </w:rPr>
        <w:t>（集气罩设置垂帘）</w:t>
      </w:r>
      <w:r>
        <w:rPr>
          <w:rFonts w:ascii="Times New Roman" w:hAnsi="Times New Roman" w:eastAsia="宋体" w:cs="Times New Roman"/>
          <w:bCs/>
          <w:color w:val="auto"/>
          <w:sz w:val="24"/>
          <w:szCs w:val="24"/>
          <w:highlight w:val="none"/>
        </w:rPr>
        <w:t>收集后采用“</w:t>
      </w:r>
      <w:r>
        <w:rPr>
          <w:rFonts w:hint="eastAsia" w:ascii="Times New Roman" w:hAnsi="Times New Roman" w:eastAsia="宋体" w:cs="Times New Roman"/>
          <w:bCs/>
          <w:color w:val="auto"/>
          <w:sz w:val="24"/>
          <w:szCs w:val="24"/>
          <w:highlight w:val="none"/>
          <w:lang w:eastAsia="zh-CN"/>
        </w:rPr>
        <w:t>活性炭吸附/脱附+催化燃烧</w:t>
      </w:r>
      <w:r>
        <w:rPr>
          <w:rFonts w:ascii="Times New Roman" w:hAnsi="Times New Roman" w:eastAsia="宋体" w:cs="Times New Roman"/>
          <w:bCs/>
          <w:color w:val="auto"/>
          <w:sz w:val="24"/>
          <w:szCs w:val="24"/>
          <w:highlight w:val="none"/>
        </w:rPr>
        <w:t>装置”处理后通过</w:t>
      </w:r>
      <w:r>
        <w:rPr>
          <w:rFonts w:hint="eastAsia" w:ascii="Times New Roman" w:hAnsi="Times New Roman" w:eastAsia="宋体" w:cs="Times New Roman"/>
          <w:bCs/>
          <w:color w:val="auto"/>
          <w:sz w:val="24"/>
          <w:szCs w:val="24"/>
          <w:highlight w:val="none"/>
        </w:rPr>
        <w:t>不低于</w:t>
      </w:r>
      <w:r>
        <w:rPr>
          <w:rFonts w:hint="eastAsia" w:ascii="Times New Roman" w:hAnsi="Times New Roman" w:eastAsia="宋体" w:cs="Times New Roman"/>
          <w:bCs/>
          <w:color w:val="auto"/>
          <w:sz w:val="24"/>
          <w:szCs w:val="24"/>
          <w:highlight w:val="none"/>
          <w:lang w:val="en-US" w:eastAsia="zh-CN"/>
        </w:rPr>
        <w:t>4</w:t>
      </w:r>
      <w:r>
        <w:rPr>
          <w:rFonts w:ascii="Times New Roman" w:hAnsi="Times New Roman" w:eastAsia="宋体" w:cs="Times New Roman"/>
          <w:bCs/>
          <w:color w:val="auto"/>
          <w:sz w:val="24"/>
          <w:szCs w:val="24"/>
          <w:highlight w:val="none"/>
        </w:rPr>
        <w:t>5m排气筒高空排放。投料</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破碎</w:t>
      </w:r>
      <w:r>
        <w:rPr>
          <w:rFonts w:ascii="Times New Roman" w:hAnsi="Times New Roman" w:eastAsia="宋体" w:cs="Times New Roman"/>
          <w:bCs/>
          <w:color w:val="auto"/>
          <w:sz w:val="24"/>
          <w:szCs w:val="24"/>
          <w:highlight w:val="none"/>
        </w:rPr>
        <w:t>过程产生的粉尘较小，要求企业加强车间通风，避免车间浓度聚集，改善工人工作环境。</w:t>
      </w:r>
    </w:p>
    <w:p w14:paraId="1CA4379F">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对照《排污许可证申请与核发技术规范 橡胶和塑料制品工业》（HJ1122-2020）中的“表A.2 塑料制品工业排污单位废气污染防治可行技术参考表”，同时对照《浙江省塑料制品业挥发性有机物污染防治可行技术指南》中表 “8.1VOCs污染防治可行技术”，本项目废气治理技术属于技术规范和可行技术指南中明确的可行技术。</w:t>
      </w:r>
    </w:p>
    <w:p w14:paraId="6932360C">
      <w:pPr>
        <w:adjustRightInd w:val="0"/>
        <w:snapToGrid w:val="0"/>
        <w:spacing w:line="360" w:lineRule="auto"/>
        <w:ind w:firstLine="480" w:firstLineChars="200"/>
        <w:rPr>
          <w:color w:val="auto"/>
          <w:sz w:val="24"/>
          <w:szCs w:val="24"/>
        </w:rPr>
      </w:pPr>
      <w:r>
        <w:rPr>
          <w:rFonts w:hint="eastAsia"/>
          <w:color w:val="auto"/>
          <w:sz w:val="24"/>
          <w:szCs w:val="24"/>
        </w:rPr>
        <w:t>此外，对照《浙江省臭氧污染防治攻坚三年行动方案》，采用吸附技术的企业，应按照《吸附法工业有机废气治理工程技术规范》（HJ2026-2013）、《浙江省分散吸附—集中再生活性炭法挥发性有机物治理体系建设技术指南（试行）》进行设计、建设与运行管理。主要</w:t>
      </w:r>
      <w:r>
        <w:rPr>
          <w:color w:val="auto"/>
          <w:sz w:val="24"/>
          <w:szCs w:val="24"/>
        </w:rPr>
        <w:t>注意如下事项：</w:t>
      </w:r>
      <w:r>
        <w:rPr>
          <w:rFonts w:hint="eastAsia"/>
          <w:color w:val="auto"/>
          <w:sz w:val="24"/>
          <w:szCs w:val="24"/>
        </w:rPr>
        <w:t>①颗粒状吸附剂的气体流速不超过0.6米/秒，废气在吸附层中的停留时间一般不低于0.75秒。②采用活性炭作为吸附剂，宜选用颗粒状活性炭，颗粒状活性炭的碘值不宜低于800mg/g。③吸附装置应做好除颗粒物、降温、除湿等预处理工作，吸附前的颗粒物或油烟浓度不宜超过1mg/m</w:t>
      </w:r>
      <w:r>
        <w:rPr>
          <w:rFonts w:hint="eastAsia"/>
          <w:color w:val="auto"/>
          <w:sz w:val="24"/>
          <w:szCs w:val="24"/>
          <w:vertAlign w:val="superscript"/>
        </w:rPr>
        <w:t>3</w:t>
      </w:r>
      <w:r>
        <w:rPr>
          <w:rFonts w:hint="eastAsia"/>
          <w:color w:val="auto"/>
          <w:sz w:val="24"/>
          <w:szCs w:val="24"/>
        </w:rPr>
        <w:t>，废气温度不应</w:t>
      </w:r>
      <w:r>
        <w:rPr>
          <w:color w:val="auto"/>
          <w:sz w:val="24"/>
          <w:szCs w:val="24"/>
        </w:rPr>
        <w:t>超过40℃，采用活性炭吸附的相对湿度不宜超过80%。</w:t>
      </w:r>
    </w:p>
    <w:p w14:paraId="77C857B2">
      <w:p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4、环境影响分析</w:t>
      </w:r>
    </w:p>
    <w:p w14:paraId="73E7679C">
      <w:pPr>
        <w:adjustRightInd w:val="0"/>
        <w:snapToGrid w:val="0"/>
        <w:spacing w:line="360" w:lineRule="auto"/>
        <w:ind w:firstLine="480" w:firstLineChars="200"/>
        <w:rPr>
          <w:rFonts w:hint="eastAsia"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项目</w:t>
      </w:r>
      <w:r>
        <w:rPr>
          <w:rFonts w:hint="eastAsia" w:ascii="Times New Roman" w:hAnsi="Times New Roman" w:eastAsia="宋体" w:cs="Times New Roman"/>
          <w:bCs/>
          <w:color w:val="auto"/>
          <w:sz w:val="24"/>
          <w:szCs w:val="24"/>
          <w:highlight w:val="none"/>
          <w:lang w:val="en-US" w:eastAsia="zh-CN"/>
        </w:rPr>
        <w:t>设备</w:t>
      </w:r>
      <w:r>
        <w:rPr>
          <w:rFonts w:ascii="Times New Roman" w:hAnsi="Times New Roman" w:eastAsia="宋体" w:cs="Times New Roman"/>
          <w:bCs/>
          <w:color w:val="auto"/>
          <w:spacing w:val="-10"/>
          <w:sz w:val="24"/>
          <w:szCs w:val="24"/>
          <w:highlight w:val="none"/>
        </w:rPr>
        <w:t>密闭性较好</w:t>
      </w:r>
      <w:r>
        <w:rPr>
          <w:rFonts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熔融、挤出过程产生的</w:t>
      </w:r>
      <w:r>
        <w:rPr>
          <w:rFonts w:ascii="Times New Roman" w:hAnsi="Times New Roman" w:eastAsia="宋体" w:cs="Times New Roman"/>
          <w:bCs/>
          <w:color w:val="auto"/>
          <w:sz w:val="24"/>
          <w:szCs w:val="24"/>
          <w:highlight w:val="none"/>
        </w:rPr>
        <w:t>有机废气集中收集并采用</w:t>
      </w:r>
      <w:r>
        <w:rPr>
          <w:rFonts w:hint="eastAsia"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活性炭吸附/脱附+催化燃烧装置</w:t>
      </w:r>
      <w:r>
        <w:rPr>
          <w:rFonts w:hint="eastAsia" w:ascii="Times New Roman" w:hAnsi="Times New Roman" w:eastAsia="宋体" w:cs="Times New Roman"/>
          <w:bCs/>
          <w:color w:val="auto"/>
          <w:sz w:val="24"/>
          <w:szCs w:val="24"/>
          <w:highlight w:val="none"/>
        </w:rPr>
        <w:t>”</w:t>
      </w:r>
      <w:r>
        <w:rPr>
          <w:rFonts w:ascii="Times New Roman" w:hAnsi="Times New Roman" w:eastAsia="宋体" w:cs="Times New Roman"/>
          <w:bCs/>
          <w:color w:val="auto"/>
          <w:sz w:val="24"/>
          <w:szCs w:val="24"/>
          <w:highlight w:val="none"/>
        </w:rPr>
        <w:t>处理后高空排放</w:t>
      </w:r>
      <w:r>
        <w:rPr>
          <w:rFonts w:hint="eastAsia" w:ascii="Times New Roman" w:hAnsi="Times New Roman" w:eastAsia="宋体" w:cs="Times New Roman"/>
          <w:bCs/>
          <w:color w:val="auto"/>
          <w:sz w:val="24"/>
          <w:szCs w:val="24"/>
          <w:highlight w:val="none"/>
        </w:rPr>
        <w:t>。本项目</w:t>
      </w:r>
      <w:r>
        <w:rPr>
          <w:rFonts w:hint="eastAsia" w:ascii="Times New Roman" w:hAnsi="Times New Roman" w:eastAsia="宋体" w:cs="Times New Roman"/>
          <w:color w:val="auto"/>
          <w:sz w:val="24"/>
          <w:szCs w:val="24"/>
          <w:highlight w:val="none"/>
        </w:rPr>
        <w:t>污染物排放量不大，</w:t>
      </w:r>
      <w:r>
        <w:rPr>
          <w:rFonts w:hint="eastAsia" w:ascii="Times New Roman" w:hAnsi="Times New Roman" w:eastAsia="宋体" w:cs="Times New Roman"/>
          <w:bCs/>
          <w:color w:val="auto"/>
          <w:sz w:val="24"/>
          <w:szCs w:val="24"/>
          <w:highlight w:val="none"/>
        </w:rPr>
        <w:t>根据上述分析得出，有机废气</w:t>
      </w:r>
      <w:r>
        <w:rPr>
          <w:rFonts w:ascii="Times New Roman" w:hAnsi="Times New Roman" w:eastAsia="宋体" w:cs="Times New Roman"/>
          <w:bCs/>
          <w:color w:val="auto"/>
          <w:sz w:val="24"/>
          <w:szCs w:val="24"/>
          <w:highlight w:val="none"/>
        </w:rPr>
        <w:t>采用</w:t>
      </w:r>
      <w:r>
        <w:rPr>
          <w:rFonts w:hint="eastAsia"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活性炭吸附/脱附+催化燃烧装置</w:t>
      </w:r>
      <w:r>
        <w:rPr>
          <w:rFonts w:hint="eastAsia" w:ascii="Times New Roman" w:hAnsi="Times New Roman" w:eastAsia="宋体" w:cs="Times New Roman"/>
          <w:bCs/>
          <w:color w:val="auto"/>
          <w:sz w:val="24"/>
          <w:szCs w:val="24"/>
          <w:highlight w:val="none"/>
        </w:rPr>
        <w:t>”</w:t>
      </w:r>
      <w:r>
        <w:rPr>
          <w:rFonts w:ascii="Times New Roman" w:hAnsi="Times New Roman" w:eastAsia="宋体" w:cs="Times New Roman"/>
          <w:bCs/>
          <w:color w:val="auto"/>
          <w:sz w:val="24"/>
          <w:szCs w:val="24"/>
          <w:highlight w:val="none"/>
        </w:rPr>
        <w:t>处理后</w:t>
      </w:r>
      <w:r>
        <w:rPr>
          <w:rFonts w:hint="eastAsia" w:ascii="Times New Roman" w:hAnsi="Times New Roman" w:eastAsia="宋体" w:cs="Times New Roman"/>
          <w:bCs/>
          <w:color w:val="auto"/>
          <w:sz w:val="24"/>
          <w:szCs w:val="24"/>
          <w:highlight w:val="none"/>
        </w:rPr>
        <w:t>可达标排放</w:t>
      </w:r>
      <w:r>
        <w:rPr>
          <w:rFonts w:ascii="Times New Roman" w:hAnsi="Times New Roman" w:eastAsia="宋体" w:cs="Times New Roman"/>
          <w:bCs/>
          <w:color w:val="auto"/>
          <w:sz w:val="24"/>
          <w:szCs w:val="24"/>
          <w:highlight w:val="none"/>
        </w:rPr>
        <w:t>。</w:t>
      </w:r>
    </w:p>
    <w:p w14:paraId="6352EDB6">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类比同类企业，</w:t>
      </w:r>
      <w:r>
        <w:rPr>
          <w:rFonts w:hint="eastAsia" w:ascii="Times New Roman" w:hAnsi="Times New Roman" w:eastAsia="宋体" w:cs="Times New Roman"/>
          <w:bCs/>
          <w:color w:val="auto"/>
          <w:sz w:val="24"/>
          <w:szCs w:val="24"/>
          <w:highlight w:val="none"/>
        </w:rPr>
        <w:t>本项目生产车间内的恶臭等级在</w:t>
      </w:r>
      <w:r>
        <w:rPr>
          <w:rFonts w:ascii="Times New Roman" w:hAnsi="Times New Roman" w:eastAsia="宋体" w:cs="Times New Roman"/>
          <w:bCs/>
          <w:color w:val="auto"/>
          <w:sz w:val="24"/>
          <w:szCs w:val="24"/>
          <w:highlight w:val="none"/>
        </w:rPr>
        <w:t>2~3 级左右，厂界外的恶臭等级在1~2 级左右，距离厂界10~20m 范围内恶臭等级在0~1 级左右。</w:t>
      </w:r>
      <w:r>
        <w:rPr>
          <w:rFonts w:hint="eastAsia" w:ascii="Times New Roman" w:hAnsi="Times New Roman" w:eastAsia="宋体" w:cs="Times New Roman"/>
          <w:bCs/>
          <w:color w:val="auto"/>
          <w:sz w:val="24"/>
          <w:szCs w:val="24"/>
          <w:highlight w:val="none"/>
        </w:rPr>
        <w:t>本</w:t>
      </w:r>
      <w:r>
        <w:rPr>
          <w:rFonts w:ascii="Times New Roman" w:hAnsi="Times New Roman" w:eastAsia="宋体" w:cs="Times New Roman"/>
          <w:bCs/>
          <w:color w:val="auto"/>
          <w:sz w:val="24"/>
          <w:szCs w:val="24"/>
          <w:highlight w:val="none"/>
        </w:rPr>
        <w:t>项目距离最近居民区约</w:t>
      </w:r>
      <w:r>
        <w:rPr>
          <w:rFonts w:hint="eastAsia" w:ascii="Times New Roman" w:hAnsi="Times New Roman" w:eastAsia="宋体" w:cs="Times New Roman"/>
          <w:bCs/>
          <w:color w:val="auto"/>
          <w:sz w:val="24"/>
          <w:szCs w:val="24"/>
          <w:highlight w:val="none"/>
          <w:lang w:val="en-US" w:eastAsia="zh-CN"/>
        </w:rPr>
        <w:t>48</w:t>
      </w:r>
      <w:r>
        <w:rPr>
          <w:rFonts w:ascii="Times New Roman" w:hAnsi="Times New Roman" w:eastAsia="宋体" w:cs="Times New Roman"/>
          <w:bCs/>
          <w:color w:val="auto"/>
          <w:sz w:val="24"/>
          <w:szCs w:val="24"/>
          <w:highlight w:val="none"/>
        </w:rPr>
        <w:t>m，预计项目废气正常排放对周边居民影响可控。当环保设施故障等非正常工况下，各排气筒污染物浓度明显增大，企业要加强废气处理设施的管理和维护工作，确保废气处理设施正常运行，杜绝废气非正常排放。</w:t>
      </w:r>
    </w:p>
    <w:p w14:paraId="2CE4040D">
      <w:p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5、监测计划</w:t>
      </w:r>
    </w:p>
    <w:p w14:paraId="74C3326E">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根据《排污单位自行监测技术指南 总则》</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HJ</w:t>
      </w:r>
      <w:r>
        <w:rPr>
          <w:rFonts w:ascii="Times New Roman" w:hAnsi="Times New Roman" w:eastAsia="宋体" w:cs="Times New Roman"/>
          <w:bCs/>
          <w:color w:val="auto"/>
          <w:sz w:val="24"/>
          <w:szCs w:val="24"/>
          <w:highlight w:val="none"/>
        </w:rPr>
        <w:t>819</w:t>
      </w:r>
      <w:r>
        <w:rPr>
          <w:rFonts w:hint="eastAsia" w:ascii="Times New Roman" w:hAnsi="Times New Roman" w:eastAsia="宋体" w:cs="Times New Roman"/>
          <w:bCs/>
          <w:color w:val="auto"/>
          <w:sz w:val="24"/>
          <w:szCs w:val="24"/>
          <w:highlight w:val="none"/>
        </w:rPr>
        <w:t>-20</w:t>
      </w:r>
      <w:r>
        <w:rPr>
          <w:rFonts w:ascii="Times New Roman" w:hAnsi="Times New Roman" w:eastAsia="宋体" w:cs="Times New Roman"/>
          <w:bCs/>
          <w:color w:val="auto"/>
          <w:sz w:val="24"/>
          <w:szCs w:val="24"/>
          <w:highlight w:val="none"/>
        </w:rPr>
        <w:t>17</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及</w:t>
      </w:r>
      <w:r>
        <w:rPr>
          <w:rFonts w:hint="eastAsia" w:ascii="Times New Roman" w:hAnsi="Times New Roman" w:eastAsia="宋体" w:cs="Times New Roman"/>
          <w:color w:val="auto"/>
          <w:sz w:val="24"/>
          <w:szCs w:val="24"/>
          <w:highlight w:val="none"/>
        </w:rPr>
        <w:t>《排污单位自行监测技术指南 橡胶和塑料制品》（HJ 1207-2021）</w:t>
      </w:r>
      <w:r>
        <w:rPr>
          <w:rFonts w:ascii="Times New Roman" w:hAnsi="Times New Roman" w:eastAsia="宋体" w:cs="Times New Roman"/>
          <w:bCs/>
          <w:color w:val="auto"/>
          <w:sz w:val="24"/>
          <w:szCs w:val="24"/>
          <w:highlight w:val="none"/>
        </w:rPr>
        <w:t>中的自行监测要求，</w:t>
      </w:r>
      <w:r>
        <w:rPr>
          <w:rFonts w:hint="eastAsia" w:ascii="Times New Roman" w:hAnsi="Times New Roman" w:eastAsia="宋体" w:cs="Times New Roman"/>
          <w:bCs/>
          <w:color w:val="auto"/>
          <w:sz w:val="24"/>
          <w:szCs w:val="24"/>
          <w:highlight w:val="none"/>
        </w:rPr>
        <w:t>项目</w:t>
      </w:r>
      <w:r>
        <w:rPr>
          <w:rFonts w:ascii="Times New Roman" w:hAnsi="Times New Roman" w:eastAsia="宋体" w:cs="Times New Roman"/>
          <w:bCs/>
          <w:color w:val="auto"/>
          <w:sz w:val="24"/>
          <w:szCs w:val="24"/>
          <w:highlight w:val="none"/>
        </w:rPr>
        <w:t>废气污染源自行监测计划如下：</w:t>
      </w:r>
    </w:p>
    <w:p w14:paraId="5DF13F3E">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排放口基本情况及有组织污染源监测表</w:t>
      </w:r>
    </w:p>
    <w:tbl>
      <w:tblPr>
        <w:tblStyle w:val="15"/>
        <w:tblW w:w="4994"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0" w:type="dxa"/>
          <w:bottom w:w="0" w:type="dxa"/>
          <w:right w:w="0" w:type="dxa"/>
        </w:tblCellMar>
      </w:tblPr>
      <w:tblGrid>
        <w:gridCol w:w="925"/>
        <w:gridCol w:w="2190"/>
        <w:gridCol w:w="925"/>
        <w:gridCol w:w="2739"/>
        <w:gridCol w:w="1516"/>
      </w:tblGrid>
      <w:tr w14:paraId="0DF0DFC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tblHeader/>
          <w:jc w:val="center"/>
        </w:trPr>
        <w:tc>
          <w:tcPr>
            <w:tcW w:w="557" w:type="pct"/>
            <w:noWrap/>
            <w:vAlign w:val="center"/>
          </w:tcPr>
          <w:p w14:paraId="37A72DA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排放口编号</w:t>
            </w:r>
          </w:p>
        </w:tc>
        <w:tc>
          <w:tcPr>
            <w:tcW w:w="1320" w:type="pct"/>
            <w:noWrap/>
            <w:vAlign w:val="center"/>
          </w:tcPr>
          <w:p w14:paraId="509D4C1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名称</w:t>
            </w:r>
          </w:p>
        </w:tc>
        <w:tc>
          <w:tcPr>
            <w:tcW w:w="557" w:type="pct"/>
            <w:noWrap/>
            <w:vAlign w:val="center"/>
          </w:tcPr>
          <w:p w14:paraId="2291BD0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排放口类型</w:t>
            </w:r>
          </w:p>
        </w:tc>
        <w:tc>
          <w:tcPr>
            <w:tcW w:w="1651" w:type="pct"/>
            <w:noWrap w:val="0"/>
            <w:vAlign w:val="center"/>
          </w:tcPr>
          <w:p w14:paraId="0BA279F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监测指标</w:t>
            </w:r>
          </w:p>
        </w:tc>
        <w:tc>
          <w:tcPr>
            <w:tcW w:w="913" w:type="pct"/>
            <w:noWrap w:val="0"/>
            <w:vAlign w:val="center"/>
          </w:tcPr>
          <w:p w14:paraId="3DC42DA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监测频次</w:t>
            </w:r>
          </w:p>
        </w:tc>
      </w:tr>
      <w:tr w14:paraId="4736FD5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557" w:type="pct"/>
            <w:vMerge w:val="restart"/>
            <w:noWrap/>
            <w:vAlign w:val="center"/>
          </w:tcPr>
          <w:p w14:paraId="5315A80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DA001</w:t>
            </w:r>
          </w:p>
        </w:tc>
        <w:tc>
          <w:tcPr>
            <w:tcW w:w="1320" w:type="pct"/>
            <w:vMerge w:val="restart"/>
            <w:noWrap/>
            <w:vAlign w:val="center"/>
          </w:tcPr>
          <w:p w14:paraId="5CEB4123">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熔融</w:t>
            </w:r>
            <w:r>
              <w:rPr>
                <w:rFonts w:hint="eastAsia" w:ascii="Times New Roman" w:hAnsi="Times New Roman" w:eastAsia="宋体" w:cs="Times New Roman"/>
                <w:color w:val="auto"/>
                <w:sz w:val="21"/>
                <w:szCs w:val="21"/>
                <w:highlight w:val="none"/>
                <w:lang w:eastAsia="zh-CN"/>
              </w:rPr>
              <w:t>、</w:t>
            </w:r>
            <w:r>
              <w:rPr>
                <w:rFonts w:hint="eastAsia" w:ascii="Times New Roman" w:hAnsi="Times New Roman" w:eastAsia="宋体" w:cs="Times New Roman"/>
                <w:color w:val="auto"/>
                <w:sz w:val="21"/>
                <w:szCs w:val="21"/>
                <w:highlight w:val="none"/>
              </w:rPr>
              <w:t>挤出</w:t>
            </w:r>
            <w:r>
              <w:rPr>
                <w:rFonts w:ascii="Times New Roman" w:hAnsi="Times New Roman" w:eastAsia="宋体" w:cs="Times New Roman"/>
                <w:color w:val="auto"/>
                <w:sz w:val="21"/>
                <w:szCs w:val="21"/>
                <w:highlight w:val="none"/>
              </w:rPr>
              <w:t>废气排放口</w:t>
            </w:r>
          </w:p>
        </w:tc>
        <w:tc>
          <w:tcPr>
            <w:tcW w:w="557" w:type="pct"/>
            <w:vMerge w:val="restart"/>
            <w:noWrap/>
            <w:vAlign w:val="center"/>
          </w:tcPr>
          <w:p w14:paraId="5BA2094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一般排放口</w:t>
            </w:r>
          </w:p>
        </w:tc>
        <w:tc>
          <w:tcPr>
            <w:tcW w:w="1651" w:type="pct"/>
            <w:noWrap w:val="0"/>
            <w:vAlign w:val="center"/>
          </w:tcPr>
          <w:p w14:paraId="44B72188">
            <w:pPr>
              <w:jc w:val="center"/>
              <w:textAlignment w:val="center"/>
              <w:rPr>
                <w:rFonts w:hint="default" w:ascii="Times New Roman" w:hAnsi="Times New Roman" w:eastAsia="宋体" w:cs="Times New Roman"/>
                <w:color w:val="auto"/>
                <w:sz w:val="21"/>
                <w:szCs w:val="21"/>
                <w:highlight w:val="none"/>
                <w:lang w:val="en-US" w:eastAsia="zh-CN" w:bidi="ar"/>
              </w:rPr>
            </w:pPr>
            <w:r>
              <w:rPr>
                <w:rFonts w:hint="eastAsia" w:ascii="Times New Roman" w:hAnsi="Times New Roman" w:eastAsia="宋体" w:cs="Times New Roman"/>
                <w:color w:val="auto"/>
                <w:sz w:val="21"/>
                <w:szCs w:val="21"/>
                <w:highlight w:val="none"/>
                <w:lang w:bidi="ar"/>
              </w:rPr>
              <w:t>非甲烷总烃</w:t>
            </w:r>
          </w:p>
        </w:tc>
        <w:tc>
          <w:tcPr>
            <w:tcW w:w="913" w:type="pct"/>
            <w:noWrap w:val="0"/>
            <w:vAlign w:val="center"/>
          </w:tcPr>
          <w:p w14:paraId="7834CB1D">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0"/>
                <w:sz w:val="21"/>
                <w:szCs w:val="21"/>
                <w:highlight w:val="none"/>
              </w:rPr>
              <w:t>1次/半年</w:t>
            </w:r>
          </w:p>
        </w:tc>
      </w:tr>
      <w:tr w14:paraId="148FCC8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0" w:type="dxa"/>
            <w:bottom w:w="0" w:type="dxa"/>
            <w:right w:w="0" w:type="dxa"/>
          </w:tblCellMar>
        </w:tblPrEx>
        <w:trPr>
          <w:trHeight w:val="340" w:hRule="atLeast"/>
          <w:jc w:val="center"/>
        </w:trPr>
        <w:tc>
          <w:tcPr>
            <w:tcW w:w="557" w:type="pct"/>
            <w:vMerge w:val="continue"/>
            <w:noWrap/>
            <w:vAlign w:val="center"/>
          </w:tcPr>
          <w:p w14:paraId="1FD19D17">
            <w:pPr>
              <w:jc w:val="center"/>
              <w:rPr>
                <w:rFonts w:ascii="Times New Roman" w:hAnsi="Times New Roman" w:eastAsia="宋体" w:cs="Times New Roman"/>
                <w:color w:val="auto"/>
                <w:sz w:val="21"/>
                <w:szCs w:val="21"/>
                <w:highlight w:val="none"/>
              </w:rPr>
            </w:pPr>
          </w:p>
        </w:tc>
        <w:tc>
          <w:tcPr>
            <w:tcW w:w="1320" w:type="pct"/>
            <w:vMerge w:val="continue"/>
            <w:noWrap/>
            <w:vAlign w:val="center"/>
          </w:tcPr>
          <w:p w14:paraId="59F37B3F">
            <w:pPr>
              <w:jc w:val="center"/>
              <w:rPr>
                <w:rFonts w:ascii="Times New Roman" w:hAnsi="Times New Roman" w:eastAsia="宋体" w:cs="Times New Roman"/>
                <w:color w:val="auto"/>
                <w:sz w:val="21"/>
                <w:szCs w:val="21"/>
                <w:highlight w:val="none"/>
              </w:rPr>
            </w:pPr>
          </w:p>
        </w:tc>
        <w:tc>
          <w:tcPr>
            <w:tcW w:w="557" w:type="pct"/>
            <w:vMerge w:val="continue"/>
            <w:noWrap/>
            <w:vAlign w:val="center"/>
          </w:tcPr>
          <w:p w14:paraId="5E5245FB">
            <w:pPr>
              <w:jc w:val="center"/>
              <w:rPr>
                <w:rFonts w:ascii="Times New Roman" w:hAnsi="Times New Roman" w:eastAsia="宋体" w:cs="Times New Roman"/>
                <w:color w:val="auto"/>
                <w:sz w:val="21"/>
                <w:szCs w:val="21"/>
                <w:highlight w:val="none"/>
              </w:rPr>
            </w:pPr>
          </w:p>
        </w:tc>
        <w:tc>
          <w:tcPr>
            <w:tcW w:w="1651" w:type="pct"/>
            <w:noWrap w:val="0"/>
            <w:vAlign w:val="center"/>
          </w:tcPr>
          <w:p w14:paraId="4A1777B0">
            <w:pPr>
              <w:jc w:val="center"/>
              <w:rPr>
                <w:rFonts w:hint="default" w:ascii="Times New Roman" w:hAnsi="Times New Roman" w:eastAsia="宋体" w:cs="Times New Roman"/>
                <w:color w:val="auto"/>
                <w:sz w:val="21"/>
                <w:szCs w:val="21"/>
                <w:highlight w:val="none"/>
                <w:lang w:val="en-US" w:eastAsia="zh-CN" w:bidi="ar"/>
              </w:rPr>
            </w:pPr>
            <w:r>
              <w:rPr>
                <w:rFonts w:ascii="Times New Roman" w:hAnsi="Times New Roman" w:eastAsia="宋体" w:cs="Times New Roman"/>
                <w:color w:val="auto"/>
                <w:sz w:val="21"/>
                <w:szCs w:val="21"/>
                <w:highlight w:val="none"/>
                <w:lang w:bidi="ar"/>
              </w:rPr>
              <w:t>臭气浓度</w:t>
            </w:r>
            <w:r>
              <w:rPr>
                <w:rFonts w:hint="eastAsia" w:ascii="Times New Roman" w:hAnsi="Times New Roman" w:eastAsia="宋体" w:cs="Times New Roman"/>
                <w:color w:val="auto"/>
                <w:sz w:val="21"/>
                <w:szCs w:val="21"/>
                <w:highlight w:val="none"/>
                <w:lang w:eastAsia="zh-CN" w:bidi="ar"/>
              </w:rPr>
              <w:t>、</w:t>
            </w:r>
            <w:r>
              <w:rPr>
                <w:rFonts w:hint="eastAsia" w:ascii="Times New Roman" w:hAnsi="Times New Roman" w:eastAsia="宋体" w:cs="Times New Roman"/>
                <w:color w:val="auto"/>
                <w:sz w:val="21"/>
                <w:szCs w:val="21"/>
                <w:highlight w:val="none"/>
                <w:lang w:val="en-US" w:eastAsia="zh-CN" w:bidi="ar"/>
              </w:rPr>
              <w:t>氨</w:t>
            </w:r>
          </w:p>
        </w:tc>
        <w:tc>
          <w:tcPr>
            <w:tcW w:w="913" w:type="pct"/>
            <w:noWrap w:val="0"/>
            <w:vAlign w:val="center"/>
          </w:tcPr>
          <w:p w14:paraId="6C3CA511">
            <w:pPr>
              <w:jc w:val="center"/>
              <w:rPr>
                <w:rFonts w:hint="eastAsia" w:ascii="Times New Roman" w:hAnsi="Times New Roman" w:eastAsia="宋体" w:cs="Times New Roman"/>
                <w:color w:val="auto"/>
                <w:sz w:val="21"/>
                <w:szCs w:val="21"/>
                <w:highlight w:val="none"/>
                <w:lang w:bidi="ar"/>
              </w:rPr>
            </w:pPr>
            <w:r>
              <w:rPr>
                <w:rFonts w:hint="eastAsia" w:ascii="Times New Roman" w:hAnsi="Times New Roman" w:eastAsia="宋体" w:cs="Times New Roman"/>
                <w:color w:val="auto"/>
                <w:kern w:val="0"/>
                <w:sz w:val="21"/>
                <w:szCs w:val="21"/>
                <w:highlight w:val="none"/>
              </w:rPr>
              <w:t>1次/年</w:t>
            </w:r>
          </w:p>
        </w:tc>
      </w:tr>
    </w:tbl>
    <w:p w14:paraId="3410C3D5">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无组织污染源监测表</w:t>
      </w:r>
    </w:p>
    <w:tbl>
      <w:tblPr>
        <w:tblStyle w:val="15"/>
        <w:tblW w:w="4998"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28" w:type="dxa"/>
          <w:left w:w="108" w:type="dxa"/>
          <w:bottom w:w="28" w:type="dxa"/>
          <w:right w:w="108" w:type="dxa"/>
        </w:tblCellMar>
      </w:tblPr>
      <w:tblGrid>
        <w:gridCol w:w="2263"/>
        <w:gridCol w:w="4680"/>
        <w:gridCol w:w="1570"/>
      </w:tblGrid>
      <w:tr w14:paraId="17E36BC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28" w:type="dxa"/>
            <w:left w:w="108" w:type="dxa"/>
            <w:bottom w:w="28" w:type="dxa"/>
            <w:right w:w="108" w:type="dxa"/>
          </w:tblCellMar>
        </w:tblPrEx>
        <w:trPr>
          <w:trHeight w:val="283" w:hRule="atLeast"/>
          <w:jc w:val="center"/>
        </w:trPr>
        <w:tc>
          <w:tcPr>
            <w:tcW w:w="1328" w:type="pct"/>
            <w:noWrap/>
            <w:vAlign w:val="center"/>
          </w:tcPr>
          <w:p w14:paraId="3F621835">
            <w:pPr>
              <w:jc w:val="center"/>
              <w:rPr>
                <w:color w:val="auto"/>
                <w:sz w:val="21"/>
                <w:szCs w:val="21"/>
              </w:rPr>
            </w:pPr>
            <w:r>
              <w:rPr>
                <w:color w:val="auto"/>
                <w:sz w:val="21"/>
                <w:szCs w:val="21"/>
              </w:rPr>
              <w:t>监测点位</w:t>
            </w:r>
          </w:p>
        </w:tc>
        <w:tc>
          <w:tcPr>
            <w:tcW w:w="2747" w:type="pct"/>
            <w:noWrap/>
            <w:vAlign w:val="center"/>
          </w:tcPr>
          <w:p w14:paraId="31477B87">
            <w:pPr>
              <w:jc w:val="center"/>
              <w:rPr>
                <w:color w:val="auto"/>
                <w:sz w:val="21"/>
                <w:szCs w:val="21"/>
              </w:rPr>
            </w:pPr>
            <w:r>
              <w:rPr>
                <w:color w:val="auto"/>
                <w:sz w:val="21"/>
                <w:szCs w:val="21"/>
              </w:rPr>
              <w:t>监测指标</w:t>
            </w:r>
          </w:p>
        </w:tc>
        <w:tc>
          <w:tcPr>
            <w:tcW w:w="923" w:type="pct"/>
            <w:noWrap/>
            <w:vAlign w:val="center"/>
          </w:tcPr>
          <w:p w14:paraId="1E5AAE74">
            <w:pPr>
              <w:jc w:val="center"/>
              <w:rPr>
                <w:color w:val="auto"/>
                <w:sz w:val="21"/>
                <w:szCs w:val="21"/>
              </w:rPr>
            </w:pPr>
            <w:r>
              <w:rPr>
                <w:color w:val="auto"/>
                <w:sz w:val="21"/>
                <w:szCs w:val="21"/>
              </w:rPr>
              <w:t>监测频次</w:t>
            </w:r>
          </w:p>
        </w:tc>
      </w:tr>
      <w:tr w14:paraId="429A85F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28" w:type="dxa"/>
            <w:left w:w="108" w:type="dxa"/>
            <w:bottom w:w="28" w:type="dxa"/>
            <w:right w:w="108" w:type="dxa"/>
          </w:tblCellMar>
        </w:tblPrEx>
        <w:trPr>
          <w:trHeight w:val="283" w:hRule="atLeast"/>
          <w:jc w:val="center"/>
        </w:trPr>
        <w:tc>
          <w:tcPr>
            <w:tcW w:w="1328" w:type="pct"/>
            <w:noWrap/>
            <w:vAlign w:val="center"/>
          </w:tcPr>
          <w:p w14:paraId="0AA9E698">
            <w:pPr>
              <w:jc w:val="center"/>
              <w:textAlignment w:val="center"/>
              <w:rPr>
                <w:color w:val="auto"/>
                <w:sz w:val="21"/>
                <w:szCs w:val="21"/>
              </w:rPr>
            </w:pPr>
            <w:r>
              <w:rPr>
                <w:color w:val="auto"/>
                <w:sz w:val="21"/>
                <w:szCs w:val="21"/>
              </w:rPr>
              <w:t>厂界</w:t>
            </w:r>
          </w:p>
        </w:tc>
        <w:tc>
          <w:tcPr>
            <w:tcW w:w="2747" w:type="pct"/>
            <w:noWrap/>
            <w:vAlign w:val="center"/>
          </w:tcPr>
          <w:p w14:paraId="33000506">
            <w:pPr>
              <w:jc w:val="center"/>
              <w:rPr>
                <w:color w:val="auto"/>
                <w:sz w:val="21"/>
                <w:szCs w:val="21"/>
              </w:rPr>
            </w:pPr>
            <w:r>
              <w:rPr>
                <w:color w:val="auto"/>
                <w:sz w:val="21"/>
                <w:szCs w:val="21"/>
              </w:rPr>
              <w:t>颗粒物、NMHC、臭气浓度</w:t>
            </w:r>
          </w:p>
        </w:tc>
        <w:tc>
          <w:tcPr>
            <w:tcW w:w="923" w:type="pct"/>
            <w:noWrap/>
            <w:vAlign w:val="center"/>
          </w:tcPr>
          <w:p w14:paraId="22CD8CAD">
            <w:pPr>
              <w:jc w:val="center"/>
              <w:textAlignment w:val="center"/>
              <w:rPr>
                <w:color w:val="auto"/>
                <w:sz w:val="21"/>
                <w:szCs w:val="21"/>
              </w:rPr>
            </w:pPr>
            <w:r>
              <w:rPr>
                <w:color w:val="auto"/>
                <w:sz w:val="21"/>
                <w:szCs w:val="21"/>
              </w:rPr>
              <w:t>1次/年</w:t>
            </w:r>
          </w:p>
        </w:tc>
      </w:tr>
      <w:tr w14:paraId="7B65BA0F">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28" w:type="dxa"/>
            <w:left w:w="108" w:type="dxa"/>
            <w:bottom w:w="28" w:type="dxa"/>
            <w:right w:w="108" w:type="dxa"/>
          </w:tblCellMar>
        </w:tblPrEx>
        <w:trPr>
          <w:trHeight w:val="283" w:hRule="atLeast"/>
          <w:jc w:val="center"/>
        </w:trPr>
        <w:tc>
          <w:tcPr>
            <w:tcW w:w="1328" w:type="pct"/>
            <w:noWrap/>
            <w:vAlign w:val="center"/>
          </w:tcPr>
          <w:p w14:paraId="3D131D24">
            <w:pPr>
              <w:jc w:val="center"/>
              <w:textAlignment w:val="center"/>
              <w:rPr>
                <w:color w:val="auto"/>
                <w:sz w:val="21"/>
                <w:szCs w:val="21"/>
              </w:rPr>
            </w:pPr>
            <w:r>
              <w:rPr>
                <w:color w:val="auto"/>
                <w:sz w:val="21"/>
                <w:szCs w:val="21"/>
              </w:rPr>
              <w:t>厂区内</w:t>
            </w:r>
            <w:r>
              <w:rPr>
                <w:rFonts w:hint="eastAsia"/>
                <w:color w:val="auto"/>
                <w:sz w:val="21"/>
                <w:szCs w:val="21"/>
              </w:rPr>
              <w:t>车间</w:t>
            </w:r>
            <w:r>
              <w:rPr>
                <w:color w:val="auto"/>
                <w:sz w:val="21"/>
                <w:szCs w:val="21"/>
              </w:rPr>
              <w:t>外</w:t>
            </w:r>
          </w:p>
        </w:tc>
        <w:tc>
          <w:tcPr>
            <w:tcW w:w="2747" w:type="pct"/>
            <w:noWrap/>
            <w:vAlign w:val="center"/>
          </w:tcPr>
          <w:p w14:paraId="2151CCF1">
            <w:pPr>
              <w:jc w:val="center"/>
              <w:rPr>
                <w:color w:val="auto"/>
                <w:sz w:val="21"/>
                <w:szCs w:val="21"/>
              </w:rPr>
            </w:pPr>
            <w:r>
              <w:rPr>
                <w:color w:val="auto"/>
                <w:sz w:val="21"/>
                <w:szCs w:val="21"/>
              </w:rPr>
              <w:t>NMHC</w:t>
            </w:r>
          </w:p>
        </w:tc>
        <w:tc>
          <w:tcPr>
            <w:tcW w:w="923" w:type="pct"/>
            <w:noWrap/>
            <w:vAlign w:val="center"/>
          </w:tcPr>
          <w:p w14:paraId="5A2FEB60">
            <w:pPr>
              <w:jc w:val="center"/>
              <w:textAlignment w:val="center"/>
              <w:rPr>
                <w:color w:val="auto"/>
                <w:sz w:val="21"/>
                <w:szCs w:val="21"/>
              </w:rPr>
            </w:pPr>
            <w:r>
              <w:rPr>
                <w:color w:val="auto"/>
                <w:sz w:val="21"/>
                <w:szCs w:val="21"/>
              </w:rPr>
              <w:t>1次/年</w:t>
            </w:r>
          </w:p>
        </w:tc>
      </w:tr>
    </w:tbl>
    <w:p w14:paraId="52231FF7">
      <w:pPr>
        <w:adjustRightInd w:val="0"/>
        <w:snapToGrid w:val="0"/>
        <w:spacing w:line="360" w:lineRule="auto"/>
        <w:ind w:firstLine="480" w:firstLineChars="200"/>
        <w:rPr>
          <w:rFonts w:ascii="Times New Roman" w:hAnsi="Times New Roman" w:eastAsia="宋体" w:cs="Times New Roman"/>
          <w:b/>
          <w:bCs/>
          <w:color w:val="auto"/>
          <w:sz w:val="24"/>
          <w:szCs w:val="24"/>
          <w:highlight w:val="none"/>
        </w:rPr>
      </w:pPr>
      <w:r>
        <w:rPr>
          <w:rFonts w:hint="eastAsia" w:ascii="Times New Roman" w:hAnsi="Times New Roman" w:eastAsia="宋体" w:cs="Times New Roman"/>
          <w:b/>
          <w:bCs/>
          <w:color w:val="auto"/>
          <w:sz w:val="24"/>
          <w:szCs w:val="24"/>
          <w:highlight w:val="none"/>
          <w:lang w:val="en-US" w:eastAsia="zh-CN"/>
        </w:rPr>
        <w:t>1.7.2</w:t>
      </w:r>
      <w:r>
        <w:rPr>
          <w:rFonts w:ascii="Times New Roman" w:hAnsi="Times New Roman" w:eastAsia="宋体" w:cs="Times New Roman"/>
          <w:b/>
          <w:bCs/>
          <w:color w:val="auto"/>
          <w:sz w:val="24"/>
          <w:szCs w:val="24"/>
          <w:highlight w:val="none"/>
        </w:rPr>
        <w:t>废水</w:t>
      </w:r>
    </w:p>
    <w:p w14:paraId="18ECAD8D">
      <w:pPr>
        <w:numPr>
          <w:ilvl w:val="0"/>
          <w:numId w:val="10"/>
        </w:num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污染源强核算</w:t>
      </w:r>
    </w:p>
    <w:p w14:paraId="5DC09F92">
      <w:pPr>
        <w:numPr>
          <w:ilvl w:val="0"/>
          <w:numId w:val="0"/>
        </w:num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本项目废水主要为</w:t>
      </w:r>
      <w:r>
        <w:rPr>
          <w:rFonts w:hint="eastAsia" w:ascii="Times New Roman" w:hAnsi="Times New Roman" w:eastAsia="宋体" w:cs="Times New Roman"/>
          <w:color w:val="auto"/>
          <w:sz w:val="24"/>
          <w:szCs w:val="24"/>
          <w:highlight w:val="none"/>
        </w:rPr>
        <w:t>循环冷却水</w:t>
      </w:r>
      <w:r>
        <w:rPr>
          <w:rFonts w:ascii="Times New Roman" w:hAnsi="Times New Roman" w:eastAsia="宋体" w:cs="Times New Roman"/>
          <w:color w:val="auto"/>
          <w:sz w:val="24"/>
          <w:szCs w:val="24"/>
          <w:highlight w:val="none"/>
        </w:rPr>
        <w:t>和职工生活污水。</w:t>
      </w:r>
    </w:p>
    <w:p w14:paraId="1D523643">
      <w:pPr>
        <w:numPr>
          <w:ilvl w:val="0"/>
          <w:numId w:val="11"/>
        </w:num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循环冷却水</w:t>
      </w:r>
    </w:p>
    <w:p w14:paraId="2DC75DBB">
      <w:pPr>
        <w:keepNext w:val="0"/>
        <w:keepLines w:val="0"/>
        <w:widowControl/>
        <w:numPr>
          <w:ilvl w:val="0"/>
          <w:numId w:val="0"/>
        </w:numPr>
        <w:suppressLineNumbers w:val="0"/>
        <w:adjustRightInd w:val="0"/>
        <w:snapToGrid w:val="0"/>
        <w:spacing w:line="360" w:lineRule="auto"/>
        <w:ind w:firstLine="480" w:firstLineChars="200"/>
        <w:jc w:val="left"/>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
        </w:rPr>
        <w:t>本项目吹胀、冷却工序依托风冷系统进行，企业拟设置4台冷水机，每台冷水机配套一个约 10t 的蓄水箱，箱中冷冻水为冷水机蒸发器系统的热交换介质，循环使用不外排。由于冷却水为闭式循环，损耗量很小，本环评年损耗量按水箱容积的10%考虑，则损耗补充水量约4t/a。</w:t>
      </w:r>
    </w:p>
    <w:p w14:paraId="5D2D3FE2">
      <w:pPr>
        <w:numPr>
          <w:ilvl w:val="0"/>
          <w:numId w:val="0"/>
        </w:num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本项目拟购置2台冷却塔作为冷水机的辅助设备，每台循环冷却水量为30m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h，根据《工业循环冷却水处理设计规范》(GB50050-2017)说明，冷却水系统蒸发水量约占循环水量的2%，即新鲜水补充量约占循环水量的2%，冷却塔年运行时间与生产时间相同，均为7200h/a，则冷却塔冷却循环水量共计为432000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/a，新鲜水补充量为8640m</w:t>
      </w:r>
      <w:r>
        <w:rPr>
          <w:rFonts w:hint="eastAsia" w:ascii="Times New Roman" w:hAnsi="Times New Roman" w:eastAsia="宋体" w:cs="Times New Roman"/>
          <w:color w:val="auto"/>
          <w:sz w:val="24"/>
          <w:szCs w:val="24"/>
          <w:highlight w:val="none"/>
          <w:vertAlign w:val="superscript"/>
          <w:lang w:val="en-US" w:eastAsia="zh-CN"/>
        </w:rPr>
        <w:t>3</w:t>
      </w:r>
      <w:r>
        <w:rPr>
          <w:rFonts w:hint="eastAsia" w:ascii="Times New Roman" w:hAnsi="Times New Roman" w:eastAsia="宋体" w:cs="Times New Roman"/>
          <w:color w:val="auto"/>
          <w:sz w:val="24"/>
          <w:szCs w:val="24"/>
          <w:highlight w:val="none"/>
          <w:lang w:val="en-US" w:eastAsia="zh-CN"/>
        </w:rPr>
        <w:t>/a。</w:t>
      </w:r>
    </w:p>
    <w:p w14:paraId="710BF828">
      <w:pPr>
        <w:numPr>
          <w:ilvl w:val="0"/>
          <w:numId w:val="0"/>
        </w:numPr>
        <w:adjustRightInd w:val="0"/>
        <w:snapToGrid w:val="0"/>
        <w:spacing w:line="360" w:lineRule="auto"/>
        <w:ind w:firstLine="480" w:firstLineChars="200"/>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本项目使用普通自来水间接冷却且冷却时无需添加其他物质，不对水质发生改变。冷却水循环使用不排放，定期补充损耗。</w:t>
      </w:r>
    </w:p>
    <w:p w14:paraId="7D17DEC4">
      <w:pPr>
        <w:numPr>
          <w:ilvl w:val="0"/>
          <w:numId w:val="0"/>
        </w:numPr>
        <w:adjustRightInd w:val="0"/>
        <w:snapToGrid w:val="0"/>
        <w:spacing w:line="360" w:lineRule="auto"/>
        <w:ind w:firstLine="480" w:firstLineChars="200"/>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（2）生活污水</w:t>
      </w:r>
    </w:p>
    <w:p w14:paraId="1C9E9FA1">
      <w:pPr>
        <w:spacing w:line="360" w:lineRule="auto"/>
        <w:ind w:firstLine="480" w:firstLineChars="200"/>
        <w:rPr>
          <w:rFonts w:hint="eastAsia" w:ascii="Times New Roman" w:hAnsi="Times New Roman" w:eastAsia="宋体" w:cs="Times New Roman"/>
          <w:bCs/>
          <w:color w:val="auto"/>
          <w:sz w:val="24"/>
          <w:szCs w:val="24"/>
          <w:highlight w:val="none"/>
        </w:rPr>
      </w:pPr>
      <w:r>
        <w:rPr>
          <w:rFonts w:hint="eastAsia" w:ascii="Times New Roman" w:hAnsi="Times New Roman" w:eastAsia="宋体" w:cs="Times New Roman"/>
          <w:bCs/>
          <w:color w:val="auto"/>
          <w:sz w:val="24"/>
          <w:szCs w:val="24"/>
          <w:highlight w:val="none"/>
        </w:rPr>
        <w:t>本项目</w:t>
      </w:r>
      <w:r>
        <w:rPr>
          <w:rFonts w:hint="eastAsia" w:ascii="Times New Roman" w:hAnsi="Times New Roman" w:eastAsia="宋体" w:cs="Times New Roman"/>
          <w:bCs/>
          <w:color w:val="auto"/>
          <w:sz w:val="24"/>
          <w:szCs w:val="24"/>
          <w:highlight w:val="none"/>
          <w:lang w:val="en-US" w:eastAsia="zh-CN"/>
        </w:rPr>
        <w:t>废水主要为员工</w:t>
      </w:r>
      <w:r>
        <w:rPr>
          <w:rFonts w:hint="eastAsia" w:ascii="Times New Roman" w:hAnsi="Times New Roman" w:eastAsia="宋体" w:cs="Times New Roman"/>
          <w:bCs/>
          <w:color w:val="auto"/>
          <w:sz w:val="24"/>
          <w:szCs w:val="24"/>
          <w:highlight w:val="none"/>
        </w:rPr>
        <w:t>生活</w:t>
      </w:r>
      <w:r>
        <w:rPr>
          <w:rFonts w:hint="eastAsia" w:ascii="Times New Roman" w:hAnsi="Times New Roman" w:eastAsia="宋体" w:cs="Times New Roman"/>
          <w:bCs/>
          <w:color w:val="auto"/>
          <w:sz w:val="24"/>
          <w:szCs w:val="24"/>
          <w:highlight w:val="none"/>
          <w:lang w:val="en-US" w:eastAsia="zh-CN"/>
        </w:rPr>
        <w:t>污</w:t>
      </w:r>
      <w:r>
        <w:rPr>
          <w:rFonts w:hint="eastAsia" w:ascii="Times New Roman" w:hAnsi="Times New Roman" w:eastAsia="宋体" w:cs="Times New Roman"/>
          <w:bCs/>
          <w:color w:val="auto"/>
          <w:sz w:val="24"/>
          <w:szCs w:val="24"/>
          <w:highlight w:val="none"/>
        </w:rPr>
        <w:t>水。本项目</w:t>
      </w:r>
      <w:r>
        <w:rPr>
          <w:rFonts w:hint="eastAsia" w:ascii="Times New Roman" w:hAnsi="Times New Roman" w:eastAsia="宋体" w:cs="Times New Roman"/>
          <w:bCs/>
          <w:color w:val="auto"/>
          <w:sz w:val="24"/>
          <w:szCs w:val="24"/>
          <w:highlight w:val="none"/>
          <w:lang w:val="en-US" w:eastAsia="zh-CN"/>
        </w:rPr>
        <w:t>劳动</w:t>
      </w:r>
      <w:r>
        <w:rPr>
          <w:rFonts w:hint="eastAsia" w:ascii="Times New Roman" w:hAnsi="Times New Roman" w:eastAsia="宋体" w:cs="Times New Roman"/>
          <w:bCs/>
          <w:color w:val="auto"/>
          <w:sz w:val="24"/>
          <w:szCs w:val="24"/>
          <w:highlight w:val="none"/>
        </w:rPr>
        <w:t>定员</w:t>
      </w:r>
      <w:r>
        <w:rPr>
          <w:rFonts w:hint="eastAsia" w:ascii="Times New Roman" w:hAnsi="Times New Roman" w:eastAsia="宋体" w:cs="Times New Roman"/>
          <w:bCs/>
          <w:color w:val="auto"/>
          <w:sz w:val="24"/>
          <w:szCs w:val="24"/>
          <w:highlight w:val="none"/>
          <w:lang w:val="en-US" w:eastAsia="zh-CN"/>
        </w:rPr>
        <w:t>55</w:t>
      </w:r>
      <w:r>
        <w:rPr>
          <w:rFonts w:hint="eastAsia" w:ascii="Times New Roman" w:hAnsi="Times New Roman" w:eastAsia="宋体" w:cs="Times New Roman"/>
          <w:bCs/>
          <w:color w:val="auto"/>
          <w:sz w:val="24"/>
          <w:szCs w:val="24"/>
          <w:highlight w:val="none"/>
        </w:rPr>
        <w:t>人，厂内不设食堂和宿舍</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rPr>
        <w:t>职工生活用水量按人均50L/d</w:t>
      </w:r>
      <w:r>
        <w:rPr>
          <w:rFonts w:hint="eastAsia" w:ascii="Times New Roman" w:hAnsi="Times New Roman" w:eastAsia="宋体" w:cs="Times New Roman"/>
          <w:bCs/>
          <w:color w:val="auto"/>
          <w:sz w:val="24"/>
          <w:szCs w:val="24"/>
          <w:highlight w:val="none"/>
          <w:lang w:val="en-US" w:eastAsia="zh-CN"/>
        </w:rPr>
        <w:t>计</w:t>
      </w:r>
      <w:r>
        <w:rPr>
          <w:rFonts w:hint="eastAsia" w:ascii="Times New Roman" w:hAnsi="Times New Roman" w:eastAsia="宋体" w:cs="Times New Roman"/>
          <w:bCs/>
          <w:color w:val="auto"/>
          <w:sz w:val="24"/>
          <w:szCs w:val="24"/>
          <w:highlight w:val="none"/>
        </w:rPr>
        <w:t>，年工作300天，则用水量为</w:t>
      </w:r>
      <w:r>
        <w:rPr>
          <w:rFonts w:hint="eastAsia" w:ascii="Times New Roman" w:hAnsi="Times New Roman" w:eastAsia="宋体" w:cs="Times New Roman"/>
          <w:bCs/>
          <w:color w:val="auto"/>
          <w:sz w:val="24"/>
          <w:szCs w:val="24"/>
          <w:highlight w:val="none"/>
          <w:lang w:val="en-US" w:eastAsia="zh-CN"/>
        </w:rPr>
        <w:t>2.75</w:t>
      </w:r>
      <w:r>
        <w:rPr>
          <w:rFonts w:hint="eastAsia" w:ascii="Times New Roman" w:hAnsi="Times New Roman" w:eastAsia="宋体" w:cs="Times New Roman"/>
          <w:bCs/>
          <w:color w:val="auto"/>
          <w:sz w:val="24"/>
          <w:szCs w:val="24"/>
          <w:highlight w:val="none"/>
        </w:rPr>
        <w:t>t/</w:t>
      </w:r>
      <w:r>
        <w:rPr>
          <w:rFonts w:hint="eastAsia" w:ascii="Times New Roman" w:hAnsi="Times New Roman" w:eastAsia="宋体" w:cs="Times New Roman"/>
          <w:bCs/>
          <w:color w:val="auto"/>
          <w:sz w:val="24"/>
          <w:szCs w:val="24"/>
          <w:highlight w:val="none"/>
          <w:lang w:val="en-US" w:eastAsia="zh-CN"/>
        </w:rPr>
        <w:t>d</w:t>
      </w:r>
      <w:r>
        <w:rPr>
          <w:rFonts w:hint="eastAsia" w:ascii="Times New Roman" w:hAnsi="Times New Roman" w:eastAsia="宋体" w:cs="Times New Roman"/>
          <w:bCs/>
          <w:color w:val="auto"/>
          <w:sz w:val="24"/>
          <w:szCs w:val="24"/>
          <w:highlight w:val="none"/>
        </w:rPr>
        <w:t>、</w:t>
      </w:r>
      <w:r>
        <w:rPr>
          <w:rFonts w:hint="eastAsia" w:ascii="Times New Roman" w:hAnsi="Times New Roman" w:eastAsia="宋体" w:cs="Times New Roman"/>
          <w:bCs/>
          <w:color w:val="auto"/>
          <w:sz w:val="24"/>
          <w:szCs w:val="24"/>
          <w:highlight w:val="none"/>
          <w:lang w:val="en-US" w:eastAsia="zh-CN"/>
        </w:rPr>
        <w:t>825</w:t>
      </w:r>
      <w:r>
        <w:rPr>
          <w:rFonts w:hint="eastAsia" w:ascii="Times New Roman" w:hAnsi="Times New Roman" w:eastAsia="宋体" w:cs="Times New Roman"/>
          <w:bCs/>
          <w:color w:val="auto"/>
          <w:sz w:val="24"/>
          <w:szCs w:val="24"/>
          <w:highlight w:val="none"/>
        </w:rPr>
        <w:t>t/a。生活污水排水量按用水量的85%计，则</w:t>
      </w:r>
      <w:r>
        <w:rPr>
          <w:rFonts w:hint="eastAsia" w:ascii="Times New Roman" w:hAnsi="Times New Roman" w:eastAsia="宋体" w:cs="Times New Roman"/>
          <w:bCs/>
          <w:color w:val="auto"/>
          <w:sz w:val="24"/>
          <w:szCs w:val="24"/>
          <w:highlight w:val="none"/>
          <w:lang w:val="en-US" w:eastAsia="zh-CN"/>
        </w:rPr>
        <w:t>生活污水</w:t>
      </w:r>
      <w:r>
        <w:rPr>
          <w:rFonts w:hint="eastAsia" w:ascii="Times New Roman" w:hAnsi="Times New Roman" w:eastAsia="宋体" w:cs="Times New Roman"/>
          <w:bCs/>
          <w:color w:val="auto"/>
          <w:sz w:val="24"/>
          <w:szCs w:val="24"/>
          <w:highlight w:val="none"/>
        </w:rPr>
        <w:t>产生量为</w:t>
      </w:r>
      <w:r>
        <w:rPr>
          <w:rFonts w:hint="eastAsia" w:ascii="Times New Roman" w:hAnsi="Times New Roman" w:eastAsia="宋体" w:cs="Times New Roman"/>
          <w:bCs/>
          <w:color w:val="auto"/>
          <w:sz w:val="24"/>
          <w:szCs w:val="24"/>
          <w:highlight w:val="none"/>
          <w:lang w:val="en-US" w:eastAsia="zh-CN"/>
        </w:rPr>
        <w:t>2.34</w:t>
      </w:r>
      <w:r>
        <w:rPr>
          <w:rFonts w:hint="eastAsia" w:ascii="Times New Roman" w:hAnsi="Times New Roman" w:eastAsia="宋体" w:cs="Times New Roman"/>
          <w:bCs/>
          <w:color w:val="auto"/>
          <w:sz w:val="24"/>
          <w:szCs w:val="24"/>
          <w:highlight w:val="none"/>
        </w:rPr>
        <w:t>t/d、</w:t>
      </w:r>
      <w:r>
        <w:rPr>
          <w:rFonts w:hint="eastAsia" w:ascii="Times New Roman" w:hAnsi="Times New Roman" w:eastAsia="宋体" w:cs="Times New Roman"/>
          <w:bCs/>
          <w:color w:val="auto"/>
          <w:sz w:val="24"/>
          <w:szCs w:val="24"/>
          <w:highlight w:val="none"/>
          <w:lang w:val="en-US" w:eastAsia="zh-CN"/>
        </w:rPr>
        <w:t>701</w:t>
      </w:r>
      <w:r>
        <w:rPr>
          <w:rFonts w:hint="eastAsia" w:ascii="Times New Roman" w:hAnsi="Times New Roman" w:eastAsia="宋体" w:cs="Times New Roman"/>
          <w:bCs/>
          <w:color w:val="auto"/>
          <w:sz w:val="24"/>
          <w:szCs w:val="24"/>
          <w:highlight w:val="none"/>
        </w:rPr>
        <w:t>t/a，生活污水水质参照城市生活污水水质，主要污染物及其浓度一般约为：COD 350mg/L、NH</w:t>
      </w:r>
      <w:r>
        <w:rPr>
          <w:rFonts w:hint="eastAsia" w:ascii="Times New Roman" w:hAnsi="Times New Roman" w:eastAsia="宋体" w:cs="Times New Roman"/>
          <w:bCs/>
          <w:color w:val="auto"/>
          <w:sz w:val="24"/>
          <w:szCs w:val="24"/>
          <w:highlight w:val="none"/>
          <w:vertAlign w:val="subscript"/>
        </w:rPr>
        <w:t>3</w:t>
      </w:r>
      <w:r>
        <w:rPr>
          <w:rFonts w:hint="eastAsia" w:ascii="Times New Roman" w:hAnsi="Times New Roman" w:eastAsia="宋体" w:cs="Times New Roman"/>
          <w:bCs/>
          <w:color w:val="auto"/>
          <w:sz w:val="24"/>
          <w:szCs w:val="24"/>
          <w:highlight w:val="none"/>
        </w:rPr>
        <w:t>-N 35mg/L。则废水污染物COD</w:t>
      </w:r>
      <w:r>
        <w:rPr>
          <w:rFonts w:hint="eastAsia" w:ascii="Times New Roman" w:hAnsi="Times New Roman" w:eastAsia="宋体" w:cs="Times New Roman"/>
          <w:bCs/>
          <w:color w:val="auto"/>
          <w:sz w:val="24"/>
          <w:szCs w:val="24"/>
          <w:highlight w:val="none"/>
          <w:vertAlign w:val="subscript"/>
          <w:lang w:val="en-US" w:eastAsia="zh-CN"/>
        </w:rPr>
        <w:t>C</w:t>
      </w:r>
      <w:r>
        <w:rPr>
          <w:rFonts w:hint="eastAsia" w:ascii="Times New Roman" w:hAnsi="Times New Roman" w:eastAsia="宋体" w:cs="Times New Roman"/>
          <w:bCs/>
          <w:color w:val="auto"/>
          <w:sz w:val="24"/>
          <w:szCs w:val="24"/>
          <w:highlight w:val="none"/>
          <w:vertAlign w:val="subscript"/>
        </w:rPr>
        <w:t>r</w:t>
      </w:r>
      <w:r>
        <w:rPr>
          <w:rFonts w:hint="eastAsia" w:ascii="Times New Roman" w:hAnsi="Times New Roman" w:eastAsia="宋体" w:cs="Times New Roman"/>
          <w:bCs/>
          <w:color w:val="auto"/>
          <w:sz w:val="24"/>
          <w:szCs w:val="24"/>
          <w:highlight w:val="none"/>
        </w:rPr>
        <w:t>产生量约</w:t>
      </w:r>
      <w:r>
        <w:rPr>
          <w:rFonts w:hint="eastAsia" w:ascii="Times New Roman" w:hAnsi="Times New Roman" w:eastAsia="宋体" w:cs="Times New Roman"/>
          <w:bCs/>
          <w:color w:val="auto"/>
          <w:sz w:val="24"/>
          <w:szCs w:val="24"/>
          <w:highlight w:val="none"/>
          <w:lang w:val="en-US" w:eastAsia="zh-CN"/>
        </w:rPr>
        <w:t>0.245</w:t>
      </w:r>
      <w:r>
        <w:rPr>
          <w:rFonts w:hint="eastAsia" w:ascii="Times New Roman" w:hAnsi="Times New Roman" w:eastAsia="宋体" w:cs="Times New Roman"/>
          <w:bCs/>
          <w:color w:val="auto"/>
          <w:sz w:val="24"/>
          <w:szCs w:val="24"/>
          <w:highlight w:val="none"/>
        </w:rPr>
        <w:t>t/a，NH</w:t>
      </w:r>
      <w:r>
        <w:rPr>
          <w:rFonts w:hint="eastAsia" w:ascii="Times New Roman" w:hAnsi="Times New Roman" w:eastAsia="宋体" w:cs="Times New Roman"/>
          <w:bCs/>
          <w:color w:val="auto"/>
          <w:sz w:val="24"/>
          <w:szCs w:val="24"/>
          <w:highlight w:val="none"/>
          <w:vertAlign w:val="subscript"/>
        </w:rPr>
        <w:t>3</w:t>
      </w:r>
      <w:r>
        <w:rPr>
          <w:rFonts w:hint="eastAsia" w:ascii="Times New Roman" w:hAnsi="Times New Roman" w:eastAsia="宋体" w:cs="Times New Roman"/>
          <w:bCs/>
          <w:color w:val="auto"/>
          <w:sz w:val="24"/>
          <w:szCs w:val="24"/>
          <w:highlight w:val="none"/>
        </w:rPr>
        <w:t>-N产生量约</w:t>
      </w:r>
      <w:r>
        <w:rPr>
          <w:rFonts w:hint="eastAsia" w:ascii="Times New Roman" w:hAnsi="Times New Roman" w:eastAsia="宋体" w:cs="Times New Roman"/>
          <w:bCs/>
          <w:color w:val="auto"/>
          <w:sz w:val="24"/>
          <w:szCs w:val="24"/>
          <w:highlight w:val="none"/>
          <w:lang w:val="en-US" w:eastAsia="zh-CN"/>
        </w:rPr>
        <w:t>0.025</w:t>
      </w:r>
      <w:r>
        <w:rPr>
          <w:rFonts w:hint="eastAsia" w:ascii="Times New Roman" w:hAnsi="Times New Roman" w:eastAsia="宋体" w:cs="Times New Roman"/>
          <w:bCs/>
          <w:color w:val="auto"/>
          <w:sz w:val="24"/>
          <w:szCs w:val="24"/>
          <w:highlight w:val="none"/>
        </w:rPr>
        <w:t>t/a。项目生活污水经化粪池预处理后纳入市政污水管网送</w:t>
      </w:r>
      <w:r>
        <w:rPr>
          <w:rFonts w:hint="eastAsia" w:ascii="Times New Roman" w:hAnsi="Times New Roman" w:eastAsia="宋体" w:cs="Times New Roman"/>
          <w:bCs/>
          <w:color w:val="auto"/>
          <w:sz w:val="24"/>
          <w:szCs w:val="24"/>
          <w:highlight w:val="none"/>
          <w:lang w:val="en-US" w:eastAsia="zh-CN"/>
        </w:rPr>
        <w:t>塘栖污水处理厂</w:t>
      </w:r>
      <w:r>
        <w:rPr>
          <w:rFonts w:hint="eastAsia" w:ascii="Times New Roman" w:hAnsi="Times New Roman" w:eastAsia="宋体" w:cs="Times New Roman"/>
          <w:bCs/>
          <w:color w:val="auto"/>
          <w:sz w:val="24"/>
          <w:szCs w:val="24"/>
          <w:highlight w:val="none"/>
        </w:rPr>
        <w:t>集中处理达标后排放。</w:t>
      </w:r>
      <w:r>
        <w:rPr>
          <w:rFonts w:hint="eastAsia" w:ascii="Times New Roman" w:hAnsi="Times New Roman" w:eastAsia="宋体" w:cs="Times New Roman"/>
          <w:bCs/>
          <w:color w:val="auto"/>
          <w:sz w:val="24"/>
          <w:szCs w:val="24"/>
          <w:highlight w:val="none"/>
          <w:lang w:val="en-US" w:eastAsia="zh-CN"/>
        </w:rPr>
        <w:t>塘栖污水处理厂</w:t>
      </w:r>
      <w:r>
        <w:rPr>
          <w:rFonts w:hint="eastAsia" w:ascii="Times New Roman" w:hAnsi="Times New Roman" w:eastAsia="宋体" w:cs="Times New Roman"/>
          <w:bCs/>
          <w:color w:val="auto"/>
          <w:sz w:val="24"/>
          <w:szCs w:val="24"/>
          <w:highlight w:val="none"/>
          <w:lang w:eastAsia="zh-CN"/>
        </w:rPr>
        <w:t>尾水</w:t>
      </w:r>
      <w:r>
        <w:rPr>
          <w:rFonts w:hint="eastAsia" w:ascii="Times New Roman" w:hAnsi="Times New Roman" w:eastAsia="宋体" w:cs="Times New Roman"/>
          <w:bCs/>
          <w:color w:val="auto"/>
          <w:sz w:val="24"/>
          <w:szCs w:val="24"/>
          <w:highlight w:val="none"/>
          <w:lang w:val="en-US" w:eastAsia="zh-CN"/>
        </w:rPr>
        <w:t>中的COD、氨氮、总磷</w:t>
      </w:r>
      <w:r>
        <w:rPr>
          <w:rFonts w:hint="eastAsia" w:ascii="Times New Roman" w:hAnsi="Times New Roman" w:eastAsia="宋体" w:cs="Times New Roman"/>
          <w:bCs/>
          <w:color w:val="auto"/>
          <w:sz w:val="24"/>
          <w:szCs w:val="24"/>
          <w:highlight w:val="none"/>
          <w:lang w:eastAsia="zh-CN"/>
        </w:rPr>
        <w:t>排放执行《城镇污水处理厂主要水污染物排放标准》（DB33/2169-2018）</w:t>
      </w:r>
      <w:r>
        <w:rPr>
          <w:rFonts w:hint="eastAsia" w:ascii="Times New Roman" w:hAnsi="Times New Roman" w:eastAsia="宋体" w:cs="Times New Roman"/>
          <w:bCs/>
          <w:color w:val="auto"/>
          <w:sz w:val="24"/>
          <w:szCs w:val="24"/>
          <w:highlight w:val="none"/>
          <w:lang w:val="en-US" w:eastAsia="zh-CN"/>
        </w:rPr>
        <w:t>中的表1限值</w:t>
      </w:r>
      <w:r>
        <w:rPr>
          <w:rFonts w:hint="eastAsia" w:ascii="Times New Roman" w:hAnsi="Times New Roman" w:eastAsia="宋体" w:cs="Times New Roman"/>
          <w:bCs/>
          <w:color w:val="auto"/>
          <w:sz w:val="24"/>
          <w:szCs w:val="24"/>
          <w:highlight w:val="none"/>
          <w:lang w:eastAsia="zh-CN"/>
        </w:rPr>
        <w:t>，</w:t>
      </w:r>
      <w:r>
        <w:rPr>
          <w:rFonts w:hint="eastAsia" w:ascii="Times New Roman" w:hAnsi="Times New Roman" w:eastAsia="宋体" w:cs="Times New Roman"/>
          <w:bCs/>
          <w:color w:val="auto"/>
          <w:sz w:val="24"/>
          <w:szCs w:val="24"/>
          <w:highlight w:val="none"/>
          <w:lang w:val="en-US" w:eastAsia="zh-CN"/>
        </w:rPr>
        <w:t>其他指标执行</w:t>
      </w:r>
      <w:r>
        <w:rPr>
          <w:rFonts w:hint="eastAsia" w:ascii="Times New Roman" w:hAnsi="Times New Roman" w:eastAsia="宋体" w:cs="Times New Roman"/>
          <w:bCs/>
          <w:color w:val="auto"/>
          <w:sz w:val="24"/>
          <w:szCs w:val="24"/>
          <w:highlight w:val="none"/>
          <w:lang w:eastAsia="zh-CN"/>
        </w:rPr>
        <w:t>《城镇污水处理厂污染物排放标准》（GB18918-2002）一级A标准。</w:t>
      </w:r>
      <w:r>
        <w:rPr>
          <w:rFonts w:hint="eastAsia" w:ascii="Times New Roman" w:hAnsi="Times New Roman" w:eastAsia="宋体" w:cs="Times New Roman"/>
          <w:bCs/>
          <w:color w:val="auto"/>
          <w:sz w:val="24"/>
          <w:szCs w:val="24"/>
          <w:highlight w:val="none"/>
        </w:rPr>
        <w:t>本项目废水源强核算情况详见下表。</w:t>
      </w:r>
    </w:p>
    <w:p w14:paraId="3CAA94DF">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废水污染源源强核算结果及相关参数一览表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66"/>
        <w:gridCol w:w="369"/>
        <w:gridCol w:w="369"/>
        <w:gridCol w:w="655"/>
        <w:gridCol w:w="369"/>
        <w:gridCol w:w="644"/>
        <w:gridCol w:w="862"/>
        <w:gridCol w:w="684"/>
        <w:gridCol w:w="369"/>
        <w:gridCol w:w="383"/>
        <w:gridCol w:w="369"/>
        <w:gridCol w:w="644"/>
        <w:gridCol w:w="862"/>
        <w:gridCol w:w="802"/>
        <w:gridCol w:w="564"/>
      </w:tblGrid>
      <w:tr w14:paraId="4C760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1" w:type="pct"/>
            <w:vMerge w:val="restart"/>
            <w:noWrap w:val="0"/>
            <w:vAlign w:val="center"/>
          </w:tcPr>
          <w:p w14:paraId="4AA1B66D">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工序/生产线</w:t>
            </w:r>
          </w:p>
        </w:tc>
        <w:tc>
          <w:tcPr>
            <w:tcW w:w="221" w:type="pct"/>
            <w:vMerge w:val="restart"/>
            <w:noWrap w:val="0"/>
            <w:vAlign w:val="center"/>
          </w:tcPr>
          <w:p w14:paraId="589BA4B6">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装置</w:t>
            </w:r>
          </w:p>
        </w:tc>
        <w:tc>
          <w:tcPr>
            <w:tcW w:w="221" w:type="pct"/>
            <w:vMerge w:val="restart"/>
            <w:noWrap w:val="0"/>
            <w:vAlign w:val="center"/>
          </w:tcPr>
          <w:p w14:paraId="1DA832DE">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污染源</w:t>
            </w:r>
          </w:p>
        </w:tc>
        <w:tc>
          <w:tcPr>
            <w:tcW w:w="394" w:type="pct"/>
            <w:vMerge w:val="restart"/>
            <w:noWrap w:val="0"/>
            <w:vAlign w:val="center"/>
          </w:tcPr>
          <w:p w14:paraId="435F30BC">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污染物</w:t>
            </w:r>
          </w:p>
        </w:tc>
        <w:tc>
          <w:tcPr>
            <w:tcW w:w="1539" w:type="pct"/>
            <w:gridSpan w:val="4"/>
            <w:noWrap w:val="0"/>
            <w:vAlign w:val="center"/>
          </w:tcPr>
          <w:p w14:paraId="6D5165B8">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污染物产生</w:t>
            </w:r>
          </w:p>
        </w:tc>
        <w:tc>
          <w:tcPr>
            <w:tcW w:w="452" w:type="pct"/>
            <w:gridSpan w:val="2"/>
            <w:noWrap w:val="0"/>
            <w:vAlign w:val="center"/>
          </w:tcPr>
          <w:p w14:paraId="15A0A5BB">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治理措施</w:t>
            </w:r>
          </w:p>
        </w:tc>
        <w:tc>
          <w:tcPr>
            <w:tcW w:w="1610" w:type="pct"/>
            <w:gridSpan w:val="4"/>
            <w:noWrap w:val="0"/>
            <w:vAlign w:val="center"/>
          </w:tcPr>
          <w:p w14:paraId="00ED9F7C">
            <w:pPr>
              <w:autoSpaceDE w:val="0"/>
              <w:autoSpaceDN w:val="0"/>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污染物排放</w:t>
            </w:r>
          </w:p>
        </w:tc>
        <w:tc>
          <w:tcPr>
            <w:tcW w:w="339" w:type="pct"/>
            <w:vMerge w:val="restart"/>
            <w:noWrap w:val="0"/>
            <w:vAlign w:val="center"/>
          </w:tcPr>
          <w:p w14:paraId="09029BED">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w:t>
            </w:r>
          </w:p>
          <w:p w14:paraId="534E27A4">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时间（天）</w:t>
            </w:r>
          </w:p>
        </w:tc>
      </w:tr>
      <w:tr w14:paraId="06718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1" w:type="pct"/>
            <w:vMerge w:val="continue"/>
            <w:noWrap w:val="0"/>
            <w:vAlign w:val="center"/>
          </w:tcPr>
          <w:p w14:paraId="54025410">
            <w:pPr>
              <w:autoSpaceDE w:val="0"/>
              <w:autoSpaceDN w:val="0"/>
              <w:jc w:val="center"/>
              <w:rPr>
                <w:rFonts w:ascii="Times New Roman" w:hAnsi="Times New Roman" w:eastAsia="宋体" w:cs="Times New Roman"/>
                <w:color w:val="auto"/>
                <w:sz w:val="21"/>
                <w:szCs w:val="21"/>
                <w:highlight w:val="none"/>
              </w:rPr>
            </w:pPr>
          </w:p>
        </w:tc>
        <w:tc>
          <w:tcPr>
            <w:tcW w:w="221" w:type="pct"/>
            <w:vMerge w:val="continue"/>
            <w:noWrap w:val="0"/>
            <w:vAlign w:val="center"/>
          </w:tcPr>
          <w:p w14:paraId="79C2A340">
            <w:pPr>
              <w:autoSpaceDE w:val="0"/>
              <w:autoSpaceDN w:val="0"/>
              <w:jc w:val="center"/>
              <w:rPr>
                <w:rFonts w:ascii="Times New Roman" w:hAnsi="Times New Roman" w:eastAsia="宋体" w:cs="Times New Roman"/>
                <w:color w:val="auto"/>
                <w:sz w:val="21"/>
                <w:szCs w:val="21"/>
                <w:highlight w:val="none"/>
              </w:rPr>
            </w:pPr>
          </w:p>
        </w:tc>
        <w:tc>
          <w:tcPr>
            <w:tcW w:w="221" w:type="pct"/>
            <w:vMerge w:val="continue"/>
            <w:noWrap w:val="0"/>
            <w:vAlign w:val="center"/>
          </w:tcPr>
          <w:p w14:paraId="09EAD129">
            <w:pPr>
              <w:autoSpaceDE w:val="0"/>
              <w:autoSpaceDN w:val="0"/>
              <w:jc w:val="center"/>
              <w:rPr>
                <w:rFonts w:ascii="Times New Roman" w:hAnsi="Times New Roman" w:eastAsia="宋体" w:cs="Times New Roman"/>
                <w:color w:val="auto"/>
                <w:sz w:val="21"/>
                <w:szCs w:val="21"/>
                <w:highlight w:val="none"/>
              </w:rPr>
            </w:pPr>
          </w:p>
        </w:tc>
        <w:tc>
          <w:tcPr>
            <w:tcW w:w="394" w:type="pct"/>
            <w:vMerge w:val="continue"/>
            <w:noWrap w:val="0"/>
            <w:vAlign w:val="center"/>
          </w:tcPr>
          <w:p w14:paraId="5AEEAB94">
            <w:pPr>
              <w:autoSpaceDE w:val="0"/>
              <w:autoSpaceDN w:val="0"/>
              <w:jc w:val="center"/>
              <w:rPr>
                <w:rFonts w:ascii="Times New Roman" w:hAnsi="Times New Roman" w:eastAsia="宋体" w:cs="Times New Roman"/>
                <w:color w:val="auto"/>
                <w:sz w:val="21"/>
                <w:szCs w:val="21"/>
                <w:highlight w:val="none"/>
              </w:rPr>
            </w:pPr>
          </w:p>
        </w:tc>
        <w:tc>
          <w:tcPr>
            <w:tcW w:w="221" w:type="pct"/>
            <w:noWrap w:val="0"/>
            <w:vAlign w:val="center"/>
          </w:tcPr>
          <w:p w14:paraId="5923E26F">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核算方法</w:t>
            </w:r>
          </w:p>
        </w:tc>
        <w:tc>
          <w:tcPr>
            <w:tcW w:w="388" w:type="pct"/>
            <w:noWrap w:val="0"/>
            <w:vAlign w:val="center"/>
          </w:tcPr>
          <w:p w14:paraId="5EE3B555">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产生废水量/(t/a)</w:t>
            </w:r>
          </w:p>
        </w:tc>
        <w:tc>
          <w:tcPr>
            <w:tcW w:w="519" w:type="pct"/>
            <w:noWrap w:val="0"/>
            <w:vAlign w:val="center"/>
          </w:tcPr>
          <w:p w14:paraId="1C666938">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产生浓度/（mg/L）</w:t>
            </w:r>
          </w:p>
        </w:tc>
        <w:tc>
          <w:tcPr>
            <w:tcW w:w="410" w:type="pct"/>
            <w:noWrap w:val="0"/>
            <w:vAlign w:val="center"/>
          </w:tcPr>
          <w:p w14:paraId="4B3EBA0C">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产生量/（t/a）</w:t>
            </w:r>
          </w:p>
        </w:tc>
        <w:tc>
          <w:tcPr>
            <w:tcW w:w="221" w:type="pct"/>
            <w:noWrap w:val="0"/>
            <w:vAlign w:val="center"/>
          </w:tcPr>
          <w:p w14:paraId="060DBFB8">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工艺</w:t>
            </w:r>
          </w:p>
        </w:tc>
        <w:tc>
          <w:tcPr>
            <w:tcW w:w="231" w:type="pct"/>
            <w:noWrap w:val="0"/>
            <w:vAlign w:val="center"/>
          </w:tcPr>
          <w:p w14:paraId="7A3306C4">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效率/%</w:t>
            </w:r>
          </w:p>
        </w:tc>
        <w:tc>
          <w:tcPr>
            <w:tcW w:w="221" w:type="pct"/>
            <w:noWrap w:val="0"/>
            <w:vAlign w:val="center"/>
          </w:tcPr>
          <w:p w14:paraId="5CD119CB">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核算方法</w:t>
            </w:r>
          </w:p>
        </w:tc>
        <w:tc>
          <w:tcPr>
            <w:tcW w:w="388" w:type="pct"/>
            <w:noWrap w:val="0"/>
            <w:vAlign w:val="center"/>
          </w:tcPr>
          <w:p w14:paraId="31852CEB">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排放废水量/(m</w:t>
            </w:r>
            <w:r>
              <w:rPr>
                <w:rFonts w:ascii="Times New Roman" w:hAnsi="Times New Roman" w:eastAsia="宋体" w:cs="Times New Roman"/>
                <w:color w:val="auto"/>
                <w:sz w:val="21"/>
                <w:szCs w:val="21"/>
                <w:highlight w:val="none"/>
                <w:vertAlign w:val="superscript"/>
              </w:rPr>
              <w:t>3</w:t>
            </w:r>
            <w:r>
              <w:rPr>
                <w:rFonts w:ascii="Times New Roman" w:hAnsi="Times New Roman" w:eastAsia="宋体" w:cs="Times New Roman"/>
                <w:color w:val="auto"/>
                <w:sz w:val="21"/>
                <w:szCs w:val="21"/>
                <w:highlight w:val="none"/>
              </w:rPr>
              <w:t>/a)</w:t>
            </w:r>
          </w:p>
        </w:tc>
        <w:tc>
          <w:tcPr>
            <w:tcW w:w="519" w:type="pct"/>
            <w:noWrap w:val="0"/>
            <w:vAlign w:val="center"/>
          </w:tcPr>
          <w:p w14:paraId="6579099B">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排放浓度/（mg/L）</w:t>
            </w:r>
          </w:p>
        </w:tc>
        <w:tc>
          <w:tcPr>
            <w:tcW w:w="480" w:type="pct"/>
            <w:noWrap w:val="0"/>
            <w:vAlign w:val="center"/>
          </w:tcPr>
          <w:p w14:paraId="009B1D89">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排放量/（t/a）</w:t>
            </w:r>
          </w:p>
        </w:tc>
        <w:tc>
          <w:tcPr>
            <w:tcW w:w="339" w:type="pct"/>
            <w:vMerge w:val="continue"/>
            <w:noWrap w:val="0"/>
            <w:vAlign w:val="center"/>
          </w:tcPr>
          <w:p w14:paraId="0F95BF3A">
            <w:pPr>
              <w:autoSpaceDE w:val="0"/>
              <w:autoSpaceDN w:val="0"/>
              <w:jc w:val="center"/>
              <w:rPr>
                <w:rFonts w:ascii="Times New Roman" w:hAnsi="Times New Roman" w:eastAsia="宋体" w:cs="Times New Roman"/>
                <w:color w:val="auto"/>
                <w:sz w:val="21"/>
                <w:szCs w:val="21"/>
                <w:highlight w:val="none"/>
              </w:rPr>
            </w:pPr>
          </w:p>
        </w:tc>
      </w:tr>
      <w:tr w14:paraId="36790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4" w:hRule="atLeast"/>
          <w:jc w:val="center"/>
        </w:trPr>
        <w:tc>
          <w:tcPr>
            <w:tcW w:w="221" w:type="pct"/>
            <w:vMerge w:val="restart"/>
            <w:noWrap w:val="0"/>
            <w:vAlign w:val="center"/>
          </w:tcPr>
          <w:p w14:paraId="32E07AF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员工生活</w:t>
            </w:r>
          </w:p>
        </w:tc>
        <w:tc>
          <w:tcPr>
            <w:tcW w:w="221" w:type="pct"/>
            <w:vMerge w:val="restart"/>
            <w:noWrap w:val="0"/>
            <w:vAlign w:val="center"/>
          </w:tcPr>
          <w:p w14:paraId="252305FA">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c>
          <w:tcPr>
            <w:tcW w:w="221" w:type="pct"/>
            <w:vMerge w:val="restart"/>
            <w:noWrap w:val="0"/>
            <w:vAlign w:val="center"/>
          </w:tcPr>
          <w:p w14:paraId="0264ECA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生活污水</w:t>
            </w:r>
          </w:p>
        </w:tc>
        <w:tc>
          <w:tcPr>
            <w:tcW w:w="394" w:type="pct"/>
            <w:noWrap w:val="0"/>
            <w:vAlign w:val="center"/>
          </w:tcPr>
          <w:p w14:paraId="0B053DD6">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Cr</w:t>
            </w:r>
          </w:p>
        </w:tc>
        <w:tc>
          <w:tcPr>
            <w:tcW w:w="221" w:type="pct"/>
            <w:vMerge w:val="restart"/>
            <w:noWrap w:val="0"/>
            <w:vAlign w:val="center"/>
          </w:tcPr>
          <w:p w14:paraId="2DC6F363">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排污系数法</w:t>
            </w:r>
          </w:p>
        </w:tc>
        <w:tc>
          <w:tcPr>
            <w:tcW w:w="388" w:type="pct"/>
            <w:vMerge w:val="restart"/>
            <w:noWrap w:val="0"/>
            <w:vAlign w:val="center"/>
          </w:tcPr>
          <w:p w14:paraId="4E237572">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701</w:t>
            </w:r>
          </w:p>
        </w:tc>
        <w:tc>
          <w:tcPr>
            <w:tcW w:w="519" w:type="pct"/>
            <w:noWrap w:val="0"/>
            <w:vAlign w:val="center"/>
          </w:tcPr>
          <w:p w14:paraId="1008EC1D">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3</w:t>
            </w:r>
            <w:r>
              <w:rPr>
                <w:rFonts w:hint="eastAsia" w:ascii="Times New Roman" w:hAnsi="Times New Roman" w:eastAsia="宋体" w:cs="Times New Roman"/>
                <w:color w:val="auto"/>
                <w:sz w:val="21"/>
                <w:szCs w:val="21"/>
                <w:highlight w:val="none"/>
                <w:lang w:val="en-US" w:eastAsia="zh-CN"/>
              </w:rPr>
              <w:t>50</w:t>
            </w:r>
          </w:p>
        </w:tc>
        <w:tc>
          <w:tcPr>
            <w:tcW w:w="410" w:type="pct"/>
            <w:noWrap w:val="0"/>
            <w:vAlign w:val="center"/>
          </w:tcPr>
          <w:p w14:paraId="28CB57B1">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245</w:t>
            </w:r>
          </w:p>
        </w:tc>
        <w:tc>
          <w:tcPr>
            <w:tcW w:w="221" w:type="pct"/>
            <w:vMerge w:val="restart"/>
            <w:noWrap w:val="0"/>
            <w:vAlign w:val="center"/>
          </w:tcPr>
          <w:p w14:paraId="0832B707">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化粪池</w:t>
            </w:r>
          </w:p>
        </w:tc>
        <w:tc>
          <w:tcPr>
            <w:tcW w:w="231" w:type="pct"/>
            <w:noWrap w:val="0"/>
            <w:vAlign w:val="center"/>
          </w:tcPr>
          <w:p w14:paraId="54127FCF">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c>
          <w:tcPr>
            <w:tcW w:w="221" w:type="pct"/>
            <w:vMerge w:val="restart"/>
            <w:noWrap w:val="0"/>
            <w:vAlign w:val="center"/>
          </w:tcPr>
          <w:p w14:paraId="77430A70">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达标排放</w:t>
            </w:r>
          </w:p>
        </w:tc>
        <w:tc>
          <w:tcPr>
            <w:tcW w:w="388" w:type="pct"/>
            <w:vMerge w:val="restart"/>
            <w:noWrap w:val="0"/>
            <w:vAlign w:val="center"/>
          </w:tcPr>
          <w:p w14:paraId="06B6556C">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701</w:t>
            </w:r>
          </w:p>
        </w:tc>
        <w:tc>
          <w:tcPr>
            <w:tcW w:w="519" w:type="pct"/>
            <w:noWrap w:val="0"/>
            <w:vAlign w:val="center"/>
          </w:tcPr>
          <w:p w14:paraId="4A71CB33">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c>
          <w:tcPr>
            <w:tcW w:w="480" w:type="pct"/>
            <w:noWrap w:val="0"/>
            <w:vAlign w:val="center"/>
          </w:tcPr>
          <w:p w14:paraId="75DC7D80">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0.028</w:t>
            </w:r>
          </w:p>
        </w:tc>
        <w:tc>
          <w:tcPr>
            <w:tcW w:w="339" w:type="pct"/>
            <w:noWrap w:val="0"/>
            <w:vAlign w:val="center"/>
          </w:tcPr>
          <w:p w14:paraId="414115E0">
            <w:pPr>
              <w:autoSpaceDE w:val="0"/>
              <w:autoSpaceDN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300</w:t>
            </w:r>
          </w:p>
        </w:tc>
      </w:tr>
      <w:tr w14:paraId="24940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21" w:type="pct"/>
            <w:vMerge w:val="continue"/>
            <w:noWrap w:val="0"/>
            <w:vAlign w:val="center"/>
          </w:tcPr>
          <w:p w14:paraId="7E63E525">
            <w:pPr>
              <w:autoSpaceDE w:val="0"/>
              <w:autoSpaceDN w:val="0"/>
              <w:jc w:val="center"/>
              <w:rPr>
                <w:rFonts w:ascii="Times New Roman" w:hAnsi="Times New Roman" w:eastAsia="宋体" w:cs="Times New Roman"/>
                <w:color w:val="auto"/>
                <w:sz w:val="21"/>
                <w:szCs w:val="21"/>
                <w:highlight w:val="none"/>
              </w:rPr>
            </w:pPr>
          </w:p>
        </w:tc>
        <w:tc>
          <w:tcPr>
            <w:tcW w:w="221" w:type="pct"/>
            <w:vMerge w:val="continue"/>
            <w:noWrap w:val="0"/>
            <w:vAlign w:val="center"/>
          </w:tcPr>
          <w:p w14:paraId="480D305B">
            <w:pPr>
              <w:autoSpaceDE w:val="0"/>
              <w:autoSpaceDN w:val="0"/>
              <w:jc w:val="center"/>
              <w:rPr>
                <w:rFonts w:ascii="Times New Roman" w:hAnsi="Times New Roman" w:eastAsia="宋体" w:cs="Times New Roman"/>
                <w:color w:val="auto"/>
                <w:sz w:val="21"/>
                <w:szCs w:val="21"/>
                <w:highlight w:val="none"/>
              </w:rPr>
            </w:pPr>
          </w:p>
        </w:tc>
        <w:tc>
          <w:tcPr>
            <w:tcW w:w="221" w:type="pct"/>
            <w:vMerge w:val="continue"/>
            <w:noWrap w:val="0"/>
            <w:vAlign w:val="center"/>
          </w:tcPr>
          <w:p w14:paraId="4C574AC5">
            <w:pPr>
              <w:autoSpaceDE w:val="0"/>
              <w:autoSpaceDN w:val="0"/>
              <w:jc w:val="center"/>
              <w:rPr>
                <w:rFonts w:ascii="Times New Roman" w:hAnsi="Times New Roman" w:eastAsia="宋体" w:cs="Times New Roman"/>
                <w:color w:val="auto"/>
                <w:sz w:val="21"/>
                <w:szCs w:val="21"/>
                <w:highlight w:val="none"/>
              </w:rPr>
            </w:pPr>
          </w:p>
        </w:tc>
        <w:tc>
          <w:tcPr>
            <w:tcW w:w="394" w:type="pct"/>
            <w:noWrap w:val="0"/>
            <w:vAlign w:val="center"/>
          </w:tcPr>
          <w:p w14:paraId="3C218675">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NH</w:t>
            </w:r>
            <w:r>
              <w:rPr>
                <w:rFonts w:ascii="Times New Roman" w:hAnsi="Times New Roman" w:eastAsia="宋体" w:cs="Times New Roman"/>
                <w:color w:val="auto"/>
                <w:sz w:val="21"/>
                <w:szCs w:val="21"/>
                <w:highlight w:val="none"/>
                <w:vertAlign w:val="subscript"/>
              </w:rPr>
              <w:t>3</w:t>
            </w:r>
            <w:r>
              <w:rPr>
                <w:rFonts w:ascii="Times New Roman" w:hAnsi="Times New Roman" w:eastAsia="宋体" w:cs="Times New Roman"/>
                <w:color w:val="auto"/>
                <w:sz w:val="21"/>
                <w:szCs w:val="21"/>
                <w:highlight w:val="none"/>
              </w:rPr>
              <w:t>-N</w:t>
            </w:r>
          </w:p>
        </w:tc>
        <w:tc>
          <w:tcPr>
            <w:tcW w:w="221" w:type="pct"/>
            <w:vMerge w:val="continue"/>
            <w:noWrap w:val="0"/>
            <w:vAlign w:val="center"/>
          </w:tcPr>
          <w:p w14:paraId="1D35D81E">
            <w:pPr>
              <w:autoSpaceDE w:val="0"/>
              <w:autoSpaceDN w:val="0"/>
              <w:jc w:val="center"/>
              <w:rPr>
                <w:rFonts w:ascii="Times New Roman" w:hAnsi="Times New Roman" w:eastAsia="宋体" w:cs="Times New Roman"/>
                <w:color w:val="auto"/>
                <w:sz w:val="21"/>
                <w:szCs w:val="21"/>
                <w:highlight w:val="none"/>
              </w:rPr>
            </w:pPr>
          </w:p>
        </w:tc>
        <w:tc>
          <w:tcPr>
            <w:tcW w:w="388" w:type="pct"/>
            <w:vMerge w:val="continue"/>
            <w:noWrap w:val="0"/>
            <w:vAlign w:val="center"/>
          </w:tcPr>
          <w:p w14:paraId="0135AE0C">
            <w:pPr>
              <w:autoSpaceDE w:val="0"/>
              <w:autoSpaceDN w:val="0"/>
              <w:jc w:val="center"/>
              <w:rPr>
                <w:rFonts w:ascii="Times New Roman" w:hAnsi="Times New Roman" w:eastAsia="宋体" w:cs="Times New Roman"/>
                <w:color w:val="auto"/>
                <w:sz w:val="21"/>
                <w:szCs w:val="21"/>
                <w:highlight w:val="none"/>
              </w:rPr>
            </w:pPr>
          </w:p>
        </w:tc>
        <w:tc>
          <w:tcPr>
            <w:tcW w:w="519" w:type="pct"/>
            <w:noWrap w:val="0"/>
            <w:vAlign w:val="center"/>
          </w:tcPr>
          <w:p w14:paraId="3DAA1326">
            <w:pPr>
              <w:autoSpaceDE w:val="0"/>
              <w:autoSpaceDN w:val="0"/>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3</w:t>
            </w:r>
            <w:r>
              <w:rPr>
                <w:rFonts w:hint="eastAsia" w:ascii="Times New Roman" w:hAnsi="Times New Roman" w:eastAsia="宋体" w:cs="Times New Roman"/>
                <w:color w:val="auto"/>
                <w:sz w:val="21"/>
                <w:szCs w:val="21"/>
                <w:highlight w:val="none"/>
                <w:lang w:val="en-US" w:eastAsia="zh-CN"/>
              </w:rPr>
              <w:t>5</w:t>
            </w:r>
          </w:p>
        </w:tc>
        <w:tc>
          <w:tcPr>
            <w:tcW w:w="410" w:type="pct"/>
            <w:noWrap w:val="0"/>
            <w:vAlign w:val="center"/>
          </w:tcPr>
          <w:p w14:paraId="02886082">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025</w:t>
            </w:r>
          </w:p>
        </w:tc>
        <w:tc>
          <w:tcPr>
            <w:tcW w:w="221" w:type="pct"/>
            <w:vMerge w:val="continue"/>
            <w:noWrap w:val="0"/>
            <w:vAlign w:val="center"/>
          </w:tcPr>
          <w:p w14:paraId="69D58AFB">
            <w:pPr>
              <w:autoSpaceDE w:val="0"/>
              <w:autoSpaceDN w:val="0"/>
              <w:jc w:val="center"/>
              <w:rPr>
                <w:rFonts w:ascii="Times New Roman" w:hAnsi="Times New Roman" w:eastAsia="宋体" w:cs="Times New Roman"/>
                <w:color w:val="auto"/>
                <w:sz w:val="21"/>
                <w:szCs w:val="21"/>
                <w:highlight w:val="none"/>
              </w:rPr>
            </w:pPr>
          </w:p>
        </w:tc>
        <w:tc>
          <w:tcPr>
            <w:tcW w:w="231" w:type="pct"/>
            <w:noWrap w:val="0"/>
            <w:vAlign w:val="center"/>
          </w:tcPr>
          <w:p w14:paraId="710DF905">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c>
          <w:tcPr>
            <w:tcW w:w="221" w:type="pct"/>
            <w:vMerge w:val="continue"/>
            <w:noWrap w:val="0"/>
            <w:vAlign w:val="center"/>
          </w:tcPr>
          <w:p w14:paraId="292E79FD">
            <w:pPr>
              <w:autoSpaceDE w:val="0"/>
              <w:autoSpaceDN w:val="0"/>
              <w:jc w:val="center"/>
              <w:rPr>
                <w:rFonts w:ascii="Times New Roman" w:hAnsi="Times New Roman" w:eastAsia="宋体" w:cs="Times New Roman"/>
                <w:color w:val="auto"/>
                <w:sz w:val="21"/>
                <w:szCs w:val="21"/>
                <w:highlight w:val="none"/>
              </w:rPr>
            </w:pPr>
          </w:p>
        </w:tc>
        <w:tc>
          <w:tcPr>
            <w:tcW w:w="388" w:type="pct"/>
            <w:vMerge w:val="continue"/>
            <w:noWrap w:val="0"/>
            <w:vAlign w:val="center"/>
          </w:tcPr>
          <w:p w14:paraId="6805763E">
            <w:pPr>
              <w:autoSpaceDE w:val="0"/>
              <w:autoSpaceDN w:val="0"/>
              <w:jc w:val="center"/>
              <w:rPr>
                <w:rFonts w:ascii="Times New Roman" w:hAnsi="Times New Roman" w:eastAsia="宋体" w:cs="Times New Roman"/>
                <w:color w:val="auto"/>
                <w:sz w:val="21"/>
                <w:szCs w:val="21"/>
                <w:highlight w:val="none"/>
              </w:rPr>
            </w:pPr>
          </w:p>
        </w:tc>
        <w:tc>
          <w:tcPr>
            <w:tcW w:w="519" w:type="pct"/>
            <w:noWrap w:val="0"/>
            <w:vAlign w:val="center"/>
          </w:tcPr>
          <w:p w14:paraId="39AD5E10">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480" w:type="pct"/>
            <w:noWrap w:val="0"/>
            <w:vAlign w:val="center"/>
          </w:tcPr>
          <w:p w14:paraId="59D6F5A6">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0.001</w:t>
            </w:r>
          </w:p>
        </w:tc>
        <w:tc>
          <w:tcPr>
            <w:tcW w:w="339" w:type="pct"/>
            <w:noWrap w:val="0"/>
            <w:vAlign w:val="center"/>
          </w:tcPr>
          <w:p w14:paraId="7995D5EA">
            <w:pPr>
              <w:autoSpaceDE w:val="0"/>
              <w:autoSpaceDN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30</w:t>
            </w:r>
            <w:r>
              <w:rPr>
                <w:rFonts w:ascii="Times New Roman" w:hAnsi="Times New Roman" w:eastAsia="宋体" w:cs="Times New Roman"/>
                <w:color w:val="auto"/>
                <w:sz w:val="21"/>
                <w:szCs w:val="21"/>
                <w:highlight w:val="none"/>
              </w:rPr>
              <w:t>0</w:t>
            </w:r>
          </w:p>
        </w:tc>
      </w:tr>
    </w:tbl>
    <w:p w14:paraId="74088101">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废水类别、污染物及污染治理设施信息表</w:t>
      </w:r>
    </w:p>
    <w:tbl>
      <w:tblPr>
        <w:tblStyle w:val="15"/>
        <w:tblW w:w="5000"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57" w:type="dxa"/>
          <w:bottom w:w="0" w:type="dxa"/>
          <w:right w:w="57" w:type="dxa"/>
        </w:tblCellMar>
      </w:tblPr>
      <w:tblGrid>
        <w:gridCol w:w="347"/>
        <w:gridCol w:w="748"/>
        <w:gridCol w:w="817"/>
        <w:gridCol w:w="676"/>
        <w:gridCol w:w="1378"/>
        <w:gridCol w:w="720"/>
        <w:gridCol w:w="538"/>
        <w:gridCol w:w="773"/>
        <w:gridCol w:w="743"/>
        <w:gridCol w:w="972"/>
        <w:gridCol w:w="700"/>
      </w:tblGrid>
      <w:tr w14:paraId="7A66144A">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205" w:type="pct"/>
            <w:vMerge w:val="restart"/>
            <w:noWrap w:val="0"/>
            <w:vAlign w:val="center"/>
          </w:tcPr>
          <w:p w14:paraId="0B104DE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441" w:type="pct"/>
            <w:vMerge w:val="restart"/>
            <w:noWrap w:val="0"/>
            <w:vAlign w:val="center"/>
          </w:tcPr>
          <w:p w14:paraId="2679C2C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废水类别</w:t>
            </w:r>
          </w:p>
        </w:tc>
        <w:tc>
          <w:tcPr>
            <w:tcW w:w="482" w:type="pct"/>
            <w:vMerge w:val="restart"/>
            <w:noWrap w:val="0"/>
            <w:vAlign w:val="center"/>
          </w:tcPr>
          <w:p w14:paraId="33071D1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污染物种类</w:t>
            </w:r>
          </w:p>
        </w:tc>
        <w:tc>
          <w:tcPr>
            <w:tcW w:w="399" w:type="pct"/>
            <w:vMerge w:val="restart"/>
            <w:noWrap w:val="0"/>
            <w:vAlign w:val="center"/>
          </w:tcPr>
          <w:p w14:paraId="790CB36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排放去向</w:t>
            </w:r>
          </w:p>
        </w:tc>
        <w:tc>
          <w:tcPr>
            <w:tcW w:w="813" w:type="pct"/>
            <w:vMerge w:val="restart"/>
            <w:noWrap w:val="0"/>
            <w:vAlign w:val="center"/>
          </w:tcPr>
          <w:p w14:paraId="07E4AAF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排放规律</w:t>
            </w:r>
          </w:p>
        </w:tc>
        <w:tc>
          <w:tcPr>
            <w:tcW w:w="1199" w:type="pct"/>
            <w:gridSpan w:val="3"/>
            <w:noWrap w:val="0"/>
            <w:vAlign w:val="center"/>
          </w:tcPr>
          <w:p w14:paraId="799C6CF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污染治理设施</w:t>
            </w:r>
          </w:p>
        </w:tc>
        <w:tc>
          <w:tcPr>
            <w:tcW w:w="438" w:type="pct"/>
            <w:vMerge w:val="restart"/>
            <w:noWrap w:val="0"/>
            <w:vAlign w:val="center"/>
          </w:tcPr>
          <w:p w14:paraId="39F7BCE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排放口编号</w:t>
            </w:r>
          </w:p>
        </w:tc>
        <w:tc>
          <w:tcPr>
            <w:tcW w:w="573" w:type="pct"/>
            <w:vMerge w:val="restart"/>
            <w:noWrap w:val="0"/>
            <w:vAlign w:val="center"/>
          </w:tcPr>
          <w:p w14:paraId="4CDEB2B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排放口设置是否符合要求</w:t>
            </w:r>
          </w:p>
        </w:tc>
        <w:tc>
          <w:tcPr>
            <w:tcW w:w="413" w:type="pct"/>
            <w:vMerge w:val="restart"/>
            <w:noWrap w:val="0"/>
            <w:vAlign w:val="center"/>
          </w:tcPr>
          <w:p w14:paraId="10B260C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排放口类型</w:t>
            </w:r>
          </w:p>
        </w:tc>
      </w:tr>
      <w:tr w14:paraId="3C687846">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205" w:type="pct"/>
            <w:vMerge w:val="continue"/>
            <w:noWrap w:val="0"/>
            <w:vAlign w:val="center"/>
          </w:tcPr>
          <w:p w14:paraId="1DD4136A">
            <w:pPr>
              <w:jc w:val="center"/>
              <w:rPr>
                <w:rFonts w:ascii="Times New Roman" w:hAnsi="Times New Roman" w:eastAsia="宋体" w:cs="Times New Roman"/>
                <w:color w:val="auto"/>
                <w:sz w:val="21"/>
                <w:szCs w:val="21"/>
                <w:highlight w:val="none"/>
              </w:rPr>
            </w:pPr>
          </w:p>
        </w:tc>
        <w:tc>
          <w:tcPr>
            <w:tcW w:w="441" w:type="pct"/>
            <w:vMerge w:val="continue"/>
            <w:noWrap w:val="0"/>
            <w:vAlign w:val="center"/>
          </w:tcPr>
          <w:p w14:paraId="72B66C06">
            <w:pPr>
              <w:jc w:val="center"/>
              <w:rPr>
                <w:rFonts w:ascii="Times New Roman" w:hAnsi="Times New Roman" w:eastAsia="宋体" w:cs="Times New Roman"/>
                <w:color w:val="auto"/>
                <w:sz w:val="21"/>
                <w:szCs w:val="21"/>
                <w:highlight w:val="none"/>
              </w:rPr>
            </w:pPr>
          </w:p>
        </w:tc>
        <w:tc>
          <w:tcPr>
            <w:tcW w:w="482" w:type="pct"/>
            <w:vMerge w:val="continue"/>
            <w:noWrap w:val="0"/>
            <w:vAlign w:val="center"/>
          </w:tcPr>
          <w:p w14:paraId="35F0AAA0">
            <w:pPr>
              <w:jc w:val="center"/>
              <w:rPr>
                <w:rFonts w:ascii="Times New Roman" w:hAnsi="Times New Roman" w:eastAsia="宋体" w:cs="Times New Roman"/>
                <w:color w:val="auto"/>
                <w:sz w:val="21"/>
                <w:szCs w:val="21"/>
                <w:highlight w:val="none"/>
              </w:rPr>
            </w:pPr>
          </w:p>
        </w:tc>
        <w:tc>
          <w:tcPr>
            <w:tcW w:w="399" w:type="pct"/>
            <w:vMerge w:val="continue"/>
            <w:noWrap w:val="0"/>
            <w:vAlign w:val="center"/>
          </w:tcPr>
          <w:p w14:paraId="02E15A11">
            <w:pPr>
              <w:jc w:val="center"/>
              <w:rPr>
                <w:rFonts w:ascii="Times New Roman" w:hAnsi="Times New Roman" w:eastAsia="宋体" w:cs="Times New Roman"/>
                <w:color w:val="auto"/>
                <w:sz w:val="21"/>
                <w:szCs w:val="21"/>
                <w:highlight w:val="none"/>
              </w:rPr>
            </w:pPr>
          </w:p>
        </w:tc>
        <w:tc>
          <w:tcPr>
            <w:tcW w:w="813" w:type="pct"/>
            <w:vMerge w:val="continue"/>
            <w:noWrap w:val="0"/>
            <w:vAlign w:val="center"/>
          </w:tcPr>
          <w:p w14:paraId="440EDDAA">
            <w:pPr>
              <w:jc w:val="center"/>
              <w:rPr>
                <w:rFonts w:ascii="Times New Roman" w:hAnsi="Times New Roman" w:eastAsia="宋体" w:cs="Times New Roman"/>
                <w:color w:val="auto"/>
                <w:sz w:val="21"/>
                <w:szCs w:val="21"/>
                <w:highlight w:val="none"/>
              </w:rPr>
            </w:pPr>
          </w:p>
        </w:tc>
        <w:tc>
          <w:tcPr>
            <w:tcW w:w="425" w:type="pct"/>
            <w:noWrap w:val="0"/>
            <w:vAlign w:val="center"/>
          </w:tcPr>
          <w:p w14:paraId="77D4F79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编号</w:t>
            </w:r>
          </w:p>
        </w:tc>
        <w:tc>
          <w:tcPr>
            <w:tcW w:w="318" w:type="pct"/>
            <w:noWrap w:val="0"/>
            <w:vAlign w:val="center"/>
          </w:tcPr>
          <w:p w14:paraId="15DB1F8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名称</w:t>
            </w:r>
          </w:p>
        </w:tc>
        <w:tc>
          <w:tcPr>
            <w:tcW w:w="456" w:type="pct"/>
            <w:noWrap w:val="0"/>
            <w:vAlign w:val="center"/>
          </w:tcPr>
          <w:p w14:paraId="4C3C9B3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工艺</w:t>
            </w:r>
          </w:p>
        </w:tc>
        <w:tc>
          <w:tcPr>
            <w:tcW w:w="438" w:type="pct"/>
            <w:vMerge w:val="continue"/>
            <w:noWrap w:val="0"/>
            <w:vAlign w:val="center"/>
          </w:tcPr>
          <w:p w14:paraId="7B0E1490">
            <w:pPr>
              <w:jc w:val="center"/>
              <w:rPr>
                <w:rFonts w:ascii="Times New Roman" w:hAnsi="Times New Roman" w:eastAsia="宋体" w:cs="Times New Roman"/>
                <w:color w:val="auto"/>
                <w:sz w:val="21"/>
                <w:szCs w:val="21"/>
                <w:highlight w:val="none"/>
              </w:rPr>
            </w:pPr>
          </w:p>
        </w:tc>
        <w:tc>
          <w:tcPr>
            <w:tcW w:w="573" w:type="pct"/>
            <w:vMerge w:val="continue"/>
            <w:noWrap w:val="0"/>
            <w:vAlign w:val="center"/>
          </w:tcPr>
          <w:p w14:paraId="6283D964">
            <w:pPr>
              <w:jc w:val="center"/>
              <w:rPr>
                <w:rFonts w:ascii="Times New Roman" w:hAnsi="Times New Roman" w:eastAsia="宋体" w:cs="Times New Roman"/>
                <w:color w:val="auto"/>
                <w:sz w:val="21"/>
                <w:szCs w:val="21"/>
                <w:highlight w:val="none"/>
              </w:rPr>
            </w:pPr>
          </w:p>
        </w:tc>
        <w:tc>
          <w:tcPr>
            <w:tcW w:w="413" w:type="pct"/>
            <w:vMerge w:val="continue"/>
            <w:noWrap w:val="0"/>
            <w:vAlign w:val="center"/>
          </w:tcPr>
          <w:p w14:paraId="60EDF5FE">
            <w:pPr>
              <w:jc w:val="center"/>
              <w:rPr>
                <w:rFonts w:ascii="Times New Roman" w:hAnsi="Times New Roman" w:eastAsia="宋体" w:cs="Times New Roman"/>
                <w:color w:val="auto"/>
                <w:sz w:val="21"/>
                <w:szCs w:val="21"/>
                <w:highlight w:val="none"/>
              </w:rPr>
            </w:pPr>
          </w:p>
        </w:tc>
      </w:tr>
      <w:tr w14:paraId="1C0E018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57" w:type="dxa"/>
            <w:bottom w:w="0" w:type="dxa"/>
            <w:right w:w="57" w:type="dxa"/>
          </w:tblCellMar>
        </w:tblPrEx>
        <w:trPr>
          <w:trHeight w:val="340" w:hRule="atLeast"/>
          <w:jc w:val="center"/>
        </w:trPr>
        <w:tc>
          <w:tcPr>
            <w:tcW w:w="205" w:type="pct"/>
            <w:noWrap w:val="0"/>
            <w:vAlign w:val="center"/>
          </w:tcPr>
          <w:p w14:paraId="179E03D3">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441" w:type="pct"/>
            <w:noWrap w:val="0"/>
            <w:vAlign w:val="center"/>
          </w:tcPr>
          <w:p w14:paraId="1AAC017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生活污水</w:t>
            </w:r>
          </w:p>
        </w:tc>
        <w:tc>
          <w:tcPr>
            <w:tcW w:w="482" w:type="pct"/>
            <w:noWrap w:val="0"/>
            <w:vAlign w:val="center"/>
          </w:tcPr>
          <w:p w14:paraId="4CAA17F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Cr</w:t>
            </w:r>
            <w:r>
              <w:rPr>
                <w:rFonts w:ascii="Times New Roman" w:hAnsi="Times New Roman" w:eastAsia="宋体" w:cs="Times New Roman"/>
                <w:color w:val="auto"/>
                <w:sz w:val="21"/>
                <w:szCs w:val="21"/>
                <w:highlight w:val="none"/>
              </w:rPr>
              <w:t>、NH</w:t>
            </w:r>
            <w:r>
              <w:rPr>
                <w:rFonts w:ascii="Times New Roman" w:hAnsi="Times New Roman" w:eastAsia="宋体" w:cs="Times New Roman"/>
                <w:color w:val="auto"/>
                <w:sz w:val="21"/>
                <w:szCs w:val="21"/>
                <w:highlight w:val="none"/>
                <w:vertAlign w:val="subscript"/>
              </w:rPr>
              <w:t>3</w:t>
            </w:r>
            <w:r>
              <w:rPr>
                <w:rFonts w:ascii="Times New Roman" w:hAnsi="Times New Roman" w:eastAsia="宋体" w:cs="Times New Roman"/>
                <w:color w:val="auto"/>
                <w:sz w:val="21"/>
                <w:szCs w:val="21"/>
                <w:highlight w:val="none"/>
              </w:rPr>
              <w:t>-N</w:t>
            </w:r>
          </w:p>
        </w:tc>
        <w:tc>
          <w:tcPr>
            <w:tcW w:w="399" w:type="pct"/>
            <w:noWrap w:val="0"/>
            <w:vAlign w:val="center"/>
          </w:tcPr>
          <w:p w14:paraId="7431340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排至</w:t>
            </w:r>
            <w:r>
              <w:rPr>
                <w:rFonts w:hint="eastAsia" w:ascii="Times New Roman" w:hAnsi="Times New Roman" w:eastAsia="宋体" w:cs="Times New Roman"/>
                <w:color w:val="auto"/>
                <w:sz w:val="21"/>
                <w:szCs w:val="21"/>
                <w:highlight w:val="none"/>
              </w:rPr>
              <w:t>塘栖污水</w:t>
            </w:r>
            <w:r>
              <w:rPr>
                <w:rFonts w:ascii="Times New Roman" w:hAnsi="Times New Roman" w:eastAsia="宋体" w:cs="Times New Roman"/>
                <w:color w:val="auto"/>
                <w:sz w:val="21"/>
                <w:szCs w:val="21"/>
                <w:highlight w:val="none"/>
              </w:rPr>
              <w:t>处理厂</w:t>
            </w:r>
          </w:p>
        </w:tc>
        <w:tc>
          <w:tcPr>
            <w:tcW w:w="813" w:type="pct"/>
            <w:noWrap w:val="0"/>
            <w:vAlign w:val="center"/>
          </w:tcPr>
          <w:p w14:paraId="0192E34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间断排放，排放期间流量不稳定且无规律，但不属于冲击型排放</w:t>
            </w:r>
          </w:p>
        </w:tc>
        <w:tc>
          <w:tcPr>
            <w:tcW w:w="425" w:type="pct"/>
            <w:noWrap w:val="0"/>
            <w:vAlign w:val="center"/>
          </w:tcPr>
          <w:p w14:paraId="3B429D0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TW001</w:t>
            </w:r>
          </w:p>
        </w:tc>
        <w:tc>
          <w:tcPr>
            <w:tcW w:w="318" w:type="pct"/>
            <w:noWrap w:val="0"/>
            <w:vAlign w:val="center"/>
          </w:tcPr>
          <w:p w14:paraId="63AE169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化粪池</w:t>
            </w:r>
          </w:p>
        </w:tc>
        <w:tc>
          <w:tcPr>
            <w:tcW w:w="456" w:type="pct"/>
            <w:noWrap w:val="0"/>
            <w:vAlign w:val="center"/>
          </w:tcPr>
          <w:p w14:paraId="5513DB8C">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化粪池处理</w:t>
            </w:r>
          </w:p>
        </w:tc>
        <w:tc>
          <w:tcPr>
            <w:tcW w:w="438" w:type="pct"/>
            <w:noWrap w:val="0"/>
            <w:vAlign w:val="center"/>
          </w:tcPr>
          <w:p w14:paraId="32C65B1C">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DW001</w:t>
            </w:r>
          </w:p>
        </w:tc>
        <w:tc>
          <w:tcPr>
            <w:tcW w:w="573" w:type="pct"/>
            <w:noWrap w:val="0"/>
            <w:vAlign w:val="center"/>
          </w:tcPr>
          <w:p w14:paraId="2453823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是</w:t>
            </w:r>
          </w:p>
        </w:tc>
        <w:tc>
          <w:tcPr>
            <w:tcW w:w="413" w:type="pct"/>
            <w:noWrap w:val="0"/>
            <w:vAlign w:val="center"/>
          </w:tcPr>
          <w:p w14:paraId="33BE6266">
            <w:pPr>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企业总排</w:t>
            </w:r>
            <w:r>
              <w:rPr>
                <w:rFonts w:hint="eastAsia" w:ascii="Times New Roman" w:hAnsi="Times New Roman" w:eastAsia="宋体" w:cs="Times New Roman"/>
                <w:color w:val="auto"/>
                <w:sz w:val="21"/>
                <w:szCs w:val="21"/>
                <w:highlight w:val="none"/>
                <w:lang w:val="en-US" w:eastAsia="zh-CN"/>
              </w:rPr>
              <w:t>口</w:t>
            </w:r>
          </w:p>
        </w:tc>
      </w:tr>
    </w:tbl>
    <w:p w14:paraId="75FD136E">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废水间接排放口基本情况表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74"/>
        <w:gridCol w:w="780"/>
        <w:gridCol w:w="1368"/>
        <w:gridCol w:w="1225"/>
        <w:gridCol w:w="678"/>
        <w:gridCol w:w="1204"/>
        <w:gridCol w:w="604"/>
        <w:gridCol w:w="566"/>
        <w:gridCol w:w="798"/>
        <w:gridCol w:w="859"/>
      </w:tblGrid>
      <w:tr w14:paraId="27688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4" w:type="pct"/>
            <w:vMerge w:val="restart"/>
            <w:noWrap w:val="0"/>
            <w:vAlign w:val="center"/>
          </w:tcPr>
          <w:p w14:paraId="499B51A8">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序号</w:t>
            </w:r>
          </w:p>
        </w:tc>
        <w:tc>
          <w:tcPr>
            <w:tcW w:w="467" w:type="pct"/>
            <w:vMerge w:val="restart"/>
            <w:noWrap w:val="0"/>
            <w:vAlign w:val="center"/>
          </w:tcPr>
          <w:p w14:paraId="2A399B1F">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排放口编号</w:t>
            </w:r>
          </w:p>
        </w:tc>
        <w:tc>
          <w:tcPr>
            <w:tcW w:w="1551" w:type="pct"/>
            <w:gridSpan w:val="2"/>
            <w:noWrap w:val="0"/>
            <w:vAlign w:val="center"/>
          </w:tcPr>
          <w:p w14:paraId="237F5DC5">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排放口地理坐标</w:t>
            </w:r>
          </w:p>
        </w:tc>
        <w:tc>
          <w:tcPr>
            <w:tcW w:w="405" w:type="pct"/>
            <w:vMerge w:val="restart"/>
            <w:noWrap w:val="0"/>
            <w:vAlign w:val="center"/>
          </w:tcPr>
          <w:p w14:paraId="4DC62294">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废水排放量（万t/a）</w:t>
            </w:r>
          </w:p>
        </w:tc>
        <w:tc>
          <w:tcPr>
            <w:tcW w:w="720" w:type="pct"/>
            <w:vMerge w:val="restart"/>
            <w:noWrap w:val="0"/>
            <w:vAlign w:val="center"/>
          </w:tcPr>
          <w:p w14:paraId="7BD12D67">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排放规律</w:t>
            </w:r>
          </w:p>
        </w:tc>
        <w:tc>
          <w:tcPr>
            <w:tcW w:w="361" w:type="pct"/>
            <w:vMerge w:val="restart"/>
            <w:noWrap w:val="0"/>
            <w:vAlign w:val="center"/>
          </w:tcPr>
          <w:p w14:paraId="24B6291C">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间歇排放时段</w:t>
            </w:r>
          </w:p>
        </w:tc>
        <w:tc>
          <w:tcPr>
            <w:tcW w:w="1330" w:type="pct"/>
            <w:gridSpan w:val="3"/>
            <w:noWrap w:val="0"/>
            <w:vAlign w:val="center"/>
          </w:tcPr>
          <w:p w14:paraId="782A9D29">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受纳污水处理厂信息</w:t>
            </w:r>
          </w:p>
        </w:tc>
      </w:tr>
      <w:tr w14:paraId="7DCF04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4" w:type="pct"/>
            <w:vMerge w:val="continue"/>
            <w:noWrap w:val="0"/>
            <w:vAlign w:val="center"/>
          </w:tcPr>
          <w:p w14:paraId="51352251">
            <w:pPr>
              <w:jc w:val="center"/>
              <w:rPr>
                <w:rFonts w:ascii="Times New Roman" w:hAnsi="Times New Roman" w:eastAsia="宋体" w:cs="Times New Roman"/>
                <w:color w:val="auto"/>
                <w:spacing w:val="10"/>
                <w:sz w:val="21"/>
                <w:szCs w:val="21"/>
                <w:highlight w:val="none"/>
              </w:rPr>
            </w:pPr>
          </w:p>
        </w:tc>
        <w:tc>
          <w:tcPr>
            <w:tcW w:w="467" w:type="pct"/>
            <w:vMerge w:val="continue"/>
            <w:noWrap w:val="0"/>
            <w:vAlign w:val="center"/>
          </w:tcPr>
          <w:p w14:paraId="22450D5B">
            <w:pPr>
              <w:jc w:val="center"/>
              <w:rPr>
                <w:rFonts w:ascii="Times New Roman" w:hAnsi="Times New Roman" w:eastAsia="宋体" w:cs="Times New Roman"/>
                <w:color w:val="auto"/>
                <w:spacing w:val="10"/>
                <w:sz w:val="21"/>
                <w:szCs w:val="21"/>
                <w:highlight w:val="none"/>
              </w:rPr>
            </w:pPr>
          </w:p>
        </w:tc>
        <w:tc>
          <w:tcPr>
            <w:tcW w:w="818" w:type="pct"/>
            <w:noWrap w:val="0"/>
            <w:vAlign w:val="center"/>
          </w:tcPr>
          <w:p w14:paraId="6AF51C86">
            <w:pPr>
              <w:jc w:val="center"/>
              <w:rPr>
                <w:rFonts w:hint="eastAsia"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经度</w:t>
            </w:r>
            <w:r>
              <w:rPr>
                <w:rFonts w:hint="default" w:ascii="Times New Roman" w:hAnsi="Times New Roman" w:eastAsia="宋体" w:cs="Times New Roman"/>
                <w:color w:val="auto"/>
                <w:spacing w:val="10"/>
                <w:sz w:val="21"/>
                <w:szCs w:val="21"/>
                <w:highlight w:val="none"/>
                <w:lang w:val="en-US" w:eastAsia="zh-CN"/>
              </w:rPr>
              <w:t>/°</w:t>
            </w:r>
          </w:p>
        </w:tc>
        <w:tc>
          <w:tcPr>
            <w:tcW w:w="732" w:type="pct"/>
            <w:noWrap w:val="0"/>
            <w:vAlign w:val="center"/>
          </w:tcPr>
          <w:p w14:paraId="5E418B8B">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纬度</w:t>
            </w:r>
            <w:r>
              <w:rPr>
                <w:rFonts w:hint="default" w:ascii="Times New Roman" w:hAnsi="Times New Roman" w:eastAsia="宋体" w:cs="Times New Roman"/>
                <w:color w:val="auto"/>
                <w:spacing w:val="10"/>
                <w:sz w:val="21"/>
                <w:szCs w:val="21"/>
                <w:highlight w:val="none"/>
                <w:lang w:val="en-US" w:eastAsia="zh-CN"/>
              </w:rPr>
              <w:t>/°</w:t>
            </w:r>
          </w:p>
        </w:tc>
        <w:tc>
          <w:tcPr>
            <w:tcW w:w="405" w:type="pct"/>
            <w:vMerge w:val="continue"/>
            <w:noWrap w:val="0"/>
            <w:vAlign w:val="center"/>
          </w:tcPr>
          <w:p w14:paraId="389D651D">
            <w:pPr>
              <w:jc w:val="center"/>
              <w:rPr>
                <w:rFonts w:ascii="Times New Roman" w:hAnsi="Times New Roman" w:eastAsia="宋体" w:cs="Times New Roman"/>
                <w:color w:val="auto"/>
                <w:spacing w:val="10"/>
                <w:sz w:val="21"/>
                <w:szCs w:val="21"/>
                <w:highlight w:val="none"/>
              </w:rPr>
            </w:pPr>
          </w:p>
        </w:tc>
        <w:tc>
          <w:tcPr>
            <w:tcW w:w="720" w:type="pct"/>
            <w:vMerge w:val="continue"/>
            <w:noWrap w:val="0"/>
            <w:vAlign w:val="center"/>
          </w:tcPr>
          <w:p w14:paraId="4BCFBF00">
            <w:pPr>
              <w:jc w:val="center"/>
              <w:rPr>
                <w:rFonts w:ascii="Times New Roman" w:hAnsi="Times New Roman" w:eastAsia="宋体" w:cs="Times New Roman"/>
                <w:color w:val="auto"/>
                <w:spacing w:val="10"/>
                <w:sz w:val="21"/>
                <w:szCs w:val="21"/>
                <w:highlight w:val="none"/>
              </w:rPr>
            </w:pPr>
          </w:p>
        </w:tc>
        <w:tc>
          <w:tcPr>
            <w:tcW w:w="361" w:type="pct"/>
            <w:vMerge w:val="continue"/>
            <w:noWrap w:val="0"/>
            <w:vAlign w:val="center"/>
          </w:tcPr>
          <w:p w14:paraId="07ABDCA8">
            <w:pPr>
              <w:jc w:val="center"/>
              <w:rPr>
                <w:rFonts w:ascii="Times New Roman" w:hAnsi="Times New Roman" w:eastAsia="宋体" w:cs="Times New Roman"/>
                <w:color w:val="auto"/>
                <w:spacing w:val="10"/>
                <w:sz w:val="21"/>
                <w:szCs w:val="21"/>
                <w:highlight w:val="none"/>
              </w:rPr>
            </w:pPr>
          </w:p>
        </w:tc>
        <w:tc>
          <w:tcPr>
            <w:tcW w:w="339" w:type="pct"/>
            <w:noWrap w:val="0"/>
            <w:vAlign w:val="center"/>
          </w:tcPr>
          <w:p w14:paraId="352EBAED">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名称</w:t>
            </w:r>
          </w:p>
        </w:tc>
        <w:tc>
          <w:tcPr>
            <w:tcW w:w="477" w:type="pct"/>
            <w:noWrap w:val="0"/>
            <w:vAlign w:val="center"/>
          </w:tcPr>
          <w:p w14:paraId="5A21CE9E">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污染物种类</w:t>
            </w:r>
          </w:p>
        </w:tc>
        <w:tc>
          <w:tcPr>
            <w:tcW w:w="513" w:type="pct"/>
            <w:noWrap w:val="0"/>
            <w:vAlign w:val="center"/>
          </w:tcPr>
          <w:p w14:paraId="309E0298">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排放标准（mg/L）</w:t>
            </w:r>
          </w:p>
        </w:tc>
      </w:tr>
      <w:tr w14:paraId="66AF5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4" w:type="pct"/>
            <w:vMerge w:val="restart"/>
            <w:noWrap w:val="0"/>
            <w:vAlign w:val="center"/>
          </w:tcPr>
          <w:p w14:paraId="43C07B31">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1</w:t>
            </w:r>
          </w:p>
        </w:tc>
        <w:tc>
          <w:tcPr>
            <w:tcW w:w="467" w:type="pct"/>
            <w:vMerge w:val="restart"/>
            <w:noWrap w:val="0"/>
            <w:vAlign w:val="center"/>
          </w:tcPr>
          <w:p w14:paraId="5CD1B846">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DW001</w:t>
            </w:r>
          </w:p>
        </w:tc>
        <w:tc>
          <w:tcPr>
            <w:tcW w:w="818" w:type="pct"/>
            <w:vMerge w:val="restart"/>
            <w:noWrap w:val="0"/>
            <w:vAlign w:val="center"/>
          </w:tcPr>
          <w:p w14:paraId="3D7A71F0">
            <w:pPr>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120.161558</w:t>
            </w:r>
          </w:p>
        </w:tc>
        <w:tc>
          <w:tcPr>
            <w:tcW w:w="732" w:type="pct"/>
            <w:vMerge w:val="restart"/>
            <w:noWrap w:val="0"/>
            <w:vAlign w:val="center"/>
          </w:tcPr>
          <w:p w14:paraId="0BA91D05">
            <w:pPr>
              <w:jc w:val="center"/>
              <w:rPr>
                <w:rFonts w:hint="default" w:ascii="Times New Roman" w:hAnsi="Times New Roman" w:eastAsia="宋体" w:cs="Times New Roman"/>
                <w:color w:val="auto"/>
                <w:spacing w:val="10"/>
                <w:sz w:val="21"/>
                <w:szCs w:val="21"/>
                <w:highlight w:val="none"/>
                <w:lang w:val="en-US" w:eastAsia="zh-CN"/>
              </w:rPr>
            </w:pPr>
            <w:r>
              <w:rPr>
                <w:rFonts w:hint="default" w:ascii="Times New Roman" w:hAnsi="Times New Roman" w:eastAsia="宋体" w:cs="Times New Roman"/>
                <w:color w:val="auto"/>
                <w:spacing w:val="10"/>
                <w:sz w:val="21"/>
                <w:szCs w:val="21"/>
                <w:highlight w:val="none"/>
                <w:lang w:val="en-US" w:eastAsia="zh-CN"/>
              </w:rPr>
              <w:t>30.451451</w:t>
            </w:r>
          </w:p>
        </w:tc>
        <w:tc>
          <w:tcPr>
            <w:tcW w:w="405" w:type="pct"/>
            <w:vMerge w:val="restart"/>
            <w:noWrap w:val="0"/>
            <w:vAlign w:val="center"/>
          </w:tcPr>
          <w:p w14:paraId="66A6FE7F">
            <w:pPr>
              <w:jc w:val="center"/>
              <w:rPr>
                <w:rFonts w:hint="default" w:ascii="Times New Roman" w:hAnsi="Times New Roman" w:eastAsia="宋体" w:cs="Times New Roman"/>
                <w:color w:val="auto"/>
                <w:spacing w:val="10"/>
                <w:sz w:val="21"/>
                <w:szCs w:val="21"/>
                <w:highlight w:val="none"/>
                <w:lang w:val="en-US" w:eastAsia="zh-CN"/>
              </w:rPr>
            </w:pPr>
            <w:r>
              <w:rPr>
                <w:rFonts w:hint="eastAsia" w:ascii="Times New Roman" w:hAnsi="Times New Roman" w:eastAsia="宋体" w:cs="Times New Roman"/>
                <w:b w:val="0"/>
                <w:bCs w:val="0"/>
                <w:color w:val="auto"/>
                <w:spacing w:val="10"/>
                <w:sz w:val="21"/>
                <w:szCs w:val="21"/>
                <w:highlight w:val="none"/>
              </w:rPr>
              <w:t>0.0</w:t>
            </w:r>
            <w:r>
              <w:rPr>
                <w:rFonts w:hint="eastAsia" w:ascii="Times New Roman" w:hAnsi="Times New Roman" w:eastAsia="宋体" w:cs="Times New Roman"/>
                <w:b w:val="0"/>
                <w:bCs w:val="0"/>
                <w:color w:val="auto"/>
                <w:spacing w:val="10"/>
                <w:sz w:val="21"/>
                <w:szCs w:val="21"/>
                <w:highlight w:val="none"/>
                <w:lang w:val="en-US" w:eastAsia="zh-CN"/>
              </w:rPr>
              <w:t>701</w:t>
            </w:r>
          </w:p>
        </w:tc>
        <w:tc>
          <w:tcPr>
            <w:tcW w:w="720" w:type="pct"/>
            <w:vMerge w:val="restart"/>
            <w:noWrap w:val="0"/>
            <w:vAlign w:val="center"/>
          </w:tcPr>
          <w:p w14:paraId="7666F007">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z w:val="21"/>
                <w:szCs w:val="21"/>
                <w:highlight w:val="none"/>
              </w:rPr>
              <w:t>间断排放，排放期间流量不稳定且无规律，但不属于冲击型排放</w:t>
            </w:r>
          </w:p>
        </w:tc>
        <w:tc>
          <w:tcPr>
            <w:tcW w:w="361" w:type="pct"/>
            <w:vMerge w:val="restart"/>
            <w:noWrap w:val="0"/>
            <w:vAlign w:val="center"/>
          </w:tcPr>
          <w:p w14:paraId="2F13D376">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w:t>
            </w:r>
          </w:p>
        </w:tc>
        <w:tc>
          <w:tcPr>
            <w:tcW w:w="339" w:type="pct"/>
            <w:vMerge w:val="restart"/>
            <w:noWrap w:val="0"/>
            <w:vAlign w:val="center"/>
          </w:tcPr>
          <w:p w14:paraId="20C9FAD0">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塘栖污水处理厂</w:t>
            </w:r>
          </w:p>
        </w:tc>
        <w:tc>
          <w:tcPr>
            <w:tcW w:w="477" w:type="pct"/>
            <w:noWrap w:val="0"/>
            <w:vAlign w:val="center"/>
          </w:tcPr>
          <w:p w14:paraId="4237725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Cr</w:t>
            </w:r>
          </w:p>
        </w:tc>
        <w:tc>
          <w:tcPr>
            <w:tcW w:w="513" w:type="pct"/>
            <w:noWrap w:val="0"/>
            <w:vAlign w:val="center"/>
          </w:tcPr>
          <w:p w14:paraId="6432FE77">
            <w:pPr>
              <w:jc w:val="center"/>
              <w:rPr>
                <w:rFonts w:ascii="Times New Roman" w:hAnsi="Times New Roman" w:eastAsia="宋体" w:cs="Times New Roman"/>
                <w:color w:val="auto"/>
                <w:spacing w:val="10"/>
                <w:sz w:val="21"/>
                <w:szCs w:val="21"/>
                <w:highlight w:val="none"/>
              </w:rPr>
            </w:pPr>
            <w:r>
              <w:rPr>
                <w:rFonts w:hint="eastAsia" w:ascii="Times New Roman" w:hAnsi="Times New Roman" w:eastAsia="宋体" w:cs="Times New Roman"/>
                <w:color w:val="auto"/>
                <w:spacing w:val="10"/>
                <w:sz w:val="21"/>
                <w:szCs w:val="21"/>
                <w:highlight w:val="none"/>
                <w:lang w:val="en-US" w:eastAsia="zh-CN"/>
              </w:rPr>
              <w:t>4</w:t>
            </w:r>
            <w:r>
              <w:rPr>
                <w:rFonts w:ascii="Times New Roman" w:hAnsi="Times New Roman" w:eastAsia="宋体" w:cs="Times New Roman"/>
                <w:color w:val="auto"/>
                <w:spacing w:val="10"/>
                <w:sz w:val="21"/>
                <w:szCs w:val="21"/>
                <w:highlight w:val="none"/>
              </w:rPr>
              <w:t>0</w:t>
            </w:r>
          </w:p>
        </w:tc>
      </w:tr>
      <w:tr w14:paraId="4957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340" w:hRule="atLeast"/>
          <w:jc w:val="center"/>
        </w:trPr>
        <w:tc>
          <w:tcPr>
            <w:tcW w:w="164" w:type="pct"/>
            <w:vMerge w:val="continue"/>
            <w:noWrap w:val="0"/>
            <w:vAlign w:val="center"/>
          </w:tcPr>
          <w:p w14:paraId="349A6BF6">
            <w:pPr>
              <w:jc w:val="center"/>
              <w:rPr>
                <w:rFonts w:ascii="Times New Roman" w:hAnsi="Times New Roman" w:eastAsia="宋体" w:cs="Times New Roman"/>
                <w:color w:val="auto"/>
                <w:spacing w:val="10"/>
                <w:sz w:val="21"/>
                <w:szCs w:val="21"/>
                <w:highlight w:val="none"/>
              </w:rPr>
            </w:pPr>
          </w:p>
        </w:tc>
        <w:tc>
          <w:tcPr>
            <w:tcW w:w="467" w:type="pct"/>
            <w:vMerge w:val="continue"/>
            <w:noWrap w:val="0"/>
            <w:vAlign w:val="center"/>
          </w:tcPr>
          <w:p w14:paraId="173FC689">
            <w:pPr>
              <w:jc w:val="center"/>
              <w:rPr>
                <w:rFonts w:ascii="Times New Roman" w:hAnsi="Times New Roman" w:eastAsia="宋体" w:cs="Times New Roman"/>
                <w:color w:val="auto"/>
                <w:spacing w:val="10"/>
                <w:sz w:val="21"/>
                <w:szCs w:val="21"/>
                <w:highlight w:val="none"/>
              </w:rPr>
            </w:pPr>
          </w:p>
        </w:tc>
        <w:tc>
          <w:tcPr>
            <w:tcW w:w="818" w:type="pct"/>
            <w:vMerge w:val="continue"/>
            <w:noWrap w:val="0"/>
            <w:vAlign w:val="center"/>
          </w:tcPr>
          <w:p w14:paraId="7DB5A647">
            <w:pPr>
              <w:jc w:val="center"/>
              <w:rPr>
                <w:rFonts w:ascii="Times New Roman" w:hAnsi="Times New Roman" w:eastAsia="宋体" w:cs="Times New Roman"/>
                <w:color w:val="auto"/>
                <w:spacing w:val="10"/>
                <w:sz w:val="21"/>
                <w:szCs w:val="21"/>
                <w:highlight w:val="none"/>
              </w:rPr>
            </w:pPr>
          </w:p>
        </w:tc>
        <w:tc>
          <w:tcPr>
            <w:tcW w:w="732" w:type="pct"/>
            <w:vMerge w:val="continue"/>
            <w:noWrap w:val="0"/>
            <w:vAlign w:val="center"/>
          </w:tcPr>
          <w:p w14:paraId="24F69ACE">
            <w:pPr>
              <w:jc w:val="center"/>
              <w:rPr>
                <w:rFonts w:ascii="Times New Roman" w:hAnsi="Times New Roman" w:eastAsia="宋体" w:cs="Times New Roman"/>
                <w:color w:val="auto"/>
                <w:spacing w:val="10"/>
                <w:sz w:val="21"/>
                <w:szCs w:val="21"/>
                <w:highlight w:val="none"/>
              </w:rPr>
            </w:pPr>
          </w:p>
        </w:tc>
        <w:tc>
          <w:tcPr>
            <w:tcW w:w="405" w:type="pct"/>
            <w:vMerge w:val="continue"/>
            <w:noWrap w:val="0"/>
            <w:vAlign w:val="center"/>
          </w:tcPr>
          <w:p w14:paraId="7FD5AA6C">
            <w:pPr>
              <w:jc w:val="center"/>
              <w:rPr>
                <w:rFonts w:ascii="Times New Roman" w:hAnsi="Times New Roman" w:eastAsia="宋体" w:cs="Times New Roman"/>
                <w:color w:val="auto"/>
                <w:spacing w:val="10"/>
                <w:sz w:val="21"/>
                <w:szCs w:val="21"/>
                <w:highlight w:val="none"/>
              </w:rPr>
            </w:pPr>
          </w:p>
        </w:tc>
        <w:tc>
          <w:tcPr>
            <w:tcW w:w="720" w:type="pct"/>
            <w:vMerge w:val="continue"/>
            <w:noWrap w:val="0"/>
            <w:vAlign w:val="center"/>
          </w:tcPr>
          <w:p w14:paraId="6DBE18E8">
            <w:pPr>
              <w:jc w:val="center"/>
              <w:rPr>
                <w:rFonts w:ascii="Times New Roman" w:hAnsi="Times New Roman" w:eastAsia="宋体" w:cs="Times New Roman"/>
                <w:color w:val="auto"/>
                <w:spacing w:val="10"/>
                <w:sz w:val="21"/>
                <w:szCs w:val="21"/>
                <w:highlight w:val="none"/>
              </w:rPr>
            </w:pPr>
          </w:p>
        </w:tc>
        <w:tc>
          <w:tcPr>
            <w:tcW w:w="361" w:type="pct"/>
            <w:vMerge w:val="continue"/>
            <w:noWrap w:val="0"/>
            <w:vAlign w:val="center"/>
          </w:tcPr>
          <w:p w14:paraId="67FF1474">
            <w:pPr>
              <w:jc w:val="center"/>
              <w:rPr>
                <w:rFonts w:ascii="Times New Roman" w:hAnsi="Times New Roman" w:eastAsia="宋体" w:cs="Times New Roman"/>
                <w:color w:val="auto"/>
                <w:spacing w:val="10"/>
                <w:sz w:val="21"/>
                <w:szCs w:val="21"/>
                <w:highlight w:val="none"/>
              </w:rPr>
            </w:pPr>
          </w:p>
        </w:tc>
        <w:tc>
          <w:tcPr>
            <w:tcW w:w="339" w:type="pct"/>
            <w:vMerge w:val="continue"/>
            <w:noWrap w:val="0"/>
            <w:vAlign w:val="center"/>
          </w:tcPr>
          <w:p w14:paraId="3732A1A1">
            <w:pPr>
              <w:jc w:val="center"/>
              <w:rPr>
                <w:rFonts w:ascii="Times New Roman" w:hAnsi="Times New Roman" w:eastAsia="宋体" w:cs="Times New Roman"/>
                <w:color w:val="auto"/>
                <w:sz w:val="21"/>
                <w:szCs w:val="21"/>
                <w:highlight w:val="none"/>
              </w:rPr>
            </w:pPr>
          </w:p>
        </w:tc>
        <w:tc>
          <w:tcPr>
            <w:tcW w:w="477" w:type="pct"/>
            <w:noWrap w:val="0"/>
            <w:vAlign w:val="center"/>
          </w:tcPr>
          <w:p w14:paraId="2CCAFAE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NH</w:t>
            </w:r>
            <w:r>
              <w:rPr>
                <w:rFonts w:ascii="Times New Roman" w:hAnsi="Times New Roman" w:eastAsia="宋体" w:cs="Times New Roman"/>
                <w:color w:val="auto"/>
                <w:sz w:val="21"/>
                <w:szCs w:val="21"/>
                <w:highlight w:val="none"/>
                <w:vertAlign w:val="subscript"/>
              </w:rPr>
              <w:t>3</w:t>
            </w:r>
            <w:r>
              <w:rPr>
                <w:rFonts w:ascii="Times New Roman" w:hAnsi="Times New Roman" w:eastAsia="宋体" w:cs="Times New Roman"/>
                <w:color w:val="auto"/>
                <w:sz w:val="21"/>
                <w:szCs w:val="21"/>
                <w:highlight w:val="none"/>
              </w:rPr>
              <w:t>-N</w:t>
            </w:r>
          </w:p>
        </w:tc>
        <w:tc>
          <w:tcPr>
            <w:tcW w:w="513" w:type="pct"/>
            <w:noWrap w:val="0"/>
            <w:vAlign w:val="center"/>
          </w:tcPr>
          <w:p w14:paraId="47F4BB45">
            <w:pPr>
              <w:jc w:val="center"/>
              <w:rPr>
                <w:rFonts w:hint="eastAsia" w:ascii="Times New Roman" w:hAnsi="Times New Roman" w:eastAsia="宋体" w:cs="Times New Roman"/>
                <w:color w:val="auto"/>
                <w:spacing w:val="10"/>
                <w:sz w:val="21"/>
                <w:szCs w:val="21"/>
                <w:highlight w:val="none"/>
                <w:lang w:eastAsia="zh-CN"/>
              </w:rPr>
            </w:pPr>
            <w:r>
              <w:rPr>
                <w:rFonts w:hint="eastAsia" w:ascii="Times New Roman" w:hAnsi="Times New Roman" w:eastAsia="宋体" w:cs="Times New Roman"/>
                <w:color w:val="auto"/>
                <w:spacing w:val="10"/>
                <w:sz w:val="21"/>
                <w:szCs w:val="21"/>
                <w:highlight w:val="none"/>
                <w:lang w:val="en-US" w:eastAsia="zh-CN"/>
              </w:rPr>
              <w:t>2</w:t>
            </w:r>
          </w:p>
        </w:tc>
      </w:tr>
    </w:tbl>
    <w:p w14:paraId="67DEAC47">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废水污染物排放执行标准表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3"/>
        <w:gridCol w:w="1287"/>
        <w:gridCol w:w="1072"/>
        <w:gridCol w:w="3288"/>
        <w:gridCol w:w="2156"/>
      </w:tblGrid>
      <w:tr w14:paraId="1E5FD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Merge w:val="restart"/>
            <w:noWrap w:val="0"/>
            <w:vAlign w:val="center"/>
          </w:tcPr>
          <w:p w14:paraId="1E9F924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755" w:type="pct"/>
            <w:vMerge w:val="restart"/>
            <w:noWrap w:val="0"/>
            <w:vAlign w:val="center"/>
          </w:tcPr>
          <w:p w14:paraId="547137E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排放口编号</w:t>
            </w:r>
          </w:p>
        </w:tc>
        <w:tc>
          <w:tcPr>
            <w:tcW w:w="629" w:type="pct"/>
            <w:vMerge w:val="restart"/>
            <w:noWrap w:val="0"/>
            <w:vAlign w:val="center"/>
          </w:tcPr>
          <w:p w14:paraId="7950CD0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污染物种类</w:t>
            </w:r>
          </w:p>
        </w:tc>
        <w:tc>
          <w:tcPr>
            <w:tcW w:w="3195" w:type="pct"/>
            <w:gridSpan w:val="2"/>
            <w:noWrap w:val="0"/>
            <w:vAlign w:val="center"/>
          </w:tcPr>
          <w:p w14:paraId="22EB475E">
            <w:pPr>
              <w:rPr>
                <w:rFonts w:ascii="Times New Roman" w:hAnsi="Times New Roman" w:eastAsia="宋体" w:cs="Times New Roman"/>
                <w:color w:val="auto"/>
                <w:sz w:val="21"/>
                <w:szCs w:val="21"/>
                <w:highlight w:val="none"/>
              </w:rPr>
            </w:pPr>
            <w:r>
              <w:rPr>
                <w:rFonts w:ascii="Times New Roman" w:hAnsi="Times New Roman" w:eastAsia="宋体" w:cs="Times New Roman"/>
                <w:color w:val="auto"/>
                <w:kern w:val="0"/>
                <w:sz w:val="21"/>
                <w:szCs w:val="21"/>
                <w:highlight w:val="none"/>
              </w:rPr>
              <w:t>国家或地方污染物排放标准及其他按规定商定的排放协议*</w:t>
            </w:r>
          </w:p>
        </w:tc>
      </w:tr>
      <w:tr w14:paraId="39CF5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vMerge w:val="continue"/>
            <w:noWrap w:val="0"/>
            <w:vAlign w:val="center"/>
          </w:tcPr>
          <w:p w14:paraId="01040973">
            <w:pPr>
              <w:jc w:val="center"/>
              <w:rPr>
                <w:rFonts w:ascii="Times New Roman" w:hAnsi="Times New Roman" w:eastAsia="宋体" w:cs="Times New Roman"/>
                <w:color w:val="auto"/>
                <w:sz w:val="21"/>
                <w:szCs w:val="21"/>
                <w:highlight w:val="none"/>
              </w:rPr>
            </w:pPr>
          </w:p>
        </w:tc>
        <w:tc>
          <w:tcPr>
            <w:tcW w:w="755" w:type="pct"/>
            <w:vMerge w:val="continue"/>
            <w:noWrap w:val="0"/>
            <w:vAlign w:val="center"/>
          </w:tcPr>
          <w:p w14:paraId="6B3DDA3A">
            <w:pPr>
              <w:jc w:val="center"/>
              <w:rPr>
                <w:rFonts w:ascii="Times New Roman" w:hAnsi="Times New Roman" w:eastAsia="宋体" w:cs="Times New Roman"/>
                <w:color w:val="auto"/>
                <w:sz w:val="21"/>
                <w:szCs w:val="21"/>
                <w:highlight w:val="none"/>
              </w:rPr>
            </w:pPr>
          </w:p>
        </w:tc>
        <w:tc>
          <w:tcPr>
            <w:tcW w:w="629" w:type="pct"/>
            <w:vMerge w:val="continue"/>
            <w:noWrap w:val="0"/>
            <w:vAlign w:val="center"/>
          </w:tcPr>
          <w:p w14:paraId="267E2ADF">
            <w:pPr>
              <w:jc w:val="center"/>
              <w:rPr>
                <w:rFonts w:ascii="Times New Roman" w:hAnsi="Times New Roman" w:eastAsia="宋体" w:cs="Times New Roman"/>
                <w:color w:val="auto"/>
                <w:sz w:val="21"/>
                <w:szCs w:val="21"/>
                <w:highlight w:val="none"/>
              </w:rPr>
            </w:pPr>
          </w:p>
        </w:tc>
        <w:tc>
          <w:tcPr>
            <w:tcW w:w="1931" w:type="pct"/>
            <w:noWrap w:val="0"/>
            <w:vAlign w:val="center"/>
          </w:tcPr>
          <w:p w14:paraId="1C70767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名称</w:t>
            </w:r>
          </w:p>
        </w:tc>
        <w:tc>
          <w:tcPr>
            <w:tcW w:w="1263" w:type="pct"/>
            <w:noWrap w:val="0"/>
            <w:vAlign w:val="center"/>
          </w:tcPr>
          <w:p w14:paraId="08AB9DC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排放浓度（mg/L）</w:t>
            </w:r>
          </w:p>
        </w:tc>
      </w:tr>
      <w:tr w14:paraId="5A3D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noWrap w:val="0"/>
            <w:vAlign w:val="center"/>
          </w:tcPr>
          <w:p w14:paraId="226D7A3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755" w:type="pct"/>
            <w:vMerge w:val="restart"/>
            <w:noWrap w:val="0"/>
            <w:vAlign w:val="center"/>
          </w:tcPr>
          <w:p w14:paraId="354606B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DW001</w:t>
            </w:r>
          </w:p>
        </w:tc>
        <w:tc>
          <w:tcPr>
            <w:tcW w:w="629" w:type="pct"/>
            <w:noWrap w:val="0"/>
            <w:vAlign w:val="center"/>
          </w:tcPr>
          <w:p w14:paraId="42FB6A3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Cr</w:t>
            </w:r>
          </w:p>
        </w:tc>
        <w:tc>
          <w:tcPr>
            <w:tcW w:w="1931" w:type="pct"/>
            <w:noWrap w:val="0"/>
            <w:vAlign w:val="center"/>
          </w:tcPr>
          <w:p w14:paraId="62F3533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《污水综合排放标准》（GB8978-1996）三级标准</w:t>
            </w:r>
          </w:p>
        </w:tc>
        <w:tc>
          <w:tcPr>
            <w:tcW w:w="1263" w:type="pct"/>
            <w:noWrap w:val="0"/>
            <w:vAlign w:val="center"/>
          </w:tcPr>
          <w:p w14:paraId="1EB63C0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500</w:t>
            </w:r>
          </w:p>
        </w:tc>
      </w:tr>
      <w:tr w14:paraId="494BD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19" w:type="pct"/>
            <w:noWrap w:val="0"/>
            <w:vAlign w:val="center"/>
          </w:tcPr>
          <w:p w14:paraId="6CDA811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755" w:type="pct"/>
            <w:vMerge w:val="continue"/>
            <w:noWrap w:val="0"/>
            <w:vAlign w:val="center"/>
          </w:tcPr>
          <w:p w14:paraId="2A6FD043">
            <w:pPr>
              <w:jc w:val="center"/>
              <w:rPr>
                <w:rFonts w:ascii="Times New Roman" w:hAnsi="Times New Roman" w:eastAsia="宋体" w:cs="Times New Roman"/>
                <w:color w:val="auto"/>
                <w:sz w:val="21"/>
                <w:szCs w:val="21"/>
                <w:highlight w:val="none"/>
              </w:rPr>
            </w:pPr>
          </w:p>
        </w:tc>
        <w:tc>
          <w:tcPr>
            <w:tcW w:w="629" w:type="pct"/>
            <w:noWrap w:val="0"/>
            <w:vAlign w:val="center"/>
          </w:tcPr>
          <w:p w14:paraId="20CA2D2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NH</w:t>
            </w:r>
            <w:r>
              <w:rPr>
                <w:rFonts w:ascii="Times New Roman" w:hAnsi="Times New Roman" w:eastAsia="宋体" w:cs="Times New Roman"/>
                <w:color w:val="auto"/>
                <w:sz w:val="21"/>
                <w:szCs w:val="21"/>
                <w:highlight w:val="none"/>
                <w:vertAlign w:val="subscript"/>
              </w:rPr>
              <w:t>3</w:t>
            </w:r>
            <w:r>
              <w:rPr>
                <w:rFonts w:ascii="Times New Roman" w:hAnsi="Times New Roman" w:eastAsia="宋体" w:cs="Times New Roman"/>
                <w:color w:val="auto"/>
                <w:sz w:val="21"/>
                <w:szCs w:val="21"/>
                <w:highlight w:val="none"/>
              </w:rPr>
              <w:t>-N</w:t>
            </w:r>
          </w:p>
        </w:tc>
        <w:tc>
          <w:tcPr>
            <w:tcW w:w="1931" w:type="pct"/>
            <w:noWrap w:val="0"/>
            <w:vAlign w:val="center"/>
          </w:tcPr>
          <w:p w14:paraId="253F0F11">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工业企业废水氮、磷污染物间接排放限值》（DB33/887-2013）</w:t>
            </w:r>
          </w:p>
        </w:tc>
        <w:tc>
          <w:tcPr>
            <w:tcW w:w="1263" w:type="pct"/>
            <w:noWrap w:val="0"/>
            <w:vAlign w:val="center"/>
          </w:tcPr>
          <w:p w14:paraId="29E6884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35</w:t>
            </w:r>
          </w:p>
        </w:tc>
      </w:tr>
      <w:tr w14:paraId="3770F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0" w:type="pct"/>
            <w:gridSpan w:val="5"/>
            <w:noWrap w:val="0"/>
            <w:vAlign w:val="center"/>
          </w:tcPr>
          <w:p w14:paraId="155F6D9B">
            <w:pPr>
              <w:rPr>
                <w:rFonts w:ascii="Times New Roman" w:hAnsi="Times New Roman" w:eastAsia="宋体" w:cs="Times New Roman"/>
                <w:color w:val="auto"/>
                <w:sz w:val="21"/>
                <w:szCs w:val="21"/>
                <w:highlight w:val="none"/>
              </w:rPr>
            </w:pPr>
            <w:r>
              <w:rPr>
                <w:rFonts w:ascii="Times New Roman" w:hAnsi="Times New Roman" w:eastAsia="宋体" w:cs="Times New Roman"/>
                <w:b/>
                <w:bCs/>
                <w:color w:val="auto"/>
                <w:kern w:val="0"/>
                <w:sz w:val="21"/>
                <w:szCs w:val="21"/>
                <w:highlight w:val="none"/>
              </w:rPr>
              <w:t>注：</w:t>
            </w:r>
            <w:r>
              <w:rPr>
                <w:rFonts w:ascii="Times New Roman" w:hAnsi="Times New Roman" w:eastAsia="宋体" w:cs="Times New Roman"/>
                <w:color w:val="auto"/>
                <w:kern w:val="0"/>
                <w:sz w:val="21"/>
                <w:szCs w:val="21"/>
                <w:highlight w:val="none"/>
              </w:rPr>
              <w:t>指对应排放口须执行的国家或地方污染物排放标准以及其他按规定商定建设项目水污染物排放控制要求的协议，据此确定的排放浓度限值。</w:t>
            </w:r>
          </w:p>
        </w:tc>
      </w:tr>
    </w:tbl>
    <w:p w14:paraId="00FC0226">
      <w:pPr>
        <w:pStyle w:val="20"/>
        <w:numPr>
          <w:ilvl w:val="0"/>
          <w:numId w:val="6"/>
        </w:numPr>
        <w:spacing w:before="156"/>
        <w:rPr>
          <w:rFonts w:ascii="Times New Roman" w:hAnsi="Times New Roman" w:eastAsia="宋体" w:cs="Times New Roman"/>
          <w:b/>
          <w:bCs w:val="0"/>
          <w:color w:val="auto"/>
          <w:szCs w:val="21"/>
        </w:rPr>
      </w:pPr>
      <w:r>
        <w:rPr>
          <w:rFonts w:ascii="Times New Roman" w:hAnsi="Times New Roman" w:eastAsia="宋体" w:cs="Times New Roman"/>
          <w:b/>
          <w:bCs w:val="0"/>
          <w:color w:val="auto"/>
          <w:szCs w:val="21"/>
        </w:rPr>
        <w:t>废水污染物排放信息表（</w:t>
      </w:r>
      <w:r>
        <w:rPr>
          <w:rFonts w:hint="default" w:ascii="Times New Roman" w:hAnsi="Times New Roman" w:eastAsia="宋体" w:cs="Times New Roman"/>
          <w:b/>
          <w:bCs w:val="0"/>
          <w:color w:val="auto"/>
          <w:szCs w:val="21"/>
        </w:rPr>
        <w:t>新建</w:t>
      </w:r>
      <w:r>
        <w:rPr>
          <w:rFonts w:ascii="Times New Roman" w:hAnsi="Times New Roman" w:eastAsia="宋体" w:cs="Times New Roman"/>
          <w:b/>
          <w:bCs w:val="0"/>
          <w:color w:val="auto"/>
          <w:szCs w:val="21"/>
        </w:rPr>
        <w:t>项目）</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8"/>
        <w:gridCol w:w="1138"/>
        <w:gridCol w:w="1250"/>
        <w:gridCol w:w="1933"/>
        <w:gridCol w:w="1703"/>
        <w:gridCol w:w="1684"/>
      </w:tblGrid>
      <w:tr w14:paraId="60C52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noWrap w:val="0"/>
            <w:vAlign w:val="center"/>
          </w:tcPr>
          <w:p w14:paraId="468A1141">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序号</w:t>
            </w:r>
          </w:p>
        </w:tc>
        <w:tc>
          <w:tcPr>
            <w:tcW w:w="667" w:type="pct"/>
            <w:noWrap w:val="0"/>
            <w:vAlign w:val="center"/>
          </w:tcPr>
          <w:p w14:paraId="4C054325">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排放口编号</w:t>
            </w:r>
          </w:p>
        </w:tc>
        <w:tc>
          <w:tcPr>
            <w:tcW w:w="734" w:type="pct"/>
            <w:noWrap w:val="0"/>
            <w:vAlign w:val="center"/>
          </w:tcPr>
          <w:p w14:paraId="75E1CCB5">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污染物种类</w:t>
            </w:r>
          </w:p>
        </w:tc>
        <w:tc>
          <w:tcPr>
            <w:tcW w:w="1135" w:type="pct"/>
            <w:noWrap w:val="0"/>
            <w:vAlign w:val="center"/>
          </w:tcPr>
          <w:p w14:paraId="07740620">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排放浓度（mg/L）</w:t>
            </w:r>
          </w:p>
        </w:tc>
        <w:tc>
          <w:tcPr>
            <w:tcW w:w="999" w:type="pct"/>
            <w:noWrap w:val="0"/>
            <w:vAlign w:val="center"/>
          </w:tcPr>
          <w:p w14:paraId="6A02ED9A">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日排放量（</w:t>
            </w:r>
            <w:r>
              <w:rPr>
                <w:rFonts w:hint="eastAsia" w:ascii="Times New Roman" w:hAnsi="Times New Roman" w:eastAsia="宋体" w:cs="Times New Roman"/>
                <w:color w:val="auto"/>
                <w:spacing w:val="10"/>
                <w:sz w:val="21"/>
                <w:szCs w:val="21"/>
                <w:highlight w:val="none"/>
              </w:rPr>
              <w:t>kg</w:t>
            </w:r>
            <w:r>
              <w:rPr>
                <w:rFonts w:ascii="Times New Roman" w:hAnsi="Times New Roman" w:eastAsia="宋体" w:cs="Times New Roman"/>
                <w:color w:val="auto"/>
                <w:spacing w:val="10"/>
                <w:sz w:val="21"/>
                <w:szCs w:val="21"/>
                <w:highlight w:val="none"/>
              </w:rPr>
              <w:t>/</w:t>
            </w:r>
            <w:r>
              <w:rPr>
                <w:rFonts w:hint="eastAsia" w:ascii="Times New Roman" w:hAnsi="Times New Roman" w:eastAsia="宋体" w:cs="Times New Roman"/>
                <w:color w:val="auto"/>
                <w:spacing w:val="10"/>
                <w:sz w:val="21"/>
                <w:szCs w:val="21"/>
                <w:highlight w:val="none"/>
              </w:rPr>
              <w:t>d</w:t>
            </w:r>
            <w:r>
              <w:rPr>
                <w:rFonts w:ascii="Times New Roman" w:hAnsi="Times New Roman" w:eastAsia="宋体" w:cs="Times New Roman"/>
                <w:color w:val="auto"/>
                <w:spacing w:val="10"/>
                <w:sz w:val="21"/>
                <w:szCs w:val="21"/>
                <w:highlight w:val="none"/>
              </w:rPr>
              <w:t>）</w:t>
            </w:r>
          </w:p>
        </w:tc>
        <w:tc>
          <w:tcPr>
            <w:tcW w:w="988" w:type="pct"/>
            <w:noWrap w:val="0"/>
            <w:vAlign w:val="center"/>
          </w:tcPr>
          <w:p w14:paraId="080ADE93">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年排放量（t/a）</w:t>
            </w:r>
          </w:p>
        </w:tc>
      </w:tr>
      <w:tr w14:paraId="733D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noWrap w:val="0"/>
            <w:vAlign w:val="center"/>
          </w:tcPr>
          <w:p w14:paraId="47A667AA">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1</w:t>
            </w:r>
          </w:p>
        </w:tc>
        <w:tc>
          <w:tcPr>
            <w:tcW w:w="667" w:type="pct"/>
            <w:vMerge w:val="restart"/>
            <w:noWrap w:val="0"/>
            <w:vAlign w:val="center"/>
          </w:tcPr>
          <w:p w14:paraId="244AFE2C">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DW001</w:t>
            </w:r>
          </w:p>
        </w:tc>
        <w:tc>
          <w:tcPr>
            <w:tcW w:w="734" w:type="pct"/>
            <w:noWrap w:val="0"/>
            <w:vAlign w:val="center"/>
          </w:tcPr>
          <w:p w14:paraId="218A244D">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Cr</w:t>
            </w:r>
          </w:p>
        </w:tc>
        <w:tc>
          <w:tcPr>
            <w:tcW w:w="1135" w:type="pct"/>
            <w:noWrap w:val="0"/>
            <w:vAlign w:val="center"/>
          </w:tcPr>
          <w:p w14:paraId="02A8CCCE">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z w:val="21"/>
                <w:szCs w:val="21"/>
                <w:highlight w:val="none"/>
              </w:rPr>
              <w:t>3</w:t>
            </w:r>
            <w:r>
              <w:rPr>
                <w:rFonts w:hint="eastAsia" w:ascii="Times New Roman" w:hAnsi="Times New Roman" w:eastAsia="宋体" w:cs="Times New Roman"/>
                <w:color w:val="auto"/>
                <w:sz w:val="21"/>
                <w:szCs w:val="21"/>
                <w:highlight w:val="none"/>
                <w:lang w:val="en-US" w:eastAsia="zh-CN"/>
              </w:rPr>
              <w:t>5</w:t>
            </w:r>
            <w:r>
              <w:rPr>
                <w:rFonts w:ascii="Times New Roman" w:hAnsi="Times New Roman" w:eastAsia="宋体" w:cs="Times New Roman"/>
                <w:color w:val="auto"/>
                <w:sz w:val="21"/>
                <w:szCs w:val="21"/>
                <w:highlight w:val="none"/>
              </w:rPr>
              <w:t>0</w:t>
            </w:r>
          </w:p>
        </w:tc>
        <w:tc>
          <w:tcPr>
            <w:tcW w:w="999" w:type="pct"/>
            <w:noWrap w:val="0"/>
            <w:vAlign w:val="center"/>
          </w:tcPr>
          <w:p w14:paraId="7C4360F5">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0.82</w:t>
            </w:r>
          </w:p>
        </w:tc>
        <w:tc>
          <w:tcPr>
            <w:tcW w:w="1604" w:type="dxa"/>
            <w:noWrap w:val="0"/>
            <w:vAlign w:val="center"/>
          </w:tcPr>
          <w:p w14:paraId="3ACEC4B3">
            <w:pPr>
              <w:autoSpaceDE w:val="0"/>
              <w:autoSpaceDN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245</w:t>
            </w:r>
          </w:p>
        </w:tc>
      </w:tr>
      <w:tr w14:paraId="288A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474" w:type="pct"/>
            <w:noWrap w:val="0"/>
            <w:vAlign w:val="center"/>
          </w:tcPr>
          <w:p w14:paraId="006638DD">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2</w:t>
            </w:r>
          </w:p>
        </w:tc>
        <w:tc>
          <w:tcPr>
            <w:tcW w:w="667" w:type="pct"/>
            <w:vMerge w:val="continue"/>
            <w:noWrap w:val="0"/>
            <w:vAlign w:val="center"/>
          </w:tcPr>
          <w:p w14:paraId="3AF479F1">
            <w:pPr>
              <w:jc w:val="center"/>
              <w:rPr>
                <w:rFonts w:ascii="Times New Roman" w:hAnsi="Times New Roman" w:eastAsia="宋体" w:cs="Times New Roman"/>
                <w:color w:val="auto"/>
                <w:spacing w:val="10"/>
                <w:sz w:val="21"/>
                <w:szCs w:val="21"/>
                <w:highlight w:val="none"/>
              </w:rPr>
            </w:pPr>
          </w:p>
        </w:tc>
        <w:tc>
          <w:tcPr>
            <w:tcW w:w="734" w:type="pct"/>
            <w:noWrap w:val="0"/>
            <w:vAlign w:val="center"/>
          </w:tcPr>
          <w:p w14:paraId="07DA4983">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NH</w:t>
            </w:r>
            <w:r>
              <w:rPr>
                <w:rFonts w:ascii="Times New Roman" w:hAnsi="Times New Roman" w:eastAsia="宋体" w:cs="Times New Roman"/>
                <w:color w:val="auto"/>
                <w:spacing w:val="10"/>
                <w:sz w:val="21"/>
                <w:szCs w:val="21"/>
                <w:highlight w:val="none"/>
                <w:vertAlign w:val="subscript"/>
              </w:rPr>
              <w:t>3</w:t>
            </w:r>
            <w:r>
              <w:rPr>
                <w:rFonts w:ascii="Times New Roman" w:hAnsi="Times New Roman" w:eastAsia="宋体" w:cs="Times New Roman"/>
                <w:color w:val="auto"/>
                <w:spacing w:val="10"/>
                <w:sz w:val="21"/>
                <w:szCs w:val="21"/>
                <w:highlight w:val="none"/>
              </w:rPr>
              <w:t>-N</w:t>
            </w:r>
          </w:p>
        </w:tc>
        <w:tc>
          <w:tcPr>
            <w:tcW w:w="1135" w:type="pct"/>
            <w:noWrap w:val="0"/>
            <w:vAlign w:val="center"/>
          </w:tcPr>
          <w:p w14:paraId="4E43B045">
            <w:pPr>
              <w:jc w:val="center"/>
              <w:rPr>
                <w:rFonts w:hint="eastAsia" w:ascii="Times New Roman" w:hAnsi="Times New Roman" w:eastAsia="宋体" w:cs="Times New Roman"/>
                <w:color w:val="auto"/>
                <w:spacing w:val="10"/>
                <w:sz w:val="21"/>
                <w:szCs w:val="21"/>
                <w:highlight w:val="none"/>
                <w:lang w:eastAsia="zh-CN"/>
              </w:rPr>
            </w:pPr>
            <w:r>
              <w:rPr>
                <w:rFonts w:ascii="Times New Roman" w:hAnsi="Times New Roman" w:eastAsia="宋体" w:cs="Times New Roman"/>
                <w:color w:val="auto"/>
                <w:sz w:val="21"/>
                <w:szCs w:val="21"/>
                <w:highlight w:val="none"/>
              </w:rPr>
              <w:t>3</w:t>
            </w:r>
            <w:r>
              <w:rPr>
                <w:rFonts w:hint="eastAsia" w:ascii="Times New Roman" w:hAnsi="Times New Roman" w:eastAsia="宋体" w:cs="Times New Roman"/>
                <w:color w:val="auto"/>
                <w:sz w:val="21"/>
                <w:szCs w:val="21"/>
                <w:highlight w:val="none"/>
                <w:lang w:val="en-US" w:eastAsia="zh-CN"/>
              </w:rPr>
              <w:t>5</w:t>
            </w:r>
          </w:p>
        </w:tc>
        <w:tc>
          <w:tcPr>
            <w:tcW w:w="999" w:type="pct"/>
            <w:noWrap w:val="0"/>
            <w:vAlign w:val="center"/>
          </w:tcPr>
          <w:p w14:paraId="68796EBA">
            <w:pPr>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8</w:t>
            </w:r>
          </w:p>
        </w:tc>
        <w:tc>
          <w:tcPr>
            <w:tcW w:w="1604" w:type="dxa"/>
            <w:noWrap w:val="0"/>
            <w:vAlign w:val="center"/>
          </w:tcPr>
          <w:p w14:paraId="7A41626D">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025</w:t>
            </w:r>
          </w:p>
        </w:tc>
      </w:tr>
      <w:tr w14:paraId="532437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2" w:type="pct"/>
            <w:gridSpan w:val="2"/>
            <w:vMerge w:val="restart"/>
            <w:noWrap w:val="0"/>
            <w:vAlign w:val="center"/>
          </w:tcPr>
          <w:p w14:paraId="63DC0308">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全厂排放口合计</w:t>
            </w:r>
          </w:p>
        </w:tc>
        <w:tc>
          <w:tcPr>
            <w:tcW w:w="2868" w:type="pct"/>
            <w:gridSpan w:val="3"/>
            <w:noWrap w:val="0"/>
            <w:vAlign w:val="center"/>
          </w:tcPr>
          <w:p w14:paraId="5A0679DB">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z w:val="21"/>
                <w:szCs w:val="21"/>
                <w:highlight w:val="none"/>
              </w:rPr>
              <w:t>COD</w:t>
            </w:r>
            <w:r>
              <w:rPr>
                <w:rFonts w:ascii="Times New Roman" w:hAnsi="Times New Roman" w:eastAsia="宋体" w:cs="Times New Roman"/>
                <w:color w:val="auto"/>
                <w:sz w:val="21"/>
                <w:szCs w:val="21"/>
                <w:highlight w:val="none"/>
                <w:vertAlign w:val="subscript"/>
              </w:rPr>
              <w:t>C</w:t>
            </w:r>
            <w:r>
              <w:rPr>
                <w:rFonts w:hint="eastAsia" w:ascii="Times New Roman" w:hAnsi="Times New Roman" w:eastAsia="宋体" w:cs="Times New Roman"/>
                <w:color w:val="auto"/>
                <w:sz w:val="21"/>
                <w:szCs w:val="21"/>
                <w:highlight w:val="none"/>
                <w:vertAlign w:val="subscript"/>
              </w:rPr>
              <w:t>r</w:t>
            </w:r>
          </w:p>
        </w:tc>
        <w:tc>
          <w:tcPr>
            <w:tcW w:w="1604" w:type="dxa"/>
            <w:noWrap w:val="0"/>
            <w:vAlign w:val="center"/>
          </w:tcPr>
          <w:p w14:paraId="260465CD">
            <w:pPr>
              <w:autoSpaceDE w:val="0"/>
              <w:autoSpaceDN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245</w:t>
            </w:r>
          </w:p>
        </w:tc>
      </w:tr>
      <w:tr w14:paraId="6B800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142" w:type="pct"/>
            <w:gridSpan w:val="2"/>
            <w:vMerge w:val="continue"/>
            <w:noWrap w:val="0"/>
            <w:vAlign w:val="center"/>
          </w:tcPr>
          <w:p w14:paraId="3E3C18D3">
            <w:pPr>
              <w:jc w:val="center"/>
              <w:rPr>
                <w:rFonts w:ascii="Times New Roman" w:hAnsi="Times New Roman" w:eastAsia="宋体" w:cs="Times New Roman"/>
                <w:color w:val="auto"/>
                <w:spacing w:val="10"/>
                <w:sz w:val="21"/>
                <w:szCs w:val="21"/>
                <w:highlight w:val="none"/>
              </w:rPr>
            </w:pPr>
          </w:p>
        </w:tc>
        <w:tc>
          <w:tcPr>
            <w:tcW w:w="2868" w:type="pct"/>
            <w:gridSpan w:val="3"/>
            <w:noWrap w:val="0"/>
            <w:vAlign w:val="center"/>
          </w:tcPr>
          <w:p w14:paraId="58CDDD78">
            <w:pPr>
              <w:jc w:val="center"/>
              <w:rPr>
                <w:rFonts w:ascii="Times New Roman" w:hAnsi="Times New Roman" w:eastAsia="宋体" w:cs="Times New Roman"/>
                <w:color w:val="auto"/>
                <w:spacing w:val="10"/>
                <w:sz w:val="21"/>
                <w:szCs w:val="21"/>
                <w:highlight w:val="none"/>
              </w:rPr>
            </w:pPr>
            <w:r>
              <w:rPr>
                <w:rFonts w:ascii="Times New Roman" w:hAnsi="Times New Roman" w:eastAsia="宋体" w:cs="Times New Roman"/>
                <w:color w:val="auto"/>
                <w:spacing w:val="10"/>
                <w:sz w:val="21"/>
                <w:szCs w:val="21"/>
                <w:highlight w:val="none"/>
              </w:rPr>
              <w:t>NH</w:t>
            </w:r>
            <w:r>
              <w:rPr>
                <w:rFonts w:ascii="Times New Roman" w:hAnsi="Times New Roman" w:eastAsia="宋体" w:cs="Times New Roman"/>
                <w:color w:val="auto"/>
                <w:spacing w:val="10"/>
                <w:sz w:val="21"/>
                <w:szCs w:val="21"/>
                <w:highlight w:val="none"/>
                <w:vertAlign w:val="subscript"/>
              </w:rPr>
              <w:t>3</w:t>
            </w:r>
            <w:r>
              <w:rPr>
                <w:rFonts w:ascii="Times New Roman" w:hAnsi="Times New Roman" w:eastAsia="宋体" w:cs="Times New Roman"/>
                <w:color w:val="auto"/>
                <w:spacing w:val="10"/>
                <w:sz w:val="21"/>
                <w:szCs w:val="21"/>
                <w:highlight w:val="none"/>
              </w:rPr>
              <w:t>-N</w:t>
            </w:r>
          </w:p>
        </w:tc>
        <w:tc>
          <w:tcPr>
            <w:tcW w:w="1604" w:type="dxa"/>
            <w:noWrap w:val="0"/>
            <w:vAlign w:val="center"/>
          </w:tcPr>
          <w:p w14:paraId="1709CB69">
            <w:pPr>
              <w:autoSpaceDE w:val="0"/>
              <w:autoSpaceDN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0.</w:t>
            </w:r>
            <w:r>
              <w:rPr>
                <w:rFonts w:hint="eastAsia" w:ascii="Times New Roman" w:hAnsi="Times New Roman" w:eastAsia="宋体" w:cs="Times New Roman"/>
                <w:color w:val="auto"/>
                <w:sz w:val="21"/>
                <w:szCs w:val="21"/>
                <w:highlight w:val="none"/>
                <w:lang w:val="en-US" w:eastAsia="zh-CN"/>
              </w:rPr>
              <w:t>025</w:t>
            </w:r>
          </w:p>
        </w:tc>
      </w:tr>
    </w:tbl>
    <w:p w14:paraId="699F3E26">
      <w:pPr>
        <w:adjustRightInd w:val="0"/>
        <w:snapToGrid w:val="0"/>
        <w:spacing w:line="360" w:lineRule="auto"/>
        <w:ind w:firstLine="480" w:firstLineChars="200"/>
        <w:rPr>
          <w:rFonts w:ascii="Times New Roman" w:hAnsi="Times New Roman" w:eastAsia="宋体" w:cs="Times New Roman"/>
          <w:b w:val="0"/>
          <w:bCs w:val="0"/>
          <w:color w:val="auto"/>
          <w:sz w:val="24"/>
          <w:szCs w:val="24"/>
          <w:highlight w:val="none"/>
        </w:rPr>
      </w:pPr>
      <w:r>
        <w:rPr>
          <w:rFonts w:ascii="Times New Roman" w:hAnsi="Times New Roman" w:eastAsia="宋体" w:cs="Times New Roman"/>
          <w:b w:val="0"/>
          <w:bCs w:val="0"/>
          <w:color w:val="auto"/>
          <w:sz w:val="24"/>
          <w:szCs w:val="24"/>
          <w:highlight w:val="none"/>
        </w:rPr>
        <w:t>2、污水处理厂依托可行性</w:t>
      </w:r>
    </w:p>
    <w:p w14:paraId="592762B9">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（1）水质接管可行性</w:t>
      </w:r>
    </w:p>
    <w:p w14:paraId="3E0ACF30">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塘栖污水处理厂废水接管标准为：COD 500mg/L、NH</w:t>
      </w:r>
      <w:r>
        <w:rPr>
          <w:rFonts w:ascii="Times New Roman" w:hAnsi="Times New Roman" w:eastAsia="宋体" w:cs="Times New Roman"/>
          <w:color w:val="auto"/>
          <w:sz w:val="24"/>
          <w:szCs w:val="24"/>
          <w:highlight w:val="none"/>
          <w:vertAlign w:val="subscript"/>
        </w:rPr>
        <w:t>3</w:t>
      </w:r>
      <w:r>
        <w:rPr>
          <w:rFonts w:ascii="Times New Roman" w:hAnsi="Times New Roman" w:eastAsia="宋体" w:cs="Times New Roman"/>
          <w:color w:val="auto"/>
          <w:sz w:val="24"/>
          <w:szCs w:val="24"/>
          <w:highlight w:val="none"/>
        </w:rPr>
        <w:t>-N 35mg/L。</w:t>
      </w:r>
    </w:p>
    <w:p w14:paraId="7426A52B">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根据前述分析，本项目生活污水水质较简单，各类污染物能够达到塘栖污水处理厂接管标准要求，可以接管。</w:t>
      </w:r>
    </w:p>
    <w:p w14:paraId="78E08579">
      <w:pPr>
        <w:adjustRightInd w:val="0"/>
        <w:snapToGrid w:val="0"/>
        <w:spacing w:line="360" w:lineRule="auto"/>
        <w:ind w:firstLine="480" w:firstLineChars="200"/>
        <w:rPr>
          <w:rFonts w:ascii="Times New Roman" w:hAnsi="Times New Roman" w:eastAsia="宋体" w:cs="Times New Roman"/>
          <w:bCs/>
          <w:color w:val="auto"/>
          <w:sz w:val="24"/>
          <w:szCs w:val="24"/>
          <w:highlight w:val="none"/>
        </w:rPr>
      </w:pPr>
      <w:r>
        <w:rPr>
          <w:rFonts w:ascii="Times New Roman" w:hAnsi="Times New Roman" w:eastAsia="宋体" w:cs="Times New Roman"/>
          <w:bCs/>
          <w:color w:val="auto"/>
          <w:sz w:val="24"/>
          <w:szCs w:val="24"/>
          <w:highlight w:val="none"/>
        </w:rPr>
        <w:t>（2）项目废水水量接管可行性</w:t>
      </w:r>
    </w:p>
    <w:p w14:paraId="74FDBBFD">
      <w:pPr>
        <w:spacing w:line="360" w:lineRule="auto"/>
        <w:ind w:firstLine="48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本项目废水可纳入市政污水管网，进入塘栖污水处理厂处理。塘栖污水处理厂设计规模为3万t/d</w:t>
      </w:r>
      <w:r>
        <w:rPr>
          <w:rFonts w:hint="eastAsia" w:ascii="Times New Roman" w:hAnsi="Times New Roman" w:eastAsia="宋体" w:cs="Times New Roman"/>
          <w:color w:val="auto"/>
          <w:sz w:val="24"/>
          <w:szCs w:val="24"/>
          <w:highlight w:val="none"/>
        </w:rPr>
        <w:t>，</w:t>
      </w:r>
      <w:r>
        <w:rPr>
          <w:rFonts w:ascii="Times New Roman" w:hAnsi="Times New Roman" w:eastAsia="宋体" w:cs="Times New Roman"/>
          <w:color w:val="auto"/>
          <w:sz w:val="24"/>
          <w:szCs w:val="24"/>
          <w:highlight w:val="none"/>
        </w:rPr>
        <w:t>根据</w:t>
      </w:r>
      <w:r>
        <w:rPr>
          <w:rFonts w:hint="eastAsia" w:ascii="Times New Roman" w:hAnsi="Times New Roman" w:eastAsia="宋体" w:cs="Times New Roman"/>
          <w:color w:val="auto"/>
          <w:sz w:val="24"/>
          <w:szCs w:val="24"/>
          <w:highlight w:val="none"/>
        </w:rPr>
        <w:t>塘栖</w:t>
      </w:r>
      <w:r>
        <w:rPr>
          <w:rFonts w:ascii="Times New Roman" w:hAnsi="Times New Roman" w:eastAsia="宋体" w:cs="Times New Roman"/>
          <w:color w:val="auto"/>
          <w:sz w:val="24"/>
          <w:szCs w:val="24"/>
          <w:highlight w:val="none"/>
        </w:rPr>
        <w:t>污水处理厂</w:t>
      </w:r>
      <w:r>
        <w:rPr>
          <w:rFonts w:hint="eastAsia" w:ascii="Times New Roman" w:hAnsi="Times New Roman" w:eastAsia="宋体" w:cs="Times New Roman"/>
          <w:color w:val="auto"/>
          <w:sz w:val="24"/>
          <w:szCs w:val="24"/>
          <w:highlight w:val="none"/>
        </w:rPr>
        <w:t>202</w:t>
      </w:r>
      <w:r>
        <w:rPr>
          <w:rFonts w:hint="eastAsia" w:ascii="Times New Roman" w:hAnsi="Times New Roman" w:eastAsia="宋体" w:cs="Times New Roman"/>
          <w:color w:val="auto"/>
          <w:sz w:val="24"/>
          <w:szCs w:val="24"/>
          <w:highlight w:val="none"/>
          <w:lang w:val="en-US" w:eastAsia="zh-CN"/>
        </w:rPr>
        <w:t>5</w:t>
      </w:r>
      <w:r>
        <w:rPr>
          <w:rFonts w:hint="eastAsia" w:ascii="Times New Roman" w:hAnsi="Times New Roman" w:eastAsia="宋体" w:cs="Times New Roman"/>
          <w:color w:val="auto"/>
          <w:sz w:val="24"/>
          <w:szCs w:val="24"/>
          <w:highlight w:val="none"/>
        </w:rPr>
        <w:t>年</w:t>
      </w:r>
      <w:r>
        <w:rPr>
          <w:rFonts w:hint="eastAsia" w:ascii="Times New Roman" w:hAnsi="Times New Roman" w:eastAsia="宋体" w:cs="Times New Roman"/>
          <w:color w:val="auto"/>
          <w:sz w:val="24"/>
          <w:szCs w:val="24"/>
          <w:highlight w:val="none"/>
          <w:lang w:val="en-US" w:eastAsia="zh-CN"/>
        </w:rPr>
        <w:t>8</w:t>
      </w:r>
      <w:r>
        <w:rPr>
          <w:rFonts w:hint="eastAsia" w:ascii="Times New Roman" w:hAnsi="Times New Roman" w:eastAsia="宋体" w:cs="Times New Roman"/>
          <w:color w:val="auto"/>
          <w:sz w:val="24"/>
          <w:szCs w:val="24"/>
          <w:highlight w:val="none"/>
        </w:rPr>
        <w:t>月</w:t>
      </w:r>
      <w:r>
        <w:rPr>
          <w:rFonts w:hint="eastAsia" w:ascii="Times New Roman" w:hAnsi="Times New Roman" w:eastAsia="宋体" w:cs="Times New Roman"/>
          <w:color w:val="auto"/>
          <w:sz w:val="24"/>
          <w:szCs w:val="24"/>
          <w:highlight w:val="none"/>
          <w:lang w:val="en-US" w:eastAsia="zh-CN"/>
        </w:rPr>
        <w:t>13日</w:t>
      </w:r>
      <w:r>
        <w:rPr>
          <w:rFonts w:hint="eastAsia" w:ascii="Times New Roman" w:hAnsi="Times New Roman" w:eastAsia="宋体" w:cs="Times New Roman"/>
          <w:color w:val="auto"/>
          <w:sz w:val="24"/>
          <w:szCs w:val="24"/>
          <w:highlight w:val="none"/>
        </w:rPr>
        <w:t>在线</w:t>
      </w:r>
      <w:r>
        <w:rPr>
          <w:rFonts w:ascii="Times New Roman" w:hAnsi="Times New Roman" w:eastAsia="宋体" w:cs="Times New Roman"/>
          <w:color w:val="auto"/>
          <w:sz w:val="24"/>
          <w:szCs w:val="24"/>
          <w:highlight w:val="none"/>
        </w:rPr>
        <w:t>监测</w:t>
      </w:r>
      <w:r>
        <w:rPr>
          <w:rFonts w:hint="eastAsia" w:ascii="Times New Roman" w:hAnsi="Times New Roman" w:eastAsia="宋体" w:cs="Times New Roman"/>
          <w:color w:val="auto"/>
          <w:sz w:val="24"/>
          <w:szCs w:val="24"/>
          <w:highlight w:val="none"/>
          <w:lang w:val="en-US" w:eastAsia="zh-CN"/>
        </w:rPr>
        <w:t>数据</w:t>
      </w:r>
      <w:r>
        <w:rPr>
          <w:rFonts w:ascii="Times New Roman" w:hAnsi="Times New Roman" w:eastAsia="宋体" w:cs="Times New Roman"/>
          <w:color w:val="auto"/>
          <w:sz w:val="24"/>
          <w:szCs w:val="24"/>
          <w:highlight w:val="none"/>
        </w:rPr>
        <w:t>，现状负荷约</w:t>
      </w:r>
      <w:r>
        <w:rPr>
          <w:rFonts w:hint="eastAsia" w:ascii="Times New Roman" w:hAnsi="Times New Roman" w:eastAsia="宋体" w:cs="Times New Roman"/>
          <w:color w:val="auto"/>
          <w:sz w:val="24"/>
          <w:szCs w:val="24"/>
          <w:highlight w:val="none"/>
          <w:lang w:val="en-US" w:eastAsia="zh-CN"/>
        </w:rPr>
        <w:t>1.5</w:t>
      </w:r>
      <w:r>
        <w:rPr>
          <w:rFonts w:ascii="Times New Roman" w:hAnsi="Times New Roman" w:eastAsia="宋体" w:cs="Times New Roman"/>
          <w:color w:val="auto"/>
          <w:sz w:val="24"/>
          <w:szCs w:val="24"/>
          <w:highlight w:val="none"/>
        </w:rPr>
        <w:t>万t/d，处理余量约</w:t>
      </w:r>
      <w:r>
        <w:rPr>
          <w:rFonts w:hint="eastAsia" w:ascii="Times New Roman" w:hAnsi="Times New Roman" w:eastAsia="宋体" w:cs="Times New Roman"/>
          <w:color w:val="auto"/>
          <w:sz w:val="24"/>
          <w:szCs w:val="24"/>
          <w:highlight w:val="none"/>
          <w:lang w:val="en-US" w:eastAsia="zh-CN"/>
        </w:rPr>
        <w:t>1.5</w:t>
      </w:r>
      <w:r>
        <w:rPr>
          <w:rFonts w:hint="eastAsia" w:ascii="Times New Roman" w:hAnsi="Times New Roman" w:eastAsia="宋体" w:cs="Times New Roman"/>
          <w:color w:val="auto"/>
          <w:sz w:val="24"/>
          <w:szCs w:val="24"/>
          <w:highlight w:val="none"/>
        </w:rPr>
        <w:t>万</w:t>
      </w:r>
      <w:r>
        <w:rPr>
          <w:rFonts w:ascii="Times New Roman" w:hAnsi="Times New Roman" w:eastAsia="宋体" w:cs="Times New Roman"/>
          <w:color w:val="auto"/>
          <w:sz w:val="24"/>
          <w:szCs w:val="24"/>
          <w:highlight w:val="none"/>
        </w:rPr>
        <w:t>t/d。</w:t>
      </w:r>
      <w:r>
        <w:rPr>
          <w:rFonts w:hint="eastAsia" w:ascii="Times New Roman" w:hAnsi="Times New Roman" w:eastAsia="宋体" w:cs="Times New Roman"/>
          <w:color w:val="auto"/>
          <w:sz w:val="24"/>
          <w:szCs w:val="24"/>
          <w:highlight w:val="none"/>
        </w:rPr>
        <w:t>污水</w:t>
      </w:r>
      <w:r>
        <w:rPr>
          <w:rFonts w:ascii="Times New Roman" w:hAnsi="Times New Roman" w:eastAsia="宋体" w:cs="Times New Roman"/>
          <w:color w:val="auto"/>
          <w:sz w:val="24"/>
          <w:szCs w:val="24"/>
          <w:highlight w:val="none"/>
        </w:rPr>
        <w:t>处理工艺为</w:t>
      </w:r>
      <w:r>
        <w:rPr>
          <w:rFonts w:hint="eastAsia" w:ascii="Times New Roman" w:hAnsi="Times New Roman" w:eastAsia="宋体" w:cs="Times New Roman"/>
          <w:color w:val="auto"/>
          <w:sz w:val="24"/>
          <w:szCs w:val="24"/>
          <w:highlight w:val="none"/>
        </w:rPr>
        <w:t>“粗格栅+细格栅+调节池+改进型</w:t>
      </w:r>
      <w:r>
        <w:rPr>
          <w:rFonts w:ascii="Times New Roman" w:hAnsi="Times New Roman" w:eastAsia="宋体" w:cs="Times New Roman"/>
          <w:color w:val="auto"/>
          <w:sz w:val="24"/>
          <w:szCs w:val="24"/>
          <w:highlight w:val="none"/>
        </w:rPr>
        <w:t>SBR池</w:t>
      </w:r>
      <w:r>
        <w:rPr>
          <w:rFonts w:hint="eastAsia" w:ascii="Times New Roman" w:hAnsi="Times New Roman" w:eastAsia="宋体" w:cs="Times New Roman"/>
          <w:color w:val="auto"/>
          <w:sz w:val="24"/>
          <w:szCs w:val="24"/>
          <w:highlight w:val="none"/>
        </w:rPr>
        <w:t>+絮凝</w:t>
      </w:r>
      <w:r>
        <w:rPr>
          <w:rFonts w:ascii="Times New Roman" w:hAnsi="Times New Roman" w:eastAsia="宋体" w:cs="Times New Roman"/>
          <w:color w:val="auto"/>
          <w:sz w:val="24"/>
          <w:szCs w:val="24"/>
          <w:highlight w:val="none"/>
        </w:rPr>
        <w:t>沉淀池</w:t>
      </w:r>
      <w:r>
        <w:rPr>
          <w:rFonts w:hint="eastAsia" w:ascii="Times New Roman" w:hAnsi="Times New Roman" w:eastAsia="宋体" w:cs="Times New Roman"/>
          <w:color w:val="auto"/>
          <w:sz w:val="24"/>
          <w:szCs w:val="24"/>
          <w:highlight w:val="none"/>
        </w:rPr>
        <w:t>+滤布滤池+消毒接触池”。</w:t>
      </w:r>
      <w:r>
        <w:rPr>
          <w:rFonts w:ascii="Times New Roman" w:hAnsi="Times New Roman" w:eastAsia="宋体" w:cs="Times New Roman"/>
          <w:color w:val="auto"/>
          <w:sz w:val="24"/>
          <w:szCs w:val="24"/>
          <w:highlight w:val="none"/>
        </w:rPr>
        <w:t>本项目实施后预计废水外排总量为</w:t>
      </w:r>
      <w:r>
        <w:rPr>
          <w:rFonts w:hint="eastAsia" w:ascii="Times New Roman" w:hAnsi="Times New Roman" w:eastAsia="宋体" w:cs="Times New Roman"/>
          <w:color w:val="auto"/>
          <w:sz w:val="24"/>
          <w:szCs w:val="24"/>
          <w:highlight w:val="none"/>
          <w:lang w:val="en-US" w:eastAsia="zh-CN"/>
        </w:rPr>
        <w:t>2.34</w:t>
      </w:r>
      <w:r>
        <w:rPr>
          <w:rFonts w:ascii="Times New Roman" w:hAnsi="Times New Roman" w:eastAsia="宋体" w:cs="Times New Roman"/>
          <w:color w:val="auto"/>
          <w:sz w:val="24"/>
          <w:szCs w:val="24"/>
          <w:highlight w:val="none"/>
        </w:rPr>
        <w:t>t/d</w:t>
      </w:r>
      <w:r>
        <w:rPr>
          <w:rFonts w:hint="eastAsia" w:ascii="Times New Roman" w:hAnsi="Times New Roman" w:eastAsia="宋体" w:cs="Times New Roman"/>
          <w:color w:val="auto"/>
          <w:sz w:val="24"/>
          <w:szCs w:val="24"/>
          <w:highlight w:val="none"/>
          <w:lang w:val="en-US" w:eastAsia="zh-CN"/>
        </w:rPr>
        <w:t>，废水日排放量仅占污水处理厂剩余废水处理能力的 0.016</w:t>
      </w:r>
      <w:r>
        <w:rPr>
          <w:rFonts w:hint="default" w:ascii="Times New Roman" w:hAnsi="Times New Roman" w:eastAsia="宋体" w:cs="Times New Roman"/>
          <w:color w:val="auto"/>
          <w:sz w:val="24"/>
          <w:szCs w:val="24"/>
          <w:highlight w:val="none"/>
          <w:lang w:val="en-US" w:eastAsia="zh-CN"/>
        </w:rPr>
        <w:t>%</w:t>
      </w:r>
      <w:r>
        <w:rPr>
          <w:rFonts w:ascii="Times New Roman" w:hAnsi="Times New Roman" w:eastAsia="宋体" w:cs="Times New Roman"/>
          <w:color w:val="auto"/>
          <w:sz w:val="24"/>
          <w:szCs w:val="24"/>
          <w:highlight w:val="none"/>
        </w:rPr>
        <w:t>，因此在废水正常排放情况下，本项目废水接入城市污水管网后送塘栖污水处理厂处理，不会对污水处理厂的正常运行产生不良影响。本项目废水中的污染因子主要为COD、氨氮，污染物浓度均较低，对污水处理厂不会造成冲击影响。</w:t>
      </w:r>
    </w:p>
    <w:p w14:paraId="2A9445D5">
      <w:pPr>
        <w:adjustRightInd w:val="0"/>
        <w:snapToGrid w:val="0"/>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综上所述，本项目废水经处理后能够达到纳管标准，接收项目废水的污水处理厂尚有一定余量，废水接管后不会对污水处理厂产生不良影响；废水经治理后达标排放，不会对周围的地表水环境产生明显影响。</w:t>
      </w:r>
    </w:p>
    <w:p w14:paraId="44896D1A">
      <w:pPr>
        <w:numPr>
          <w:ilvl w:val="0"/>
          <w:numId w:val="10"/>
        </w:numPr>
        <w:adjustRightInd w:val="0"/>
        <w:snapToGrid w:val="0"/>
        <w:spacing w:line="360" w:lineRule="auto"/>
        <w:ind w:firstLine="480" w:firstLineChars="200"/>
        <w:rPr>
          <w:rFonts w:ascii="Times New Roman" w:hAnsi="Times New Roman" w:eastAsia="宋体" w:cs="Times New Roman"/>
          <w:b w:val="0"/>
          <w:bCs/>
          <w:color w:val="auto"/>
          <w:kern w:val="0"/>
          <w:sz w:val="24"/>
          <w:szCs w:val="24"/>
          <w:highlight w:val="none"/>
        </w:rPr>
      </w:pPr>
      <w:r>
        <w:rPr>
          <w:rFonts w:ascii="Times New Roman" w:hAnsi="Times New Roman" w:eastAsia="宋体" w:cs="Times New Roman"/>
          <w:b w:val="0"/>
          <w:bCs/>
          <w:color w:val="auto"/>
          <w:kern w:val="0"/>
          <w:sz w:val="24"/>
          <w:szCs w:val="24"/>
          <w:highlight w:val="none"/>
        </w:rPr>
        <w:t>监测计划</w:t>
      </w:r>
    </w:p>
    <w:p w14:paraId="1EDA8477">
      <w:pPr>
        <w:numPr>
          <w:ilvl w:val="0"/>
          <w:numId w:val="0"/>
        </w:numPr>
        <w:adjustRightInd w:val="0"/>
        <w:snapToGrid w:val="0"/>
        <w:spacing w:line="360" w:lineRule="auto"/>
        <w:ind w:firstLine="480" w:firstLineChars="200"/>
        <w:rPr>
          <w:rFonts w:ascii="Times New Roman" w:hAnsi="Times New Roman" w:eastAsia="宋体" w:cs="Times New Roman"/>
          <w:b/>
          <w:color w:val="auto"/>
          <w:kern w:val="0"/>
          <w:sz w:val="24"/>
          <w:szCs w:val="24"/>
          <w:highlight w:val="none"/>
        </w:rPr>
      </w:pPr>
      <w:r>
        <w:rPr>
          <w:rFonts w:hint="eastAsia" w:ascii="Arial" w:hAnsi="Arial" w:eastAsia="宋体" w:cs="Arial"/>
          <w:color w:val="auto"/>
          <w:sz w:val="24"/>
          <w:szCs w:val="24"/>
          <w:highlight w:val="none"/>
        </w:rPr>
        <w:t>根据《排污单位自行监测技术指南</w:t>
      </w:r>
      <w:r>
        <w:rPr>
          <w:rFonts w:hint="eastAsia" w:ascii="Times New Roman" w:hAnsi="Times New Roman" w:eastAsia="宋体" w:cs="Times New Roman"/>
          <w:color w:val="auto"/>
          <w:sz w:val="24"/>
          <w:szCs w:val="24"/>
          <w:highlight w:val="none"/>
        </w:rPr>
        <w:t xml:space="preserve"> 总则》</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HJ819-2017</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rPr>
        <w:t>和《排污单位自行监测技术指南 橡胶和塑料制品》（HJ 1207-2021），</w:t>
      </w:r>
      <w:r>
        <w:rPr>
          <w:rFonts w:ascii="Times New Roman" w:hAnsi="Times New Roman" w:eastAsia="宋体" w:cs="Times New Roman"/>
          <w:color w:val="auto"/>
          <w:sz w:val="24"/>
          <w:szCs w:val="24"/>
          <w:highlight w:val="none"/>
        </w:rPr>
        <w:t>仅有生活污水排放且纳管排放的企业，可不对生活污水进行监测</w:t>
      </w:r>
      <w:r>
        <w:rPr>
          <w:rFonts w:hint="eastAsia" w:ascii="Times New Roman" w:hAnsi="Times New Roman" w:eastAsia="宋体" w:cs="Times New Roman"/>
          <w:color w:val="auto"/>
          <w:sz w:val="24"/>
          <w:szCs w:val="24"/>
          <w:highlight w:val="none"/>
        </w:rPr>
        <w:t>。</w:t>
      </w:r>
    </w:p>
    <w:p w14:paraId="1F40E3D3">
      <w:pPr>
        <w:adjustRightInd w:val="0"/>
        <w:snapToGrid w:val="0"/>
        <w:spacing w:line="360" w:lineRule="auto"/>
        <w:ind w:firstLine="480" w:firstLineChars="200"/>
        <w:rPr>
          <w:b/>
          <w:bCs/>
          <w:color w:val="auto"/>
          <w:sz w:val="24"/>
          <w:szCs w:val="24"/>
        </w:rPr>
      </w:pPr>
      <w:r>
        <w:rPr>
          <w:rFonts w:hint="eastAsia" w:ascii="Times New Roman" w:hAnsi="Times New Roman" w:eastAsia="宋体" w:cs="Times New Roman"/>
          <w:b/>
          <w:bCs/>
          <w:color w:val="auto"/>
          <w:sz w:val="24"/>
          <w:szCs w:val="24"/>
          <w:highlight w:val="none"/>
          <w:lang w:val="en-US" w:eastAsia="zh-CN"/>
        </w:rPr>
        <w:t>1.7.3</w:t>
      </w:r>
      <w:r>
        <w:rPr>
          <w:rFonts w:hint="eastAsia"/>
          <w:b/>
          <w:bCs/>
          <w:color w:val="auto"/>
          <w:sz w:val="24"/>
          <w:szCs w:val="24"/>
        </w:rPr>
        <w:t>固体废物</w:t>
      </w:r>
    </w:p>
    <w:p w14:paraId="1770D2CC">
      <w:pPr>
        <w:numPr>
          <w:ilvl w:val="0"/>
          <w:numId w:val="12"/>
        </w:numPr>
        <w:adjustRightInd w:val="0"/>
        <w:snapToGrid w:val="0"/>
        <w:spacing w:line="360" w:lineRule="auto"/>
        <w:ind w:firstLine="480" w:firstLineChars="200"/>
        <w:rPr>
          <w:rFonts w:hint="eastAsia"/>
          <w:b w:val="0"/>
          <w:bCs/>
          <w:color w:val="auto"/>
          <w:sz w:val="24"/>
          <w:szCs w:val="24"/>
        </w:rPr>
      </w:pPr>
      <w:r>
        <w:rPr>
          <w:rFonts w:hint="eastAsia"/>
          <w:b w:val="0"/>
          <w:bCs/>
          <w:color w:val="auto"/>
          <w:sz w:val="24"/>
          <w:szCs w:val="24"/>
        </w:rPr>
        <w:t>固体废物源强</w:t>
      </w:r>
    </w:p>
    <w:p w14:paraId="5C2F80C4">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w:t>
      </w:r>
      <w:r>
        <w:rPr>
          <w:rFonts w:hint="eastAsia" w:ascii="Times New Roman" w:hAnsi="Times New Roman" w:eastAsia="宋体" w:cs="Times New Roman"/>
          <w:color w:val="auto"/>
          <w:sz w:val="24"/>
          <w:szCs w:val="24"/>
          <w:highlight w:val="none"/>
          <w:lang w:val="en-US" w:eastAsia="zh-CN"/>
        </w:rPr>
        <w:t>产生的</w:t>
      </w:r>
      <w:r>
        <w:rPr>
          <w:rFonts w:hint="eastAsia" w:ascii="Times New Roman" w:hAnsi="Times New Roman" w:eastAsia="宋体" w:cs="Times New Roman"/>
          <w:color w:val="auto"/>
          <w:sz w:val="24"/>
          <w:szCs w:val="24"/>
          <w:highlight w:val="none"/>
        </w:rPr>
        <w:t>固体废物主要为</w:t>
      </w:r>
      <w:r>
        <w:rPr>
          <w:rFonts w:ascii="Times New Roman" w:hAnsi="Times New Roman" w:eastAsia="宋体" w:cs="Times New Roman"/>
          <w:color w:val="auto"/>
          <w:sz w:val="24"/>
          <w:szCs w:val="24"/>
          <w:highlight w:val="none"/>
        </w:rPr>
        <w:t>废包装袋、</w:t>
      </w:r>
      <w:r>
        <w:rPr>
          <w:rFonts w:hint="eastAsia" w:ascii="Times New Roman" w:hAnsi="Times New Roman" w:eastAsia="宋体" w:cs="Times New Roman"/>
          <w:color w:val="auto"/>
          <w:sz w:val="24"/>
          <w:szCs w:val="24"/>
          <w:highlight w:val="none"/>
          <w:lang w:val="en-US" w:eastAsia="zh-CN"/>
        </w:rPr>
        <w:t>废过滤网、废边角料、</w:t>
      </w:r>
      <w:r>
        <w:rPr>
          <w:rFonts w:ascii="Times New Roman" w:hAnsi="Times New Roman" w:eastAsia="宋体" w:cs="Times New Roman"/>
          <w:color w:val="auto"/>
          <w:sz w:val="24"/>
          <w:szCs w:val="24"/>
          <w:highlight w:val="none"/>
        </w:rPr>
        <w:t>废活性炭</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废催化剂、废润滑油、废油桶、废抹布</w:t>
      </w:r>
      <w:r>
        <w:rPr>
          <w:rFonts w:ascii="Times New Roman" w:hAnsi="Times New Roman" w:eastAsia="宋体" w:cs="Times New Roman"/>
          <w:color w:val="auto"/>
          <w:sz w:val="24"/>
          <w:szCs w:val="24"/>
          <w:highlight w:val="none"/>
        </w:rPr>
        <w:t>以及生活垃圾。</w:t>
      </w:r>
    </w:p>
    <w:p w14:paraId="731E176D">
      <w:pPr>
        <w:spacing w:line="360" w:lineRule="auto"/>
        <w:ind w:firstLine="482"/>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rPr>
        <w:t>（1）</w:t>
      </w:r>
      <w:r>
        <w:rPr>
          <w:rFonts w:hint="eastAsia" w:ascii="Times New Roman" w:hAnsi="Times New Roman" w:eastAsia="宋体" w:cs="Times New Roman"/>
          <w:color w:val="auto"/>
          <w:sz w:val="24"/>
          <w:szCs w:val="24"/>
          <w:highlight w:val="none"/>
          <w:lang w:val="en-US" w:eastAsia="zh-CN"/>
        </w:rPr>
        <w:t>废包装袋</w:t>
      </w:r>
    </w:p>
    <w:p w14:paraId="00450A0C">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本项目废包装</w:t>
      </w:r>
      <w:r>
        <w:rPr>
          <w:rFonts w:hint="eastAsia" w:ascii="Times New Roman" w:hAnsi="Times New Roman" w:eastAsia="宋体" w:cs="Times New Roman"/>
          <w:color w:val="auto"/>
          <w:sz w:val="24"/>
          <w:szCs w:val="24"/>
          <w:highlight w:val="none"/>
        </w:rPr>
        <w:t>袋</w:t>
      </w:r>
      <w:r>
        <w:rPr>
          <w:rFonts w:ascii="Times New Roman" w:hAnsi="Times New Roman" w:eastAsia="宋体" w:cs="Times New Roman"/>
          <w:color w:val="auto"/>
          <w:sz w:val="24"/>
          <w:szCs w:val="24"/>
          <w:highlight w:val="none"/>
        </w:rPr>
        <w:t>主要为原辅料的包装</w:t>
      </w:r>
      <w:r>
        <w:rPr>
          <w:rFonts w:hint="eastAsia" w:ascii="Times New Roman" w:hAnsi="Times New Roman" w:eastAsia="宋体" w:cs="Times New Roman"/>
          <w:color w:val="auto"/>
          <w:sz w:val="24"/>
          <w:szCs w:val="24"/>
          <w:highlight w:val="none"/>
        </w:rPr>
        <w:t>袋</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根据原辅料用量及包装规格，</w:t>
      </w:r>
      <w:r>
        <w:rPr>
          <w:rFonts w:ascii="Times New Roman" w:hAnsi="Times New Roman" w:eastAsia="宋体" w:cs="Times New Roman"/>
          <w:color w:val="auto"/>
          <w:sz w:val="24"/>
          <w:szCs w:val="24"/>
          <w:highlight w:val="none"/>
        </w:rPr>
        <w:t>废包装</w:t>
      </w:r>
      <w:r>
        <w:rPr>
          <w:rFonts w:hint="eastAsia" w:ascii="Times New Roman" w:hAnsi="Times New Roman" w:eastAsia="宋体" w:cs="Times New Roman"/>
          <w:color w:val="auto"/>
          <w:sz w:val="24"/>
          <w:szCs w:val="24"/>
          <w:highlight w:val="none"/>
        </w:rPr>
        <w:t>袋</w:t>
      </w:r>
      <w:r>
        <w:rPr>
          <w:rFonts w:ascii="Times New Roman" w:hAnsi="Times New Roman" w:eastAsia="宋体" w:cs="Times New Roman"/>
          <w:color w:val="auto"/>
          <w:sz w:val="24"/>
          <w:szCs w:val="24"/>
          <w:highlight w:val="none"/>
        </w:rPr>
        <w:t>产生量为</w:t>
      </w:r>
      <w:r>
        <w:rPr>
          <w:rFonts w:hint="eastAsia" w:ascii="Times New Roman" w:hAnsi="Times New Roman" w:eastAsia="宋体" w:cs="Times New Roman"/>
          <w:color w:val="auto"/>
          <w:sz w:val="24"/>
          <w:szCs w:val="24"/>
          <w:highlight w:val="none"/>
          <w:lang w:val="en-US" w:eastAsia="zh-CN"/>
        </w:rPr>
        <w:t>400000</w:t>
      </w:r>
      <w:r>
        <w:rPr>
          <w:rFonts w:ascii="Times New Roman" w:hAnsi="Times New Roman" w:eastAsia="宋体" w:cs="Times New Roman"/>
          <w:color w:val="auto"/>
          <w:sz w:val="24"/>
          <w:szCs w:val="24"/>
          <w:highlight w:val="none"/>
        </w:rPr>
        <w:t>个（单个</w:t>
      </w:r>
      <w:r>
        <w:rPr>
          <w:rFonts w:hint="eastAsia" w:ascii="Times New Roman" w:hAnsi="Times New Roman" w:eastAsia="宋体" w:cs="Times New Roman"/>
          <w:color w:val="auto"/>
          <w:sz w:val="24"/>
          <w:szCs w:val="24"/>
          <w:highlight w:val="none"/>
        </w:rPr>
        <w:t>包装</w:t>
      </w:r>
      <w:r>
        <w:rPr>
          <w:rFonts w:ascii="Times New Roman" w:hAnsi="Times New Roman" w:eastAsia="宋体" w:cs="Times New Roman"/>
          <w:color w:val="auto"/>
          <w:sz w:val="24"/>
          <w:szCs w:val="24"/>
          <w:highlight w:val="none"/>
        </w:rPr>
        <w:t>袋约</w:t>
      </w:r>
      <w:r>
        <w:rPr>
          <w:rFonts w:hint="eastAsia" w:ascii="Times New Roman" w:hAnsi="Times New Roman" w:eastAsia="宋体" w:cs="Times New Roman"/>
          <w:color w:val="auto"/>
          <w:sz w:val="24"/>
          <w:szCs w:val="24"/>
          <w:highlight w:val="none"/>
        </w:rPr>
        <w:t>0</w:t>
      </w:r>
      <w:r>
        <w:rPr>
          <w:rFonts w:ascii="Times New Roman" w:hAnsi="Times New Roman" w:eastAsia="宋体" w:cs="Times New Roman"/>
          <w:color w:val="auto"/>
          <w:sz w:val="24"/>
          <w:szCs w:val="24"/>
          <w:highlight w:val="none"/>
        </w:rPr>
        <w:t>.1kg）</w:t>
      </w:r>
      <w:r>
        <w:rPr>
          <w:rFonts w:hint="eastAsia" w:ascii="Times New Roman" w:hAnsi="Times New Roman" w:eastAsia="宋体" w:cs="Times New Roman"/>
          <w:color w:val="auto"/>
          <w:sz w:val="24"/>
          <w:szCs w:val="24"/>
          <w:highlight w:val="none"/>
        </w:rPr>
        <w:t>，约</w:t>
      </w:r>
      <w:r>
        <w:rPr>
          <w:rFonts w:hint="eastAsia" w:ascii="Times New Roman" w:hAnsi="Times New Roman" w:eastAsia="宋体" w:cs="Times New Roman"/>
          <w:color w:val="auto"/>
          <w:sz w:val="24"/>
          <w:szCs w:val="24"/>
          <w:highlight w:val="none"/>
          <w:lang w:val="en-US" w:eastAsia="zh-CN"/>
        </w:rPr>
        <w:t>40</w:t>
      </w:r>
      <w:r>
        <w:rPr>
          <w:rFonts w:hint="eastAsia" w:ascii="Times New Roman" w:hAnsi="Times New Roman" w:eastAsia="宋体" w:cs="Times New Roman"/>
          <w:color w:val="auto"/>
          <w:sz w:val="24"/>
          <w:szCs w:val="24"/>
          <w:highlight w:val="none"/>
        </w:rPr>
        <w:t>t/a。</w:t>
      </w:r>
      <w:r>
        <w:rPr>
          <w:rFonts w:ascii="Times New Roman" w:hAnsi="Times New Roman" w:eastAsia="宋体" w:cs="Times New Roman"/>
          <w:color w:val="auto"/>
          <w:sz w:val="24"/>
          <w:szCs w:val="24"/>
          <w:highlight w:val="none"/>
        </w:rPr>
        <w:t>可出售给物资回收公司利用。</w:t>
      </w:r>
    </w:p>
    <w:p w14:paraId="0CE8022D">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（2）</w:t>
      </w:r>
      <w:r>
        <w:rPr>
          <w:rFonts w:hint="eastAsia" w:ascii="Times New Roman" w:hAnsi="Times New Roman" w:eastAsia="宋体" w:cs="Times New Roman"/>
          <w:color w:val="auto"/>
          <w:sz w:val="24"/>
          <w:szCs w:val="24"/>
          <w:highlight w:val="none"/>
          <w:lang w:val="en-US" w:eastAsia="zh-CN"/>
        </w:rPr>
        <w:t>废过滤网</w:t>
      </w:r>
    </w:p>
    <w:p w14:paraId="67410736">
      <w:pPr>
        <w:spacing w:line="360" w:lineRule="auto"/>
        <w:ind w:firstLine="482"/>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熔融挤出过程</w:t>
      </w:r>
      <w:r>
        <w:rPr>
          <w:rFonts w:hint="eastAsia" w:ascii="Times New Roman" w:hAnsi="Times New Roman" w:eastAsia="宋体" w:cs="Times New Roman"/>
          <w:color w:val="auto"/>
          <w:sz w:val="24"/>
          <w:szCs w:val="24"/>
          <w:highlight w:val="none"/>
          <w:lang w:val="en-US" w:eastAsia="zh-CN"/>
        </w:rPr>
        <w:t>需经过滤器过滤，</w:t>
      </w:r>
      <w:r>
        <w:rPr>
          <w:rFonts w:hint="default" w:ascii="Times New Roman" w:hAnsi="Times New Roman" w:eastAsia="宋体" w:cs="Times New Roman"/>
          <w:color w:val="auto"/>
          <w:sz w:val="24"/>
          <w:szCs w:val="24"/>
          <w:highlight w:val="none"/>
          <w:lang w:val="en-US" w:eastAsia="zh-CN"/>
        </w:rPr>
        <w:t>过滤器内滤网长期使用后杂质累积堵塞滤孔</w:t>
      </w:r>
      <w:r>
        <w:rPr>
          <w:rFonts w:hint="eastAsia" w:ascii="Times New Roman" w:hAnsi="Times New Roman" w:eastAsia="宋体" w:cs="Times New Roman"/>
          <w:color w:val="auto"/>
          <w:sz w:val="24"/>
          <w:szCs w:val="24"/>
          <w:highlight w:val="none"/>
          <w:lang w:val="en-US" w:eastAsia="zh-CN"/>
        </w:rPr>
        <w:t>，产生废过滤网，约一周更换2次（单年以50周计），单次更换滤网0.004</w:t>
      </w:r>
      <w:r>
        <w:rPr>
          <w:rFonts w:hint="eastAsia" w:ascii="Times New Roman" w:hAnsi="Times New Roman" w:eastAsia="宋体" w:cs="Times New Roman"/>
          <w:color w:val="auto"/>
          <w:sz w:val="24"/>
          <w:szCs w:val="24"/>
          <w:highlight w:val="none"/>
        </w:rPr>
        <w:t>t</w:t>
      </w:r>
      <w:r>
        <w:rPr>
          <w:rFonts w:hint="eastAsia" w:ascii="Times New Roman" w:hAnsi="Times New Roman" w:eastAsia="宋体" w:cs="Times New Roman"/>
          <w:color w:val="auto"/>
          <w:sz w:val="24"/>
          <w:szCs w:val="24"/>
          <w:highlight w:val="none"/>
          <w:lang w:val="en-US" w:eastAsia="zh-CN"/>
        </w:rPr>
        <w:t>，则废滤网产生量约为0.4</w:t>
      </w:r>
      <w:r>
        <w:rPr>
          <w:rFonts w:hint="eastAsia" w:ascii="Times New Roman" w:hAnsi="Times New Roman" w:eastAsia="宋体" w:cs="Times New Roman"/>
          <w:color w:val="auto"/>
          <w:sz w:val="24"/>
          <w:szCs w:val="24"/>
          <w:highlight w:val="none"/>
        </w:rPr>
        <w:t>t/a，</w:t>
      </w:r>
      <w:r>
        <w:rPr>
          <w:rFonts w:hint="default" w:ascii="Times New Roman" w:hAnsi="Times New Roman" w:eastAsia="宋体" w:cs="Times New Roman"/>
          <w:color w:val="auto"/>
          <w:sz w:val="24"/>
          <w:szCs w:val="24"/>
          <w:highlight w:val="none"/>
          <w:lang w:val="en-US" w:eastAsia="zh-CN"/>
        </w:rPr>
        <w:t>可出售给物资回收公司利用</w:t>
      </w:r>
      <w:r>
        <w:rPr>
          <w:rFonts w:hint="default" w:ascii="Times New Roman" w:hAnsi="Times New Roman" w:eastAsia="宋体" w:cs="Times New Roman"/>
          <w:color w:val="auto"/>
          <w:sz w:val="24"/>
          <w:szCs w:val="24"/>
          <w:highlight w:val="none"/>
        </w:rPr>
        <w:t>。</w:t>
      </w:r>
    </w:p>
    <w:p w14:paraId="0A00CB78">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（3）</w:t>
      </w:r>
      <w:r>
        <w:rPr>
          <w:rFonts w:hint="eastAsia" w:ascii="Times New Roman" w:hAnsi="Times New Roman" w:eastAsia="宋体" w:cs="Times New Roman"/>
          <w:color w:val="auto"/>
          <w:sz w:val="24"/>
          <w:szCs w:val="24"/>
          <w:highlight w:val="none"/>
          <w:lang w:val="en-US" w:eastAsia="zh-CN"/>
        </w:rPr>
        <w:t>废边角料</w:t>
      </w:r>
    </w:p>
    <w:p w14:paraId="36EC504F">
      <w:pPr>
        <w:spacing w:line="360" w:lineRule="auto"/>
        <w:ind w:firstLine="482"/>
        <w:rPr>
          <w:rFonts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本项目切边等工序会产生少量边角料，产生量约为原料用量的</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%，项目原料用量为</w:t>
      </w:r>
      <w:r>
        <w:rPr>
          <w:rFonts w:hint="eastAsia" w:ascii="Times New Roman" w:hAnsi="Times New Roman" w:eastAsia="宋体" w:cs="Times New Roman"/>
          <w:color w:val="auto"/>
          <w:sz w:val="24"/>
          <w:szCs w:val="24"/>
          <w:highlight w:val="none"/>
          <w:lang w:val="en-US" w:eastAsia="zh-CN"/>
        </w:rPr>
        <w:t>10</w:t>
      </w:r>
      <w:r>
        <w:rPr>
          <w:rFonts w:hint="eastAsia" w:ascii="Times New Roman" w:hAnsi="Times New Roman" w:eastAsia="宋体" w:cs="Times New Roman"/>
          <w:color w:val="auto"/>
          <w:sz w:val="24"/>
          <w:szCs w:val="24"/>
          <w:highlight w:val="none"/>
        </w:rPr>
        <w:t>000t/a，则</w:t>
      </w:r>
      <w:r>
        <w:rPr>
          <w:rFonts w:hint="eastAsia" w:ascii="Times New Roman" w:hAnsi="Times New Roman" w:eastAsia="宋体" w:cs="Times New Roman"/>
          <w:color w:val="auto"/>
          <w:sz w:val="24"/>
          <w:szCs w:val="24"/>
          <w:highlight w:val="none"/>
          <w:lang w:val="en-US" w:eastAsia="zh-CN"/>
        </w:rPr>
        <w:t>废</w:t>
      </w:r>
      <w:r>
        <w:rPr>
          <w:rFonts w:hint="eastAsia" w:ascii="Times New Roman" w:hAnsi="Times New Roman" w:eastAsia="宋体" w:cs="Times New Roman"/>
          <w:color w:val="auto"/>
          <w:sz w:val="24"/>
          <w:szCs w:val="24"/>
          <w:highlight w:val="none"/>
        </w:rPr>
        <w:t>边角料产生量约为</w:t>
      </w:r>
      <w:r>
        <w:rPr>
          <w:rFonts w:hint="eastAsia" w:ascii="Times New Roman" w:hAnsi="Times New Roman" w:eastAsia="宋体" w:cs="Times New Roman"/>
          <w:color w:val="auto"/>
          <w:sz w:val="24"/>
          <w:szCs w:val="24"/>
          <w:highlight w:val="none"/>
          <w:lang w:val="en-US" w:eastAsia="zh-CN"/>
        </w:rPr>
        <w:t>200</w:t>
      </w:r>
      <w:r>
        <w:rPr>
          <w:rFonts w:hint="eastAsia" w:ascii="Times New Roman" w:hAnsi="Times New Roman" w:eastAsia="宋体" w:cs="Times New Roman"/>
          <w:color w:val="auto"/>
          <w:sz w:val="24"/>
          <w:szCs w:val="24"/>
          <w:highlight w:val="none"/>
        </w:rPr>
        <w:t>t/a，</w:t>
      </w:r>
      <w:r>
        <w:rPr>
          <w:rFonts w:hint="eastAsia" w:ascii="Times New Roman" w:hAnsi="Times New Roman" w:eastAsia="宋体" w:cs="Times New Roman"/>
          <w:color w:val="auto"/>
          <w:sz w:val="24"/>
          <w:szCs w:val="24"/>
          <w:highlight w:val="none"/>
          <w:lang w:val="en-US" w:eastAsia="zh-CN"/>
        </w:rPr>
        <w:t>经边料回收机粉碎后</w:t>
      </w:r>
      <w:r>
        <w:rPr>
          <w:rFonts w:hint="eastAsia" w:ascii="Times New Roman" w:hAnsi="Times New Roman" w:eastAsia="宋体" w:cs="Times New Roman"/>
          <w:color w:val="auto"/>
          <w:sz w:val="24"/>
          <w:szCs w:val="24"/>
          <w:highlight w:val="none"/>
        </w:rPr>
        <w:t>回用于生产。</w:t>
      </w:r>
    </w:p>
    <w:p w14:paraId="2732EC33">
      <w:pPr>
        <w:spacing w:line="360" w:lineRule="auto"/>
        <w:ind w:firstLine="480" w:firstLineChars="200"/>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（4）废活性炭</w:t>
      </w:r>
    </w:p>
    <w:p w14:paraId="7286844E">
      <w:pPr>
        <w:pStyle w:val="5"/>
        <w:spacing w:line="360" w:lineRule="auto"/>
        <w:ind w:firstLine="480" w:firstLineChars="200"/>
        <w:rPr>
          <w:rFonts w:ascii="Times New Roman" w:hAnsi="Times New Roman" w:cs="Times New Roman"/>
          <w:color w:val="auto"/>
          <w:spacing w:val="0"/>
          <w:sz w:val="24"/>
          <w:szCs w:val="24"/>
          <w:highlight w:val="none"/>
        </w:rPr>
      </w:pPr>
      <w:r>
        <w:rPr>
          <w:rFonts w:hint="eastAsia" w:ascii="Times New Roman" w:hAnsi="Times New Roman" w:cs="Times New Roman"/>
          <w:color w:val="auto"/>
          <w:spacing w:val="0"/>
          <w:sz w:val="24"/>
          <w:szCs w:val="24"/>
        </w:rPr>
        <w:t>项目挤出废气采用活性炭吸附</w:t>
      </w:r>
      <w:r>
        <w:rPr>
          <w:rFonts w:hint="eastAsia" w:ascii="Times New Roman" w:hAnsi="Times New Roman" w:cs="Times New Roman"/>
          <w:color w:val="auto"/>
          <w:spacing w:val="0"/>
          <w:sz w:val="24"/>
          <w:szCs w:val="24"/>
          <w:lang w:val="en-US" w:eastAsia="zh-CN"/>
        </w:rPr>
        <w:t>/</w:t>
      </w:r>
      <w:r>
        <w:rPr>
          <w:rFonts w:hint="eastAsia" w:ascii="Times New Roman" w:hAnsi="Times New Roman" w:cs="Times New Roman"/>
          <w:color w:val="auto"/>
          <w:spacing w:val="0"/>
          <w:sz w:val="24"/>
          <w:szCs w:val="24"/>
        </w:rPr>
        <w:t>脱附+催化燃烧进行处理，废气处理过程会产生废活性炭。本项目废气处理设施活性炭装填量约为</w:t>
      </w:r>
      <w:r>
        <w:rPr>
          <w:rFonts w:hint="eastAsia" w:ascii="Times New Roman" w:hAnsi="Times New Roman" w:cs="Times New Roman"/>
          <w:color w:val="auto"/>
          <w:spacing w:val="0"/>
          <w:sz w:val="24"/>
          <w:szCs w:val="24"/>
          <w:lang w:val="en-US" w:eastAsia="zh-CN"/>
        </w:rPr>
        <w:t>2</w:t>
      </w:r>
      <w:r>
        <w:rPr>
          <w:rFonts w:hint="eastAsia" w:ascii="Times New Roman" w:hAnsi="Times New Roman" w:cs="Times New Roman"/>
          <w:color w:val="auto"/>
          <w:spacing w:val="0"/>
          <w:sz w:val="24"/>
          <w:szCs w:val="24"/>
        </w:rPr>
        <w:t>t，因活性炭长时间在空气中易吸附空气中颗粒物、水分等而达到吸附饱和，失去吸附活</w:t>
      </w:r>
      <w:r>
        <w:rPr>
          <w:rFonts w:hint="eastAsia" w:ascii="Times New Roman" w:hAnsi="Times New Roman" w:cs="Times New Roman"/>
          <w:color w:val="auto"/>
          <w:spacing w:val="0"/>
          <w:sz w:val="24"/>
          <w:szCs w:val="24"/>
          <w:highlight w:val="none"/>
        </w:rPr>
        <w:t>性，活性炭更换频次为1年/次，则废活性炭产生量约为</w:t>
      </w:r>
      <w:r>
        <w:rPr>
          <w:rFonts w:hint="eastAsia" w:ascii="Times New Roman" w:hAnsi="Times New Roman" w:cs="Times New Roman"/>
          <w:color w:val="auto"/>
          <w:spacing w:val="0"/>
          <w:sz w:val="24"/>
          <w:szCs w:val="24"/>
          <w:highlight w:val="none"/>
          <w:lang w:eastAsia="zh-CN"/>
        </w:rPr>
        <w:t>2</w:t>
      </w:r>
      <w:r>
        <w:rPr>
          <w:rFonts w:hint="eastAsia" w:ascii="Times New Roman" w:hAnsi="Times New Roman" w:cs="Times New Roman"/>
          <w:color w:val="auto"/>
          <w:spacing w:val="0"/>
          <w:sz w:val="24"/>
          <w:szCs w:val="24"/>
          <w:highlight w:val="none"/>
        </w:rPr>
        <w:t>t/a。废活性炭属危险废物，危废代码HW49/900-039-49，委托有危废处置资质单位进行处置。</w:t>
      </w:r>
    </w:p>
    <w:p w14:paraId="3B8FD856">
      <w:pPr>
        <w:widowControl w:val="0"/>
        <w:numPr>
          <w:ilvl w:val="0"/>
          <w:numId w:val="0"/>
        </w:numPr>
        <w:spacing w:line="360" w:lineRule="auto"/>
        <w:ind w:firstLine="480" w:firstLineChars="200"/>
        <w:jc w:val="both"/>
        <w:rPr>
          <w:rFonts w:hint="eastAsia" w:ascii="Times New Roman" w:hAnsi="Times New Roman" w:eastAsia="宋体" w:cs="Times New Roman"/>
          <w:color w:val="auto"/>
          <w:spacing w:val="0"/>
          <w:kern w:val="2"/>
          <w:sz w:val="24"/>
          <w:szCs w:val="24"/>
          <w:highlight w:val="none"/>
          <w:lang w:val="en-US" w:eastAsia="zh-CN" w:bidi="ar-SA"/>
        </w:rPr>
      </w:pPr>
      <w:r>
        <w:rPr>
          <w:rFonts w:hint="eastAsia" w:ascii="Times New Roman" w:hAnsi="Times New Roman" w:eastAsia="宋体" w:cs="Times New Roman"/>
          <w:color w:val="auto"/>
          <w:spacing w:val="0"/>
          <w:kern w:val="2"/>
          <w:sz w:val="24"/>
          <w:szCs w:val="24"/>
          <w:highlight w:val="none"/>
          <w:lang w:val="en-US" w:eastAsia="zh-CN" w:bidi="ar-SA"/>
        </w:rPr>
        <w:t>（5）废催化剂</w:t>
      </w:r>
    </w:p>
    <w:p w14:paraId="1266762D">
      <w:pPr>
        <w:widowControl w:val="0"/>
        <w:numPr>
          <w:ilvl w:val="0"/>
          <w:numId w:val="0"/>
        </w:numPr>
        <w:spacing w:line="360" w:lineRule="auto"/>
        <w:ind w:firstLine="480" w:firstLineChars="200"/>
        <w:jc w:val="both"/>
        <w:rPr>
          <w:rFonts w:hint="eastAsia" w:ascii="Times New Roman" w:hAnsi="Times New Roman" w:cs="Times New Roman"/>
          <w:color w:val="auto"/>
          <w:spacing w:val="0"/>
          <w:sz w:val="24"/>
          <w:szCs w:val="24"/>
        </w:rPr>
      </w:pPr>
      <w:r>
        <w:rPr>
          <w:rFonts w:hint="eastAsia" w:ascii="Times New Roman" w:hAnsi="Times New Roman" w:cs="Times New Roman"/>
          <w:color w:val="auto"/>
          <w:spacing w:val="0"/>
          <w:sz w:val="24"/>
          <w:szCs w:val="24"/>
          <w:highlight w:val="none"/>
        </w:rPr>
        <w:t>本项目生产过程产生有机废气处理采用“活性炭吸附-脱附+催化燃烧”设备处理，企业催化剂填充量约为0.2t，催化剂一般每</w:t>
      </w:r>
      <w:r>
        <w:rPr>
          <w:rFonts w:hint="eastAsia" w:ascii="Times New Roman" w:hAnsi="Times New Roman" w:cs="Times New Roman"/>
          <w:color w:val="auto"/>
          <w:spacing w:val="0"/>
          <w:sz w:val="24"/>
          <w:szCs w:val="24"/>
          <w:highlight w:val="none"/>
          <w:lang w:val="en-US" w:eastAsia="zh-CN"/>
        </w:rPr>
        <w:t>4</w:t>
      </w:r>
      <w:r>
        <w:rPr>
          <w:rFonts w:hint="eastAsia" w:ascii="Times New Roman" w:hAnsi="Times New Roman" w:cs="Times New Roman"/>
          <w:color w:val="auto"/>
          <w:spacing w:val="0"/>
          <w:sz w:val="24"/>
          <w:szCs w:val="24"/>
          <w:highlight w:val="none"/>
        </w:rPr>
        <w:t>年更换一次，则本项目</w:t>
      </w:r>
      <w:r>
        <w:rPr>
          <w:rFonts w:hint="eastAsia" w:ascii="Times New Roman" w:hAnsi="Times New Roman" w:cs="Times New Roman"/>
          <w:color w:val="auto"/>
          <w:spacing w:val="0"/>
          <w:sz w:val="24"/>
          <w:szCs w:val="24"/>
        </w:rPr>
        <w:t>废催化剂产生量为0.</w:t>
      </w:r>
      <w:r>
        <w:rPr>
          <w:rFonts w:hint="eastAsia" w:ascii="Times New Roman" w:hAnsi="Times New Roman" w:cs="Times New Roman"/>
          <w:color w:val="auto"/>
          <w:spacing w:val="0"/>
          <w:sz w:val="24"/>
          <w:szCs w:val="24"/>
          <w:lang w:val="en-US" w:eastAsia="zh-CN"/>
        </w:rPr>
        <w:t>05</w:t>
      </w:r>
      <w:r>
        <w:rPr>
          <w:rFonts w:hint="eastAsia" w:ascii="Times New Roman" w:hAnsi="Times New Roman" w:cs="Times New Roman"/>
          <w:color w:val="auto"/>
          <w:spacing w:val="0"/>
          <w:sz w:val="24"/>
          <w:szCs w:val="24"/>
        </w:rPr>
        <w:t>吨/年。该部分废催化剂为危险废物(HW49</w:t>
      </w:r>
      <w:r>
        <w:rPr>
          <w:rFonts w:hint="eastAsia" w:ascii="Times New Roman" w:hAnsi="Times New Roman" w:cs="Times New Roman"/>
          <w:color w:val="auto"/>
          <w:spacing w:val="0"/>
          <w:sz w:val="24"/>
          <w:szCs w:val="24"/>
          <w:lang w:val="en-US" w:eastAsia="zh-CN"/>
        </w:rPr>
        <w:t>/</w:t>
      </w:r>
      <w:r>
        <w:rPr>
          <w:rFonts w:hint="eastAsia" w:ascii="Times New Roman" w:hAnsi="Times New Roman" w:cs="Times New Roman"/>
          <w:color w:val="auto"/>
          <w:spacing w:val="0"/>
          <w:sz w:val="24"/>
          <w:szCs w:val="24"/>
        </w:rPr>
        <w:t>900-041-49)，委托有危废处置资质单位进行处置。</w:t>
      </w:r>
    </w:p>
    <w:p w14:paraId="4D864DB0">
      <w:pPr>
        <w:widowControl w:val="0"/>
        <w:numPr>
          <w:ilvl w:val="-1"/>
          <w:numId w:val="0"/>
        </w:numPr>
        <w:spacing w:line="360" w:lineRule="auto"/>
        <w:ind w:firstLine="480" w:firstLineChars="200"/>
        <w:jc w:val="both"/>
        <w:rPr>
          <w:rFonts w:hint="eastAsia" w:ascii="Times New Roman" w:hAnsi="Times New Roman" w:eastAsia="宋体" w:cs="Times New Roman"/>
          <w:color w:val="auto"/>
          <w:spacing w:val="0"/>
          <w:kern w:val="2"/>
          <w:sz w:val="24"/>
          <w:szCs w:val="24"/>
          <w:highlight w:val="none"/>
          <w:lang w:val="en-US" w:eastAsia="zh-CN" w:bidi="ar-SA"/>
        </w:rPr>
      </w:pPr>
      <w:r>
        <w:rPr>
          <w:rFonts w:hint="eastAsia" w:ascii="Times New Roman" w:hAnsi="Times New Roman" w:eastAsia="宋体" w:cs="Times New Roman"/>
          <w:color w:val="auto"/>
          <w:spacing w:val="0"/>
          <w:kern w:val="2"/>
          <w:sz w:val="24"/>
          <w:szCs w:val="24"/>
          <w:highlight w:val="none"/>
          <w:lang w:val="en-US" w:eastAsia="zh-CN" w:bidi="ar-SA"/>
        </w:rPr>
        <w:t>（6）废润滑油</w:t>
      </w:r>
    </w:p>
    <w:p w14:paraId="60D79E8F">
      <w:pPr>
        <w:adjustRightInd w:val="0"/>
        <w:snapToGrid w:val="0"/>
        <w:spacing w:line="360" w:lineRule="auto"/>
        <w:ind w:firstLine="480" w:firstLineChars="200"/>
        <w:rPr>
          <w:rFonts w:hint="eastAsia" w:ascii="Times New Roman" w:hAnsi="Times New Roman" w:eastAsia="宋体" w:cs="Times New Roman"/>
          <w:color w:val="auto"/>
          <w:spacing w:val="0"/>
          <w:kern w:val="2"/>
          <w:sz w:val="24"/>
          <w:szCs w:val="24"/>
          <w:highlight w:val="none"/>
          <w:lang w:val="en-US" w:eastAsia="zh-CN" w:bidi="ar-SA"/>
        </w:rPr>
      </w:pPr>
      <w:r>
        <w:rPr>
          <w:rFonts w:hint="eastAsia" w:ascii="Times New Roman" w:hAnsi="Times New Roman" w:cs="Times New Roman"/>
          <w:color w:val="auto"/>
          <w:sz w:val="24"/>
          <w:szCs w:val="24"/>
          <w:highlight w:val="none"/>
        </w:rPr>
        <w:t>本项目采用润滑油进行设备保养维修，以保证设备的稳定运行，润滑油用量约0.</w:t>
      </w:r>
      <w:r>
        <w:rPr>
          <w:rFonts w:hint="eastAsia"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rPr>
        <w:t>t/a，损耗率约为90%，则废润滑油产生量约为 0.0</w:t>
      </w:r>
      <w:r>
        <w:rPr>
          <w:rFonts w:hint="eastAsia"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eastAsia="zh-CN"/>
        </w:rPr>
        <w:t>2</w:t>
      </w:r>
      <w:r>
        <w:rPr>
          <w:rFonts w:hint="eastAsia" w:ascii="Times New Roman" w:hAnsi="Times New Roman" w:cs="Times New Roman"/>
          <w:color w:val="auto"/>
          <w:sz w:val="24"/>
          <w:szCs w:val="24"/>
          <w:highlight w:val="none"/>
        </w:rPr>
        <w:t>t/a。</w:t>
      </w:r>
      <w:r>
        <w:rPr>
          <w:rFonts w:hint="eastAsia" w:ascii="Times New Roman" w:hAnsi="Times New Roman" w:cs="Times New Roman"/>
          <w:color w:val="auto"/>
          <w:spacing w:val="0"/>
          <w:sz w:val="24"/>
          <w:szCs w:val="24"/>
        </w:rPr>
        <w:t>废</w:t>
      </w:r>
      <w:r>
        <w:rPr>
          <w:rFonts w:hint="eastAsia" w:ascii="Times New Roman" w:hAnsi="Times New Roman" w:cs="Times New Roman"/>
          <w:color w:val="auto"/>
          <w:spacing w:val="0"/>
          <w:sz w:val="24"/>
          <w:szCs w:val="24"/>
          <w:lang w:val="en-US" w:eastAsia="zh-CN"/>
        </w:rPr>
        <w:t>润滑油</w:t>
      </w:r>
      <w:r>
        <w:rPr>
          <w:rFonts w:hint="eastAsia" w:ascii="Times New Roman" w:hAnsi="Times New Roman" w:cs="Times New Roman"/>
          <w:color w:val="auto"/>
          <w:spacing w:val="0"/>
          <w:sz w:val="24"/>
          <w:szCs w:val="24"/>
        </w:rPr>
        <w:t>为危险废物(HW</w:t>
      </w:r>
      <w:r>
        <w:rPr>
          <w:rFonts w:hint="eastAsia" w:ascii="Times New Roman" w:hAnsi="Times New Roman" w:cs="Times New Roman"/>
          <w:color w:val="auto"/>
          <w:spacing w:val="0"/>
          <w:sz w:val="24"/>
          <w:szCs w:val="24"/>
          <w:lang w:val="en-US" w:eastAsia="zh-CN"/>
        </w:rPr>
        <w:t>08/</w:t>
      </w:r>
      <w:r>
        <w:rPr>
          <w:rFonts w:hint="eastAsia" w:ascii="Times New Roman" w:hAnsi="Times New Roman" w:cs="Times New Roman"/>
          <w:color w:val="auto"/>
          <w:spacing w:val="0"/>
          <w:sz w:val="24"/>
          <w:szCs w:val="24"/>
        </w:rPr>
        <w:t>900-214-08)，</w:t>
      </w:r>
      <w:r>
        <w:rPr>
          <w:rFonts w:hint="eastAsia" w:ascii="Times New Roman" w:hAnsi="Times New Roman" w:cs="Times New Roman"/>
          <w:color w:val="auto"/>
          <w:sz w:val="24"/>
          <w:szCs w:val="24"/>
          <w:highlight w:val="none"/>
        </w:rPr>
        <w:t>收集后需委托有资质单位处置。</w:t>
      </w:r>
    </w:p>
    <w:p w14:paraId="4B7DCDDD">
      <w:pPr>
        <w:widowControl w:val="0"/>
        <w:numPr>
          <w:ilvl w:val="0"/>
          <w:numId w:val="0"/>
        </w:numPr>
        <w:spacing w:line="360" w:lineRule="auto"/>
        <w:ind w:firstLine="480" w:firstLineChars="200"/>
        <w:jc w:val="both"/>
        <w:rPr>
          <w:rFonts w:hint="eastAsia" w:ascii="Times New Roman" w:hAnsi="Times New Roman" w:eastAsia="宋体" w:cs="Times New Roman"/>
          <w:color w:val="auto"/>
          <w:spacing w:val="0"/>
          <w:kern w:val="2"/>
          <w:sz w:val="24"/>
          <w:szCs w:val="24"/>
          <w:highlight w:val="none"/>
          <w:lang w:val="en-US" w:eastAsia="zh-CN" w:bidi="ar-SA"/>
        </w:rPr>
      </w:pPr>
      <w:r>
        <w:rPr>
          <w:rFonts w:hint="eastAsia" w:ascii="Times New Roman" w:hAnsi="Times New Roman" w:eastAsia="宋体" w:cs="Times New Roman"/>
          <w:color w:val="auto"/>
          <w:spacing w:val="0"/>
          <w:kern w:val="2"/>
          <w:sz w:val="24"/>
          <w:szCs w:val="24"/>
          <w:highlight w:val="none"/>
          <w:lang w:val="en-US" w:eastAsia="zh-CN" w:bidi="ar-SA"/>
        </w:rPr>
        <w:t>（7）废油桶</w:t>
      </w:r>
    </w:p>
    <w:p w14:paraId="2CA05BF0">
      <w:pPr>
        <w:adjustRightInd w:val="0"/>
        <w:snapToGrid w:val="0"/>
        <w:spacing w:line="360" w:lineRule="auto"/>
        <w:ind w:firstLine="480" w:firstLineChars="200"/>
        <w:rPr>
          <w:color w:val="auto"/>
          <w:sz w:val="24"/>
          <w:szCs w:val="24"/>
        </w:rPr>
      </w:pPr>
      <w:r>
        <w:rPr>
          <w:rFonts w:hint="eastAsia"/>
          <w:color w:val="auto"/>
          <w:sz w:val="24"/>
          <w:szCs w:val="24"/>
        </w:rPr>
        <w:t>项目润滑油使用会产生废油桶。润滑油包装规格为20kg/桶，20kg包装规格的空桶重约2kg/个，产生量为</w:t>
      </w:r>
      <w:r>
        <w:rPr>
          <w:rFonts w:hint="eastAsia"/>
          <w:color w:val="auto"/>
          <w:sz w:val="24"/>
          <w:szCs w:val="24"/>
          <w:lang w:val="en-US" w:eastAsia="zh-CN"/>
        </w:rPr>
        <w:t>1</w:t>
      </w:r>
      <w:r>
        <w:rPr>
          <w:rFonts w:hint="eastAsia"/>
          <w:color w:val="auto"/>
          <w:sz w:val="24"/>
          <w:szCs w:val="24"/>
        </w:rPr>
        <w:t>个/年，则废油桶产生量共计0.0</w:t>
      </w:r>
      <w:r>
        <w:rPr>
          <w:rFonts w:hint="eastAsia"/>
          <w:color w:val="auto"/>
          <w:sz w:val="24"/>
          <w:szCs w:val="24"/>
          <w:lang w:val="en-US" w:eastAsia="zh-CN"/>
        </w:rPr>
        <w:t>02</w:t>
      </w:r>
      <w:r>
        <w:rPr>
          <w:rFonts w:hint="eastAsia"/>
          <w:color w:val="auto"/>
          <w:sz w:val="24"/>
          <w:szCs w:val="24"/>
        </w:rPr>
        <w:t>t/a</w:t>
      </w:r>
      <w:r>
        <w:rPr>
          <w:rFonts w:hint="eastAsia"/>
          <w:color w:val="auto"/>
          <w:sz w:val="24"/>
          <w:szCs w:val="24"/>
          <w:lang w:eastAsia="zh-CN"/>
        </w:rPr>
        <w:t>，</w:t>
      </w:r>
      <w:r>
        <w:rPr>
          <w:rFonts w:hint="default"/>
          <w:color w:val="auto"/>
          <w:sz w:val="24"/>
          <w:szCs w:val="24"/>
          <w:lang w:eastAsia="zh-CN"/>
        </w:rPr>
        <w:t>收集后由原厂商回收</w:t>
      </w:r>
      <w:r>
        <w:rPr>
          <w:color w:val="auto"/>
          <w:sz w:val="24"/>
          <w:szCs w:val="24"/>
        </w:rPr>
        <w:t>。</w:t>
      </w:r>
    </w:p>
    <w:p w14:paraId="2E928A66">
      <w:pPr>
        <w:widowControl w:val="0"/>
        <w:numPr>
          <w:ilvl w:val="0"/>
          <w:numId w:val="9"/>
        </w:numPr>
        <w:spacing w:line="360" w:lineRule="auto"/>
        <w:ind w:firstLine="480" w:firstLineChars="200"/>
        <w:jc w:val="both"/>
        <w:rPr>
          <w:rFonts w:hint="eastAsia" w:ascii="Times New Roman" w:hAnsi="Times New Roman" w:eastAsia="宋体" w:cs="Times New Roman"/>
          <w:color w:val="auto"/>
          <w:spacing w:val="0"/>
          <w:kern w:val="2"/>
          <w:sz w:val="24"/>
          <w:szCs w:val="24"/>
          <w:highlight w:val="none"/>
          <w:lang w:val="en-US" w:eastAsia="zh-CN" w:bidi="ar-SA"/>
        </w:rPr>
      </w:pPr>
      <w:r>
        <w:rPr>
          <w:rFonts w:hint="eastAsia" w:ascii="Times New Roman" w:hAnsi="Times New Roman" w:eastAsia="宋体" w:cs="Times New Roman"/>
          <w:color w:val="auto"/>
          <w:spacing w:val="0"/>
          <w:kern w:val="2"/>
          <w:sz w:val="24"/>
          <w:szCs w:val="24"/>
          <w:highlight w:val="none"/>
          <w:lang w:val="en-US" w:eastAsia="zh-CN" w:bidi="ar-SA"/>
        </w:rPr>
        <w:t>废抹布</w:t>
      </w:r>
    </w:p>
    <w:p w14:paraId="0B28B244">
      <w:pPr>
        <w:widowControl/>
        <w:spacing w:line="360" w:lineRule="auto"/>
        <w:ind w:firstLine="480" w:firstLineChars="200"/>
        <w:rPr>
          <w:rFonts w:hint="eastAsia" w:ascii="Times New Roman" w:hAnsi="Times New Roman" w:eastAsia="宋体" w:cs="Times New Roman"/>
          <w:color w:val="auto"/>
          <w:spacing w:val="0"/>
          <w:kern w:val="2"/>
          <w:sz w:val="24"/>
          <w:szCs w:val="24"/>
          <w:highlight w:val="none"/>
          <w:lang w:val="en-US" w:eastAsia="zh-CN" w:bidi="ar-SA"/>
        </w:rPr>
      </w:pPr>
      <w:r>
        <w:rPr>
          <w:rFonts w:hint="eastAsia"/>
          <w:color w:val="auto"/>
          <w:sz w:val="24"/>
          <w:szCs w:val="24"/>
        </w:rPr>
        <w:t>设备维护过程中会产生</w:t>
      </w:r>
      <w:r>
        <w:rPr>
          <w:rFonts w:hint="eastAsia" w:ascii="宋体" w:hAnsi="宋体" w:cs="宋体"/>
          <w:bCs/>
          <w:color w:val="auto"/>
          <w:sz w:val="24"/>
          <w:szCs w:val="24"/>
        </w:rPr>
        <w:t>废</w:t>
      </w:r>
      <w:r>
        <w:rPr>
          <w:rFonts w:hint="eastAsia" w:ascii="宋体" w:hAnsi="宋体" w:cs="宋体"/>
          <w:bCs/>
          <w:color w:val="auto"/>
          <w:sz w:val="24"/>
          <w:szCs w:val="24"/>
          <w:lang w:val="en-US" w:eastAsia="zh-CN"/>
        </w:rPr>
        <w:t>抹布</w:t>
      </w:r>
      <w:r>
        <w:rPr>
          <w:rFonts w:hint="eastAsia"/>
          <w:color w:val="auto"/>
          <w:sz w:val="24"/>
          <w:szCs w:val="24"/>
        </w:rPr>
        <w:t>，产生量约为0.01t/a。</w:t>
      </w:r>
      <w:r>
        <w:rPr>
          <w:rFonts w:hint="eastAsia" w:ascii="Times New Roman" w:hAnsi="Times New Roman" w:cs="Times New Roman"/>
          <w:color w:val="auto"/>
          <w:spacing w:val="0"/>
          <w:sz w:val="24"/>
          <w:szCs w:val="24"/>
        </w:rPr>
        <w:t>废</w:t>
      </w:r>
      <w:r>
        <w:rPr>
          <w:rFonts w:hint="eastAsia" w:ascii="Times New Roman" w:hAnsi="Times New Roman" w:cs="Times New Roman"/>
          <w:color w:val="auto"/>
          <w:spacing w:val="0"/>
          <w:sz w:val="24"/>
          <w:szCs w:val="24"/>
          <w:lang w:val="en-US" w:eastAsia="zh-CN"/>
        </w:rPr>
        <w:t>抹布</w:t>
      </w:r>
      <w:r>
        <w:rPr>
          <w:rFonts w:hint="eastAsia" w:ascii="Times New Roman" w:hAnsi="Times New Roman" w:cs="Times New Roman"/>
          <w:color w:val="auto"/>
          <w:spacing w:val="0"/>
          <w:sz w:val="24"/>
          <w:szCs w:val="24"/>
        </w:rPr>
        <w:t>为危险废物(</w:t>
      </w:r>
      <w:r>
        <w:rPr>
          <w:rFonts w:hint="eastAsia"/>
          <w:color w:val="auto"/>
          <w:sz w:val="24"/>
          <w:szCs w:val="24"/>
          <w:highlight w:val="none"/>
          <w:lang w:val="en-US" w:eastAsia="zh-CN"/>
        </w:rPr>
        <w:t>HW49/900-041-49</w:t>
      </w:r>
      <w:r>
        <w:rPr>
          <w:rFonts w:hint="eastAsia" w:ascii="Times New Roman" w:hAnsi="Times New Roman" w:cs="Times New Roman"/>
          <w:color w:val="auto"/>
          <w:spacing w:val="0"/>
          <w:sz w:val="24"/>
          <w:szCs w:val="24"/>
        </w:rPr>
        <w:t>)，</w:t>
      </w:r>
      <w:r>
        <w:rPr>
          <w:rFonts w:hint="eastAsia"/>
          <w:color w:val="auto"/>
          <w:sz w:val="24"/>
          <w:szCs w:val="24"/>
        </w:rPr>
        <w:t>需委托有危废处置资质单位进行处置。</w:t>
      </w:r>
    </w:p>
    <w:p w14:paraId="32B22BB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9</w:t>
      </w:r>
      <w:r>
        <w:rPr>
          <w:rFonts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rPr>
        <w:t>生活</w:t>
      </w:r>
      <w:r>
        <w:rPr>
          <w:rFonts w:ascii="Times New Roman" w:hAnsi="Times New Roman" w:eastAsia="宋体" w:cs="Times New Roman"/>
          <w:color w:val="auto"/>
          <w:sz w:val="24"/>
          <w:szCs w:val="24"/>
          <w:highlight w:val="none"/>
        </w:rPr>
        <w:t>垃圾</w:t>
      </w:r>
    </w:p>
    <w:p w14:paraId="35080C99">
      <w:pPr>
        <w:spacing w:line="360" w:lineRule="auto"/>
        <w:ind w:firstLine="482"/>
        <w:rPr>
          <w:rFonts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本项目职工定员</w:t>
      </w:r>
      <w:r>
        <w:rPr>
          <w:rFonts w:hint="eastAsia" w:ascii="Times New Roman" w:hAnsi="Times New Roman" w:eastAsia="宋体" w:cs="Times New Roman"/>
          <w:color w:val="auto"/>
          <w:sz w:val="24"/>
          <w:szCs w:val="24"/>
          <w:highlight w:val="none"/>
          <w:lang w:val="en-US" w:eastAsia="zh-CN"/>
        </w:rPr>
        <w:t>55</w:t>
      </w:r>
      <w:r>
        <w:rPr>
          <w:rFonts w:hint="default" w:ascii="Times New Roman" w:hAnsi="Times New Roman" w:eastAsia="宋体" w:cs="Times New Roman"/>
          <w:color w:val="auto"/>
          <w:sz w:val="24"/>
          <w:szCs w:val="24"/>
          <w:highlight w:val="none"/>
        </w:rPr>
        <w:t>名，按每人</w:t>
      </w:r>
      <w:r>
        <w:rPr>
          <w:rFonts w:hint="eastAsia" w:ascii="Times New Roman" w:hAnsi="Times New Roman" w:eastAsia="宋体" w:cs="Times New Roman"/>
          <w:color w:val="auto"/>
          <w:sz w:val="24"/>
          <w:szCs w:val="24"/>
          <w:highlight w:val="none"/>
          <w:lang w:eastAsia="zh-CN"/>
        </w:rPr>
        <w:t>1</w:t>
      </w:r>
      <w:r>
        <w:rPr>
          <w:rFonts w:hint="eastAsia" w:ascii="Times New Roman" w:hAnsi="Times New Roman" w:eastAsia="宋体" w:cs="Times New Roman"/>
          <w:color w:val="auto"/>
          <w:sz w:val="24"/>
          <w:szCs w:val="24"/>
          <w:highlight w:val="none"/>
          <w:lang w:val="en-US" w:eastAsia="zh-CN"/>
        </w:rPr>
        <w:t>.0</w:t>
      </w:r>
      <w:r>
        <w:rPr>
          <w:rFonts w:hint="default" w:ascii="Times New Roman" w:hAnsi="Times New Roman" w:eastAsia="宋体" w:cs="Times New Roman"/>
          <w:color w:val="auto"/>
          <w:sz w:val="24"/>
          <w:szCs w:val="24"/>
          <w:highlight w:val="none"/>
        </w:rPr>
        <w:t>kg/d计，年工作300天，则生活垃圾产生量约</w:t>
      </w:r>
      <w:r>
        <w:rPr>
          <w:rFonts w:hint="eastAsia" w:ascii="Times New Roman" w:hAnsi="Times New Roman" w:eastAsia="宋体" w:cs="Times New Roman"/>
          <w:color w:val="auto"/>
          <w:sz w:val="24"/>
          <w:szCs w:val="24"/>
          <w:highlight w:val="none"/>
          <w:lang w:val="en-US" w:eastAsia="zh-CN"/>
        </w:rPr>
        <w:t>16.5t/a</w:t>
      </w:r>
      <w:r>
        <w:rPr>
          <w:rFonts w:hint="default" w:ascii="Times New Roman" w:hAnsi="Times New Roman" w:eastAsia="宋体" w:cs="Times New Roman"/>
          <w:color w:val="auto"/>
          <w:sz w:val="24"/>
          <w:szCs w:val="24"/>
          <w:highlight w:val="none"/>
        </w:rPr>
        <w:t>，由环卫部门定期清运。</w:t>
      </w:r>
    </w:p>
    <w:p w14:paraId="72174EC3">
      <w:pPr>
        <w:spacing w:line="360" w:lineRule="auto"/>
        <w:ind w:firstLine="482"/>
        <w:rPr>
          <w:rFonts w:ascii="Times New Roman" w:hAnsi="Times New Roman" w:eastAsia="宋体" w:cs="Times New Roman"/>
          <w:color w:val="auto"/>
          <w:sz w:val="24"/>
          <w:szCs w:val="24"/>
          <w:highlight w:val="none"/>
        </w:rPr>
      </w:pPr>
      <w:r>
        <w:rPr>
          <w:rFonts w:hint="eastAsia" w:ascii="宋体" w:hAnsi="宋体" w:eastAsia="宋体" w:cs="Times New Roman"/>
          <w:color w:val="auto"/>
          <w:sz w:val="24"/>
          <w:szCs w:val="24"/>
          <w:highlight w:val="none"/>
        </w:rPr>
        <w:t>综上，本项目固废产生情况汇总如下：</w:t>
      </w:r>
    </w:p>
    <w:p w14:paraId="52297262">
      <w:pPr>
        <w:pStyle w:val="20"/>
        <w:numPr>
          <w:ilvl w:val="0"/>
          <w:numId w:val="6"/>
        </w:numPr>
        <w:spacing w:before="156"/>
        <w:rPr>
          <w:rFonts w:ascii="Times New Roman" w:hAnsi="Times New Roman" w:eastAsia="宋体" w:cs="Times New Roman"/>
          <w:b/>
          <w:bCs w:val="0"/>
          <w:color w:val="auto"/>
          <w:spacing w:val="0"/>
          <w:szCs w:val="21"/>
        </w:rPr>
      </w:pPr>
      <w:r>
        <w:rPr>
          <w:rFonts w:ascii="Times New Roman" w:hAnsi="Times New Roman" w:eastAsia="宋体" w:cs="Times New Roman"/>
          <w:b/>
          <w:bCs w:val="0"/>
          <w:color w:val="auto"/>
          <w:spacing w:val="0"/>
          <w:szCs w:val="21"/>
        </w:rPr>
        <w:t>项目废物产生情况汇总表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7"/>
        <w:gridCol w:w="1456"/>
        <w:gridCol w:w="1456"/>
        <w:gridCol w:w="955"/>
        <w:gridCol w:w="2187"/>
        <w:gridCol w:w="1795"/>
      </w:tblGrid>
      <w:tr w14:paraId="5E23D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7D2C1AB4">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347" w:type="dxa"/>
            <w:noWrap w:val="0"/>
            <w:vAlign w:val="center"/>
          </w:tcPr>
          <w:p w14:paraId="03F1B1AC">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固体废物名称</w:t>
            </w:r>
          </w:p>
        </w:tc>
        <w:tc>
          <w:tcPr>
            <w:tcW w:w="1347" w:type="dxa"/>
            <w:noWrap w:val="0"/>
            <w:vAlign w:val="center"/>
          </w:tcPr>
          <w:p w14:paraId="2DE56CEA">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产生工序</w:t>
            </w:r>
          </w:p>
        </w:tc>
        <w:tc>
          <w:tcPr>
            <w:tcW w:w="883" w:type="dxa"/>
            <w:noWrap w:val="0"/>
            <w:vAlign w:val="center"/>
          </w:tcPr>
          <w:p w14:paraId="4E186883">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形态</w:t>
            </w:r>
          </w:p>
        </w:tc>
        <w:tc>
          <w:tcPr>
            <w:tcW w:w="2023" w:type="dxa"/>
            <w:noWrap w:val="0"/>
            <w:vAlign w:val="center"/>
          </w:tcPr>
          <w:p w14:paraId="43A87DAA">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主要成分</w:t>
            </w:r>
          </w:p>
        </w:tc>
        <w:tc>
          <w:tcPr>
            <w:tcW w:w="1659" w:type="dxa"/>
            <w:noWrap w:val="0"/>
            <w:vAlign w:val="center"/>
          </w:tcPr>
          <w:p w14:paraId="0AEFDAF2">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产生量（t/a）</w:t>
            </w:r>
          </w:p>
        </w:tc>
      </w:tr>
      <w:tr w14:paraId="24CDB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4C4C0566">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1347" w:type="dxa"/>
            <w:noWrap w:val="0"/>
            <w:vAlign w:val="center"/>
          </w:tcPr>
          <w:p w14:paraId="400E16E1">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bCs/>
                <w:color w:val="auto"/>
                <w:sz w:val="21"/>
                <w:szCs w:val="21"/>
                <w:highlight w:val="none"/>
              </w:rPr>
              <w:t>废包装袋</w:t>
            </w:r>
          </w:p>
        </w:tc>
        <w:tc>
          <w:tcPr>
            <w:tcW w:w="1347" w:type="dxa"/>
            <w:noWrap w:val="0"/>
            <w:vAlign w:val="center"/>
          </w:tcPr>
          <w:p w14:paraId="666109A8">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原料使用</w:t>
            </w:r>
          </w:p>
        </w:tc>
        <w:tc>
          <w:tcPr>
            <w:tcW w:w="883" w:type="dxa"/>
            <w:noWrap w:val="0"/>
            <w:vAlign w:val="center"/>
          </w:tcPr>
          <w:p w14:paraId="23230AB0">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023" w:type="dxa"/>
            <w:noWrap w:val="0"/>
            <w:vAlign w:val="center"/>
          </w:tcPr>
          <w:p w14:paraId="4B169565">
            <w:pPr>
              <w:keepNext/>
              <w:keepLines/>
              <w:widowControl w:val="0"/>
              <w:numPr>
                <w:ilvl w:val="0"/>
                <w:numId w:val="0"/>
              </w:numPr>
              <w:spacing w:line="240" w:lineRule="auto"/>
              <w:ind w:left="0" w:leftChars="0" w:firstLine="0" w:firstLineChars="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eastAsia="宋体" w:cs="Times New Roman"/>
                <w:color w:val="auto"/>
                <w:kern w:val="2"/>
                <w:sz w:val="21"/>
                <w:szCs w:val="21"/>
                <w:highlight w:val="none"/>
                <w:lang w:val="zh-CN" w:eastAsia="zh-CN" w:bidi="ar-SA"/>
              </w:rPr>
              <w:t>塑料袋</w:t>
            </w:r>
            <w:r>
              <w:rPr>
                <w:rFonts w:hint="eastAsia" w:ascii="Times New Roman" w:hAnsi="Times New Roman" w:eastAsia="宋体" w:cs="Times New Roman"/>
                <w:color w:val="auto"/>
                <w:kern w:val="2"/>
                <w:sz w:val="21"/>
                <w:szCs w:val="21"/>
                <w:highlight w:val="none"/>
                <w:lang w:val="zh-CN" w:eastAsia="zh-CN" w:bidi="ar-SA"/>
              </w:rPr>
              <w:t>、编织袋等</w:t>
            </w:r>
          </w:p>
        </w:tc>
        <w:tc>
          <w:tcPr>
            <w:tcW w:w="1659" w:type="dxa"/>
            <w:noWrap w:val="0"/>
            <w:vAlign w:val="center"/>
          </w:tcPr>
          <w:p w14:paraId="63B87440">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w:t>
            </w:r>
          </w:p>
        </w:tc>
      </w:tr>
      <w:tr w14:paraId="44707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7A1B524C">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2</w:t>
            </w:r>
          </w:p>
        </w:tc>
        <w:tc>
          <w:tcPr>
            <w:tcW w:w="1347" w:type="dxa"/>
            <w:noWrap w:val="0"/>
            <w:vAlign w:val="center"/>
          </w:tcPr>
          <w:p w14:paraId="09C6C794">
            <w:pPr>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废过滤网</w:t>
            </w:r>
          </w:p>
        </w:tc>
        <w:tc>
          <w:tcPr>
            <w:tcW w:w="1347" w:type="dxa"/>
            <w:noWrap w:val="0"/>
            <w:vAlign w:val="center"/>
          </w:tcPr>
          <w:p w14:paraId="1533D20D">
            <w:pPr>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熔融、挤出</w:t>
            </w:r>
          </w:p>
        </w:tc>
        <w:tc>
          <w:tcPr>
            <w:tcW w:w="883" w:type="dxa"/>
            <w:noWrap w:val="0"/>
            <w:vAlign w:val="center"/>
          </w:tcPr>
          <w:p w14:paraId="2E70C9A0">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固</w:t>
            </w:r>
          </w:p>
        </w:tc>
        <w:tc>
          <w:tcPr>
            <w:tcW w:w="2023" w:type="dxa"/>
            <w:noWrap w:val="0"/>
            <w:vAlign w:val="center"/>
          </w:tcPr>
          <w:p w14:paraId="0457EEF2">
            <w:pPr>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树脂、金属</w:t>
            </w:r>
          </w:p>
        </w:tc>
        <w:tc>
          <w:tcPr>
            <w:tcW w:w="1659" w:type="dxa"/>
            <w:noWrap w:val="0"/>
            <w:vAlign w:val="center"/>
          </w:tcPr>
          <w:p w14:paraId="57A9A7B9">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0.4</w:t>
            </w:r>
          </w:p>
        </w:tc>
      </w:tr>
      <w:tr w14:paraId="251F1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72872A63">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3</w:t>
            </w:r>
          </w:p>
        </w:tc>
        <w:tc>
          <w:tcPr>
            <w:tcW w:w="1347" w:type="dxa"/>
            <w:noWrap w:val="0"/>
            <w:vAlign w:val="center"/>
          </w:tcPr>
          <w:p w14:paraId="2632D4C1">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废边角料</w:t>
            </w:r>
          </w:p>
        </w:tc>
        <w:tc>
          <w:tcPr>
            <w:tcW w:w="1347" w:type="dxa"/>
            <w:noWrap w:val="0"/>
            <w:vAlign w:val="center"/>
          </w:tcPr>
          <w:p w14:paraId="17F5BA02">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切边</w:t>
            </w:r>
          </w:p>
        </w:tc>
        <w:tc>
          <w:tcPr>
            <w:tcW w:w="883" w:type="dxa"/>
            <w:noWrap w:val="0"/>
            <w:vAlign w:val="center"/>
          </w:tcPr>
          <w:p w14:paraId="3C3AD101">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固</w:t>
            </w:r>
          </w:p>
        </w:tc>
        <w:tc>
          <w:tcPr>
            <w:tcW w:w="2023" w:type="dxa"/>
            <w:noWrap w:val="0"/>
            <w:vAlign w:val="center"/>
          </w:tcPr>
          <w:p w14:paraId="037FC3FD">
            <w:pPr>
              <w:spacing w:line="240" w:lineRule="auto"/>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塑料膜</w:t>
            </w:r>
          </w:p>
        </w:tc>
        <w:tc>
          <w:tcPr>
            <w:tcW w:w="1659" w:type="dxa"/>
            <w:noWrap w:val="0"/>
            <w:vAlign w:val="center"/>
          </w:tcPr>
          <w:p w14:paraId="358F07B1">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200</w:t>
            </w:r>
          </w:p>
        </w:tc>
      </w:tr>
      <w:tr w14:paraId="159FB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3685723E">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4</w:t>
            </w:r>
          </w:p>
        </w:tc>
        <w:tc>
          <w:tcPr>
            <w:tcW w:w="1347" w:type="dxa"/>
            <w:noWrap w:val="0"/>
            <w:vAlign w:val="center"/>
          </w:tcPr>
          <w:p w14:paraId="2874E1BE">
            <w:pPr>
              <w:keepNext/>
              <w:keepLines/>
              <w:numPr>
                <w:ilvl w:val="0"/>
                <w:numId w:val="0"/>
              </w:numPr>
              <w:spacing w:line="240" w:lineRule="auto"/>
              <w:ind w:left="0" w:leftChars="0" w:firstLine="0" w:firstLineChars="0"/>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Cs/>
                <w:color w:val="auto"/>
                <w:sz w:val="21"/>
                <w:szCs w:val="21"/>
                <w:highlight w:val="none"/>
              </w:rPr>
              <w:t>废活性炭</w:t>
            </w:r>
          </w:p>
        </w:tc>
        <w:tc>
          <w:tcPr>
            <w:tcW w:w="1347" w:type="dxa"/>
            <w:noWrap w:val="0"/>
            <w:vAlign w:val="center"/>
          </w:tcPr>
          <w:p w14:paraId="21964A00">
            <w:pPr>
              <w:spacing w:line="240" w:lineRule="auto"/>
              <w:jc w:val="center"/>
              <w:rPr>
                <w:rFonts w:hint="default" w:ascii="Times New Roman" w:hAnsi="Times New Roman" w:eastAsia="宋体" w:cs="Times New Roman"/>
                <w:color w:val="auto"/>
                <w:sz w:val="21"/>
                <w:szCs w:val="21"/>
                <w:highlight w:val="none"/>
                <w:lang w:val="en-US" w:eastAsia="zh-CN"/>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883" w:type="dxa"/>
            <w:noWrap w:val="0"/>
            <w:vAlign w:val="center"/>
          </w:tcPr>
          <w:p w14:paraId="4CC8745D">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固</w:t>
            </w:r>
          </w:p>
        </w:tc>
        <w:tc>
          <w:tcPr>
            <w:tcW w:w="2023" w:type="dxa"/>
            <w:noWrap w:val="0"/>
            <w:vAlign w:val="center"/>
          </w:tcPr>
          <w:p w14:paraId="308F9F95">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活性炭、VOCs</w:t>
            </w:r>
          </w:p>
        </w:tc>
        <w:tc>
          <w:tcPr>
            <w:tcW w:w="1659" w:type="dxa"/>
            <w:noWrap w:val="0"/>
            <w:vAlign w:val="center"/>
          </w:tcPr>
          <w:p w14:paraId="7D311E64">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r>
      <w:tr w14:paraId="0C27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18737EA2">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5</w:t>
            </w:r>
          </w:p>
        </w:tc>
        <w:tc>
          <w:tcPr>
            <w:tcW w:w="1347" w:type="dxa"/>
            <w:noWrap w:val="0"/>
            <w:vAlign w:val="center"/>
          </w:tcPr>
          <w:p w14:paraId="658C0DB6">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1347" w:type="dxa"/>
            <w:noWrap w:val="0"/>
            <w:vAlign w:val="center"/>
          </w:tcPr>
          <w:p w14:paraId="11A4D7C2">
            <w:pPr>
              <w:spacing w:line="240" w:lineRule="auto"/>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883" w:type="dxa"/>
            <w:noWrap w:val="0"/>
            <w:vAlign w:val="center"/>
          </w:tcPr>
          <w:p w14:paraId="2211CCE7">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023" w:type="dxa"/>
            <w:noWrap w:val="0"/>
            <w:vAlign w:val="center"/>
          </w:tcPr>
          <w:p w14:paraId="7DF90587">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bCs/>
                <w:color w:val="auto"/>
                <w:sz w:val="21"/>
                <w:szCs w:val="21"/>
                <w:highlight w:val="none"/>
                <w:lang w:val="en-US" w:eastAsia="zh-CN"/>
              </w:rPr>
              <w:t>废催化剂</w:t>
            </w:r>
          </w:p>
        </w:tc>
        <w:tc>
          <w:tcPr>
            <w:tcW w:w="1659" w:type="dxa"/>
            <w:noWrap w:val="0"/>
            <w:vAlign w:val="center"/>
          </w:tcPr>
          <w:p w14:paraId="306910CC">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0.05</w:t>
            </w:r>
          </w:p>
        </w:tc>
      </w:tr>
      <w:tr w14:paraId="69CDA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249808CC">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w:t>
            </w:r>
          </w:p>
        </w:tc>
        <w:tc>
          <w:tcPr>
            <w:tcW w:w="1347" w:type="dxa"/>
            <w:noWrap w:val="0"/>
            <w:vAlign w:val="center"/>
          </w:tcPr>
          <w:p w14:paraId="7869AE58">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废润滑油</w:t>
            </w:r>
          </w:p>
        </w:tc>
        <w:tc>
          <w:tcPr>
            <w:tcW w:w="1347" w:type="dxa"/>
            <w:noWrap w:val="0"/>
            <w:vAlign w:val="center"/>
          </w:tcPr>
          <w:p w14:paraId="0B257CC1">
            <w:pPr>
              <w:keepNext w:val="0"/>
              <w:keepLines w:val="0"/>
              <w:widowControl/>
              <w:suppressLineNumbers w:val="0"/>
              <w:jc w:val="center"/>
              <w:textAlignment w:val="center"/>
              <w:rPr>
                <w:rFonts w:ascii="Times New Roman" w:hAnsi="Times New Roman" w:eastAsia="宋体"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设备维护</w:t>
            </w:r>
          </w:p>
        </w:tc>
        <w:tc>
          <w:tcPr>
            <w:tcW w:w="883" w:type="dxa"/>
            <w:noWrap w:val="0"/>
            <w:vAlign w:val="center"/>
          </w:tcPr>
          <w:p w14:paraId="71AE7D5F">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液</w:t>
            </w:r>
          </w:p>
        </w:tc>
        <w:tc>
          <w:tcPr>
            <w:tcW w:w="2023" w:type="dxa"/>
            <w:noWrap w:val="0"/>
            <w:vAlign w:val="center"/>
          </w:tcPr>
          <w:p w14:paraId="1E0A394D">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废润滑油</w:t>
            </w:r>
          </w:p>
        </w:tc>
        <w:tc>
          <w:tcPr>
            <w:tcW w:w="1659" w:type="dxa"/>
            <w:noWrap w:val="0"/>
            <w:vAlign w:val="center"/>
          </w:tcPr>
          <w:p w14:paraId="0367B6D3">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0.002</w:t>
            </w:r>
          </w:p>
        </w:tc>
      </w:tr>
      <w:tr w14:paraId="1D040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4CE5ABA9">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p>
        </w:tc>
        <w:tc>
          <w:tcPr>
            <w:tcW w:w="1347" w:type="dxa"/>
            <w:noWrap w:val="0"/>
            <w:vAlign w:val="center"/>
          </w:tcPr>
          <w:p w14:paraId="34BFBFCB">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 xml:space="preserve"> 废油桶</w:t>
            </w:r>
          </w:p>
        </w:tc>
        <w:tc>
          <w:tcPr>
            <w:tcW w:w="1347" w:type="dxa"/>
            <w:noWrap w:val="0"/>
            <w:vAlign w:val="center"/>
          </w:tcPr>
          <w:p w14:paraId="3B10451B">
            <w:pPr>
              <w:keepNext w:val="0"/>
              <w:keepLines w:val="0"/>
              <w:widowControl/>
              <w:suppressLineNumbers w:val="0"/>
              <w:jc w:val="center"/>
              <w:textAlignment w:val="center"/>
              <w:rPr>
                <w:rFonts w:ascii="Times New Roman" w:hAnsi="Times New Roman" w:eastAsia="宋体"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润滑油使用</w:t>
            </w:r>
          </w:p>
        </w:tc>
        <w:tc>
          <w:tcPr>
            <w:tcW w:w="883" w:type="dxa"/>
            <w:noWrap w:val="0"/>
            <w:vAlign w:val="center"/>
          </w:tcPr>
          <w:p w14:paraId="309FA838">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固</w:t>
            </w:r>
          </w:p>
        </w:tc>
        <w:tc>
          <w:tcPr>
            <w:tcW w:w="2023" w:type="dxa"/>
            <w:noWrap w:val="0"/>
            <w:vAlign w:val="center"/>
          </w:tcPr>
          <w:p w14:paraId="53287380">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润滑油、空桶</w:t>
            </w:r>
          </w:p>
        </w:tc>
        <w:tc>
          <w:tcPr>
            <w:tcW w:w="1659" w:type="dxa"/>
            <w:noWrap w:val="0"/>
            <w:vAlign w:val="center"/>
          </w:tcPr>
          <w:p w14:paraId="061162F3">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0.002</w:t>
            </w:r>
          </w:p>
        </w:tc>
      </w:tr>
      <w:tr w14:paraId="288DB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509537FE">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8</w:t>
            </w:r>
          </w:p>
        </w:tc>
        <w:tc>
          <w:tcPr>
            <w:tcW w:w="1347" w:type="dxa"/>
            <w:noWrap w:val="0"/>
            <w:vAlign w:val="center"/>
          </w:tcPr>
          <w:p w14:paraId="35A2D1C1">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废抹布</w:t>
            </w:r>
          </w:p>
        </w:tc>
        <w:tc>
          <w:tcPr>
            <w:tcW w:w="1347" w:type="dxa"/>
            <w:noWrap w:val="0"/>
            <w:vAlign w:val="center"/>
          </w:tcPr>
          <w:p w14:paraId="05ECAAE2">
            <w:pPr>
              <w:keepNext w:val="0"/>
              <w:keepLines w:val="0"/>
              <w:widowControl/>
              <w:suppressLineNumbers w:val="0"/>
              <w:jc w:val="center"/>
              <w:textAlignment w:val="center"/>
              <w:rPr>
                <w:rFonts w:ascii="Times New Roman" w:hAnsi="Times New Roman" w:eastAsia="宋体"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设备维护</w:t>
            </w:r>
          </w:p>
        </w:tc>
        <w:tc>
          <w:tcPr>
            <w:tcW w:w="883" w:type="dxa"/>
            <w:noWrap w:val="0"/>
            <w:vAlign w:val="center"/>
          </w:tcPr>
          <w:p w14:paraId="39B5B004">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023" w:type="dxa"/>
            <w:noWrap w:val="0"/>
            <w:vAlign w:val="center"/>
          </w:tcPr>
          <w:p w14:paraId="265C98E2">
            <w:pPr>
              <w:keepNext w:val="0"/>
              <w:keepLines w:val="0"/>
              <w:widowControl/>
              <w:suppressLineNumbers w:val="0"/>
              <w:jc w:val="center"/>
              <w:textAlignment w:val="center"/>
              <w:rPr>
                <w:rFonts w:hint="eastAsia" w:ascii="Times New Roman" w:hAnsi="Times New Roman" w:eastAsia="宋体" w:cs="Times New Roman"/>
                <w:bCs/>
                <w:color w:val="auto"/>
                <w:sz w:val="21"/>
                <w:szCs w:val="21"/>
                <w:highlight w:val="none"/>
                <w:lang w:val="en-US" w:eastAsia="zh-CN"/>
              </w:rPr>
            </w:pPr>
            <w:r>
              <w:rPr>
                <w:rFonts w:hint="eastAsia" w:ascii="宋体" w:hAnsi="宋体" w:eastAsia="宋体" w:cs="宋体"/>
                <w:i w:val="0"/>
                <w:iCs w:val="0"/>
                <w:color w:val="auto"/>
                <w:kern w:val="0"/>
                <w:sz w:val="21"/>
                <w:szCs w:val="21"/>
                <w:u w:val="none"/>
                <w:lang w:val="en-US" w:eastAsia="zh-CN" w:bidi="ar"/>
              </w:rPr>
              <w:t>油类物质、抹布</w:t>
            </w:r>
          </w:p>
        </w:tc>
        <w:tc>
          <w:tcPr>
            <w:tcW w:w="1659" w:type="dxa"/>
            <w:noWrap w:val="0"/>
            <w:vAlign w:val="center"/>
          </w:tcPr>
          <w:p w14:paraId="539865AD">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w:t>
            </w:r>
          </w:p>
        </w:tc>
      </w:tr>
      <w:tr w14:paraId="649003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17" w:type="dxa"/>
            <w:noWrap w:val="0"/>
            <w:vAlign w:val="center"/>
          </w:tcPr>
          <w:p w14:paraId="729BF940">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9</w:t>
            </w:r>
          </w:p>
        </w:tc>
        <w:tc>
          <w:tcPr>
            <w:tcW w:w="1347" w:type="dxa"/>
            <w:noWrap w:val="0"/>
            <w:vAlign w:val="center"/>
          </w:tcPr>
          <w:p w14:paraId="71D8278E">
            <w:pPr>
              <w:spacing w:line="240" w:lineRule="auto"/>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bCs/>
                <w:color w:val="auto"/>
                <w:sz w:val="21"/>
                <w:szCs w:val="21"/>
                <w:highlight w:val="none"/>
              </w:rPr>
              <w:t>生活垃圾</w:t>
            </w:r>
          </w:p>
        </w:tc>
        <w:tc>
          <w:tcPr>
            <w:tcW w:w="1347" w:type="dxa"/>
            <w:noWrap w:val="0"/>
            <w:vAlign w:val="center"/>
          </w:tcPr>
          <w:p w14:paraId="5F141058">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员工生活</w:t>
            </w:r>
          </w:p>
        </w:tc>
        <w:tc>
          <w:tcPr>
            <w:tcW w:w="883" w:type="dxa"/>
            <w:noWrap w:val="0"/>
            <w:vAlign w:val="center"/>
          </w:tcPr>
          <w:p w14:paraId="7685C0E4">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固</w:t>
            </w:r>
          </w:p>
        </w:tc>
        <w:tc>
          <w:tcPr>
            <w:tcW w:w="2023" w:type="dxa"/>
            <w:noWrap w:val="0"/>
            <w:vAlign w:val="center"/>
          </w:tcPr>
          <w:p w14:paraId="5C0126A9">
            <w:pPr>
              <w:spacing w:line="240" w:lineRule="auto"/>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塑料、废纸等</w:t>
            </w:r>
          </w:p>
        </w:tc>
        <w:tc>
          <w:tcPr>
            <w:tcW w:w="1659" w:type="dxa"/>
            <w:noWrap w:val="0"/>
            <w:vAlign w:val="center"/>
          </w:tcPr>
          <w:p w14:paraId="28C98238">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16.5</w:t>
            </w:r>
          </w:p>
        </w:tc>
      </w:tr>
    </w:tbl>
    <w:p w14:paraId="0F91AE07">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根据《固体废物鉴别标准 通则》(GB 34330-2017)，项目废物属性判断见下表。</w:t>
      </w:r>
    </w:p>
    <w:p w14:paraId="42A37597">
      <w:pPr>
        <w:pStyle w:val="20"/>
        <w:numPr>
          <w:ilvl w:val="0"/>
          <w:numId w:val="6"/>
        </w:numPr>
        <w:spacing w:before="156"/>
        <w:rPr>
          <w:rFonts w:ascii="Times New Roman" w:hAnsi="Times New Roman" w:eastAsia="宋体" w:cs="Times New Roman"/>
          <w:b/>
          <w:bCs w:val="0"/>
          <w:color w:val="auto"/>
          <w:spacing w:val="0"/>
          <w:szCs w:val="21"/>
        </w:rPr>
      </w:pPr>
      <w:r>
        <w:rPr>
          <w:rFonts w:ascii="Times New Roman" w:hAnsi="Times New Roman" w:eastAsia="宋体" w:cs="Times New Roman"/>
          <w:b/>
          <w:bCs w:val="0"/>
          <w:color w:val="auto"/>
          <w:spacing w:val="0"/>
          <w:szCs w:val="21"/>
        </w:rPr>
        <w:t>项目废物属性判定</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1607"/>
        <w:gridCol w:w="1458"/>
        <w:gridCol w:w="814"/>
        <w:gridCol w:w="2595"/>
        <w:gridCol w:w="1356"/>
      </w:tblGrid>
      <w:tr w14:paraId="7EDD8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1986D2C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599" w:type="dxa"/>
            <w:noWrap w:val="0"/>
            <w:vAlign w:val="center"/>
          </w:tcPr>
          <w:p w14:paraId="2C17ADE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副产物名称</w:t>
            </w:r>
          </w:p>
        </w:tc>
        <w:tc>
          <w:tcPr>
            <w:tcW w:w="1451" w:type="dxa"/>
            <w:noWrap w:val="0"/>
            <w:vAlign w:val="center"/>
          </w:tcPr>
          <w:p w14:paraId="14F28EEA">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产生工序</w:t>
            </w:r>
          </w:p>
        </w:tc>
        <w:tc>
          <w:tcPr>
            <w:tcW w:w="810" w:type="dxa"/>
            <w:noWrap w:val="0"/>
            <w:vAlign w:val="center"/>
          </w:tcPr>
          <w:p w14:paraId="4C63F251">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形态</w:t>
            </w:r>
          </w:p>
        </w:tc>
        <w:tc>
          <w:tcPr>
            <w:tcW w:w="2582" w:type="dxa"/>
            <w:noWrap w:val="0"/>
            <w:vAlign w:val="center"/>
          </w:tcPr>
          <w:p w14:paraId="7D01A89C">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主要成分</w:t>
            </w:r>
          </w:p>
        </w:tc>
        <w:tc>
          <w:tcPr>
            <w:tcW w:w="1349" w:type="dxa"/>
            <w:noWrap w:val="0"/>
            <w:vAlign w:val="center"/>
          </w:tcPr>
          <w:p w14:paraId="4EC9D3C6">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是否属于固体废物</w:t>
            </w:r>
          </w:p>
        </w:tc>
      </w:tr>
      <w:tr w14:paraId="705C1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753D90D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1599" w:type="dxa"/>
            <w:noWrap w:val="0"/>
            <w:vAlign w:val="center"/>
          </w:tcPr>
          <w:p w14:paraId="649CBD7B">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废包装袋</w:t>
            </w:r>
          </w:p>
        </w:tc>
        <w:tc>
          <w:tcPr>
            <w:tcW w:w="1451" w:type="dxa"/>
            <w:noWrap w:val="0"/>
            <w:vAlign w:val="center"/>
          </w:tcPr>
          <w:p w14:paraId="0A94EE80">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原料使用</w:t>
            </w:r>
          </w:p>
        </w:tc>
        <w:tc>
          <w:tcPr>
            <w:tcW w:w="810" w:type="dxa"/>
            <w:noWrap w:val="0"/>
            <w:vAlign w:val="center"/>
          </w:tcPr>
          <w:p w14:paraId="65232799">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582" w:type="dxa"/>
            <w:noWrap w:val="0"/>
            <w:vAlign w:val="center"/>
          </w:tcPr>
          <w:p w14:paraId="45CE1CEB">
            <w:pPr>
              <w:keepNext/>
              <w:keepLines/>
              <w:widowControl w:val="0"/>
              <w:numPr>
                <w:ilvl w:val="0"/>
                <w:numId w:val="0"/>
              </w:numPr>
              <w:spacing w:line="240" w:lineRule="auto"/>
              <w:ind w:left="0" w:leftChars="0" w:firstLine="0" w:firstLineChars="0"/>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eastAsia="宋体" w:cs="Times New Roman"/>
                <w:color w:val="auto"/>
                <w:kern w:val="2"/>
                <w:sz w:val="21"/>
                <w:szCs w:val="21"/>
                <w:highlight w:val="none"/>
                <w:lang w:val="zh-CN" w:eastAsia="zh-CN" w:bidi="ar-SA"/>
              </w:rPr>
              <w:t>塑料袋</w:t>
            </w:r>
            <w:r>
              <w:rPr>
                <w:rFonts w:hint="eastAsia" w:ascii="Times New Roman" w:hAnsi="Times New Roman" w:eastAsia="宋体" w:cs="Times New Roman"/>
                <w:color w:val="auto"/>
                <w:kern w:val="2"/>
                <w:sz w:val="21"/>
                <w:szCs w:val="21"/>
                <w:highlight w:val="none"/>
                <w:lang w:val="zh-CN" w:eastAsia="zh-CN" w:bidi="ar-SA"/>
              </w:rPr>
              <w:t>、编织袋等</w:t>
            </w:r>
          </w:p>
        </w:tc>
        <w:tc>
          <w:tcPr>
            <w:tcW w:w="1349" w:type="dxa"/>
            <w:noWrap w:val="0"/>
            <w:vAlign w:val="center"/>
          </w:tcPr>
          <w:p w14:paraId="6E5CE99F">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是</w:t>
            </w:r>
          </w:p>
        </w:tc>
      </w:tr>
      <w:tr w14:paraId="7FD92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2B122AA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1599" w:type="dxa"/>
            <w:noWrap w:val="0"/>
            <w:vAlign w:val="center"/>
          </w:tcPr>
          <w:p w14:paraId="12AF8E08">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废过滤网</w:t>
            </w:r>
          </w:p>
        </w:tc>
        <w:tc>
          <w:tcPr>
            <w:tcW w:w="1451" w:type="dxa"/>
            <w:noWrap w:val="0"/>
            <w:vAlign w:val="center"/>
          </w:tcPr>
          <w:p w14:paraId="6D152E67">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熔融、挤出</w:t>
            </w:r>
          </w:p>
        </w:tc>
        <w:tc>
          <w:tcPr>
            <w:tcW w:w="810" w:type="dxa"/>
            <w:noWrap w:val="0"/>
            <w:vAlign w:val="center"/>
          </w:tcPr>
          <w:p w14:paraId="18B77C6C">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582" w:type="dxa"/>
            <w:noWrap w:val="0"/>
            <w:vAlign w:val="center"/>
          </w:tcPr>
          <w:p w14:paraId="2CFFF5AF">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树脂、金属</w:t>
            </w:r>
          </w:p>
        </w:tc>
        <w:tc>
          <w:tcPr>
            <w:tcW w:w="1349" w:type="dxa"/>
            <w:noWrap w:val="0"/>
            <w:vAlign w:val="center"/>
          </w:tcPr>
          <w:p w14:paraId="0BB5A83F">
            <w:pPr>
              <w:widowControl w:val="0"/>
              <w:autoSpaceDE w:val="0"/>
              <w:autoSpaceDN w:val="0"/>
              <w:adjustRightInd/>
              <w:jc w:val="center"/>
              <w:rPr>
                <w:rFonts w:ascii="Times New Roman" w:hAnsi="Times New Roman" w:eastAsia="宋体" w:cs="Times New Roman"/>
                <w:color w:val="auto"/>
                <w:sz w:val="21"/>
                <w:szCs w:val="21"/>
                <w:highlight w:val="none"/>
                <w:lang w:val="en-US" w:eastAsia="zh-CN" w:bidi="ar-SA"/>
              </w:rPr>
            </w:pPr>
            <w:r>
              <w:rPr>
                <w:rFonts w:ascii="Times New Roman" w:hAnsi="Times New Roman" w:eastAsia="宋体" w:cs="Times New Roman"/>
                <w:color w:val="auto"/>
                <w:sz w:val="21"/>
                <w:szCs w:val="21"/>
                <w:highlight w:val="none"/>
                <w:lang w:val="en-US" w:eastAsia="zh-CN" w:bidi="ar-SA"/>
              </w:rPr>
              <w:t>是</w:t>
            </w:r>
          </w:p>
        </w:tc>
      </w:tr>
      <w:tr w14:paraId="616BA5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57D06070">
            <w:pPr>
              <w:widowControl w:val="0"/>
              <w:ind w:left="154" w:leftChars="19" w:hanging="115" w:hangingChars="55"/>
              <w:contextualSpacing/>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eastAsia="宋体" w:cs="Times New Roman"/>
                <w:color w:val="auto"/>
                <w:kern w:val="2"/>
                <w:sz w:val="21"/>
                <w:szCs w:val="21"/>
                <w:highlight w:val="none"/>
                <w:lang w:val="zh-CN" w:eastAsia="zh-CN" w:bidi="ar-SA"/>
              </w:rPr>
              <w:t>3</w:t>
            </w:r>
          </w:p>
        </w:tc>
        <w:tc>
          <w:tcPr>
            <w:tcW w:w="1599" w:type="dxa"/>
            <w:noWrap w:val="0"/>
            <w:vAlign w:val="center"/>
          </w:tcPr>
          <w:p w14:paraId="61D2FF4F">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废边角料</w:t>
            </w:r>
          </w:p>
        </w:tc>
        <w:tc>
          <w:tcPr>
            <w:tcW w:w="1451" w:type="dxa"/>
            <w:noWrap w:val="0"/>
            <w:vAlign w:val="center"/>
          </w:tcPr>
          <w:p w14:paraId="6D150FA3">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切边</w:t>
            </w:r>
          </w:p>
        </w:tc>
        <w:tc>
          <w:tcPr>
            <w:tcW w:w="810" w:type="dxa"/>
            <w:noWrap w:val="0"/>
            <w:vAlign w:val="center"/>
          </w:tcPr>
          <w:p w14:paraId="316D3EED">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582" w:type="dxa"/>
            <w:noWrap w:val="0"/>
            <w:vAlign w:val="center"/>
          </w:tcPr>
          <w:p w14:paraId="7B33B73D">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塑料膜</w:t>
            </w:r>
          </w:p>
        </w:tc>
        <w:tc>
          <w:tcPr>
            <w:tcW w:w="1349" w:type="dxa"/>
            <w:noWrap w:val="0"/>
            <w:vAlign w:val="center"/>
          </w:tcPr>
          <w:p w14:paraId="6A5CECB6">
            <w:pPr>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否</w:t>
            </w:r>
          </w:p>
        </w:tc>
      </w:tr>
      <w:tr w14:paraId="084BE6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1E480EAE">
            <w:pPr>
              <w:widowControl w:val="0"/>
              <w:ind w:left="142" w:leftChars="13" w:hanging="115" w:hangingChars="55"/>
              <w:contextualSpacing/>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4</w:t>
            </w:r>
          </w:p>
        </w:tc>
        <w:tc>
          <w:tcPr>
            <w:tcW w:w="1599" w:type="dxa"/>
            <w:noWrap w:val="0"/>
            <w:vAlign w:val="center"/>
          </w:tcPr>
          <w:p w14:paraId="581B3052">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废活性炭</w:t>
            </w:r>
          </w:p>
        </w:tc>
        <w:tc>
          <w:tcPr>
            <w:tcW w:w="1451" w:type="dxa"/>
            <w:noWrap w:val="0"/>
            <w:vAlign w:val="center"/>
          </w:tcPr>
          <w:p w14:paraId="3BBE95D1">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810" w:type="dxa"/>
            <w:noWrap w:val="0"/>
            <w:vAlign w:val="center"/>
          </w:tcPr>
          <w:p w14:paraId="4CCDF126">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固</w:t>
            </w:r>
          </w:p>
        </w:tc>
        <w:tc>
          <w:tcPr>
            <w:tcW w:w="2582" w:type="dxa"/>
            <w:noWrap w:val="0"/>
            <w:vAlign w:val="center"/>
          </w:tcPr>
          <w:p w14:paraId="2B6AEA7B">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活性炭、VOCs</w:t>
            </w:r>
          </w:p>
        </w:tc>
        <w:tc>
          <w:tcPr>
            <w:tcW w:w="1349" w:type="dxa"/>
            <w:noWrap w:val="0"/>
            <w:vAlign w:val="center"/>
          </w:tcPr>
          <w:p w14:paraId="2911A92F">
            <w:pPr>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是</w:t>
            </w:r>
          </w:p>
        </w:tc>
      </w:tr>
      <w:tr w14:paraId="2C88B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5B09D7A3">
            <w:pPr>
              <w:widowControl w:val="0"/>
              <w:ind w:left="142" w:leftChars="13" w:hanging="115" w:hangingChars="55"/>
              <w:contextualSpacing/>
              <w:jc w:val="center"/>
              <w:rPr>
                <w:rFonts w:ascii="Times New Roman" w:hAnsi="Times New Roman" w:eastAsia="宋体" w:cs="Times New Roman"/>
                <w:color w:val="auto"/>
                <w:kern w:val="2"/>
                <w:sz w:val="21"/>
                <w:szCs w:val="21"/>
                <w:highlight w:val="none"/>
                <w:lang w:val="zh-CN" w:eastAsia="zh-CN" w:bidi="ar-SA"/>
              </w:rPr>
            </w:pPr>
            <w:r>
              <w:rPr>
                <w:rFonts w:ascii="Times New Roman" w:hAnsi="Times New Roman" w:eastAsia="宋体" w:cs="Times New Roman"/>
                <w:color w:val="auto"/>
                <w:kern w:val="2"/>
                <w:sz w:val="21"/>
                <w:szCs w:val="21"/>
                <w:highlight w:val="none"/>
                <w:lang w:val="zh-CN" w:eastAsia="zh-CN" w:bidi="ar-SA"/>
              </w:rPr>
              <w:t>5</w:t>
            </w:r>
          </w:p>
        </w:tc>
        <w:tc>
          <w:tcPr>
            <w:tcW w:w="1599" w:type="dxa"/>
            <w:noWrap w:val="0"/>
            <w:vAlign w:val="center"/>
          </w:tcPr>
          <w:p w14:paraId="1551DEF2">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1451" w:type="dxa"/>
            <w:noWrap w:val="0"/>
            <w:vAlign w:val="center"/>
          </w:tcPr>
          <w:p w14:paraId="6F44530C">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810" w:type="dxa"/>
            <w:noWrap w:val="0"/>
            <w:vAlign w:val="center"/>
          </w:tcPr>
          <w:p w14:paraId="164821FF">
            <w:pPr>
              <w:adjustRightInd w:val="0"/>
              <w:snapToGri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582" w:type="dxa"/>
            <w:noWrap w:val="0"/>
            <w:vAlign w:val="center"/>
          </w:tcPr>
          <w:p w14:paraId="76E02C95">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1349" w:type="dxa"/>
            <w:noWrap w:val="0"/>
            <w:vAlign w:val="center"/>
          </w:tcPr>
          <w:p w14:paraId="218C5A15">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是</w:t>
            </w:r>
          </w:p>
        </w:tc>
      </w:tr>
      <w:tr w14:paraId="38A94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shd w:val="clear" w:color="auto" w:fill="auto"/>
            <w:noWrap w:val="0"/>
            <w:vAlign w:val="center"/>
          </w:tcPr>
          <w:p w14:paraId="43CA2A50">
            <w:pPr>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 w:val="21"/>
                <w:szCs w:val="21"/>
                <w:highlight w:val="none"/>
                <w:lang w:val="en-US" w:eastAsia="zh-CN"/>
              </w:rPr>
              <w:t>6</w:t>
            </w:r>
          </w:p>
        </w:tc>
        <w:tc>
          <w:tcPr>
            <w:tcW w:w="1599" w:type="dxa"/>
            <w:shd w:val="clear" w:color="auto" w:fill="auto"/>
            <w:noWrap w:val="0"/>
            <w:vAlign w:val="center"/>
          </w:tcPr>
          <w:p w14:paraId="61858BEC">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废润滑油</w:t>
            </w:r>
          </w:p>
        </w:tc>
        <w:tc>
          <w:tcPr>
            <w:tcW w:w="1451" w:type="dxa"/>
            <w:shd w:val="clear" w:color="auto" w:fill="auto"/>
            <w:noWrap w:val="0"/>
            <w:vAlign w:val="center"/>
          </w:tcPr>
          <w:p w14:paraId="132A5F97">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810" w:type="dxa"/>
            <w:shd w:val="clear" w:color="auto" w:fill="auto"/>
            <w:noWrap w:val="0"/>
            <w:vAlign w:val="center"/>
          </w:tcPr>
          <w:p w14:paraId="388EE229">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w:t>
            </w:r>
          </w:p>
        </w:tc>
        <w:tc>
          <w:tcPr>
            <w:tcW w:w="2582" w:type="dxa"/>
            <w:shd w:val="clear" w:color="auto" w:fill="auto"/>
            <w:noWrap w:val="0"/>
            <w:vAlign w:val="center"/>
          </w:tcPr>
          <w:p w14:paraId="391E6C17">
            <w:pPr>
              <w:keepNext w:val="0"/>
              <w:keepLines w:val="0"/>
              <w:widowControl/>
              <w:suppressLineNumbers w:val="0"/>
              <w:jc w:val="center"/>
              <w:textAlignment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废润滑油</w:t>
            </w:r>
          </w:p>
        </w:tc>
        <w:tc>
          <w:tcPr>
            <w:tcW w:w="1349" w:type="dxa"/>
            <w:noWrap w:val="0"/>
            <w:vAlign w:val="center"/>
          </w:tcPr>
          <w:p w14:paraId="1AC09EAE">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是</w:t>
            </w:r>
          </w:p>
        </w:tc>
      </w:tr>
      <w:tr w14:paraId="407E2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shd w:val="clear" w:color="auto" w:fill="auto"/>
            <w:noWrap w:val="0"/>
            <w:vAlign w:val="center"/>
          </w:tcPr>
          <w:p w14:paraId="2EF93883">
            <w:pPr>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 w:val="21"/>
                <w:szCs w:val="21"/>
                <w:highlight w:val="none"/>
                <w:lang w:val="en-US" w:eastAsia="zh-CN"/>
              </w:rPr>
              <w:t>7</w:t>
            </w:r>
          </w:p>
        </w:tc>
        <w:tc>
          <w:tcPr>
            <w:tcW w:w="1599" w:type="dxa"/>
            <w:shd w:val="clear" w:color="auto" w:fill="auto"/>
            <w:noWrap w:val="0"/>
            <w:vAlign w:val="center"/>
          </w:tcPr>
          <w:p w14:paraId="775844FC">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 xml:space="preserve"> 废油桶</w:t>
            </w:r>
          </w:p>
        </w:tc>
        <w:tc>
          <w:tcPr>
            <w:tcW w:w="1451" w:type="dxa"/>
            <w:shd w:val="clear" w:color="auto" w:fill="auto"/>
            <w:noWrap w:val="0"/>
            <w:vAlign w:val="center"/>
          </w:tcPr>
          <w:p w14:paraId="53A8F5D4">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润滑油使用</w:t>
            </w:r>
          </w:p>
        </w:tc>
        <w:tc>
          <w:tcPr>
            <w:tcW w:w="810" w:type="dxa"/>
            <w:shd w:val="clear" w:color="auto" w:fill="auto"/>
            <w:noWrap w:val="0"/>
            <w:vAlign w:val="center"/>
          </w:tcPr>
          <w:p w14:paraId="0AA5B04D">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固</w:t>
            </w:r>
          </w:p>
        </w:tc>
        <w:tc>
          <w:tcPr>
            <w:tcW w:w="2582" w:type="dxa"/>
            <w:shd w:val="clear" w:color="auto" w:fill="auto"/>
            <w:noWrap w:val="0"/>
            <w:vAlign w:val="center"/>
          </w:tcPr>
          <w:p w14:paraId="09FA8261">
            <w:pPr>
              <w:keepNext w:val="0"/>
              <w:keepLines w:val="0"/>
              <w:widowControl/>
              <w:suppressLineNumbers w:val="0"/>
              <w:jc w:val="center"/>
              <w:textAlignment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润滑油、空桶</w:t>
            </w:r>
          </w:p>
        </w:tc>
        <w:tc>
          <w:tcPr>
            <w:tcW w:w="1349" w:type="dxa"/>
            <w:noWrap w:val="0"/>
            <w:vAlign w:val="center"/>
          </w:tcPr>
          <w:p w14:paraId="3777A9F9">
            <w:pPr>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否</w:t>
            </w:r>
          </w:p>
        </w:tc>
      </w:tr>
      <w:tr w14:paraId="0CA00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shd w:val="clear" w:color="auto" w:fill="auto"/>
            <w:noWrap w:val="0"/>
            <w:vAlign w:val="center"/>
          </w:tcPr>
          <w:p w14:paraId="2A05FFF3">
            <w:pPr>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sz w:val="21"/>
                <w:szCs w:val="21"/>
                <w:highlight w:val="none"/>
                <w:lang w:val="en-US" w:eastAsia="zh-CN"/>
              </w:rPr>
              <w:t>8</w:t>
            </w:r>
          </w:p>
        </w:tc>
        <w:tc>
          <w:tcPr>
            <w:tcW w:w="1599" w:type="dxa"/>
            <w:shd w:val="clear" w:color="auto" w:fill="auto"/>
            <w:noWrap w:val="0"/>
            <w:vAlign w:val="center"/>
          </w:tcPr>
          <w:p w14:paraId="3DA5A02E">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废抹布</w:t>
            </w:r>
          </w:p>
        </w:tc>
        <w:tc>
          <w:tcPr>
            <w:tcW w:w="1451" w:type="dxa"/>
            <w:shd w:val="clear" w:color="auto" w:fill="auto"/>
            <w:noWrap w:val="0"/>
            <w:vAlign w:val="center"/>
          </w:tcPr>
          <w:p w14:paraId="368691AB">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810" w:type="dxa"/>
            <w:shd w:val="clear" w:color="auto" w:fill="auto"/>
            <w:noWrap w:val="0"/>
            <w:vAlign w:val="center"/>
          </w:tcPr>
          <w:p w14:paraId="4815A4C1">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固</w:t>
            </w:r>
          </w:p>
        </w:tc>
        <w:tc>
          <w:tcPr>
            <w:tcW w:w="2582" w:type="dxa"/>
            <w:shd w:val="clear" w:color="auto" w:fill="auto"/>
            <w:noWrap w:val="0"/>
            <w:vAlign w:val="center"/>
          </w:tcPr>
          <w:p w14:paraId="773A9E7C">
            <w:pPr>
              <w:keepNext w:val="0"/>
              <w:keepLines w:val="0"/>
              <w:widowControl/>
              <w:suppressLineNumbers w:val="0"/>
              <w:jc w:val="center"/>
              <w:textAlignment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油类物质、抹布</w:t>
            </w:r>
          </w:p>
        </w:tc>
        <w:tc>
          <w:tcPr>
            <w:tcW w:w="1349" w:type="dxa"/>
            <w:noWrap w:val="0"/>
            <w:vAlign w:val="center"/>
          </w:tcPr>
          <w:p w14:paraId="0952BEC2">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是</w:t>
            </w:r>
          </w:p>
        </w:tc>
      </w:tr>
      <w:tr w14:paraId="4846A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683" w:type="dxa"/>
            <w:noWrap w:val="0"/>
            <w:vAlign w:val="center"/>
          </w:tcPr>
          <w:p w14:paraId="205E516D">
            <w:pPr>
              <w:widowControl w:val="0"/>
              <w:ind w:left="142" w:leftChars="13" w:hanging="115" w:hangingChars="55"/>
              <w:contextualSpacing/>
              <w:jc w:val="center"/>
              <w:rPr>
                <w:rFonts w:hint="eastAsia"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en-US" w:eastAsia="zh-CN" w:bidi="ar-SA"/>
              </w:rPr>
              <w:t>9</w:t>
            </w:r>
          </w:p>
        </w:tc>
        <w:tc>
          <w:tcPr>
            <w:tcW w:w="1599" w:type="dxa"/>
            <w:noWrap w:val="0"/>
            <w:vAlign w:val="center"/>
          </w:tcPr>
          <w:p w14:paraId="709C109C">
            <w:pPr>
              <w:spacing w:line="240" w:lineRule="auto"/>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生活垃圾</w:t>
            </w:r>
          </w:p>
        </w:tc>
        <w:tc>
          <w:tcPr>
            <w:tcW w:w="1451" w:type="dxa"/>
            <w:noWrap w:val="0"/>
            <w:vAlign w:val="center"/>
          </w:tcPr>
          <w:p w14:paraId="3EBB5389">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员工生活</w:t>
            </w:r>
          </w:p>
        </w:tc>
        <w:tc>
          <w:tcPr>
            <w:tcW w:w="810" w:type="dxa"/>
            <w:noWrap w:val="0"/>
            <w:vAlign w:val="center"/>
          </w:tcPr>
          <w:p w14:paraId="1FD47E92">
            <w:pPr>
              <w:adjustRightInd w:val="0"/>
              <w:snapToGrid w:val="0"/>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2582" w:type="dxa"/>
            <w:noWrap w:val="0"/>
            <w:vAlign w:val="center"/>
          </w:tcPr>
          <w:p w14:paraId="492DD727">
            <w:pPr>
              <w:spacing w:line="240" w:lineRule="auto"/>
              <w:jc w:val="center"/>
              <w:rPr>
                <w:rFonts w:hint="eastAsia" w:ascii="Times New Roman" w:hAnsi="Times New Roman" w:eastAsia="宋体" w:cs="Times New Roman"/>
                <w:color w:val="auto"/>
                <w:kern w:val="0"/>
                <w:sz w:val="21"/>
                <w:szCs w:val="21"/>
                <w:highlight w:val="none"/>
              </w:rPr>
            </w:pPr>
            <w:r>
              <w:rPr>
                <w:rFonts w:hint="default" w:ascii="Times New Roman" w:hAnsi="Times New Roman" w:eastAsia="宋体" w:cs="Times New Roman"/>
                <w:color w:val="auto"/>
                <w:sz w:val="21"/>
                <w:szCs w:val="21"/>
                <w:highlight w:val="none"/>
                <w:lang w:val="en-US" w:eastAsia="zh-CN"/>
              </w:rPr>
              <w:t>塑料、废纸等</w:t>
            </w:r>
          </w:p>
        </w:tc>
        <w:tc>
          <w:tcPr>
            <w:tcW w:w="1349" w:type="dxa"/>
            <w:noWrap w:val="0"/>
            <w:vAlign w:val="center"/>
          </w:tcPr>
          <w:p w14:paraId="4948CB72">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是</w:t>
            </w:r>
          </w:p>
        </w:tc>
      </w:tr>
    </w:tbl>
    <w:p w14:paraId="5FEE08B3">
      <w:pPr>
        <w:spacing w:line="360" w:lineRule="auto"/>
        <w:ind w:firstLine="482"/>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根据《国家危险废物名录》(202</w:t>
      </w:r>
      <w:r>
        <w:rPr>
          <w:rFonts w:hint="eastAsia" w:ascii="Times New Roman" w:hAnsi="Times New Roman" w:eastAsia="宋体" w:cs="Times New Roman"/>
          <w:color w:val="auto"/>
          <w:sz w:val="24"/>
          <w:szCs w:val="24"/>
          <w:highlight w:val="none"/>
          <w:lang w:val="en-US" w:eastAsia="zh-CN"/>
        </w:rPr>
        <w:t>5</w:t>
      </w:r>
      <w:r>
        <w:rPr>
          <w:rFonts w:ascii="Times New Roman" w:hAnsi="Times New Roman" w:eastAsia="宋体" w:cs="Times New Roman"/>
          <w:color w:val="auto"/>
          <w:sz w:val="24"/>
          <w:szCs w:val="24"/>
          <w:highlight w:val="none"/>
        </w:rPr>
        <w:t>年版)及《危险废物鉴别标准》对上述固体废物是否属于危险废物进行判定，具体如下。</w:t>
      </w:r>
    </w:p>
    <w:p w14:paraId="49CDAB52">
      <w:pPr>
        <w:pStyle w:val="20"/>
        <w:numPr>
          <w:ilvl w:val="0"/>
          <w:numId w:val="6"/>
        </w:numPr>
        <w:spacing w:before="156"/>
        <w:rPr>
          <w:rFonts w:ascii="Times New Roman" w:hAnsi="Times New Roman" w:eastAsia="宋体" w:cs="Times New Roman"/>
          <w:b/>
          <w:bCs w:val="0"/>
          <w:color w:val="auto"/>
          <w:spacing w:val="0"/>
          <w:szCs w:val="21"/>
        </w:rPr>
      </w:pPr>
      <w:r>
        <w:rPr>
          <w:rFonts w:ascii="Times New Roman" w:hAnsi="Times New Roman" w:eastAsia="宋体" w:cs="Times New Roman"/>
          <w:b/>
          <w:bCs w:val="0"/>
          <w:color w:val="auto"/>
          <w:spacing w:val="0"/>
          <w:szCs w:val="21"/>
        </w:rPr>
        <w:t>项目危险废物属性判定</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873"/>
        <w:gridCol w:w="1547"/>
        <w:gridCol w:w="1985"/>
        <w:gridCol w:w="2150"/>
      </w:tblGrid>
      <w:tr w14:paraId="3962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76A279E2">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873" w:type="dxa"/>
            <w:noWrap w:val="0"/>
            <w:vAlign w:val="center"/>
          </w:tcPr>
          <w:p w14:paraId="5520C8A3">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固体废物名称</w:t>
            </w:r>
          </w:p>
        </w:tc>
        <w:tc>
          <w:tcPr>
            <w:tcW w:w="1547" w:type="dxa"/>
            <w:noWrap w:val="0"/>
            <w:vAlign w:val="center"/>
          </w:tcPr>
          <w:p w14:paraId="521A93D5">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产生工序</w:t>
            </w:r>
          </w:p>
        </w:tc>
        <w:tc>
          <w:tcPr>
            <w:tcW w:w="1985" w:type="dxa"/>
            <w:noWrap w:val="0"/>
            <w:vAlign w:val="center"/>
          </w:tcPr>
          <w:p w14:paraId="54712FFC">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是否属危险废物</w:t>
            </w:r>
          </w:p>
        </w:tc>
        <w:tc>
          <w:tcPr>
            <w:tcW w:w="2150" w:type="dxa"/>
            <w:noWrap w:val="0"/>
            <w:vAlign w:val="center"/>
          </w:tcPr>
          <w:p w14:paraId="536B3A15">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废物代码</w:t>
            </w:r>
          </w:p>
        </w:tc>
      </w:tr>
      <w:tr w14:paraId="0395E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2DD9A461">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1873" w:type="dxa"/>
            <w:noWrap w:val="0"/>
            <w:vAlign w:val="center"/>
          </w:tcPr>
          <w:p w14:paraId="1C9216C8">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废包装袋</w:t>
            </w:r>
          </w:p>
        </w:tc>
        <w:tc>
          <w:tcPr>
            <w:tcW w:w="1547" w:type="dxa"/>
            <w:noWrap w:val="0"/>
            <w:vAlign w:val="center"/>
          </w:tcPr>
          <w:p w14:paraId="4028E91B">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原料使用</w:t>
            </w:r>
          </w:p>
        </w:tc>
        <w:tc>
          <w:tcPr>
            <w:tcW w:w="1985" w:type="dxa"/>
            <w:noWrap w:val="0"/>
            <w:vAlign w:val="center"/>
          </w:tcPr>
          <w:p w14:paraId="24213D4C">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否</w:t>
            </w:r>
          </w:p>
        </w:tc>
        <w:tc>
          <w:tcPr>
            <w:tcW w:w="2150" w:type="dxa"/>
            <w:noWrap w:val="0"/>
            <w:vAlign w:val="center"/>
          </w:tcPr>
          <w:p w14:paraId="0E6868B3">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w:t>
            </w:r>
          </w:p>
        </w:tc>
      </w:tr>
      <w:tr w14:paraId="28F39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20D9A510">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2</w:t>
            </w:r>
          </w:p>
        </w:tc>
        <w:tc>
          <w:tcPr>
            <w:tcW w:w="1873" w:type="dxa"/>
            <w:noWrap w:val="0"/>
            <w:vAlign w:val="center"/>
          </w:tcPr>
          <w:p w14:paraId="48559D95">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废过滤网</w:t>
            </w:r>
          </w:p>
        </w:tc>
        <w:tc>
          <w:tcPr>
            <w:tcW w:w="1547" w:type="dxa"/>
            <w:noWrap w:val="0"/>
            <w:vAlign w:val="center"/>
          </w:tcPr>
          <w:p w14:paraId="3B11E0D1">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熔融、挤出</w:t>
            </w:r>
          </w:p>
        </w:tc>
        <w:tc>
          <w:tcPr>
            <w:tcW w:w="1985" w:type="dxa"/>
            <w:noWrap w:val="0"/>
            <w:vAlign w:val="center"/>
          </w:tcPr>
          <w:p w14:paraId="674CCAB6">
            <w:pPr>
              <w:adjustRightInd w:val="0"/>
              <w:snapToGrid w:val="0"/>
              <w:spacing w:line="320" w:lineRule="exact"/>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否</w:t>
            </w:r>
          </w:p>
        </w:tc>
        <w:tc>
          <w:tcPr>
            <w:tcW w:w="2150" w:type="dxa"/>
            <w:noWrap w:val="0"/>
            <w:vAlign w:val="center"/>
          </w:tcPr>
          <w:p w14:paraId="5FA6D4BD">
            <w:pPr>
              <w:adjustRightInd w:val="0"/>
              <w:snapToGrid w:val="0"/>
              <w:spacing w:line="320" w:lineRule="exact"/>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r>
      <w:tr w14:paraId="2FA7DD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448B00AF">
            <w:pPr>
              <w:widowControl w:val="0"/>
              <w:ind w:left="123" w:leftChars="18" w:hanging="86" w:hangingChars="41"/>
              <w:contextualSpacing/>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3</w:t>
            </w:r>
          </w:p>
        </w:tc>
        <w:tc>
          <w:tcPr>
            <w:tcW w:w="1873" w:type="dxa"/>
            <w:noWrap w:val="0"/>
            <w:vAlign w:val="center"/>
          </w:tcPr>
          <w:p w14:paraId="7DDC8E20">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废活性炭</w:t>
            </w:r>
          </w:p>
        </w:tc>
        <w:tc>
          <w:tcPr>
            <w:tcW w:w="1547" w:type="dxa"/>
            <w:noWrap w:val="0"/>
            <w:vAlign w:val="center"/>
          </w:tcPr>
          <w:p w14:paraId="64D1E199">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1985" w:type="dxa"/>
            <w:noWrap w:val="0"/>
            <w:vAlign w:val="center"/>
          </w:tcPr>
          <w:p w14:paraId="44F9E848">
            <w:pPr>
              <w:adjustRightInd w:val="0"/>
              <w:snapToGrid w:val="0"/>
              <w:spacing w:line="320" w:lineRule="exact"/>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是</w:t>
            </w:r>
          </w:p>
        </w:tc>
        <w:tc>
          <w:tcPr>
            <w:tcW w:w="2150" w:type="dxa"/>
            <w:noWrap w:val="0"/>
            <w:vAlign w:val="center"/>
          </w:tcPr>
          <w:p w14:paraId="6CDC19E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900-039-49</w:t>
            </w:r>
          </w:p>
        </w:tc>
      </w:tr>
      <w:tr w14:paraId="57F06E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2FEEF48A">
            <w:pPr>
              <w:widowControl w:val="0"/>
              <w:ind w:left="123" w:leftChars="18" w:hanging="86" w:hangingChars="41"/>
              <w:contextualSpacing/>
              <w:jc w:val="center"/>
              <w:rPr>
                <w:rFonts w:ascii="Times New Roman" w:hAnsi="Times New Roman" w:eastAsia="宋体" w:cs="Times New Roman"/>
                <w:color w:val="auto"/>
                <w:kern w:val="2"/>
                <w:sz w:val="21"/>
                <w:szCs w:val="21"/>
                <w:highlight w:val="none"/>
                <w:lang w:val="zh-CN" w:eastAsia="zh-CN" w:bidi="ar-SA"/>
              </w:rPr>
            </w:pPr>
            <w:r>
              <w:rPr>
                <w:rFonts w:hint="eastAsia" w:ascii="Times New Roman" w:hAnsi="Times New Roman" w:eastAsia="宋体" w:cs="Times New Roman"/>
                <w:color w:val="auto"/>
                <w:kern w:val="2"/>
                <w:sz w:val="21"/>
                <w:szCs w:val="21"/>
                <w:highlight w:val="none"/>
                <w:lang w:val="zh-CN" w:eastAsia="zh-CN" w:bidi="ar-SA"/>
              </w:rPr>
              <w:t>4</w:t>
            </w:r>
          </w:p>
        </w:tc>
        <w:tc>
          <w:tcPr>
            <w:tcW w:w="1873" w:type="dxa"/>
            <w:noWrap w:val="0"/>
            <w:vAlign w:val="center"/>
          </w:tcPr>
          <w:p w14:paraId="4ADDC3C9">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1547" w:type="dxa"/>
            <w:noWrap w:val="0"/>
            <w:vAlign w:val="center"/>
          </w:tcPr>
          <w:p w14:paraId="38ECA190">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1985" w:type="dxa"/>
            <w:noWrap w:val="0"/>
            <w:vAlign w:val="center"/>
          </w:tcPr>
          <w:p w14:paraId="47E3EE21">
            <w:pPr>
              <w:adjustRightInd w:val="0"/>
              <w:snapToGrid w:val="0"/>
              <w:spacing w:line="320" w:lineRule="exact"/>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是</w:t>
            </w:r>
          </w:p>
        </w:tc>
        <w:tc>
          <w:tcPr>
            <w:tcW w:w="2150" w:type="dxa"/>
            <w:noWrap w:val="0"/>
            <w:vAlign w:val="center"/>
          </w:tcPr>
          <w:p w14:paraId="295C898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w:t>
            </w:r>
            <w:r>
              <w:rPr>
                <w:rFonts w:hint="eastAsia" w:ascii="Times New Roman" w:hAnsi="Times New Roman" w:eastAsia="宋体" w:cs="Times New Roman"/>
                <w:color w:val="auto"/>
                <w:sz w:val="21"/>
                <w:szCs w:val="21"/>
                <w:highlight w:val="none"/>
                <w:lang w:val="en-US" w:eastAsia="zh-CN"/>
              </w:rPr>
              <w:t>/</w:t>
            </w:r>
            <w:r>
              <w:rPr>
                <w:rFonts w:ascii="Times New Roman" w:hAnsi="Times New Roman" w:eastAsia="宋体" w:cs="Times New Roman"/>
                <w:color w:val="auto"/>
                <w:sz w:val="21"/>
                <w:szCs w:val="21"/>
                <w:highlight w:val="none"/>
              </w:rPr>
              <w:t>900-041-49</w:t>
            </w:r>
          </w:p>
        </w:tc>
      </w:tr>
      <w:tr w14:paraId="724DA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5E5718AE">
            <w:pPr>
              <w:widowControl w:val="0"/>
              <w:ind w:left="142" w:leftChars="13" w:hanging="115" w:hangingChars="55"/>
              <w:contextualSpacing/>
              <w:jc w:val="center"/>
              <w:rPr>
                <w:rFonts w:hint="eastAsia" w:ascii="Times New Roman" w:hAnsi="Times New Roman" w:eastAsia="宋体" w:cs="Times New Roman"/>
                <w:color w:val="auto"/>
                <w:kern w:val="2"/>
                <w:sz w:val="21"/>
                <w:szCs w:val="21"/>
                <w:highlight w:val="none"/>
                <w:lang w:val="zh-CN" w:eastAsia="zh-CN" w:bidi="ar-SA"/>
              </w:rPr>
            </w:pPr>
            <w:r>
              <w:rPr>
                <w:rFonts w:ascii="Times New Roman" w:hAnsi="Times New Roman" w:eastAsia="宋体" w:cs="Times New Roman"/>
                <w:color w:val="auto"/>
                <w:kern w:val="2"/>
                <w:sz w:val="21"/>
                <w:szCs w:val="21"/>
                <w:highlight w:val="none"/>
                <w:lang w:val="zh-CN" w:eastAsia="zh-CN" w:bidi="ar-SA"/>
              </w:rPr>
              <w:t>5</w:t>
            </w:r>
          </w:p>
        </w:tc>
        <w:tc>
          <w:tcPr>
            <w:tcW w:w="1873" w:type="dxa"/>
            <w:noWrap w:val="0"/>
            <w:vAlign w:val="center"/>
          </w:tcPr>
          <w:p w14:paraId="7F050767">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废润滑油</w:t>
            </w:r>
          </w:p>
        </w:tc>
        <w:tc>
          <w:tcPr>
            <w:tcW w:w="1547" w:type="dxa"/>
            <w:noWrap w:val="0"/>
            <w:vAlign w:val="center"/>
          </w:tcPr>
          <w:p w14:paraId="69C9EF5A">
            <w:pPr>
              <w:keepNext w:val="0"/>
              <w:keepLines w:val="0"/>
              <w:widowControl/>
              <w:suppressLineNumbers w:val="0"/>
              <w:jc w:val="center"/>
              <w:textAlignment w:val="center"/>
              <w:rPr>
                <w:rFonts w:ascii="Times New Roman" w:hAnsi="Times New Roman" w:eastAsia="宋体"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设备维护</w:t>
            </w:r>
          </w:p>
        </w:tc>
        <w:tc>
          <w:tcPr>
            <w:tcW w:w="1985" w:type="dxa"/>
            <w:noWrap w:val="0"/>
            <w:vAlign w:val="center"/>
          </w:tcPr>
          <w:p w14:paraId="73E5747C">
            <w:pPr>
              <w:adjustRightInd w:val="0"/>
              <w:snapToGrid w:val="0"/>
              <w:spacing w:line="320" w:lineRule="exact"/>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是</w:t>
            </w:r>
          </w:p>
        </w:tc>
        <w:tc>
          <w:tcPr>
            <w:tcW w:w="2150" w:type="dxa"/>
            <w:noWrap w:val="0"/>
            <w:vAlign w:val="center"/>
          </w:tcPr>
          <w:p w14:paraId="5D02841D">
            <w:pPr>
              <w:adjustRightInd w:val="0"/>
              <w:snapToGrid w:val="0"/>
              <w:spacing w:line="320" w:lineRule="exact"/>
              <w:jc w:val="center"/>
              <w:rPr>
                <w:rFonts w:ascii="Times New Roman" w:hAnsi="Times New Roman" w:eastAsia="宋体" w:cs="Times New Roman"/>
                <w:color w:val="auto"/>
                <w:sz w:val="21"/>
                <w:szCs w:val="21"/>
                <w:highlight w:val="none"/>
              </w:rPr>
            </w:pPr>
            <w:r>
              <w:rPr>
                <w:rFonts w:hint="eastAsia"/>
                <w:color w:val="auto"/>
                <w:sz w:val="21"/>
                <w:szCs w:val="21"/>
              </w:rPr>
              <w:t>HW08/900-214-08</w:t>
            </w:r>
          </w:p>
        </w:tc>
      </w:tr>
      <w:tr w14:paraId="35E05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40" w:hRule="atLeast"/>
          <w:jc w:val="center"/>
        </w:trPr>
        <w:tc>
          <w:tcPr>
            <w:tcW w:w="961" w:type="dxa"/>
            <w:noWrap w:val="0"/>
            <w:vAlign w:val="center"/>
          </w:tcPr>
          <w:p w14:paraId="4FFD4EEF">
            <w:pPr>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cs="Times New Roman"/>
                <w:color w:val="auto"/>
                <w:sz w:val="21"/>
                <w:szCs w:val="21"/>
                <w:highlight w:val="none"/>
                <w:lang w:val="en-US" w:eastAsia="zh-CN"/>
              </w:rPr>
              <w:t>6</w:t>
            </w:r>
          </w:p>
        </w:tc>
        <w:tc>
          <w:tcPr>
            <w:tcW w:w="1873" w:type="dxa"/>
            <w:noWrap w:val="0"/>
            <w:vAlign w:val="center"/>
          </w:tcPr>
          <w:p w14:paraId="42EDEC9E">
            <w:pPr>
              <w:spacing w:line="240" w:lineRule="auto"/>
              <w:jc w:val="center"/>
              <w:rPr>
                <w:rFonts w:hint="eastAsia" w:ascii="Times New Roman" w:hAnsi="Times New Roman" w:eastAsia="宋体" w:cs="Times New Roman"/>
                <w:bCs/>
                <w:color w:val="auto"/>
                <w:sz w:val="21"/>
                <w:szCs w:val="21"/>
                <w:highlight w:val="none"/>
                <w:lang w:val="en-US" w:eastAsia="zh-CN"/>
              </w:rPr>
            </w:pPr>
            <w:r>
              <w:rPr>
                <w:rFonts w:hint="eastAsia" w:ascii="Times New Roman" w:hAnsi="Times New Roman" w:eastAsia="宋体" w:cs="Times New Roman"/>
                <w:bCs/>
                <w:color w:val="auto"/>
                <w:sz w:val="21"/>
                <w:szCs w:val="21"/>
                <w:highlight w:val="none"/>
                <w:lang w:val="en-US" w:eastAsia="zh-CN"/>
              </w:rPr>
              <w:t>废抹布</w:t>
            </w:r>
          </w:p>
        </w:tc>
        <w:tc>
          <w:tcPr>
            <w:tcW w:w="1547" w:type="dxa"/>
            <w:noWrap w:val="0"/>
            <w:vAlign w:val="center"/>
          </w:tcPr>
          <w:p w14:paraId="1E02F739">
            <w:pPr>
              <w:keepNext w:val="0"/>
              <w:keepLines w:val="0"/>
              <w:widowControl/>
              <w:suppressLineNumbers w:val="0"/>
              <w:jc w:val="center"/>
              <w:textAlignment w:val="center"/>
              <w:rPr>
                <w:rFonts w:ascii="Times New Roman" w:hAnsi="Times New Roman" w:eastAsia="宋体" w:cs="Times New Roman"/>
                <w:bCs/>
                <w:color w:val="auto"/>
                <w:sz w:val="21"/>
                <w:szCs w:val="21"/>
                <w:highlight w:val="none"/>
              </w:rPr>
            </w:pPr>
            <w:r>
              <w:rPr>
                <w:rFonts w:hint="eastAsia" w:ascii="宋体" w:hAnsi="宋体" w:eastAsia="宋体" w:cs="宋体"/>
                <w:i w:val="0"/>
                <w:iCs w:val="0"/>
                <w:color w:val="auto"/>
                <w:kern w:val="0"/>
                <w:sz w:val="21"/>
                <w:szCs w:val="21"/>
                <w:u w:val="none"/>
                <w:lang w:val="en-US" w:eastAsia="zh-CN" w:bidi="ar"/>
              </w:rPr>
              <w:t>设备维护</w:t>
            </w:r>
          </w:p>
        </w:tc>
        <w:tc>
          <w:tcPr>
            <w:tcW w:w="1985" w:type="dxa"/>
            <w:noWrap w:val="0"/>
            <w:vAlign w:val="center"/>
          </w:tcPr>
          <w:p w14:paraId="691E2DAF">
            <w:pPr>
              <w:adjustRightInd w:val="0"/>
              <w:snapToGrid w:val="0"/>
              <w:spacing w:line="320" w:lineRule="exact"/>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是</w:t>
            </w:r>
          </w:p>
        </w:tc>
        <w:tc>
          <w:tcPr>
            <w:tcW w:w="2150" w:type="dxa"/>
            <w:noWrap w:val="0"/>
            <w:vAlign w:val="center"/>
          </w:tcPr>
          <w:p w14:paraId="3C27DE94">
            <w:pPr>
              <w:adjustRightInd w:val="0"/>
              <w:snapToGrid w:val="0"/>
              <w:spacing w:line="320" w:lineRule="exact"/>
              <w:jc w:val="center"/>
              <w:rPr>
                <w:rFonts w:ascii="Times New Roman" w:hAnsi="Times New Roman" w:eastAsia="宋体" w:cs="Times New Roman"/>
                <w:color w:val="auto"/>
                <w:sz w:val="21"/>
                <w:szCs w:val="21"/>
                <w:highlight w:val="none"/>
              </w:rPr>
            </w:pPr>
            <w:r>
              <w:rPr>
                <w:rFonts w:hint="eastAsia"/>
                <w:color w:val="auto"/>
                <w:sz w:val="21"/>
                <w:szCs w:val="21"/>
              </w:rPr>
              <w:t>HW49/900-041-49</w:t>
            </w:r>
          </w:p>
        </w:tc>
      </w:tr>
      <w:tr w14:paraId="5978E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961" w:type="dxa"/>
            <w:noWrap w:val="0"/>
            <w:vAlign w:val="center"/>
          </w:tcPr>
          <w:p w14:paraId="0F952640">
            <w:pPr>
              <w:adjustRightInd w:val="0"/>
              <w:snapToGrid w:val="0"/>
              <w:jc w:val="center"/>
              <w:rPr>
                <w:rFonts w:hint="eastAsia" w:ascii="Times New Roman" w:hAnsi="Times New Roman" w:eastAsia="宋体" w:cs="Times New Roman"/>
                <w:color w:val="auto"/>
                <w:kern w:val="2"/>
                <w:sz w:val="21"/>
                <w:szCs w:val="21"/>
                <w:highlight w:val="none"/>
                <w:lang w:val="zh-CN" w:eastAsia="zh-CN" w:bidi="ar-SA"/>
              </w:rPr>
            </w:pPr>
            <w:r>
              <w:rPr>
                <w:rFonts w:hint="eastAsia" w:cs="Times New Roman"/>
                <w:color w:val="auto"/>
                <w:sz w:val="21"/>
                <w:szCs w:val="21"/>
                <w:highlight w:val="none"/>
                <w:lang w:val="en-US" w:eastAsia="zh-CN"/>
              </w:rPr>
              <w:t>7</w:t>
            </w:r>
          </w:p>
        </w:tc>
        <w:tc>
          <w:tcPr>
            <w:tcW w:w="1873" w:type="dxa"/>
            <w:noWrap w:val="0"/>
            <w:vAlign w:val="center"/>
          </w:tcPr>
          <w:p w14:paraId="72E65B35">
            <w:pPr>
              <w:spacing w:line="240" w:lineRule="auto"/>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生活垃圾</w:t>
            </w:r>
          </w:p>
        </w:tc>
        <w:tc>
          <w:tcPr>
            <w:tcW w:w="1547" w:type="dxa"/>
            <w:noWrap w:val="0"/>
            <w:vAlign w:val="center"/>
          </w:tcPr>
          <w:p w14:paraId="7FCCA5FF">
            <w:pPr>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员工生活</w:t>
            </w:r>
          </w:p>
        </w:tc>
        <w:tc>
          <w:tcPr>
            <w:tcW w:w="1985" w:type="dxa"/>
            <w:noWrap w:val="0"/>
            <w:vAlign w:val="center"/>
          </w:tcPr>
          <w:p w14:paraId="22717D75">
            <w:pPr>
              <w:adjustRightInd w:val="0"/>
              <w:snapToGrid w:val="0"/>
              <w:spacing w:line="320" w:lineRule="exact"/>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否</w:t>
            </w:r>
          </w:p>
        </w:tc>
        <w:tc>
          <w:tcPr>
            <w:tcW w:w="2150" w:type="dxa"/>
            <w:noWrap w:val="0"/>
            <w:vAlign w:val="center"/>
          </w:tcPr>
          <w:p w14:paraId="4CD3C506">
            <w:pPr>
              <w:adjustRightInd w:val="0"/>
              <w:snapToGrid w:val="0"/>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r>
    </w:tbl>
    <w:p w14:paraId="3B66E9B9">
      <w:pPr>
        <w:spacing w:line="360" w:lineRule="auto"/>
        <w:ind w:firstLine="480" w:firstLineChars="200"/>
        <w:rPr>
          <w:rFonts w:ascii="Times New Roman" w:hAnsi="Times New Roman" w:eastAsia="宋体" w:cs="Times New Roman"/>
          <w:color w:val="auto"/>
          <w:sz w:val="24"/>
          <w:szCs w:val="24"/>
          <w:highlight w:val="none"/>
        </w:rPr>
      </w:pPr>
      <w:r>
        <w:rPr>
          <w:rFonts w:ascii="Times New Roman" w:hAnsi="Times New Roman" w:eastAsia="宋体" w:cs="Times New Roman"/>
          <w:color w:val="auto"/>
          <w:sz w:val="24"/>
          <w:szCs w:val="24"/>
          <w:highlight w:val="none"/>
        </w:rPr>
        <w:t>根据《建设项目危险废物环境影响评价指南》</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环保部公告2017年第43号</w:t>
      </w:r>
      <w:r>
        <w:rPr>
          <w:rFonts w:hint="eastAsia" w:ascii="Times New Roman" w:hAnsi="Times New Roman" w:eastAsia="宋体" w:cs="Times New Roman"/>
          <w:color w:val="auto"/>
          <w:sz w:val="24"/>
          <w:szCs w:val="24"/>
          <w:highlight w:val="none"/>
          <w:lang w:eastAsia="zh-CN"/>
        </w:rPr>
        <w:t>）</w:t>
      </w:r>
      <w:r>
        <w:rPr>
          <w:rFonts w:ascii="Times New Roman" w:hAnsi="Times New Roman" w:eastAsia="宋体" w:cs="Times New Roman"/>
          <w:color w:val="auto"/>
          <w:sz w:val="24"/>
          <w:szCs w:val="24"/>
          <w:highlight w:val="none"/>
        </w:rPr>
        <w:t>，本项目各类危险废物的污染防治措施等内容汇总见下表。</w:t>
      </w:r>
    </w:p>
    <w:p w14:paraId="16068925">
      <w:pPr>
        <w:pStyle w:val="20"/>
        <w:numPr>
          <w:ilvl w:val="0"/>
          <w:numId w:val="6"/>
        </w:numPr>
        <w:spacing w:before="156"/>
        <w:rPr>
          <w:rFonts w:ascii="Times New Roman" w:hAnsi="Times New Roman" w:eastAsia="宋体" w:cs="Times New Roman"/>
          <w:b/>
          <w:bCs/>
          <w:color w:val="auto"/>
          <w:spacing w:val="-10"/>
          <w:sz w:val="21"/>
          <w:szCs w:val="21"/>
          <w:highlight w:val="none"/>
        </w:rPr>
      </w:pPr>
      <w:r>
        <w:rPr>
          <w:rFonts w:ascii="Times New Roman" w:hAnsi="Times New Roman" w:eastAsia="宋体" w:cs="Times New Roman"/>
          <w:b/>
          <w:bCs/>
          <w:color w:val="auto"/>
          <w:spacing w:val="-10"/>
          <w:sz w:val="21"/>
          <w:szCs w:val="21"/>
          <w:highlight w:val="none"/>
        </w:rPr>
        <w:t>项目危险废物工程分析汇总表</w:t>
      </w:r>
    </w:p>
    <w:tbl>
      <w:tblPr>
        <w:tblStyle w:val="15"/>
        <w:tblW w:w="494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6" w:type="dxa"/>
          <w:bottom w:w="0" w:type="dxa"/>
          <w:right w:w="6" w:type="dxa"/>
        </w:tblCellMar>
      </w:tblPr>
      <w:tblGrid>
        <w:gridCol w:w="326"/>
        <w:gridCol w:w="450"/>
        <w:gridCol w:w="685"/>
        <w:gridCol w:w="810"/>
        <w:gridCol w:w="457"/>
        <w:gridCol w:w="567"/>
        <w:gridCol w:w="430"/>
        <w:gridCol w:w="770"/>
        <w:gridCol w:w="614"/>
        <w:gridCol w:w="574"/>
        <w:gridCol w:w="548"/>
        <w:gridCol w:w="365"/>
        <w:gridCol w:w="744"/>
        <w:gridCol w:w="876"/>
      </w:tblGrid>
      <w:tr w14:paraId="7616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tblHeader/>
          <w:jc w:val="center"/>
        </w:trPr>
        <w:tc>
          <w:tcPr>
            <w:tcW w:w="326" w:type="dxa"/>
            <w:vMerge w:val="restart"/>
            <w:noWrap w:val="0"/>
            <w:vAlign w:val="center"/>
          </w:tcPr>
          <w:p w14:paraId="44D90DD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w:t>
            </w:r>
          </w:p>
          <w:p w14:paraId="1861E55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号</w:t>
            </w:r>
          </w:p>
        </w:tc>
        <w:tc>
          <w:tcPr>
            <w:tcW w:w="450" w:type="dxa"/>
            <w:vMerge w:val="restart"/>
            <w:noWrap w:val="0"/>
            <w:vAlign w:val="center"/>
          </w:tcPr>
          <w:p w14:paraId="6D480117">
            <w:pPr>
              <w:adjustRightInd w:val="0"/>
              <w:snapToGrid w:val="0"/>
              <w:spacing w:line="320" w:lineRule="exact"/>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危险废物名称</w:t>
            </w:r>
          </w:p>
        </w:tc>
        <w:tc>
          <w:tcPr>
            <w:tcW w:w="685" w:type="dxa"/>
            <w:vMerge w:val="restart"/>
            <w:noWrap w:val="0"/>
            <w:vAlign w:val="center"/>
          </w:tcPr>
          <w:p w14:paraId="3882556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危险废物类别</w:t>
            </w:r>
          </w:p>
        </w:tc>
        <w:tc>
          <w:tcPr>
            <w:tcW w:w="810" w:type="dxa"/>
            <w:vMerge w:val="restart"/>
            <w:noWrap w:val="0"/>
            <w:vAlign w:val="center"/>
          </w:tcPr>
          <w:p w14:paraId="525DFA2B">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废物代码</w:t>
            </w:r>
          </w:p>
        </w:tc>
        <w:tc>
          <w:tcPr>
            <w:tcW w:w="457" w:type="dxa"/>
            <w:vMerge w:val="restart"/>
            <w:noWrap w:val="0"/>
            <w:vAlign w:val="center"/>
          </w:tcPr>
          <w:p w14:paraId="3194C87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产生量</w:t>
            </w:r>
          </w:p>
        </w:tc>
        <w:tc>
          <w:tcPr>
            <w:tcW w:w="567" w:type="dxa"/>
            <w:vMerge w:val="restart"/>
            <w:noWrap w:val="0"/>
            <w:vAlign w:val="center"/>
          </w:tcPr>
          <w:p w14:paraId="32EC890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w:t>
            </w:r>
          </w:p>
          <w:p w14:paraId="09B7BDAE">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工序</w:t>
            </w:r>
          </w:p>
        </w:tc>
        <w:tc>
          <w:tcPr>
            <w:tcW w:w="430" w:type="dxa"/>
            <w:vMerge w:val="restart"/>
            <w:noWrap w:val="0"/>
            <w:vAlign w:val="center"/>
          </w:tcPr>
          <w:p w14:paraId="736035C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形</w:t>
            </w:r>
          </w:p>
          <w:p w14:paraId="79CA533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态</w:t>
            </w:r>
          </w:p>
        </w:tc>
        <w:tc>
          <w:tcPr>
            <w:tcW w:w="770" w:type="dxa"/>
            <w:vMerge w:val="restart"/>
            <w:noWrap w:val="0"/>
            <w:vAlign w:val="center"/>
          </w:tcPr>
          <w:p w14:paraId="4DA0FB5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主要成分</w:t>
            </w:r>
          </w:p>
        </w:tc>
        <w:tc>
          <w:tcPr>
            <w:tcW w:w="614" w:type="dxa"/>
            <w:vMerge w:val="restart"/>
            <w:noWrap w:val="0"/>
            <w:vAlign w:val="center"/>
          </w:tcPr>
          <w:p w14:paraId="1570D75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有害成分</w:t>
            </w:r>
          </w:p>
        </w:tc>
        <w:tc>
          <w:tcPr>
            <w:tcW w:w="574" w:type="dxa"/>
            <w:vMerge w:val="restart"/>
            <w:noWrap w:val="0"/>
            <w:vAlign w:val="center"/>
          </w:tcPr>
          <w:p w14:paraId="11A9070A">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危险特性</w:t>
            </w:r>
          </w:p>
        </w:tc>
        <w:tc>
          <w:tcPr>
            <w:tcW w:w="2533" w:type="dxa"/>
            <w:gridSpan w:val="4"/>
            <w:noWrap w:val="0"/>
            <w:vAlign w:val="center"/>
          </w:tcPr>
          <w:p w14:paraId="274256F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污染防治措施</w:t>
            </w:r>
          </w:p>
        </w:tc>
      </w:tr>
      <w:tr w14:paraId="04E4A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tblHeader/>
          <w:jc w:val="center"/>
        </w:trPr>
        <w:tc>
          <w:tcPr>
            <w:tcW w:w="326" w:type="dxa"/>
            <w:vMerge w:val="continue"/>
            <w:noWrap w:val="0"/>
            <w:vAlign w:val="center"/>
          </w:tcPr>
          <w:p w14:paraId="08F232FF">
            <w:pPr>
              <w:jc w:val="center"/>
              <w:rPr>
                <w:rFonts w:ascii="Times New Roman" w:hAnsi="Times New Roman" w:eastAsia="宋体" w:cs="Times New Roman"/>
                <w:color w:val="auto"/>
                <w:sz w:val="21"/>
                <w:szCs w:val="21"/>
                <w:highlight w:val="none"/>
              </w:rPr>
            </w:pPr>
          </w:p>
        </w:tc>
        <w:tc>
          <w:tcPr>
            <w:tcW w:w="450" w:type="dxa"/>
            <w:vMerge w:val="continue"/>
            <w:noWrap w:val="0"/>
            <w:vAlign w:val="center"/>
          </w:tcPr>
          <w:p w14:paraId="1FC122FF">
            <w:pPr>
              <w:jc w:val="center"/>
              <w:rPr>
                <w:rFonts w:ascii="Times New Roman" w:hAnsi="Times New Roman" w:eastAsia="宋体" w:cs="Times New Roman"/>
                <w:color w:val="auto"/>
                <w:sz w:val="21"/>
                <w:szCs w:val="21"/>
                <w:highlight w:val="none"/>
              </w:rPr>
            </w:pPr>
          </w:p>
        </w:tc>
        <w:tc>
          <w:tcPr>
            <w:tcW w:w="685" w:type="dxa"/>
            <w:vMerge w:val="continue"/>
            <w:noWrap w:val="0"/>
            <w:vAlign w:val="center"/>
          </w:tcPr>
          <w:p w14:paraId="74B4C13E">
            <w:pPr>
              <w:jc w:val="center"/>
              <w:rPr>
                <w:rFonts w:ascii="Times New Roman" w:hAnsi="Times New Roman" w:eastAsia="宋体" w:cs="Times New Roman"/>
                <w:color w:val="auto"/>
                <w:sz w:val="21"/>
                <w:szCs w:val="21"/>
                <w:highlight w:val="none"/>
              </w:rPr>
            </w:pPr>
          </w:p>
        </w:tc>
        <w:tc>
          <w:tcPr>
            <w:tcW w:w="810" w:type="dxa"/>
            <w:vMerge w:val="continue"/>
            <w:noWrap w:val="0"/>
            <w:vAlign w:val="center"/>
          </w:tcPr>
          <w:p w14:paraId="316798FD">
            <w:pPr>
              <w:jc w:val="center"/>
              <w:rPr>
                <w:rFonts w:ascii="Times New Roman" w:hAnsi="Times New Roman" w:eastAsia="宋体" w:cs="Times New Roman"/>
                <w:color w:val="auto"/>
                <w:sz w:val="21"/>
                <w:szCs w:val="21"/>
                <w:highlight w:val="none"/>
              </w:rPr>
            </w:pPr>
          </w:p>
        </w:tc>
        <w:tc>
          <w:tcPr>
            <w:tcW w:w="457" w:type="dxa"/>
            <w:vMerge w:val="continue"/>
            <w:noWrap w:val="0"/>
            <w:vAlign w:val="center"/>
          </w:tcPr>
          <w:p w14:paraId="32927F5C">
            <w:pPr>
              <w:jc w:val="center"/>
              <w:rPr>
                <w:rFonts w:ascii="Times New Roman" w:hAnsi="Times New Roman" w:eastAsia="宋体" w:cs="Times New Roman"/>
                <w:color w:val="auto"/>
                <w:sz w:val="21"/>
                <w:szCs w:val="21"/>
                <w:highlight w:val="none"/>
              </w:rPr>
            </w:pPr>
          </w:p>
        </w:tc>
        <w:tc>
          <w:tcPr>
            <w:tcW w:w="567" w:type="dxa"/>
            <w:vMerge w:val="continue"/>
            <w:noWrap w:val="0"/>
            <w:vAlign w:val="center"/>
          </w:tcPr>
          <w:p w14:paraId="6D1F4407">
            <w:pPr>
              <w:jc w:val="center"/>
              <w:rPr>
                <w:rFonts w:ascii="Times New Roman" w:hAnsi="Times New Roman" w:eastAsia="宋体" w:cs="Times New Roman"/>
                <w:color w:val="auto"/>
                <w:sz w:val="21"/>
                <w:szCs w:val="21"/>
                <w:highlight w:val="none"/>
              </w:rPr>
            </w:pPr>
          </w:p>
        </w:tc>
        <w:tc>
          <w:tcPr>
            <w:tcW w:w="430" w:type="dxa"/>
            <w:vMerge w:val="continue"/>
            <w:noWrap w:val="0"/>
            <w:vAlign w:val="center"/>
          </w:tcPr>
          <w:p w14:paraId="0AF43B9A">
            <w:pPr>
              <w:jc w:val="center"/>
              <w:rPr>
                <w:rFonts w:ascii="Times New Roman" w:hAnsi="Times New Roman" w:eastAsia="宋体" w:cs="Times New Roman"/>
                <w:color w:val="auto"/>
                <w:sz w:val="21"/>
                <w:szCs w:val="21"/>
                <w:highlight w:val="none"/>
              </w:rPr>
            </w:pPr>
          </w:p>
        </w:tc>
        <w:tc>
          <w:tcPr>
            <w:tcW w:w="770" w:type="dxa"/>
            <w:vMerge w:val="continue"/>
            <w:noWrap w:val="0"/>
            <w:vAlign w:val="center"/>
          </w:tcPr>
          <w:p w14:paraId="01D247CB">
            <w:pPr>
              <w:jc w:val="center"/>
              <w:rPr>
                <w:rFonts w:ascii="Times New Roman" w:hAnsi="Times New Roman" w:eastAsia="宋体" w:cs="Times New Roman"/>
                <w:color w:val="auto"/>
                <w:sz w:val="21"/>
                <w:szCs w:val="21"/>
                <w:highlight w:val="none"/>
              </w:rPr>
            </w:pPr>
          </w:p>
        </w:tc>
        <w:tc>
          <w:tcPr>
            <w:tcW w:w="614" w:type="dxa"/>
            <w:vMerge w:val="continue"/>
            <w:noWrap w:val="0"/>
            <w:vAlign w:val="center"/>
          </w:tcPr>
          <w:p w14:paraId="473054C2">
            <w:pPr>
              <w:jc w:val="center"/>
              <w:rPr>
                <w:rFonts w:ascii="Times New Roman" w:hAnsi="Times New Roman" w:eastAsia="宋体" w:cs="Times New Roman"/>
                <w:color w:val="auto"/>
                <w:sz w:val="21"/>
                <w:szCs w:val="21"/>
                <w:highlight w:val="none"/>
              </w:rPr>
            </w:pPr>
          </w:p>
        </w:tc>
        <w:tc>
          <w:tcPr>
            <w:tcW w:w="574" w:type="dxa"/>
            <w:vMerge w:val="continue"/>
            <w:noWrap w:val="0"/>
            <w:vAlign w:val="center"/>
          </w:tcPr>
          <w:p w14:paraId="66E57301">
            <w:pPr>
              <w:jc w:val="center"/>
              <w:rPr>
                <w:rFonts w:ascii="Times New Roman" w:hAnsi="Times New Roman" w:eastAsia="宋体" w:cs="Times New Roman"/>
                <w:color w:val="auto"/>
                <w:sz w:val="21"/>
                <w:szCs w:val="21"/>
                <w:highlight w:val="none"/>
              </w:rPr>
            </w:pPr>
          </w:p>
        </w:tc>
        <w:tc>
          <w:tcPr>
            <w:tcW w:w="548" w:type="dxa"/>
            <w:noWrap w:val="0"/>
            <w:vAlign w:val="center"/>
          </w:tcPr>
          <w:p w14:paraId="67021151">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收集</w:t>
            </w:r>
          </w:p>
        </w:tc>
        <w:tc>
          <w:tcPr>
            <w:tcW w:w="365" w:type="dxa"/>
            <w:noWrap w:val="0"/>
            <w:vAlign w:val="center"/>
          </w:tcPr>
          <w:p w14:paraId="6826407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运输</w:t>
            </w:r>
          </w:p>
        </w:tc>
        <w:tc>
          <w:tcPr>
            <w:tcW w:w="744" w:type="dxa"/>
            <w:noWrap w:val="0"/>
            <w:vAlign w:val="center"/>
          </w:tcPr>
          <w:p w14:paraId="4E697D1F">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贮存</w:t>
            </w:r>
          </w:p>
        </w:tc>
        <w:tc>
          <w:tcPr>
            <w:tcW w:w="876" w:type="dxa"/>
            <w:noWrap w:val="0"/>
            <w:vAlign w:val="center"/>
          </w:tcPr>
          <w:p w14:paraId="45CD94D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处置</w:t>
            </w:r>
          </w:p>
        </w:tc>
      </w:tr>
      <w:tr w14:paraId="532F1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jc w:val="center"/>
        </w:trPr>
        <w:tc>
          <w:tcPr>
            <w:tcW w:w="326" w:type="dxa"/>
            <w:noWrap w:val="0"/>
            <w:vAlign w:val="center"/>
          </w:tcPr>
          <w:p w14:paraId="33C4F29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1</w:t>
            </w:r>
          </w:p>
        </w:tc>
        <w:tc>
          <w:tcPr>
            <w:tcW w:w="450" w:type="dxa"/>
            <w:noWrap w:val="0"/>
            <w:vAlign w:val="center"/>
          </w:tcPr>
          <w:p w14:paraId="5DC10C76">
            <w:pPr>
              <w:keepNext/>
              <w:keepLines/>
              <w:numPr>
                <w:ilvl w:val="0"/>
                <w:numId w:val="0"/>
              </w:numPr>
              <w:spacing w:line="240" w:lineRule="auto"/>
              <w:ind w:left="0" w:leftChars="0" w:firstLine="0" w:firstLineChars="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bCs/>
                <w:color w:val="auto"/>
                <w:sz w:val="21"/>
                <w:szCs w:val="21"/>
                <w:highlight w:val="none"/>
              </w:rPr>
              <w:t>废活性炭</w:t>
            </w:r>
          </w:p>
        </w:tc>
        <w:tc>
          <w:tcPr>
            <w:tcW w:w="685" w:type="dxa"/>
            <w:noWrap w:val="0"/>
            <w:vAlign w:val="center"/>
          </w:tcPr>
          <w:p w14:paraId="4488FBD6">
            <w:pPr>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HW49其他废物</w:t>
            </w:r>
          </w:p>
        </w:tc>
        <w:tc>
          <w:tcPr>
            <w:tcW w:w="810" w:type="dxa"/>
            <w:noWrap w:val="0"/>
            <w:vAlign w:val="center"/>
          </w:tcPr>
          <w:p w14:paraId="59D8336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900-039-49</w:t>
            </w:r>
          </w:p>
        </w:tc>
        <w:tc>
          <w:tcPr>
            <w:tcW w:w="457" w:type="dxa"/>
            <w:noWrap w:val="0"/>
            <w:vAlign w:val="center"/>
          </w:tcPr>
          <w:p w14:paraId="4E0F75C7">
            <w:pPr>
              <w:adjustRightInd w:val="0"/>
              <w:snapToGrid w:val="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567" w:type="dxa"/>
            <w:noWrap w:val="0"/>
            <w:vAlign w:val="center"/>
          </w:tcPr>
          <w:p w14:paraId="25BA1FB3">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430" w:type="dxa"/>
            <w:noWrap w:val="0"/>
            <w:vAlign w:val="center"/>
          </w:tcPr>
          <w:p w14:paraId="2AF7C8E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w:t>
            </w:r>
          </w:p>
        </w:tc>
        <w:tc>
          <w:tcPr>
            <w:tcW w:w="770" w:type="dxa"/>
            <w:noWrap w:val="0"/>
            <w:vAlign w:val="center"/>
          </w:tcPr>
          <w:p w14:paraId="428C31FF">
            <w:pPr>
              <w:keepNext/>
              <w:keepLines/>
              <w:numPr>
                <w:ilvl w:val="0"/>
                <w:numId w:val="0"/>
              </w:numPr>
              <w:spacing w:line="240" w:lineRule="auto"/>
              <w:ind w:left="0" w:leftChars="0" w:firstLine="0" w:firstLineChars="0"/>
              <w:jc w:val="center"/>
              <w:rPr>
                <w:rFonts w:ascii="Times New Roman" w:hAnsi="Times New Roman" w:eastAsia="宋体" w:cs="Times New Roman"/>
                <w:color w:val="auto"/>
                <w:kern w:val="0"/>
                <w:sz w:val="21"/>
                <w:szCs w:val="21"/>
                <w:highlight w:val="none"/>
              </w:rPr>
            </w:pPr>
            <w:r>
              <w:rPr>
                <w:rFonts w:ascii="Times New Roman" w:hAnsi="Times New Roman" w:eastAsia="宋体" w:cs="Times New Roman"/>
                <w:color w:val="auto"/>
                <w:sz w:val="21"/>
                <w:szCs w:val="21"/>
                <w:highlight w:val="none"/>
              </w:rPr>
              <w:t>活性炭、VOCs</w:t>
            </w:r>
          </w:p>
        </w:tc>
        <w:tc>
          <w:tcPr>
            <w:tcW w:w="614" w:type="dxa"/>
            <w:noWrap w:val="0"/>
            <w:vAlign w:val="center"/>
          </w:tcPr>
          <w:p w14:paraId="04F8EFF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VOCs</w:t>
            </w:r>
          </w:p>
        </w:tc>
        <w:tc>
          <w:tcPr>
            <w:tcW w:w="574" w:type="dxa"/>
            <w:noWrap w:val="0"/>
            <w:vAlign w:val="center"/>
          </w:tcPr>
          <w:p w14:paraId="16C2AB02">
            <w:pPr>
              <w:widowControl/>
              <w:jc w:val="center"/>
              <w:textAlignment w:val="center"/>
              <w:rPr>
                <w:rFonts w:ascii="Times New Roman" w:hAnsi="Times New Roman" w:eastAsia="宋体" w:cs="Times New Roman"/>
                <w:color w:val="auto"/>
                <w:sz w:val="21"/>
                <w:szCs w:val="21"/>
                <w:highlight w:val="none"/>
              </w:rPr>
            </w:pPr>
            <w:r>
              <w:rPr>
                <w:color w:val="auto"/>
                <w:kern w:val="0"/>
                <w:sz w:val="21"/>
                <w:szCs w:val="21"/>
                <w:lang w:bidi="ar"/>
              </w:rPr>
              <w:t>T</w:t>
            </w:r>
          </w:p>
        </w:tc>
        <w:tc>
          <w:tcPr>
            <w:tcW w:w="548" w:type="dxa"/>
            <w:noWrap w:val="0"/>
            <w:vAlign w:val="center"/>
          </w:tcPr>
          <w:p w14:paraId="7F796D2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袋装</w:t>
            </w:r>
          </w:p>
        </w:tc>
        <w:tc>
          <w:tcPr>
            <w:tcW w:w="365" w:type="dxa"/>
            <w:vMerge w:val="restart"/>
            <w:noWrap w:val="0"/>
            <w:vAlign w:val="center"/>
          </w:tcPr>
          <w:p w14:paraId="5FE563C8">
            <w:pPr>
              <w:jc w:val="center"/>
              <w:rPr>
                <w:rFonts w:ascii="Times New Roman" w:hAnsi="Times New Roman" w:eastAsia="宋体" w:cs="Times New Roman"/>
                <w:color w:val="auto"/>
                <w:sz w:val="21"/>
                <w:szCs w:val="21"/>
                <w:highlight w:val="none"/>
              </w:rPr>
            </w:pPr>
            <w:r>
              <w:rPr>
                <w:rFonts w:hint="eastAsia"/>
                <w:color w:val="auto"/>
                <w:kern w:val="0"/>
                <w:sz w:val="21"/>
                <w:szCs w:val="21"/>
              </w:rPr>
              <w:t>密封转运</w:t>
            </w:r>
          </w:p>
        </w:tc>
        <w:tc>
          <w:tcPr>
            <w:tcW w:w="744" w:type="dxa"/>
            <w:vMerge w:val="restart"/>
            <w:noWrap w:val="0"/>
            <w:vAlign w:val="center"/>
          </w:tcPr>
          <w:p w14:paraId="5D5FC87D">
            <w:pPr>
              <w:jc w:val="center"/>
              <w:rPr>
                <w:rFonts w:ascii="Times New Roman" w:hAnsi="Times New Roman" w:eastAsia="宋体" w:cs="Times New Roman"/>
                <w:color w:val="auto"/>
                <w:sz w:val="21"/>
                <w:szCs w:val="21"/>
                <w:highlight w:val="none"/>
              </w:rPr>
            </w:pPr>
            <w:r>
              <w:rPr>
                <w:color w:val="auto"/>
                <w:sz w:val="21"/>
                <w:szCs w:val="21"/>
              </w:rPr>
              <w:t>危废库内分类、分区、包装存放</w:t>
            </w:r>
          </w:p>
        </w:tc>
        <w:tc>
          <w:tcPr>
            <w:tcW w:w="876" w:type="dxa"/>
            <w:vMerge w:val="restart"/>
            <w:noWrap w:val="0"/>
            <w:vAlign w:val="center"/>
          </w:tcPr>
          <w:p w14:paraId="6F7108E8">
            <w:pPr>
              <w:jc w:val="center"/>
              <w:rPr>
                <w:rFonts w:ascii="Times New Roman" w:hAnsi="Times New Roman" w:eastAsia="宋体" w:cs="Times New Roman"/>
                <w:color w:val="auto"/>
                <w:sz w:val="21"/>
                <w:szCs w:val="21"/>
                <w:highlight w:val="none"/>
              </w:rPr>
            </w:pPr>
            <w:r>
              <w:rPr>
                <w:color w:val="auto"/>
                <w:sz w:val="21"/>
                <w:szCs w:val="21"/>
              </w:rPr>
              <w:t>委托有资质单位处置</w:t>
            </w:r>
          </w:p>
        </w:tc>
      </w:tr>
      <w:tr w14:paraId="56DE0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jc w:val="center"/>
        </w:trPr>
        <w:tc>
          <w:tcPr>
            <w:tcW w:w="326" w:type="dxa"/>
            <w:noWrap w:val="0"/>
            <w:vAlign w:val="center"/>
          </w:tcPr>
          <w:p w14:paraId="31D60CA6">
            <w:pPr>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2</w:t>
            </w:r>
          </w:p>
        </w:tc>
        <w:tc>
          <w:tcPr>
            <w:tcW w:w="450" w:type="dxa"/>
            <w:noWrap w:val="0"/>
            <w:vAlign w:val="center"/>
          </w:tcPr>
          <w:p w14:paraId="097DF24E">
            <w:pPr>
              <w:spacing w:line="240" w:lineRule="auto"/>
              <w:jc w:val="center"/>
              <w:rPr>
                <w:rFonts w:hint="default" w:ascii="Times New Roman" w:hAnsi="Times New Roman" w:eastAsia="宋体" w:cs="Times New Roman"/>
                <w:color w:val="auto"/>
                <w:kern w:val="0"/>
                <w:sz w:val="21"/>
                <w:szCs w:val="21"/>
                <w:highlight w:val="none"/>
                <w:lang w:val="en-US"/>
              </w:rPr>
            </w:pPr>
            <w:r>
              <w:rPr>
                <w:rFonts w:hint="eastAsia" w:ascii="Times New Roman" w:hAnsi="Times New Roman" w:eastAsia="宋体" w:cs="Times New Roman"/>
                <w:bCs/>
                <w:color w:val="auto"/>
                <w:sz w:val="21"/>
                <w:szCs w:val="21"/>
                <w:highlight w:val="none"/>
                <w:lang w:val="en-US" w:eastAsia="zh-CN"/>
              </w:rPr>
              <w:t>废催化剂</w:t>
            </w:r>
          </w:p>
        </w:tc>
        <w:tc>
          <w:tcPr>
            <w:tcW w:w="685" w:type="dxa"/>
            <w:noWrap w:val="0"/>
            <w:vAlign w:val="center"/>
          </w:tcPr>
          <w:p w14:paraId="6D0C1D25">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HW49其他废物</w:t>
            </w:r>
          </w:p>
        </w:tc>
        <w:tc>
          <w:tcPr>
            <w:tcW w:w="810" w:type="dxa"/>
            <w:noWrap w:val="0"/>
            <w:vAlign w:val="center"/>
          </w:tcPr>
          <w:p w14:paraId="2D70E22D">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900-041-49</w:t>
            </w:r>
          </w:p>
        </w:tc>
        <w:tc>
          <w:tcPr>
            <w:tcW w:w="457" w:type="dxa"/>
            <w:noWrap w:val="0"/>
            <w:vAlign w:val="center"/>
          </w:tcPr>
          <w:p w14:paraId="5AFF07EB">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0.05</w:t>
            </w:r>
          </w:p>
        </w:tc>
        <w:tc>
          <w:tcPr>
            <w:tcW w:w="567" w:type="dxa"/>
            <w:noWrap w:val="0"/>
            <w:vAlign w:val="center"/>
          </w:tcPr>
          <w:p w14:paraId="752233D0">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430" w:type="dxa"/>
            <w:noWrap w:val="0"/>
            <w:vAlign w:val="center"/>
          </w:tcPr>
          <w:p w14:paraId="2F0998AD">
            <w:pPr>
              <w:jc w:val="center"/>
              <w:rPr>
                <w:rFonts w:hint="eastAsia" w:ascii="Times New Roman" w:hAnsi="Times New Roman" w:eastAsia="宋体" w:cs="Times New Roman"/>
                <w:color w:val="auto"/>
                <w:sz w:val="21"/>
                <w:szCs w:val="21"/>
                <w:highlight w:val="none"/>
                <w:lang w:val="en-US" w:eastAsia="zh-CN"/>
              </w:rPr>
            </w:pPr>
            <w:r>
              <w:rPr>
                <w:rFonts w:ascii="Times New Roman" w:hAnsi="Times New Roman" w:eastAsia="宋体" w:cs="Times New Roman"/>
                <w:color w:val="auto"/>
                <w:sz w:val="21"/>
                <w:szCs w:val="21"/>
                <w:highlight w:val="none"/>
              </w:rPr>
              <w:t>固</w:t>
            </w:r>
          </w:p>
        </w:tc>
        <w:tc>
          <w:tcPr>
            <w:tcW w:w="770" w:type="dxa"/>
            <w:noWrap w:val="0"/>
            <w:vAlign w:val="center"/>
          </w:tcPr>
          <w:p w14:paraId="7E1BFBD3">
            <w:pPr>
              <w:keepNext/>
              <w:keepLines/>
              <w:numPr>
                <w:ilvl w:val="0"/>
                <w:numId w:val="0"/>
              </w:numPr>
              <w:spacing w:line="240" w:lineRule="auto"/>
              <w:ind w:left="0" w:leftChars="0" w:firstLine="0" w:firstLineChars="0"/>
              <w:jc w:val="center"/>
              <w:rPr>
                <w:rFonts w:ascii="Times New Roman" w:hAnsi="Times New Roman" w:eastAsia="宋体" w:cs="Times New Roman"/>
                <w:color w:val="auto"/>
                <w:kern w:val="0"/>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614" w:type="dxa"/>
            <w:noWrap w:val="0"/>
            <w:vAlign w:val="center"/>
          </w:tcPr>
          <w:p w14:paraId="39AE3DE1">
            <w:pPr>
              <w:jc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val="en-US" w:eastAsia="zh-CN"/>
              </w:rPr>
              <w:t>催化剂</w:t>
            </w:r>
          </w:p>
        </w:tc>
        <w:tc>
          <w:tcPr>
            <w:tcW w:w="574" w:type="dxa"/>
            <w:noWrap w:val="0"/>
            <w:vAlign w:val="center"/>
          </w:tcPr>
          <w:p w14:paraId="4E4929F7">
            <w:pPr>
              <w:widowControl/>
              <w:jc w:val="center"/>
              <w:textAlignment w:val="center"/>
              <w:rPr>
                <w:rFonts w:ascii="Times New Roman" w:hAnsi="Times New Roman" w:eastAsia="宋体" w:cs="Times New Roman"/>
                <w:color w:val="auto"/>
                <w:sz w:val="21"/>
                <w:szCs w:val="21"/>
                <w:highlight w:val="none"/>
              </w:rPr>
            </w:pPr>
            <w:r>
              <w:rPr>
                <w:color w:val="auto"/>
                <w:kern w:val="0"/>
                <w:sz w:val="21"/>
                <w:szCs w:val="21"/>
                <w:lang w:bidi="ar"/>
              </w:rPr>
              <w:t>T/In</w:t>
            </w:r>
          </w:p>
        </w:tc>
        <w:tc>
          <w:tcPr>
            <w:tcW w:w="548" w:type="dxa"/>
            <w:noWrap w:val="0"/>
            <w:vAlign w:val="center"/>
          </w:tcPr>
          <w:p w14:paraId="1C68C997">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桶装</w:t>
            </w:r>
          </w:p>
        </w:tc>
        <w:tc>
          <w:tcPr>
            <w:tcW w:w="365" w:type="dxa"/>
            <w:vMerge w:val="continue"/>
            <w:noWrap w:val="0"/>
            <w:vAlign w:val="center"/>
          </w:tcPr>
          <w:p w14:paraId="475C13C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密封</w:t>
            </w:r>
          </w:p>
          <w:p w14:paraId="56CA52D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转运</w:t>
            </w:r>
          </w:p>
        </w:tc>
        <w:tc>
          <w:tcPr>
            <w:tcW w:w="744" w:type="dxa"/>
            <w:vMerge w:val="continue"/>
            <w:noWrap w:val="0"/>
            <w:vAlign w:val="center"/>
          </w:tcPr>
          <w:p w14:paraId="12CC3E37">
            <w:pPr>
              <w:rPr>
                <w:rFonts w:ascii="Times New Roman" w:hAnsi="Times New Roman" w:eastAsia="宋体" w:cs="Times New Roman"/>
                <w:color w:val="auto"/>
                <w:sz w:val="21"/>
                <w:szCs w:val="21"/>
                <w:highlight w:val="none"/>
              </w:rPr>
            </w:pPr>
          </w:p>
        </w:tc>
        <w:tc>
          <w:tcPr>
            <w:tcW w:w="876" w:type="dxa"/>
            <w:vMerge w:val="continue"/>
            <w:noWrap w:val="0"/>
            <w:vAlign w:val="center"/>
          </w:tcPr>
          <w:p w14:paraId="67A590ED">
            <w:pP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委托有资质单位安全处置</w:t>
            </w:r>
          </w:p>
        </w:tc>
      </w:tr>
      <w:tr w14:paraId="425C7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jc w:val="center"/>
        </w:trPr>
        <w:tc>
          <w:tcPr>
            <w:tcW w:w="326" w:type="dxa"/>
            <w:noWrap w:val="0"/>
            <w:vAlign w:val="center"/>
          </w:tcPr>
          <w:p w14:paraId="4B76356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w:t>
            </w:r>
          </w:p>
        </w:tc>
        <w:tc>
          <w:tcPr>
            <w:tcW w:w="450" w:type="dxa"/>
            <w:shd w:val="clear" w:color="auto" w:fill="auto"/>
            <w:noWrap w:val="0"/>
            <w:vAlign w:val="center"/>
          </w:tcPr>
          <w:p w14:paraId="14B5D6B5">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废润滑油</w:t>
            </w:r>
          </w:p>
        </w:tc>
        <w:tc>
          <w:tcPr>
            <w:tcW w:w="685" w:type="dxa"/>
            <w:shd w:val="clear" w:color="auto" w:fill="auto"/>
            <w:noWrap w:val="0"/>
            <w:vAlign w:val="center"/>
          </w:tcPr>
          <w:p w14:paraId="69298AF5">
            <w:pPr>
              <w:wordWrap w:val="0"/>
              <w:jc w:val="center"/>
              <w:rPr>
                <w:rFonts w:ascii="Times New Roman" w:hAnsi="Times New Roman" w:eastAsia="宋体" w:cs="Times New Roman"/>
                <w:color w:val="auto"/>
                <w:kern w:val="0"/>
                <w:sz w:val="21"/>
                <w:szCs w:val="21"/>
                <w:lang w:val="en-US" w:eastAsia="zh-CN" w:bidi="ar-SA"/>
              </w:rPr>
            </w:pPr>
            <w:r>
              <w:rPr>
                <w:color w:val="auto"/>
                <w:kern w:val="0"/>
                <w:sz w:val="21"/>
                <w:szCs w:val="21"/>
              </w:rPr>
              <w:t>HW08</w:t>
            </w:r>
            <w:r>
              <w:rPr>
                <w:rFonts w:hint="eastAsia"/>
                <w:color w:val="auto"/>
                <w:kern w:val="0"/>
                <w:sz w:val="21"/>
                <w:szCs w:val="21"/>
              </w:rPr>
              <w:t>废矿物油与含矿物油废物</w:t>
            </w:r>
          </w:p>
        </w:tc>
        <w:tc>
          <w:tcPr>
            <w:tcW w:w="810" w:type="dxa"/>
            <w:shd w:val="clear" w:color="auto" w:fill="auto"/>
            <w:noWrap w:val="0"/>
            <w:vAlign w:val="center"/>
          </w:tcPr>
          <w:p w14:paraId="76AFF7C1">
            <w:pPr>
              <w:adjustRightInd w:val="0"/>
              <w:snapToGrid w:val="0"/>
              <w:spacing w:line="320" w:lineRule="exact"/>
              <w:jc w:val="center"/>
              <w:rPr>
                <w:rFonts w:ascii="Times New Roman" w:hAnsi="Times New Roman" w:eastAsia="宋体" w:cs="Times New Roman"/>
                <w:color w:val="auto"/>
                <w:kern w:val="0"/>
                <w:sz w:val="21"/>
                <w:szCs w:val="21"/>
                <w:lang w:val="en-US" w:eastAsia="zh-CN" w:bidi="ar-SA"/>
              </w:rPr>
            </w:pPr>
            <w:r>
              <w:rPr>
                <w:rFonts w:hint="eastAsia"/>
                <w:color w:val="auto"/>
                <w:sz w:val="21"/>
                <w:szCs w:val="21"/>
              </w:rPr>
              <w:t>900-214-08</w:t>
            </w:r>
          </w:p>
        </w:tc>
        <w:tc>
          <w:tcPr>
            <w:tcW w:w="457" w:type="dxa"/>
            <w:noWrap w:val="0"/>
            <w:vAlign w:val="center"/>
          </w:tcPr>
          <w:p w14:paraId="033F8DF2">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0.002</w:t>
            </w:r>
          </w:p>
        </w:tc>
        <w:tc>
          <w:tcPr>
            <w:tcW w:w="567" w:type="dxa"/>
            <w:shd w:val="clear" w:color="auto" w:fill="auto"/>
            <w:noWrap w:val="0"/>
            <w:vAlign w:val="center"/>
          </w:tcPr>
          <w:p w14:paraId="77174D8B">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430" w:type="dxa"/>
            <w:shd w:val="clear" w:color="auto" w:fill="auto"/>
            <w:noWrap w:val="0"/>
            <w:vAlign w:val="center"/>
          </w:tcPr>
          <w:p w14:paraId="155DE476">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液</w:t>
            </w:r>
          </w:p>
        </w:tc>
        <w:tc>
          <w:tcPr>
            <w:tcW w:w="770" w:type="dxa"/>
            <w:shd w:val="clear" w:color="auto" w:fill="auto"/>
            <w:noWrap w:val="0"/>
            <w:vAlign w:val="center"/>
          </w:tcPr>
          <w:p w14:paraId="74FCF882">
            <w:pPr>
              <w:keepNext w:val="0"/>
              <w:keepLines w:val="0"/>
              <w:widowControl/>
              <w:suppressLineNumbers w:val="0"/>
              <w:jc w:val="center"/>
              <w:textAlignment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废润滑油</w:t>
            </w:r>
          </w:p>
        </w:tc>
        <w:tc>
          <w:tcPr>
            <w:tcW w:w="614" w:type="dxa"/>
            <w:shd w:val="clear" w:color="auto" w:fill="auto"/>
            <w:noWrap w:val="0"/>
            <w:vAlign w:val="center"/>
          </w:tcPr>
          <w:p w14:paraId="4D930627">
            <w:pPr>
              <w:widowControl/>
              <w:jc w:val="center"/>
              <w:textAlignment w:val="center"/>
              <w:rPr>
                <w:rFonts w:ascii="Times New Roman" w:hAnsi="Times New Roman" w:eastAsia="宋体" w:cs="Times New Roman"/>
                <w:color w:val="auto"/>
                <w:kern w:val="0"/>
                <w:sz w:val="21"/>
                <w:szCs w:val="21"/>
                <w:lang w:val="en-US" w:eastAsia="zh-CN" w:bidi="ar-SA"/>
              </w:rPr>
            </w:pPr>
            <w:r>
              <w:rPr>
                <w:rFonts w:hint="eastAsia" w:ascii="宋体" w:hAnsi="宋体" w:cs="宋体"/>
                <w:color w:val="auto"/>
                <w:kern w:val="0"/>
                <w:sz w:val="21"/>
                <w:szCs w:val="21"/>
                <w:lang w:bidi="ar"/>
              </w:rPr>
              <w:t>润滑油</w:t>
            </w:r>
          </w:p>
        </w:tc>
        <w:tc>
          <w:tcPr>
            <w:tcW w:w="574" w:type="dxa"/>
            <w:shd w:val="clear" w:color="auto" w:fill="auto"/>
            <w:noWrap w:val="0"/>
            <w:vAlign w:val="center"/>
          </w:tcPr>
          <w:p w14:paraId="52216B86">
            <w:pPr>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T，I</w:t>
            </w:r>
          </w:p>
        </w:tc>
        <w:tc>
          <w:tcPr>
            <w:tcW w:w="548" w:type="dxa"/>
            <w:shd w:val="clear" w:color="auto" w:fill="auto"/>
            <w:noWrap w:val="0"/>
            <w:vAlign w:val="center"/>
          </w:tcPr>
          <w:p w14:paraId="5C6CA2A7">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桶装</w:t>
            </w:r>
          </w:p>
        </w:tc>
        <w:tc>
          <w:tcPr>
            <w:tcW w:w="365" w:type="dxa"/>
            <w:vMerge w:val="continue"/>
            <w:noWrap w:val="0"/>
            <w:vAlign w:val="center"/>
          </w:tcPr>
          <w:p w14:paraId="1824C094">
            <w:pPr>
              <w:jc w:val="center"/>
              <w:rPr>
                <w:rFonts w:ascii="Times New Roman" w:hAnsi="Times New Roman" w:eastAsia="宋体" w:cs="Times New Roman"/>
                <w:color w:val="auto"/>
                <w:sz w:val="21"/>
                <w:szCs w:val="21"/>
                <w:highlight w:val="none"/>
              </w:rPr>
            </w:pPr>
          </w:p>
        </w:tc>
        <w:tc>
          <w:tcPr>
            <w:tcW w:w="744" w:type="dxa"/>
            <w:vMerge w:val="continue"/>
            <w:noWrap w:val="0"/>
            <w:vAlign w:val="center"/>
          </w:tcPr>
          <w:p w14:paraId="1641B137">
            <w:pPr>
              <w:rPr>
                <w:rFonts w:ascii="Times New Roman" w:hAnsi="Times New Roman" w:eastAsia="宋体" w:cs="Times New Roman"/>
                <w:color w:val="auto"/>
                <w:sz w:val="21"/>
                <w:szCs w:val="21"/>
                <w:highlight w:val="none"/>
              </w:rPr>
            </w:pPr>
          </w:p>
        </w:tc>
        <w:tc>
          <w:tcPr>
            <w:tcW w:w="876" w:type="dxa"/>
            <w:vMerge w:val="continue"/>
            <w:noWrap w:val="0"/>
            <w:vAlign w:val="center"/>
          </w:tcPr>
          <w:p w14:paraId="08C848CA">
            <w:pPr>
              <w:rPr>
                <w:rFonts w:ascii="Times New Roman" w:hAnsi="Times New Roman" w:eastAsia="宋体" w:cs="Times New Roman"/>
                <w:color w:val="auto"/>
                <w:sz w:val="21"/>
                <w:szCs w:val="21"/>
                <w:highlight w:val="none"/>
              </w:rPr>
            </w:pPr>
          </w:p>
        </w:tc>
      </w:tr>
      <w:tr w14:paraId="5FB5F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567" w:hRule="atLeast"/>
          <w:jc w:val="center"/>
        </w:trPr>
        <w:tc>
          <w:tcPr>
            <w:tcW w:w="326" w:type="dxa"/>
            <w:noWrap w:val="0"/>
            <w:vAlign w:val="center"/>
          </w:tcPr>
          <w:p w14:paraId="35BEDC89">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450" w:type="dxa"/>
            <w:shd w:val="clear" w:color="auto" w:fill="auto"/>
            <w:noWrap w:val="0"/>
            <w:vAlign w:val="center"/>
          </w:tcPr>
          <w:p w14:paraId="1C77D1D3">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废抹布</w:t>
            </w:r>
          </w:p>
        </w:tc>
        <w:tc>
          <w:tcPr>
            <w:tcW w:w="685" w:type="dxa"/>
            <w:shd w:val="clear" w:color="auto" w:fill="auto"/>
            <w:noWrap w:val="0"/>
            <w:vAlign w:val="center"/>
          </w:tcPr>
          <w:p w14:paraId="1278400D">
            <w:pPr>
              <w:jc w:val="center"/>
              <w:rPr>
                <w:rFonts w:ascii="Times New Roman" w:hAnsi="Times New Roman" w:eastAsia="宋体" w:cs="Times New Roman"/>
                <w:color w:val="auto"/>
                <w:kern w:val="0"/>
                <w:sz w:val="21"/>
                <w:szCs w:val="21"/>
                <w:lang w:val="en-US" w:eastAsia="zh-CN" w:bidi="ar-SA"/>
              </w:rPr>
            </w:pPr>
            <w:r>
              <w:rPr>
                <w:rFonts w:hint="eastAsia"/>
                <w:color w:val="auto"/>
                <w:kern w:val="0"/>
                <w:sz w:val="21"/>
                <w:szCs w:val="21"/>
              </w:rPr>
              <w:t>H</w:t>
            </w:r>
            <w:r>
              <w:rPr>
                <w:color w:val="auto"/>
                <w:kern w:val="0"/>
                <w:sz w:val="21"/>
                <w:szCs w:val="21"/>
              </w:rPr>
              <w:t>W49</w:t>
            </w:r>
            <w:r>
              <w:rPr>
                <w:rFonts w:hint="eastAsia"/>
                <w:color w:val="auto"/>
                <w:kern w:val="0"/>
                <w:sz w:val="21"/>
                <w:szCs w:val="21"/>
              </w:rPr>
              <w:t>其他废物</w:t>
            </w:r>
          </w:p>
        </w:tc>
        <w:tc>
          <w:tcPr>
            <w:tcW w:w="810" w:type="dxa"/>
            <w:shd w:val="clear" w:color="auto" w:fill="auto"/>
            <w:noWrap w:val="0"/>
            <w:vAlign w:val="center"/>
          </w:tcPr>
          <w:p w14:paraId="7AF9047B">
            <w:pPr>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900-041-49</w:t>
            </w:r>
          </w:p>
        </w:tc>
        <w:tc>
          <w:tcPr>
            <w:tcW w:w="457" w:type="dxa"/>
            <w:noWrap w:val="0"/>
            <w:vAlign w:val="center"/>
          </w:tcPr>
          <w:p w14:paraId="18FAA55C">
            <w:pPr>
              <w:adjustRightInd w:val="0"/>
              <w:snapToGrid w:val="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0.01</w:t>
            </w:r>
          </w:p>
        </w:tc>
        <w:tc>
          <w:tcPr>
            <w:tcW w:w="567" w:type="dxa"/>
            <w:shd w:val="clear" w:color="auto" w:fill="auto"/>
            <w:noWrap w:val="0"/>
            <w:vAlign w:val="center"/>
          </w:tcPr>
          <w:p w14:paraId="1717ABC0">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430" w:type="dxa"/>
            <w:shd w:val="clear" w:color="auto" w:fill="auto"/>
            <w:noWrap w:val="0"/>
            <w:vAlign w:val="center"/>
          </w:tcPr>
          <w:p w14:paraId="24C4EC0D">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固</w:t>
            </w:r>
          </w:p>
        </w:tc>
        <w:tc>
          <w:tcPr>
            <w:tcW w:w="770" w:type="dxa"/>
            <w:shd w:val="clear" w:color="auto" w:fill="auto"/>
            <w:noWrap w:val="0"/>
            <w:vAlign w:val="center"/>
          </w:tcPr>
          <w:p w14:paraId="2F400A38">
            <w:pPr>
              <w:keepNext w:val="0"/>
              <w:keepLines w:val="0"/>
              <w:widowControl/>
              <w:suppressLineNumbers w:val="0"/>
              <w:jc w:val="center"/>
              <w:textAlignment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油类物质、抹布</w:t>
            </w:r>
          </w:p>
        </w:tc>
        <w:tc>
          <w:tcPr>
            <w:tcW w:w="614" w:type="dxa"/>
            <w:shd w:val="clear" w:color="auto" w:fill="auto"/>
            <w:noWrap w:val="0"/>
            <w:vAlign w:val="center"/>
          </w:tcPr>
          <w:p w14:paraId="36A1AC8A">
            <w:pPr>
              <w:pStyle w:val="4"/>
              <w:ind w:left="0" w:leftChars="0" w:firstLine="0" w:firstLineChars="0"/>
              <w:jc w:val="center"/>
              <w:rPr>
                <w:rFonts w:ascii="Arial" w:hAnsi="Arial" w:eastAsia="宋体" w:cs="Times New Roman"/>
                <w:color w:val="auto"/>
                <w:kern w:val="2"/>
                <w:sz w:val="21"/>
                <w:szCs w:val="21"/>
                <w:lang w:val="en-US" w:eastAsia="zh-CN" w:bidi="ar-SA"/>
              </w:rPr>
            </w:pPr>
            <w:r>
              <w:rPr>
                <w:rFonts w:hint="eastAsia" w:ascii="宋体" w:hAnsi="宋体" w:cs="宋体"/>
                <w:color w:val="auto"/>
                <w:kern w:val="0"/>
                <w:sz w:val="21"/>
                <w:szCs w:val="21"/>
                <w:lang w:val="en-US" w:bidi="ar"/>
              </w:rPr>
              <w:t>油类物质</w:t>
            </w:r>
          </w:p>
        </w:tc>
        <w:tc>
          <w:tcPr>
            <w:tcW w:w="574" w:type="dxa"/>
            <w:shd w:val="clear" w:color="auto" w:fill="auto"/>
            <w:noWrap w:val="0"/>
            <w:vAlign w:val="center"/>
          </w:tcPr>
          <w:p w14:paraId="5789D031">
            <w:pPr>
              <w:widowControl/>
              <w:jc w:val="center"/>
              <w:textAlignment w:val="center"/>
              <w:rPr>
                <w:rFonts w:ascii="Times New Roman" w:hAnsi="Times New Roman" w:eastAsia="宋体" w:cs="Times New Roman"/>
                <w:color w:val="auto"/>
                <w:kern w:val="0"/>
                <w:sz w:val="21"/>
                <w:szCs w:val="21"/>
                <w:lang w:val="en-US" w:eastAsia="zh-CN" w:bidi="ar-SA"/>
              </w:rPr>
            </w:pPr>
            <w:r>
              <w:rPr>
                <w:color w:val="auto"/>
                <w:kern w:val="0"/>
                <w:sz w:val="21"/>
                <w:szCs w:val="21"/>
                <w:lang w:bidi="ar"/>
              </w:rPr>
              <w:t>T/In</w:t>
            </w:r>
          </w:p>
        </w:tc>
        <w:tc>
          <w:tcPr>
            <w:tcW w:w="548" w:type="dxa"/>
            <w:shd w:val="clear" w:color="auto" w:fill="auto"/>
            <w:noWrap w:val="0"/>
            <w:vAlign w:val="center"/>
          </w:tcPr>
          <w:p w14:paraId="4646D7C9">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袋装</w:t>
            </w:r>
          </w:p>
        </w:tc>
        <w:tc>
          <w:tcPr>
            <w:tcW w:w="365" w:type="dxa"/>
            <w:vMerge w:val="continue"/>
            <w:noWrap w:val="0"/>
            <w:vAlign w:val="center"/>
          </w:tcPr>
          <w:p w14:paraId="699C3687">
            <w:pPr>
              <w:jc w:val="center"/>
              <w:rPr>
                <w:rFonts w:ascii="Times New Roman" w:hAnsi="Times New Roman" w:eastAsia="宋体" w:cs="Times New Roman"/>
                <w:color w:val="auto"/>
                <w:sz w:val="21"/>
                <w:szCs w:val="21"/>
                <w:highlight w:val="none"/>
              </w:rPr>
            </w:pPr>
          </w:p>
        </w:tc>
        <w:tc>
          <w:tcPr>
            <w:tcW w:w="744" w:type="dxa"/>
            <w:vMerge w:val="continue"/>
            <w:noWrap w:val="0"/>
            <w:vAlign w:val="center"/>
          </w:tcPr>
          <w:p w14:paraId="41A5FE57">
            <w:pPr>
              <w:rPr>
                <w:rFonts w:ascii="Times New Roman" w:hAnsi="Times New Roman" w:eastAsia="宋体" w:cs="Times New Roman"/>
                <w:color w:val="auto"/>
                <w:sz w:val="21"/>
                <w:szCs w:val="21"/>
                <w:highlight w:val="none"/>
              </w:rPr>
            </w:pPr>
          </w:p>
        </w:tc>
        <w:tc>
          <w:tcPr>
            <w:tcW w:w="876" w:type="dxa"/>
            <w:vMerge w:val="continue"/>
            <w:noWrap w:val="0"/>
            <w:vAlign w:val="center"/>
          </w:tcPr>
          <w:p w14:paraId="50E26926">
            <w:pPr>
              <w:rPr>
                <w:rFonts w:ascii="Times New Roman" w:hAnsi="Times New Roman" w:eastAsia="宋体" w:cs="Times New Roman"/>
                <w:color w:val="auto"/>
                <w:sz w:val="21"/>
                <w:szCs w:val="21"/>
                <w:highlight w:val="none"/>
              </w:rPr>
            </w:pPr>
          </w:p>
        </w:tc>
      </w:tr>
    </w:tbl>
    <w:p w14:paraId="69737145">
      <w:pPr>
        <w:pStyle w:val="20"/>
        <w:numPr>
          <w:ilvl w:val="0"/>
          <w:numId w:val="6"/>
        </w:numPr>
        <w:spacing w:before="156"/>
        <w:rPr>
          <w:rFonts w:ascii="Times New Roman" w:hAnsi="Times New Roman" w:eastAsia="宋体" w:cs="Times New Roman"/>
          <w:b/>
          <w:bCs/>
          <w:color w:val="auto"/>
          <w:spacing w:val="-10"/>
          <w:sz w:val="21"/>
          <w:szCs w:val="21"/>
          <w:highlight w:val="none"/>
        </w:rPr>
      </w:pPr>
      <w:r>
        <w:rPr>
          <w:rFonts w:ascii="Times New Roman" w:hAnsi="Times New Roman" w:eastAsia="宋体" w:cs="Times New Roman"/>
          <w:b/>
          <w:bCs/>
          <w:color w:val="auto"/>
          <w:spacing w:val="-10"/>
          <w:sz w:val="21"/>
          <w:szCs w:val="21"/>
          <w:highlight w:val="none"/>
        </w:rPr>
        <w:t>项目固废污染源源强核算结果及相关参数一览表</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1"/>
        <w:gridCol w:w="1010"/>
        <w:gridCol w:w="803"/>
        <w:gridCol w:w="1270"/>
        <w:gridCol w:w="1001"/>
        <w:gridCol w:w="883"/>
        <w:gridCol w:w="1001"/>
        <w:gridCol w:w="1427"/>
      </w:tblGrid>
      <w:tr w14:paraId="00DB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vMerge w:val="restart"/>
            <w:noWrap w:val="0"/>
            <w:vAlign w:val="center"/>
          </w:tcPr>
          <w:p w14:paraId="613D9BBC">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工序/生产线</w:t>
            </w:r>
          </w:p>
        </w:tc>
        <w:tc>
          <w:tcPr>
            <w:tcW w:w="1010" w:type="dxa"/>
            <w:vMerge w:val="restart"/>
            <w:noWrap w:val="0"/>
            <w:vAlign w:val="center"/>
          </w:tcPr>
          <w:p w14:paraId="7CFF7518">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固体废物名称</w:t>
            </w:r>
          </w:p>
        </w:tc>
        <w:tc>
          <w:tcPr>
            <w:tcW w:w="803" w:type="dxa"/>
            <w:vMerge w:val="restart"/>
            <w:noWrap w:val="0"/>
            <w:vAlign w:val="center"/>
          </w:tcPr>
          <w:p w14:paraId="274111DA">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固废属性</w:t>
            </w:r>
          </w:p>
        </w:tc>
        <w:tc>
          <w:tcPr>
            <w:tcW w:w="2271" w:type="dxa"/>
            <w:gridSpan w:val="2"/>
            <w:noWrap w:val="0"/>
            <w:vAlign w:val="center"/>
          </w:tcPr>
          <w:p w14:paraId="583531FC">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产生情况</w:t>
            </w:r>
          </w:p>
        </w:tc>
        <w:tc>
          <w:tcPr>
            <w:tcW w:w="1884" w:type="dxa"/>
            <w:gridSpan w:val="2"/>
            <w:noWrap w:val="0"/>
            <w:vAlign w:val="center"/>
          </w:tcPr>
          <w:p w14:paraId="745ACA84">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处置措施</w:t>
            </w:r>
          </w:p>
        </w:tc>
        <w:tc>
          <w:tcPr>
            <w:tcW w:w="1427" w:type="dxa"/>
            <w:vMerge w:val="restart"/>
            <w:noWrap w:val="0"/>
            <w:vAlign w:val="center"/>
          </w:tcPr>
          <w:p w14:paraId="0469D520">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最终去向</w:t>
            </w:r>
          </w:p>
        </w:tc>
      </w:tr>
      <w:tr w14:paraId="6F082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vMerge w:val="continue"/>
            <w:noWrap w:val="0"/>
            <w:vAlign w:val="center"/>
          </w:tcPr>
          <w:p w14:paraId="32680647">
            <w:pPr>
              <w:autoSpaceDE w:val="0"/>
              <w:autoSpaceDN w:val="0"/>
              <w:adjustRightInd w:val="0"/>
              <w:jc w:val="center"/>
              <w:rPr>
                <w:rFonts w:ascii="Times New Roman" w:hAnsi="Times New Roman" w:eastAsia="宋体" w:cs="Times New Roman"/>
                <w:color w:val="auto"/>
                <w:sz w:val="21"/>
                <w:szCs w:val="21"/>
                <w:highlight w:val="none"/>
              </w:rPr>
            </w:pPr>
          </w:p>
        </w:tc>
        <w:tc>
          <w:tcPr>
            <w:tcW w:w="1010" w:type="dxa"/>
            <w:vMerge w:val="continue"/>
            <w:noWrap w:val="0"/>
            <w:vAlign w:val="center"/>
          </w:tcPr>
          <w:p w14:paraId="1A98E75B">
            <w:pPr>
              <w:autoSpaceDE w:val="0"/>
              <w:autoSpaceDN w:val="0"/>
              <w:adjustRightInd w:val="0"/>
              <w:jc w:val="center"/>
              <w:rPr>
                <w:rFonts w:ascii="Times New Roman" w:hAnsi="Times New Roman" w:eastAsia="宋体" w:cs="Times New Roman"/>
                <w:color w:val="auto"/>
                <w:sz w:val="21"/>
                <w:szCs w:val="21"/>
                <w:highlight w:val="none"/>
              </w:rPr>
            </w:pPr>
          </w:p>
        </w:tc>
        <w:tc>
          <w:tcPr>
            <w:tcW w:w="803" w:type="dxa"/>
            <w:vMerge w:val="continue"/>
            <w:noWrap w:val="0"/>
            <w:vAlign w:val="center"/>
          </w:tcPr>
          <w:p w14:paraId="354EBED7">
            <w:pPr>
              <w:autoSpaceDE w:val="0"/>
              <w:autoSpaceDN w:val="0"/>
              <w:adjustRightInd w:val="0"/>
              <w:jc w:val="center"/>
              <w:rPr>
                <w:rFonts w:ascii="Times New Roman" w:hAnsi="Times New Roman" w:eastAsia="宋体" w:cs="Times New Roman"/>
                <w:color w:val="auto"/>
                <w:sz w:val="21"/>
                <w:szCs w:val="21"/>
                <w:highlight w:val="none"/>
              </w:rPr>
            </w:pPr>
          </w:p>
        </w:tc>
        <w:tc>
          <w:tcPr>
            <w:tcW w:w="1270" w:type="dxa"/>
            <w:noWrap w:val="0"/>
            <w:vAlign w:val="center"/>
          </w:tcPr>
          <w:p w14:paraId="3A3CCD93">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核算方法</w:t>
            </w:r>
          </w:p>
        </w:tc>
        <w:tc>
          <w:tcPr>
            <w:tcW w:w="1001" w:type="dxa"/>
            <w:noWrap w:val="0"/>
            <w:vAlign w:val="center"/>
          </w:tcPr>
          <w:p w14:paraId="0BD5391C">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产生量（t/a）</w:t>
            </w:r>
          </w:p>
        </w:tc>
        <w:tc>
          <w:tcPr>
            <w:tcW w:w="883" w:type="dxa"/>
            <w:noWrap w:val="0"/>
            <w:vAlign w:val="center"/>
          </w:tcPr>
          <w:p w14:paraId="7DBAA990">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工艺</w:t>
            </w:r>
          </w:p>
        </w:tc>
        <w:tc>
          <w:tcPr>
            <w:tcW w:w="1001" w:type="dxa"/>
            <w:noWrap w:val="0"/>
            <w:vAlign w:val="center"/>
          </w:tcPr>
          <w:p w14:paraId="7D005929">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处置量/（t/a）</w:t>
            </w:r>
          </w:p>
        </w:tc>
        <w:tc>
          <w:tcPr>
            <w:tcW w:w="1427" w:type="dxa"/>
            <w:vMerge w:val="continue"/>
            <w:noWrap w:val="0"/>
            <w:vAlign w:val="center"/>
          </w:tcPr>
          <w:p w14:paraId="5295DF48">
            <w:pPr>
              <w:autoSpaceDE w:val="0"/>
              <w:autoSpaceDN w:val="0"/>
              <w:adjustRightInd w:val="0"/>
              <w:jc w:val="center"/>
              <w:rPr>
                <w:rFonts w:ascii="Times New Roman" w:hAnsi="Times New Roman" w:eastAsia="宋体" w:cs="Times New Roman"/>
                <w:color w:val="auto"/>
                <w:sz w:val="21"/>
                <w:szCs w:val="21"/>
                <w:highlight w:val="none"/>
              </w:rPr>
            </w:pPr>
          </w:p>
        </w:tc>
      </w:tr>
      <w:tr w14:paraId="390B5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noWrap w:val="0"/>
            <w:vAlign w:val="center"/>
          </w:tcPr>
          <w:p w14:paraId="01B8ABB7">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原料使用</w:t>
            </w:r>
          </w:p>
        </w:tc>
        <w:tc>
          <w:tcPr>
            <w:tcW w:w="1010" w:type="dxa"/>
            <w:noWrap w:val="0"/>
            <w:vAlign w:val="center"/>
          </w:tcPr>
          <w:p w14:paraId="7BE9A78E">
            <w:pPr>
              <w:keepNext/>
              <w:keepLines/>
              <w:numPr>
                <w:ilvl w:val="0"/>
                <w:numId w:val="0"/>
              </w:numPr>
              <w:spacing w:line="240" w:lineRule="auto"/>
              <w:ind w:left="0" w:leftChars="0" w:firstLine="0" w:firstLineChars="0"/>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废包装袋</w:t>
            </w:r>
          </w:p>
        </w:tc>
        <w:tc>
          <w:tcPr>
            <w:tcW w:w="803" w:type="dxa"/>
            <w:noWrap w:val="0"/>
            <w:vAlign w:val="center"/>
          </w:tcPr>
          <w:p w14:paraId="2025A6A1">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一般固废</w:t>
            </w:r>
          </w:p>
        </w:tc>
        <w:tc>
          <w:tcPr>
            <w:tcW w:w="1270" w:type="dxa"/>
            <w:noWrap w:val="0"/>
            <w:vAlign w:val="center"/>
          </w:tcPr>
          <w:p w14:paraId="1C853DA5">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产污系数法</w:t>
            </w:r>
          </w:p>
        </w:tc>
        <w:tc>
          <w:tcPr>
            <w:tcW w:w="1001" w:type="dxa"/>
            <w:noWrap w:val="0"/>
            <w:vAlign w:val="center"/>
          </w:tcPr>
          <w:p w14:paraId="72CBAD03">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40</w:t>
            </w:r>
          </w:p>
        </w:tc>
        <w:tc>
          <w:tcPr>
            <w:tcW w:w="883" w:type="dxa"/>
            <w:noWrap w:val="0"/>
            <w:vAlign w:val="center"/>
          </w:tcPr>
          <w:p w14:paraId="0E5AB484">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资源化</w:t>
            </w:r>
          </w:p>
        </w:tc>
        <w:tc>
          <w:tcPr>
            <w:tcW w:w="1001" w:type="dxa"/>
            <w:noWrap w:val="0"/>
            <w:vAlign w:val="center"/>
          </w:tcPr>
          <w:p w14:paraId="1AB4510B">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40</w:t>
            </w:r>
          </w:p>
        </w:tc>
        <w:tc>
          <w:tcPr>
            <w:tcW w:w="1427" w:type="dxa"/>
            <w:vMerge w:val="restart"/>
            <w:noWrap w:val="0"/>
            <w:vAlign w:val="center"/>
          </w:tcPr>
          <w:p w14:paraId="5DB475C8">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外售物资回收公司综合利用</w:t>
            </w:r>
          </w:p>
        </w:tc>
      </w:tr>
      <w:tr w14:paraId="7B2C3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noWrap w:val="0"/>
            <w:vAlign w:val="center"/>
          </w:tcPr>
          <w:p w14:paraId="3E276B66">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熔融、挤出</w:t>
            </w:r>
          </w:p>
        </w:tc>
        <w:tc>
          <w:tcPr>
            <w:tcW w:w="1010" w:type="dxa"/>
            <w:noWrap w:val="0"/>
            <w:vAlign w:val="center"/>
          </w:tcPr>
          <w:p w14:paraId="038E77A3">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废过滤网</w:t>
            </w:r>
          </w:p>
        </w:tc>
        <w:tc>
          <w:tcPr>
            <w:tcW w:w="803" w:type="dxa"/>
            <w:noWrap w:val="0"/>
            <w:vAlign w:val="center"/>
          </w:tcPr>
          <w:p w14:paraId="60E86CA3">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一般固废</w:t>
            </w:r>
          </w:p>
        </w:tc>
        <w:tc>
          <w:tcPr>
            <w:tcW w:w="1270" w:type="dxa"/>
            <w:noWrap w:val="0"/>
            <w:vAlign w:val="center"/>
          </w:tcPr>
          <w:p w14:paraId="45F6A275">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产污系数法</w:t>
            </w:r>
          </w:p>
        </w:tc>
        <w:tc>
          <w:tcPr>
            <w:tcW w:w="1001" w:type="dxa"/>
            <w:noWrap w:val="0"/>
            <w:vAlign w:val="center"/>
          </w:tcPr>
          <w:p w14:paraId="0A2BDCC3">
            <w:pPr>
              <w:adjustRightInd w:val="0"/>
              <w:snapToGrid w:val="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0.4</w:t>
            </w:r>
          </w:p>
        </w:tc>
        <w:tc>
          <w:tcPr>
            <w:tcW w:w="883" w:type="dxa"/>
            <w:noWrap w:val="0"/>
            <w:vAlign w:val="center"/>
          </w:tcPr>
          <w:p w14:paraId="2785DBBF">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资源化</w:t>
            </w:r>
          </w:p>
        </w:tc>
        <w:tc>
          <w:tcPr>
            <w:tcW w:w="1001" w:type="dxa"/>
            <w:noWrap w:val="0"/>
            <w:vAlign w:val="center"/>
          </w:tcPr>
          <w:p w14:paraId="21833915">
            <w:pPr>
              <w:adjustRightInd w:val="0"/>
              <w:snapToGrid w:val="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0.4</w:t>
            </w:r>
          </w:p>
        </w:tc>
        <w:tc>
          <w:tcPr>
            <w:tcW w:w="1427" w:type="dxa"/>
            <w:vMerge w:val="continue"/>
            <w:noWrap w:val="0"/>
            <w:vAlign w:val="center"/>
          </w:tcPr>
          <w:p w14:paraId="7DE045CA">
            <w:pPr>
              <w:autoSpaceDE w:val="0"/>
              <w:autoSpaceDN w:val="0"/>
              <w:adjustRightInd w:val="0"/>
              <w:jc w:val="center"/>
              <w:rPr>
                <w:rFonts w:ascii="Times New Roman" w:hAnsi="Times New Roman" w:eastAsia="宋体" w:cs="Times New Roman"/>
                <w:color w:val="auto"/>
                <w:sz w:val="21"/>
                <w:szCs w:val="21"/>
                <w:highlight w:val="none"/>
              </w:rPr>
            </w:pPr>
          </w:p>
        </w:tc>
      </w:tr>
      <w:tr w14:paraId="1253A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noWrap w:val="0"/>
            <w:vAlign w:val="center"/>
          </w:tcPr>
          <w:p w14:paraId="07764B43">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1010" w:type="dxa"/>
            <w:noWrap w:val="0"/>
            <w:vAlign w:val="center"/>
          </w:tcPr>
          <w:p w14:paraId="35A6680B">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废活性炭</w:t>
            </w:r>
          </w:p>
        </w:tc>
        <w:tc>
          <w:tcPr>
            <w:tcW w:w="803" w:type="dxa"/>
            <w:noWrap w:val="0"/>
            <w:vAlign w:val="center"/>
          </w:tcPr>
          <w:p w14:paraId="5C481493">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危险废物</w:t>
            </w:r>
          </w:p>
        </w:tc>
        <w:tc>
          <w:tcPr>
            <w:tcW w:w="1270" w:type="dxa"/>
            <w:noWrap w:val="0"/>
            <w:vAlign w:val="center"/>
          </w:tcPr>
          <w:p w14:paraId="3FC50D94">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产污系数法</w:t>
            </w:r>
          </w:p>
        </w:tc>
        <w:tc>
          <w:tcPr>
            <w:tcW w:w="1001" w:type="dxa"/>
            <w:shd w:val="clear" w:color="auto" w:fill="auto"/>
            <w:noWrap w:val="0"/>
            <w:vAlign w:val="center"/>
          </w:tcPr>
          <w:p w14:paraId="1A236CC1">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w:t>
            </w:r>
          </w:p>
        </w:tc>
        <w:tc>
          <w:tcPr>
            <w:tcW w:w="883" w:type="dxa"/>
            <w:noWrap w:val="0"/>
            <w:vAlign w:val="center"/>
          </w:tcPr>
          <w:p w14:paraId="4DC06177">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无害化</w:t>
            </w:r>
          </w:p>
        </w:tc>
        <w:tc>
          <w:tcPr>
            <w:tcW w:w="1001" w:type="dxa"/>
            <w:shd w:val="clear" w:color="auto" w:fill="auto"/>
            <w:noWrap w:val="0"/>
            <w:vAlign w:val="center"/>
          </w:tcPr>
          <w:p w14:paraId="5D64D202">
            <w:pPr>
              <w:adjustRightInd w:val="0"/>
              <w:snapToGrid w:val="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w:t>
            </w:r>
          </w:p>
        </w:tc>
        <w:tc>
          <w:tcPr>
            <w:tcW w:w="1427" w:type="dxa"/>
            <w:vMerge w:val="restart"/>
            <w:noWrap w:val="0"/>
            <w:vAlign w:val="center"/>
          </w:tcPr>
          <w:p w14:paraId="577D311B">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委托有资质单位处置</w:t>
            </w:r>
          </w:p>
        </w:tc>
      </w:tr>
      <w:tr w14:paraId="33148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noWrap w:val="0"/>
            <w:vAlign w:val="center"/>
          </w:tcPr>
          <w:p w14:paraId="4899947E">
            <w:pPr>
              <w:spacing w:line="240" w:lineRule="auto"/>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废气</w:t>
            </w:r>
            <w:r>
              <w:rPr>
                <w:rFonts w:hint="eastAsia" w:ascii="Times New Roman" w:hAnsi="Times New Roman" w:eastAsia="宋体" w:cs="Times New Roman"/>
                <w:bCs/>
                <w:color w:val="auto"/>
                <w:sz w:val="21"/>
                <w:szCs w:val="21"/>
                <w:highlight w:val="none"/>
                <w:lang w:val="en-US" w:eastAsia="zh-CN"/>
              </w:rPr>
              <w:t>处</w:t>
            </w:r>
            <w:r>
              <w:rPr>
                <w:rFonts w:ascii="Times New Roman" w:hAnsi="Times New Roman" w:eastAsia="宋体" w:cs="Times New Roman"/>
                <w:bCs/>
                <w:color w:val="auto"/>
                <w:sz w:val="21"/>
                <w:szCs w:val="21"/>
                <w:highlight w:val="none"/>
              </w:rPr>
              <w:t>理</w:t>
            </w:r>
          </w:p>
        </w:tc>
        <w:tc>
          <w:tcPr>
            <w:tcW w:w="1010" w:type="dxa"/>
            <w:noWrap w:val="0"/>
            <w:vAlign w:val="center"/>
          </w:tcPr>
          <w:p w14:paraId="3B8258C1">
            <w:pPr>
              <w:spacing w:line="240" w:lineRule="auto"/>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803" w:type="dxa"/>
            <w:noWrap w:val="0"/>
            <w:vAlign w:val="center"/>
          </w:tcPr>
          <w:p w14:paraId="6909B8F9">
            <w:pPr>
              <w:autoSpaceDE w:val="0"/>
              <w:autoSpaceDN w:val="0"/>
              <w:adjustRightInd w:val="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危险废物</w:t>
            </w:r>
          </w:p>
        </w:tc>
        <w:tc>
          <w:tcPr>
            <w:tcW w:w="1270" w:type="dxa"/>
            <w:noWrap w:val="0"/>
            <w:vAlign w:val="center"/>
          </w:tcPr>
          <w:p w14:paraId="455815E8">
            <w:pPr>
              <w:autoSpaceDE w:val="0"/>
              <w:autoSpaceDN w:val="0"/>
              <w:adjustRightInd w:val="0"/>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产污系数法</w:t>
            </w:r>
          </w:p>
        </w:tc>
        <w:tc>
          <w:tcPr>
            <w:tcW w:w="1001" w:type="dxa"/>
            <w:shd w:val="clear" w:color="auto" w:fill="auto"/>
            <w:noWrap w:val="0"/>
            <w:vAlign w:val="center"/>
          </w:tcPr>
          <w:p w14:paraId="5A9495BA">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0.05</w:t>
            </w:r>
          </w:p>
        </w:tc>
        <w:tc>
          <w:tcPr>
            <w:tcW w:w="883" w:type="dxa"/>
            <w:noWrap w:val="0"/>
            <w:vAlign w:val="center"/>
          </w:tcPr>
          <w:p w14:paraId="29C2C579">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无害化</w:t>
            </w:r>
          </w:p>
        </w:tc>
        <w:tc>
          <w:tcPr>
            <w:tcW w:w="1001" w:type="dxa"/>
            <w:shd w:val="clear" w:color="auto" w:fill="auto"/>
            <w:noWrap w:val="0"/>
            <w:vAlign w:val="center"/>
          </w:tcPr>
          <w:p w14:paraId="2F985F44">
            <w:pPr>
              <w:adjustRightInd w:val="0"/>
              <w:snapToGrid w:val="0"/>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0.05</w:t>
            </w:r>
          </w:p>
        </w:tc>
        <w:tc>
          <w:tcPr>
            <w:tcW w:w="1427" w:type="dxa"/>
            <w:vMerge w:val="continue"/>
            <w:noWrap w:val="0"/>
            <w:vAlign w:val="center"/>
          </w:tcPr>
          <w:p w14:paraId="53D8A63A">
            <w:pPr>
              <w:autoSpaceDE w:val="0"/>
              <w:autoSpaceDN w:val="0"/>
              <w:adjustRightInd w:val="0"/>
              <w:jc w:val="center"/>
              <w:rPr>
                <w:rFonts w:hint="eastAsia" w:ascii="Times New Roman" w:hAnsi="Times New Roman" w:eastAsia="宋体" w:cs="Times New Roman"/>
                <w:color w:val="auto"/>
                <w:sz w:val="21"/>
                <w:szCs w:val="21"/>
                <w:highlight w:val="none"/>
              </w:rPr>
            </w:pPr>
          </w:p>
        </w:tc>
      </w:tr>
      <w:tr w14:paraId="6EF41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shd w:val="clear" w:color="auto" w:fill="auto"/>
            <w:noWrap w:val="0"/>
            <w:vAlign w:val="center"/>
          </w:tcPr>
          <w:p w14:paraId="79B66836">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1010" w:type="dxa"/>
            <w:shd w:val="clear" w:color="auto" w:fill="auto"/>
            <w:noWrap w:val="0"/>
            <w:vAlign w:val="center"/>
          </w:tcPr>
          <w:p w14:paraId="5106A780">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废润滑油</w:t>
            </w:r>
          </w:p>
        </w:tc>
        <w:tc>
          <w:tcPr>
            <w:tcW w:w="803" w:type="dxa"/>
            <w:shd w:val="clear" w:color="auto" w:fill="auto"/>
            <w:noWrap w:val="0"/>
            <w:vAlign w:val="center"/>
          </w:tcPr>
          <w:p w14:paraId="61578146">
            <w:pPr>
              <w:autoSpaceDE w:val="0"/>
              <w:autoSpaceDN w:val="0"/>
              <w:adjustRightIn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危险废物</w:t>
            </w:r>
          </w:p>
        </w:tc>
        <w:tc>
          <w:tcPr>
            <w:tcW w:w="1270" w:type="dxa"/>
            <w:shd w:val="clear" w:color="auto" w:fill="auto"/>
            <w:noWrap w:val="0"/>
            <w:vAlign w:val="center"/>
          </w:tcPr>
          <w:p w14:paraId="4E808085">
            <w:pPr>
              <w:autoSpaceDE w:val="0"/>
              <w:autoSpaceDN w:val="0"/>
              <w:adjustRightInd w:val="0"/>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产污系数法</w:t>
            </w:r>
          </w:p>
        </w:tc>
        <w:tc>
          <w:tcPr>
            <w:tcW w:w="1001" w:type="dxa"/>
            <w:shd w:val="clear" w:color="auto" w:fill="auto"/>
            <w:noWrap w:val="0"/>
            <w:vAlign w:val="center"/>
          </w:tcPr>
          <w:p w14:paraId="4CC8C533">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0.002</w:t>
            </w:r>
          </w:p>
        </w:tc>
        <w:tc>
          <w:tcPr>
            <w:tcW w:w="883" w:type="dxa"/>
            <w:noWrap w:val="0"/>
            <w:vAlign w:val="center"/>
          </w:tcPr>
          <w:p w14:paraId="0F7C5ED0">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无害化</w:t>
            </w:r>
          </w:p>
        </w:tc>
        <w:tc>
          <w:tcPr>
            <w:tcW w:w="1001" w:type="dxa"/>
            <w:shd w:val="clear" w:color="auto" w:fill="auto"/>
            <w:noWrap w:val="0"/>
            <w:vAlign w:val="center"/>
          </w:tcPr>
          <w:p w14:paraId="0023F99F">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0.002</w:t>
            </w:r>
          </w:p>
        </w:tc>
        <w:tc>
          <w:tcPr>
            <w:tcW w:w="1427" w:type="dxa"/>
            <w:vMerge w:val="continue"/>
            <w:noWrap w:val="0"/>
            <w:vAlign w:val="center"/>
          </w:tcPr>
          <w:p w14:paraId="436BF38C">
            <w:pPr>
              <w:autoSpaceDE w:val="0"/>
              <w:autoSpaceDN w:val="0"/>
              <w:adjustRightInd w:val="0"/>
              <w:jc w:val="center"/>
              <w:rPr>
                <w:rFonts w:hint="eastAsia" w:ascii="Times New Roman" w:hAnsi="Times New Roman" w:eastAsia="宋体" w:cs="Times New Roman"/>
                <w:color w:val="auto"/>
                <w:sz w:val="21"/>
                <w:szCs w:val="21"/>
                <w:highlight w:val="none"/>
              </w:rPr>
            </w:pPr>
          </w:p>
        </w:tc>
      </w:tr>
      <w:tr w14:paraId="1C547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shd w:val="clear" w:color="auto" w:fill="auto"/>
            <w:noWrap w:val="0"/>
            <w:vAlign w:val="center"/>
          </w:tcPr>
          <w:p w14:paraId="1651D7B5">
            <w:pPr>
              <w:keepNext w:val="0"/>
              <w:keepLines w:val="0"/>
              <w:widowControl/>
              <w:suppressLineNumbers w:val="0"/>
              <w:jc w:val="center"/>
              <w:textAlignment w:val="center"/>
              <w:rPr>
                <w:rFonts w:ascii="Times New Roman" w:hAnsi="Times New Roman" w:eastAsia="宋体" w:cs="Times New Roman"/>
                <w:bCs/>
                <w:color w:val="auto"/>
                <w:kern w:val="2"/>
                <w:sz w:val="21"/>
                <w:szCs w:val="21"/>
                <w:highlight w:val="none"/>
                <w:lang w:val="en-US" w:eastAsia="zh-CN" w:bidi="ar-SA"/>
              </w:rPr>
            </w:pPr>
            <w:r>
              <w:rPr>
                <w:rFonts w:hint="eastAsia" w:ascii="宋体" w:hAnsi="宋体" w:eastAsia="宋体" w:cs="宋体"/>
                <w:i w:val="0"/>
                <w:iCs w:val="0"/>
                <w:color w:val="auto"/>
                <w:kern w:val="0"/>
                <w:sz w:val="21"/>
                <w:szCs w:val="21"/>
                <w:u w:val="none"/>
                <w:lang w:val="en-US" w:eastAsia="zh-CN" w:bidi="ar"/>
              </w:rPr>
              <w:t>设备维护</w:t>
            </w:r>
          </w:p>
        </w:tc>
        <w:tc>
          <w:tcPr>
            <w:tcW w:w="1010" w:type="dxa"/>
            <w:shd w:val="clear" w:color="auto" w:fill="auto"/>
            <w:noWrap w:val="0"/>
            <w:vAlign w:val="center"/>
          </w:tcPr>
          <w:p w14:paraId="05038E7C">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废抹布</w:t>
            </w:r>
          </w:p>
        </w:tc>
        <w:tc>
          <w:tcPr>
            <w:tcW w:w="803" w:type="dxa"/>
            <w:shd w:val="clear" w:color="auto" w:fill="auto"/>
            <w:noWrap w:val="0"/>
            <w:vAlign w:val="center"/>
          </w:tcPr>
          <w:p w14:paraId="5ECA3D87">
            <w:pPr>
              <w:autoSpaceDE w:val="0"/>
              <w:autoSpaceDN w:val="0"/>
              <w:adjustRightIn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危险废物</w:t>
            </w:r>
          </w:p>
        </w:tc>
        <w:tc>
          <w:tcPr>
            <w:tcW w:w="1270" w:type="dxa"/>
            <w:shd w:val="clear" w:color="auto" w:fill="auto"/>
            <w:noWrap w:val="0"/>
            <w:vAlign w:val="center"/>
          </w:tcPr>
          <w:p w14:paraId="433F7136">
            <w:pPr>
              <w:autoSpaceDE w:val="0"/>
              <w:autoSpaceDN w:val="0"/>
              <w:adjustRightIn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类比法</w:t>
            </w:r>
          </w:p>
        </w:tc>
        <w:tc>
          <w:tcPr>
            <w:tcW w:w="1001" w:type="dxa"/>
            <w:shd w:val="clear" w:color="auto" w:fill="auto"/>
            <w:noWrap w:val="0"/>
            <w:vAlign w:val="center"/>
          </w:tcPr>
          <w:p w14:paraId="50717FF8">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0.01</w:t>
            </w:r>
          </w:p>
        </w:tc>
        <w:tc>
          <w:tcPr>
            <w:tcW w:w="883" w:type="dxa"/>
            <w:noWrap w:val="0"/>
            <w:vAlign w:val="center"/>
          </w:tcPr>
          <w:p w14:paraId="7623DABD">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无害化</w:t>
            </w:r>
          </w:p>
        </w:tc>
        <w:tc>
          <w:tcPr>
            <w:tcW w:w="1001" w:type="dxa"/>
            <w:shd w:val="clear" w:color="auto" w:fill="auto"/>
            <w:noWrap w:val="0"/>
            <w:vAlign w:val="center"/>
          </w:tcPr>
          <w:p w14:paraId="63AE5B89">
            <w:pPr>
              <w:adjustRightInd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0.01</w:t>
            </w:r>
          </w:p>
        </w:tc>
        <w:tc>
          <w:tcPr>
            <w:tcW w:w="1427" w:type="dxa"/>
            <w:vMerge w:val="continue"/>
            <w:noWrap w:val="0"/>
            <w:vAlign w:val="center"/>
          </w:tcPr>
          <w:p w14:paraId="3D5BBF33">
            <w:pPr>
              <w:autoSpaceDE w:val="0"/>
              <w:autoSpaceDN w:val="0"/>
              <w:adjustRightInd w:val="0"/>
              <w:jc w:val="center"/>
              <w:rPr>
                <w:rFonts w:hint="eastAsia" w:ascii="Times New Roman" w:hAnsi="Times New Roman" w:eastAsia="宋体" w:cs="Times New Roman"/>
                <w:color w:val="auto"/>
                <w:sz w:val="21"/>
                <w:szCs w:val="21"/>
                <w:highlight w:val="none"/>
              </w:rPr>
            </w:pPr>
          </w:p>
        </w:tc>
      </w:tr>
      <w:tr w14:paraId="5E58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121" w:type="dxa"/>
            <w:noWrap w:val="0"/>
            <w:vAlign w:val="center"/>
          </w:tcPr>
          <w:p w14:paraId="465A1943">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员工生活</w:t>
            </w:r>
          </w:p>
        </w:tc>
        <w:tc>
          <w:tcPr>
            <w:tcW w:w="1010" w:type="dxa"/>
            <w:noWrap w:val="0"/>
            <w:vAlign w:val="center"/>
          </w:tcPr>
          <w:p w14:paraId="5779B4F3">
            <w:pPr>
              <w:spacing w:line="240" w:lineRule="auto"/>
              <w:jc w:val="center"/>
              <w:rPr>
                <w:rFonts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生活垃圾</w:t>
            </w:r>
          </w:p>
        </w:tc>
        <w:tc>
          <w:tcPr>
            <w:tcW w:w="803" w:type="dxa"/>
            <w:noWrap w:val="0"/>
            <w:vAlign w:val="center"/>
          </w:tcPr>
          <w:p w14:paraId="2D92AD44">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一般固废</w:t>
            </w:r>
          </w:p>
        </w:tc>
        <w:tc>
          <w:tcPr>
            <w:tcW w:w="1270" w:type="dxa"/>
            <w:noWrap w:val="0"/>
            <w:vAlign w:val="center"/>
          </w:tcPr>
          <w:p w14:paraId="78EC48FC">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产污系数法</w:t>
            </w:r>
          </w:p>
        </w:tc>
        <w:tc>
          <w:tcPr>
            <w:tcW w:w="1001" w:type="dxa"/>
            <w:noWrap w:val="0"/>
            <w:vAlign w:val="center"/>
          </w:tcPr>
          <w:p w14:paraId="7D87D54C">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16.5</w:t>
            </w:r>
          </w:p>
        </w:tc>
        <w:tc>
          <w:tcPr>
            <w:tcW w:w="883" w:type="dxa"/>
            <w:noWrap w:val="0"/>
            <w:vAlign w:val="center"/>
          </w:tcPr>
          <w:p w14:paraId="54268741">
            <w:pPr>
              <w:autoSpaceDE w:val="0"/>
              <w:autoSpaceDN w:val="0"/>
              <w:adjustRightIn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资源</w:t>
            </w:r>
            <w:r>
              <w:rPr>
                <w:rFonts w:ascii="Times New Roman" w:hAnsi="Times New Roman" w:eastAsia="宋体" w:cs="Times New Roman"/>
                <w:color w:val="auto"/>
                <w:sz w:val="21"/>
                <w:szCs w:val="21"/>
                <w:highlight w:val="none"/>
              </w:rPr>
              <w:t>化</w:t>
            </w:r>
          </w:p>
        </w:tc>
        <w:tc>
          <w:tcPr>
            <w:tcW w:w="1001" w:type="dxa"/>
            <w:noWrap w:val="0"/>
            <w:vAlign w:val="center"/>
          </w:tcPr>
          <w:p w14:paraId="7CB73B3A">
            <w:pPr>
              <w:adjustRightInd w:val="0"/>
              <w:snapToGrid w:val="0"/>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16.5</w:t>
            </w:r>
          </w:p>
        </w:tc>
        <w:tc>
          <w:tcPr>
            <w:tcW w:w="1427" w:type="dxa"/>
            <w:noWrap w:val="0"/>
            <w:vAlign w:val="center"/>
          </w:tcPr>
          <w:p w14:paraId="7ED1167D">
            <w:pPr>
              <w:autoSpaceDE w:val="0"/>
              <w:autoSpaceDN w:val="0"/>
              <w:adjustRightInd w:val="0"/>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环卫清运</w:t>
            </w:r>
          </w:p>
        </w:tc>
      </w:tr>
    </w:tbl>
    <w:p w14:paraId="778575AF">
      <w:pPr>
        <w:numPr>
          <w:ilvl w:val="0"/>
          <w:numId w:val="12"/>
        </w:numPr>
        <w:spacing w:line="360" w:lineRule="auto"/>
        <w:ind w:firstLine="480" w:firstLineChars="200"/>
        <w:rPr>
          <w:rFonts w:ascii="Times New Roman" w:hAnsi="Times New Roman" w:eastAsia="宋体" w:cs="Times New Roman"/>
          <w:b w:val="0"/>
          <w:bCs/>
          <w:color w:val="auto"/>
          <w:sz w:val="24"/>
          <w:szCs w:val="24"/>
          <w:highlight w:val="none"/>
        </w:rPr>
      </w:pPr>
      <w:r>
        <w:rPr>
          <w:rFonts w:hint="eastAsia" w:ascii="Times New Roman" w:hAnsi="Times New Roman" w:eastAsia="宋体" w:cs="Times New Roman"/>
          <w:b w:val="0"/>
          <w:bCs/>
          <w:color w:val="auto"/>
          <w:sz w:val="24"/>
          <w:szCs w:val="24"/>
          <w:highlight w:val="none"/>
          <w:lang w:val="en-US" w:eastAsia="zh-CN"/>
        </w:rPr>
        <w:t>固体</w:t>
      </w:r>
      <w:r>
        <w:rPr>
          <w:rFonts w:ascii="Times New Roman" w:hAnsi="Times New Roman" w:eastAsia="宋体" w:cs="Times New Roman"/>
          <w:b w:val="0"/>
          <w:bCs/>
          <w:color w:val="auto"/>
          <w:sz w:val="24"/>
          <w:szCs w:val="24"/>
          <w:highlight w:val="none"/>
        </w:rPr>
        <w:t xml:space="preserve">废物贮存场所(设施) </w:t>
      </w:r>
    </w:p>
    <w:p w14:paraId="1EEE5195">
      <w:pPr>
        <w:pStyle w:val="20"/>
        <w:numPr>
          <w:ilvl w:val="0"/>
          <w:numId w:val="6"/>
        </w:numPr>
        <w:spacing w:before="156"/>
        <w:rPr>
          <w:rFonts w:ascii="Times New Roman" w:hAnsi="Times New Roman" w:eastAsia="宋体" w:cs="Times New Roman"/>
          <w:b/>
          <w:bCs/>
          <w:color w:val="auto"/>
          <w:spacing w:val="-10"/>
          <w:sz w:val="24"/>
          <w:szCs w:val="24"/>
          <w:highlight w:val="none"/>
        </w:rPr>
      </w:pPr>
      <w:r>
        <w:rPr>
          <w:rFonts w:ascii="Times New Roman" w:hAnsi="Times New Roman" w:eastAsia="宋体" w:cs="Times New Roman"/>
          <w:b/>
          <w:bCs/>
          <w:color w:val="auto"/>
          <w:spacing w:val="-10"/>
          <w:sz w:val="24"/>
          <w:szCs w:val="24"/>
          <w:highlight w:val="none"/>
        </w:rPr>
        <w:t>建设项目</w:t>
      </w:r>
      <w:r>
        <w:rPr>
          <w:rFonts w:hint="default" w:ascii="Times New Roman" w:hAnsi="Times New Roman" w:eastAsia="宋体" w:cs="Times New Roman"/>
          <w:b/>
          <w:bCs/>
          <w:color w:val="auto"/>
          <w:spacing w:val="-10"/>
          <w:sz w:val="24"/>
          <w:szCs w:val="24"/>
          <w:highlight w:val="none"/>
        </w:rPr>
        <w:t>固废</w:t>
      </w:r>
      <w:r>
        <w:rPr>
          <w:rFonts w:ascii="Times New Roman" w:hAnsi="Times New Roman" w:eastAsia="宋体" w:cs="Times New Roman"/>
          <w:b/>
          <w:bCs/>
          <w:color w:val="auto"/>
          <w:spacing w:val="-10"/>
          <w:sz w:val="24"/>
          <w:szCs w:val="24"/>
          <w:highlight w:val="none"/>
        </w:rPr>
        <w:t>贮存场所（设施）基本情况表</w:t>
      </w:r>
    </w:p>
    <w:tbl>
      <w:tblPr>
        <w:tblStyle w:val="15"/>
        <w:tblW w:w="505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94"/>
        <w:gridCol w:w="1255"/>
        <w:gridCol w:w="904"/>
        <w:gridCol w:w="1080"/>
        <w:gridCol w:w="1241"/>
        <w:gridCol w:w="732"/>
        <w:gridCol w:w="812"/>
        <w:gridCol w:w="634"/>
        <w:gridCol w:w="630"/>
        <w:gridCol w:w="721"/>
      </w:tblGrid>
      <w:tr w14:paraId="0EB9B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4447828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序号</w:t>
            </w:r>
          </w:p>
        </w:tc>
        <w:tc>
          <w:tcPr>
            <w:tcW w:w="1254" w:type="dxa"/>
            <w:noWrap w:val="0"/>
            <w:vAlign w:val="center"/>
          </w:tcPr>
          <w:p w14:paraId="29FB464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贮存场所（设施）名称</w:t>
            </w:r>
          </w:p>
        </w:tc>
        <w:tc>
          <w:tcPr>
            <w:tcW w:w="903" w:type="dxa"/>
            <w:noWrap w:val="0"/>
            <w:vAlign w:val="center"/>
          </w:tcPr>
          <w:p w14:paraId="58E1DAA0">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危险废物名称</w:t>
            </w:r>
          </w:p>
        </w:tc>
        <w:tc>
          <w:tcPr>
            <w:tcW w:w="1079" w:type="dxa"/>
            <w:noWrap w:val="0"/>
            <w:vAlign w:val="center"/>
          </w:tcPr>
          <w:p w14:paraId="28C65BB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危险废物类别</w:t>
            </w:r>
          </w:p>
        </w:tc>
        <w:tc>
          <w:tcPr>
            <w:tcW w:w="1240" w:type="dxa"/>
            <w:noWrap w:val="0"/>
            <w:vAlign w:val="center"/>
          </w:tcPr>
          <w:p w14:paraId="5581102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废物代码</w:t>
            </w:r>
          </w:p>
        </w:tc>
        <w:tc>
          <w:tcPr>
            <w:tcW w:w="731" w:type="dxa"/>
            <w:noWrap w:val="0"/>
            <w:vAlign w:val="center"/>
          </w:tcPr>
          <w:p w14:paraId="6A1865F9">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位置</w:t>
            </w:r>
          </w:p>
        </w:tc>
        <w:tc>
          <w:tcPr>
            <w:tcW w:w="811" w:type="dxa"/>
            <w:noWrap w:val="0"/>
            <w:vAlign w:val="center"/>
          </w:tcPr>
          <w:p w14:paraId="1016C37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占地面积/m</w:t>
            </w:r>
            <w:r>
              <w:rPr>
                <w:rFonts w:ascii="Times New Roman" w:hAnsi="Times New Roman" w:eastAsia="宋体" w:cs="Times New Roman"/>
                <w:color w:val="auto"/>
                <w:sz w:val="21"/>
                <w:szCs w:val="21"/>
                <w:highlight w:val="none"/>
                <w:vertAlign w:val="superscript"/>
              </w:rPr>
              <w:t>2</w:t>
            </w:r>
          </w:p>
        </w:tc>
        <w:tc>
          <w:tcPr>
            <w:tcW w:w="633" w:type="dxa"/>
            <w:noWrap w:val="0"/>
            <w:vAlign w:val="center"/>
          </w:tcPr>
          <w:p w14:paraId="565483A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贮存方式</w:t>
            </w:r>
          </w:p>
        </w:tc>
        <w:tc>
          <w:tcPr>
            <w:tcW w:w="629" w:type="dxa"/>
            <w:noWrap w:val="0"/>
            <w:vAlign w:val="center"/>
          </w:tcPr>
          <w:p w14:paraId="444E1B78">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贮存能力/t</w:t>
            </w:r>
          </w:p>
        </w:tc>
        <w:tc>
          <w:tcPr>
            <w:tcW w:w="719" w:type="dxa"/>
            <w:noWrap w:val="0"/>
            <w:vAlign w:val="center"/>
          </w:tcPr>
          <w:p w14:paraId="273C51B6">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贮存周期</w:t>
            </w:r>
          </w:p>
        </w:tc>
      </w:tr>
      <w:tr w14:paraId="38EDF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0953E447">
            <w:pPr>
              <w:jc w:val="center"/>
              <w:rPr>
                <w:rFonts w:hint="eastAsia" w:ascii="Times New Roman" w:hAnsi="Times New Roman" w:eastAsia="宋体" w:cs="Times New Roman"/>
                <w:color w:val="auto"/>
                <w:kern w:val="2"/>
                <w:sz w:val="21"/>
                <w:szCs w:val="21"/>
                <w:highlight w:val="none"/>
                <w:lang w:val="en-US" w:eastAsia="zh-CN" w:bidi="ar-SA"/>
              </w:rPr>
            </w:pPr>
            <w:r>
              <w:rPr>
                <w:rFonts w:ascii="Times New Roman" w:hAnsi="Times New Roman" w:eastAsia="宋体" w:cs="Times New Roman"/>
                <w:color w:val="auto"/>
                <w:sz w:val="21"/>
                <w:szCs w:val="21"/>
                <w:highlight w:val="none"/>
              </w:rPr>
              <w:t>1</w:t>
            </w:r>
          </w:p>
        </w:tc>
        <w:tc>
          <w:tcPr>
            <w:tcW w:w="1254" w:type="dxa"/>
            <w:vMerge w:val="restart"/>
            <w:noWrap w:val="0"/>
            <w:vAlign w:val="center"/>
          </w:tcPr>
          <w:p w14:paraId="75D4A817">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一般固废</w:t>
            </w:r>
            <w:r>
              <w:rPr>
                <w:rFonts w:hint="eastAsia" w:ascii="Times New Roman" w:hAnsi="Times New Roman" w:eastAsia="宋体" w:cs="Times New Roman"/>
                <w:color w:val="auto"/>
                <w:sz w:val="21"/>
                <w:szCs w:val="21"/>
                <w:highlight w:val="none"/>
                <w:lang w:val="en-US" w:eastAsia="zh-CN"/>
              </w:rPr>
              <w:t>仓库</w:t>
            </w:r>
          </w:p>
        </w:tc>
        <w:tc>
          <w:tcPr>
            <w:tcW w:w="903" w:type="dxa"/>
            <w:noWrap w:val="0"/>
            <w:vAlign w:val="center"/>
          </w:tcPr>
          <w:p w14:paraId="222899C2">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kern w:val="0"/>
                <w:sz w:val="21"/>
                <w:szCs w:val="21"/>
                <w:highlight w:val="none"/>
              </w:rPr>
            </w:pPr>
            <w:r>
              <w:rPr>
                <w:rFonts w:ascii="Times New Roman" w:hAnsi="Times New Roman" w:eastAsia="宋体" w:cs="Times New Roman"/>
                <w:bCs/>
                <w:color w:val="auto"/>
                <w:sz w:val="21"/>
                <w:szCs w:val="21"/>
                <w:highlight w:val="none"/>
              </w:rPr>
              <w:t>废包装袋</w:t>
            </w:r>
          </w:p>
        </w:tc>
        <w:tc>
          <w:tcPr>
            <w:tcW w:w="1079" w:type="dxa"/>
            <w:noWrap w:val="0"/>
            <w:vAlign w:val="center"/>
          </w:tcPr>
          <w:p w14:paraId="0ED1219E">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c>
          <w:tcPr>
            <w:tcW w:w="1240" w:type="dxa"/>
            <w:noWrap w:val="0"/>
            <w:vAlign w:val="center"/>
          </w:tcPr>
          <w:p w14:paraId="3E497A20">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c>
          <w:tcPr>
            <w:tcW w:w="731" w:type="dxa"/>
            <w:vMerge w:val="restart"/>
            <w:noWrap w:val="0"/>
            <w:vAlign w:val="center"/>
          </w:tcPr>
          <w:p w14:paraId="1424ACAC">
            <w:pPr>
              <w:widowControl/>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厂房西侧</w:t>
            </w:r>
          </w:p>
        </w:tc>
        <w:tc>
          <w:tcPr>
            <w:tcW w:w="811" w:type="dxa"/>
            <w:vMerge w:val="restart"/>
            <w:noWrap w:val="0"/>
            <w:vAlign w:val="center"/>
          </w:tcPr>
          <w:p w14:paraId="54D427A4">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w:t>
            </w:r>
          </w:p>
        </w:tc>
        <w:tc>
          <w:tcPr>
            <w:tcW w:w="633" w:type="dxa"/>
            <w:noWrap w:val="0"/>
            <w:vAlign w:val="center"/>
          </w:tcPr>
          <w:p w14:paraId="0499C610">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袋装</w:t>
            </w:r>
          </w:p>
        </w:tc>
        <w:tc>
          <w:tcPr>
            <w:tcW w:w="629" w:type="dxa"/>
            <w:vMerge w:val="restart"/>
            <w:noWrap w:val="0"/>
            <w:vAlign w:val="center"/>
          </w:tcPr>
          <w:p w14:paraId="3A8F1A48">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w:t>
            </w:r>
          </w:p>
        </w:tc>
        <w:tc>
          <w:tcPr>
            <w:tcW w:w="719" w:type="dxa"/>
            <w:vMerge w:val="restart"/>
            <w:noWrap w:val="0"/>
            <w:vAlign w:val="center"/>
          </w:tcPr>
          <w:p w14:paraId="76884858">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一季度</w:t>
            </w:r>
          </w:p>
        </w:tc>
      </w:tr>
      <w:tr w14:paraId="5920E0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13B88E0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2</w:t>
            </w:r>
          </w:p>
        </w:tc>
        <w:tc>
          <w:tcPr>
            <w:tcW w:w="1254" w:type="dxa"/>
            <w:vMerge w:val="continue"/>
            <w:noWrap w:val="0"/>
            <w:vAlign w:val="center"/>
          </w:tcPr>
          <w:p w14:paraId="411A5E95">
            <w:pPr>
              <w:jc w:val="center"/>
              <w:rPr>
                <w:rFonts w:ascii="Times New Roman" w:hAnsi="Times New Roman" w:eastAsia="宋体" w:cs="Times New Roman"/>
                <w:color w:val="auto"/>
                <w:sz w:val="21"/>
                <w:szCs w:val="21"/>
                <w:highlight w:val="none"/>
              </w:rPr>
            </w:pPr>
          </w:p>
        </w:tc>
        <w:tc>
          <w:tcPr>
            <w:tcW w:w="903" w:type="dxa"/>
            <w:noWrap w:val="0"/>
            <w:vAlign w:val="center"/>
          </w:tcPr>
          <w:p w14:paraId="49E8DEAB">
            <w:pPr>
              <w:jc w:val="center"/>
              <w:rPr>
                <w:rFonts w:hint="eastAsia" w:ascii="Times New Roman" w:hAnsi="Times New Roman" w:eastAsia="宋体" w:cs="Times New Roman"/>
                <w:color w:val="auto"/>
                <w:kern w:val="0"/>
                <w:sz w:val="21"/>
                <w:szCs w:val="21"/>
                <w:highlight w:val="none"/>
              </w:rPr>
            </w:pPr>
            <w:r>
              <w:rPr>
                <w:rFonts w:hint="eastAsia" w:ascii="Times New Roman" w:hAnsi="Times New Roman" w:eastAsia="宋体" w:cs="Times New Roman"/>
                <w:bCs/>
                <w:color w:val="auto"/>
                <w:sz w:val="21"/>
                <w:szCs w:val="21"/>
                <w:highlight w:val="none"/>
                <w:lang w:val="en-US" w:eastAsia="zh-CN"/>
              </w:rPr>
              <w:t>废过滤网</w:t>
            </w:r>
          </w:p>
        </w:tc>
        <w:tc>
          <w:tcPr>
            <w:tcW w:w="1079" w:type="dxa"/>
            <w:noWrap w:val="0"/>
            <w:vAlign w:val="center"/>
          </w:tcPr>
          <w:p w14:paraId="76039440">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c>
          <w:tcPr>
            <w:tcW w:w="1240" w:type="dxa"/>
            <w:noWrap w:val="0"/>
            <w:vAlign w:val="center"/>
          </w:tcPr>
          <w:p w14:paraId="4F2946B4">
            <w:pPr>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rPr>
              <w:t>-</w:t>
            </w:r>
            <w:r>
              <w:rPr>
                <w:rFonts w:ascii="Times New Roman" w:hAnsi="Times New Roman" w:eastAsia="宋体" w:cs="Times New Roman"/>
                <w:color w:val="auto"/>
                <w:sz w:val="21"/>
                <w:szCs w:val="21"/>
                <w:highlight w:val="none"/>
              </w:rPr>
              <w:t>-</w:t>
            </w:r>
          </w:p>
        </w:tc>
        <w:tc>
          <w:tcPr>
            <w:tcW w:w="731" w:type="dxa"/>
            <w:vMerge w:val="continue"/>
            <w:noWrap w:val="0"/>
            <w:vAlign w:val="center"/>
          </w:tcPr>
          <w:p w14:paraId="5776DA81">
            <w:pPr>
              <w:jc w:val="center"/>
              <w:rPr>
                <w:rFonts w:hint="eastAsia" w:ascii="Times New Roman" w:hAnsi="Times New Roman" w:eastAsia="宋体" w:cs="Times New Roman"/>
                <w:color w:val="auto"/>
                <w:kern w:val="0"/>
                <w:sz w:val="21"/>
                <w:szCs w:val="21"/>
                <w:highlight w:val="none"/>
                <w:lang w:val="en-US" w:eastAsia="zh-CN"/>
              </w:rPr>
            </w:pPr>
          </w:p>
        </w:tc>
        <w:tc>
          <w:tcPr>
            <w:tcW w:w="811" w:type="dxa"/>
            <w:vMerge w:val="continue"/>
            <w:noWrap w:val="0"/>
            <w:vAlign w:val="center"/>
          </w:tcPr>
          <w:p w14:paraId="6E1245FC">
            <w:pPr>
              <w:jc w:val="center"/>
              <w:rPr>
                <w:rFonts w:hint="default" w:ascii="Times New Roman" w:hAnsi="Times New Roman" w:eastAsia="宋体" w:cs="Times New Roman"/>
                <w:color w:val="auto"/>
                <w:sz w:val="21"/>
                <w:szCs w:val="21"/>
                <w:highlight w:val="none"/>
                <w:lang w:val="en-US"/>
              </w:rPr>
            </w:pPr>
          </w:p>
        </w:tc>
        <w:tc>
          <w:tcPr>
            <w:tcW w:w="633" w:type="dxa"/>
            <w:noWrap w:val="0"/>
            <w:vAlign w:val="center"/>
          </w:tcPr>
          <w:p w14:paraId="50DC7879">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袋</w:t>
            </w:r>
            <w:r>
              <w:rPr>
                <w:rFonts w:ascii="Times New Roman" w:hAnsi="Times New Roman" w:eastAsia="宋体" w:cs="Times New Roman"/>
                <w:color w:val="auto"/>
                <w:sz w:val="21"/>
                <w:szCs w:val="21"/>
                <w:highlight w:val="none"/>
              </w:rPr>
              <w:t>装</w:t>
            </w:r>
          </w:p>
        </w:tc>
        <w:tc>
          <w:tcPr>
            <w:tcW w:w="629" w:type="dxa"/>
            <w:vMerge w:val="continue"/>
            <w:noWrap w:val="0"/>
            <w:vAlign w:val="center"/>
          </w:tcPr>
          <w:p w14:paraId="623995E3">
            <w:pPr>
              <w:jc w:val="center"/>
              <w:rPr>
                <w:rFonts w:hint="default" w:ascii="Times New Roman" w:hAnsi="Times New Roman" w:eastAsia="宋体" w:cs="Times New Roman"/>
                <w:color w:val="auto"/>
                <w:sz w:val="21"/>
                <w:szCs w:val="21"/>
                <w:highlight w:val="none"/>
                <w:lang w:val="en-US"/>
              </w:rPr>
            </w:pPr>
          </w:p>
        </w:tc>
        <w:tc>
          <w:tcPr>
            <w:tcW w:w="719" w:type="dxa"/>
            <w:vMerge w:val="continue"/>
            <w:noWrap w:val="0"/>
            <w:vAlign w:val="center"/>
          </w:tcPr>
          <w:p w14:paraId="0100D509">
            <w:pPr>
              <w:jc w:val="center"/>
              <w:rPr>
                <w:rFonts w:hint="default" w:ascii="Times New Roman" w:hAnsi="Times New Roman" w:eastAsia="宋体" w:cs="Times New Roman"/>
                <w:color w:val="auto"/>
                <w:sz w:val="21"/>
                <w:szCs w:val="21"/>
                <w:highlight w:val="none"/>
                <w:lang w:val="en-US"/>
              </w:rPr>
            </w:pPr>
          </w:p>
        </w:tc>
      </w:tr>
      <w:tr w14:paraId="442D4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18B5F432">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3</w:t>
            </w:r>
          </w:p>
        </w:tc>
        <w:tc>
          <w:tcPr>
            <w:tcW w:w="1254" w:type="dxa"/>
            <w:vMerge w:val="restart"/>
            <w:noWrap w:val="0"/>
            <w:vAlign w:val="center"/>
          </w:tcPr>
          <w:p w14:paraId="7781941C">
            <w:pPr>
              <w:jc w:val="center"/>
              <w:rPr>
                <w:rFonts w:hint="eastAsia" w:ascii="Times New Roman" w:hAnsi="Times New Roman" w:eastAsia="宋体" w:cs="Times New Roman"/>
                <w:color w:val="auto"/>
                <w:sz w:val="21"/>
                <w:szCs w:val="21"/>
                <w:highlight w:val="none"/>
                <w:lang w:eastAsia="zh-CN"/>
              </w:rPr>
            </w:pPr>
            <w:r>
              <w:rPr>
                <w:rFonts w:ascii="Times New Roman" w:hAnsi="Times New Roman" w:eastAsia="宋体" w:cs="Times New Roman"/>
                <w:color w:val="auto"/>
                <w:sz w:val="21"/>
                <w:szCs w:val="21"/>
                <w:highlight w:val="none"/>
              </w:rPr>
              <w:t>危废</w:t>
            </w:r>
            <w:r>
              <w:rPr>
                <w:rFonts w:hint="eastAsia" w:ascii="Times New Roman" w:hAnsi="Times New Roman" w:eastAsia="宋体" w:cs="Times New Roman"/>
                <w:color w:val="auto"/>
                <w:sz w:val="21"/>
                <w:szCs w:val="21"/>
                <w:highlight w:val="none"/>
                <w:lang w:val="en-US" w:eastAsia="zh-CN"/>
              </w:rPr>
              <w:t>仓库</w:t>
            </w:r>
          </w:p>
        </w:tc>
        <w:tc>
          <w:tcPr>
            <w:tcW w:w="903" w:type="dxa"/>
            <w:noWrap w:val="0"/>
            <w:vAlign w:val="center"/>
          </w:tcPr>
          <w:p w14:paraId="0E241B77">
            <w:pPr>
              <w:keepNext/>
              <w:keepLines/>
              <w:numPr>
                <w:ilvl w:val="0"/>
                <w:numId w:val="0"/>
              </w:numPr>
              <w:spacing w:line="240" w:lineRule="auto"/>
              <w:ind w:left="0" w:leftChars="0" w:firstLine="0" w:firstLineChars="0"/>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bCs/>
                <w:color w:val="auto"/>
                <w:sz w:val="21"/>
                <w:szCs w:val="21"/>
                <w:highlight w:val="none"/>
              </w:rPr>
              <w:t>废活性炭</w:t>
            </w:r>
          </w:p>
        </w:tc>
        <w:tc>
          <w:tcPr>
            <w:tcW w:w="1079" w:type="dxa"/>
            <w:noWrap w:val="0"/>
            <w:vAlign w:val="center"/>
          </w:tcPr>
          <w:p w14:paraId="3003014A">
            <w:pPr>
              <w:jc w:val="center"/>
              <w:rPr>
                <w:rFonts w:hint="eastAsia"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HW49其他废物</w:t>
            </w:r>
          </w:p>
        </w:tc>
        <w:tc>
          <w:tcPr>
            <w:tcW w:w="1240" w:type="dxa"/>
            <w:noWrap w:val="0"/>
            <w:vAlign w:val="center"/>
          </w:tcPr>
          <w:p w14:paraId="03D913B7">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900-039-49</w:t>
            </w:r>
          </w:p>
        </w:tc>
        <w:tc>
          <w:tcPr>
            <w:tcW w:w="731" w:type="dxa"/>
            <w:vMerge w:val="restart"/>
            <w:noWrap w:val="0"/>
            <w:vAlign w:val="center"/>
          </w:tcPr>
          <w:p w14:paraId="3040B83A">
            <w:pPr>
              <w:widowControl/>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厂房西侧</w:t>
            </w:r>
          </w:p>
        </w:tc>
        <w:tc>
          <w:tcPr>
            <w:tcW w:w="811" w:type="dxa"/>
            <w:vMerge w:val="restart"/>
            <w:noWrap w:val="0"/>
            <w:vAlign w:val="center"/>
          </w:tcPr>
          <w:p w14:paraId="67488E0B">
            <w:pPr>
              <w:jc w:val="center"/>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highlight w:val="none"/>
                <w:lang w:val="en-US" w:eastAsia="zh-CN"/>
              </w:rPr>
              <w:t>4</w:t>
            </w:r>
          </w:p>
        </w:tc>
        <w:tc>
          <w:tcPr>
            <w:tcW w:w="633" w:type="dxa"/>
            <w:noWrap w:val="0"/>
            <w:vAlign w:val="center"/>
          </w:tcPr>
          <w:p w14:paraId="468256A8">
            <w:pPr>
              <w:jc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袋装</w:t>
            </w:r>
          </w:p>
        </w:tc>
        <w:tc>
          <w:tcPr>
            <w:tcW w:w="629" w:type="dxa"/>
            <w:vMerge w:val="restart"/>
            <w:noWrap w:val="0"/>
            <w:vAlign w:val="center"/>
          </w:tcPr>
          <w:p w14:paraId="673B4546">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w:t>
            </w:r>
          </w:p>
        </w:tc>
        <w:tc>
          <w:tcPr>
            <w:tcW w:w="719" w:type="dxa"/>
            <w:vMerge w:val="restart"/>
            <w:noWrap w:val="0"/>
            <w:vAlign w:val="center"/>
          </w:tcPr>
          <w:p w14:paraId="222F42A0">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一季度</w:t>
            </w:r>
          </w:p>
        </w:tc>
      </w:tr>
      <w:tr w14:paraId="28103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65579A64">
            <w:pPr>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4</w:t>
            </w:r>
          </w:p>
        </w:tc>
        <w:tc>
          <w:tcPr>
            <w:tcW w:w="1254" w:type="dxa"/>
            <w:vMerge w:val="continue"/>
            <w:noWrap w:val="0"/>
            <w:vAlign w:val="center"/>
          </w:tcPr>
          <w:p w14:paraId="5FA49850">
            <w:pPr>
              <w:jc w:val="center"/>
              <w:rPr>
                <w:rFonts w:ascii="Times New Roman" w:hAnsi="Times New Roman" w:eastAsia="宋体" w:cs="Times New Roman"/>
                <w:color w:val="auto"/>
                <w:sz w:val="21"/>
                <w:szCs w:val="21"/>
                <w:highlight w:val="none"/>
              </w:rPr>
            </w:pPr>
          </w:p>
        </w:tc>
        <w:tc>
          <w:tcPr>
            <w:tcW w:w="903" w:type="dxa"/>
            <w:noWrap w:val="0"/>
            <w:vAlign w:val="center"/>
          </w:tcPr>
          <w:p w14:paraId="6E85BC8B">
            <w:pPr>
              <w:spacing w:line="240" w:lineRule="auto"/>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bCs/>
                <w:color w:val="auto"/>
                <w:sz w:val="21"/>
                <w:szCs w:val="21"/>
                <w:highlight w:val="none"/>
                <w:lang w:val="en-US" w:eastAsia="zh-CN"/>
              </w:rPr>
              <w:t>废催化剂</w:t>
            </w:r>
          </w:p>
        </w:tc>
        <w:tc>
          <w:tcPr>
            <w:tcW w:w="1079" w:type="dxa"/>
            <w:noWrap w:val="0"/>
            <w:vAlign w:val="center"/>
          </w:tcPr>
          <w:p w14:paraId="7A72D1C4">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HW49其他废物</w:t>
            </w:r>
          </w:p>
        </w:tc>
        <w:tc>
          <w:tcPr>
            <w:tcW w:w="1240" w:type="dxa"/>
            <w:noWrap w:val="0"/>
            <w:vAlign w:val="center"/>
          </w:tcPr>
          <w:p w14:paraId="5CE837C2">
            <w:pPr>
              <w:jc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900-041-49</w:t>
            </w:r>
          </w:p>
        </w:tc>
        <w:tc>
          <w:tcPr>
            <w:tcW w:w="731" w:type="dxa"/>
            <w:vMerge w:val="continue"/>
            <w:noWrap w:val="0"/>
            <w:vAlign w:val="center"/>
          </w:tcPr>
          <w:p w14:paraId="7212A068">
            <w:pPr>
              <w:jc w:val="center"/>
              <w:rPr>
                <w:rFonts w:ascii="Times New Roman" w:hAnsi="Times New Roman" w:eastAsia="宋体" w:cs="Times New Roman"/>
                <w:color w:val="auto"/>
                <w:sz w:val="21"/>
                <w:szCs w:val="21"/>
                <w:highlight w:val="none"/>
              </w:rPr>
            </w:pPr>
          </w:p>
        </w:tc>
        <w:tc>
          <w:tcPr>
            <w:tcW w:w="811" w:type="dxa"/>
            <w:vMerge w:val="continue"/>
            <w:noWrap w:val="0"/>
            <w:vAlign w:val="center"/>
          </w:tcPr>
          <w:p w14:paraId="118A250C">
            <w:pPr>
              <w:jc w:val="center"/>
              <w:rPr>
                <w:rFonts w:ascii="Times New Roman" w:hAnsi="Times New Roman" w:eastAsia="宋体" w:cs="Times New Roman"/>
                <w:color w:val="auto"/>
                <w:sz w:val="21"/>
                <w:szCs w:val="21"/>
                <w:highlight w:val="none"/>
              </w:rPr>
            </w:pPr>
          </w:p>
        </w:tc>
        <w:tc>
          <w:tcPr>
            <w:tcW w:w="633" w:type="dxa"/>
            <w:noWrap w:val="0"/>
            <w:vAlign w:val="center"/>
          </w:tcPr>
          <w:p w14:paraId="68174E54">
            <w:pPr>
              <w:jc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桶</w:t>
            </w:r>
            <w:r>
              <w:rPr>
                <w:rFonts w:ascii="Times New Roman" w:hAnsi="Times New Roman" w:eastAsia="宋体" w:cs="Times New Roman"/>
                <w:color w:val="auto"/>
                <w:sz w:val="21"/>
                <w:szCs w:val="21"/>
                <w:highlight w:val="none"/>
              </w:rPr>
              <w:t>装</w:t>
            </w:r>
          </w:p>
        </w:tc>
        <w:tc>
          <w:tcPr>
            <w:tcW w:w="629" w:type="dxa"/>
            <w:vMerge w:val="continue"/>
            <w:noWrap w:val="0"/>
            <w:vAlign w:val="center"/>
          </w:tcPr>
          <w:p w14:paraId="1FB62B52">
            <w:pPr>
              <w:jc w:val="center"/>
              <w:rPr>
                <w:rFonts w:ascii="Times New Roman" w:hAnsi="Times New Roman" w:eastAsia="宋体" w:cs="Times New Roman"/>
                <w:color w:val="auto"/>
                <w:sz w:val="21"/>
                <w:szCs w:val="21"/>
                <w:highlight w:val="none"/>
              </w:rPr>
            </w:pPr>
          </w:p>
        </w:tc>
        <w:tc>
          <w:tcPr>
            <w:tcW w:w="719" w:type="dxa"/>
            <w:vMerge w:val="continue"/>
            <w:noWrap w:val="0"/>
            <w:vAlign w:val="center"/>
          </w:tcPr>
          <w:p w14:paraId="567DFCEB">
            <w:pPr>
              <w:jc w:val="center"/>
              <w:rPr>
                <w:rFonts w:ascii="Times New Roman" w:hAnsi="Times New Roman" w:eastAsia="宋体" w:cs="Times New Roman"/>
                <w:color w:val="auto"/>
                <w:sz w:val="21"/>
                <w:szCs w:val="21"/>
                <w:highlight w:val="none"/>
              </w:rPr>
            </w:pPr>
          </w:p>
        </w:tc>
      </w:tr>
      <w:tr w14:paraId="637A8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1E505C4B">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w:t>
            </w:r>
          </w:p>
        </w:tc>
        <w:tc>
          <w:tcPr>
            <w:tcW w:w="1254" w:type="dxa"/>
            <w:vMerge w:val="continue"/>
            <w:noWrap w:val="0"/>
            <w:vAlign w:val="center"/>
          </w:tcPr>
          <w:p w14:paraId="2FBB5D51">
            <w:pPr>
              <w:jc w:val="center"/>
              <w:rPr>
                <w:rFonts w:ascii="Times New Roman" w:hAnsi="Times New Roman" w:eastAsia="宋体" w:cs="Times New Roman"/>
                <w:color w:val="auto"/>
                <w:sz w:val="21"/>
                <w:szCs w:val="21"/>
                <w:highlight w:val="none"/>
              </w:rPr>
            </w:pPr>
          </w:p>
        </w:tc>
        <w:tc>
          <w:tcPr>
            <w:tcW w:w="903" w:type="dxa"/>
            <w:shd w:val="clear" w:color="auto" w:fill="auto"/>
            <w:noWrap w:val="0"/>
            <w:vAlign w:val="center"/>
          </w:tcPr>
          <w:p w14:paraId="488C2605">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废润滑油</w:t>
            </w:r>
          </w:p>
        </w:tc>
        <w:tc>
          <w:tcPr>
            <w:tcW w:w="1079" w:type="dxa"/>
            <w:shd w:val="clear" w:color="auto" w:fill="auto"/>
            <w:noWrap w:val="0"/>
            <w:vAlign w:val="center"/>
          </w:tcPr>
          <w:p w14:paraId="46B51FC8">
            <w:pPr>
              <w:wordWrap w:val="0"/>
              <w:jc w:val="center"/>
              <w:rPr>
                <w:rFonts w:ascii="Times New Roman" w:hAnsi="Times New Roman" w:eastAsia="宋体" w:cs="Times New Roman"/>
                <w:color w:val="auto"/>
                <w:kern w:val="0"/>
                <w:sz w:val="21"/>
                <w:szCs w:val="21"/>
                <w:lang w:val="en-US" w:eastAsia="zh-CN" w:bidi="ar-SA"/>
              </w:rPr>
            </w:pPr>
            <w:r>
              <w:rPr>
                <w:color w:val="auto"/>
                <w:kern w:val="0"/>
                <w:sz w:val="21"/>
                <w:szCs w:val="21"/>
              </w:rPr>
              <w:t>HW08</w:t>
            </w:r>
            <w:r>
              <w:rPr>
                <w:rFonts w:hint="eastAsia"/>
                <w:color w:val="auto"/>
                <w:kern w:val="0"/>
                <w:sz w:val="21"/>
                <w:szCs w:val="21"/>
              </w:rPr>
              <w:t>废矿物油与含矿物油废物</w:t>
            </w:r>
          </w:p>
        </w:tc>
        <w:tc>
          <w:tcPr>
            <w:tcW w:w="1240" w:type="dxa"/>
            <w:shd w:val="clear" w:color="auto" w:fill="auto"/>
            <w:noWrap w:val="0"/>
            <w:vAlign w:val="center"/>
          </w:tcPr>
          <w:p w14:paraId="6479CE83">
            <w:pPr>
              <w:adjustRightInd w:val="0"/>
              <w:snapToGrid w:val="0"/>
              <w:spacing w:line="320" w:lineRule="exact"/>
              <w:jc w:val="center"/>
              <w:rPr>
                <w:rFonts w:ascii="Times New Roman" w:hAnsi="Times New Roman" w:eastAsia="宋体" w:cs="Times New Roman"/>
                <w:color w:val="auto"/>
                <w:kern w:val="0"/>
                <w:sz w:val="21"/>
                <w:szCs w:val="21"/>
                <w:lang w:val="en-US" w:eastAsia="zh-CN" w:bidi="ar-SA"/>
              </w:rPr>
            </w:pPr>
            <w:r>
              <w:rPr>
                <w:rFonts w:hint="eastAsia"/>
                <w:color w:val="auto"/>
                <w:sz w:val="21"/>
                <w:szCs w:val="21"/>
              </w:rPr>
              <w:t>900-214-08</w:t>
            </w:r>
          </w:p>
        </w:tc>
        <w:tc>
          <w:tcPr>
            <w:tcW w:w="731" w:type="dxa"/>
            <w:vMerge w:val="continue"/>
            <w:noWrap w:val="0"/>
            <w:vAlign w:val="center"/>
          </w:tcPr>
          <w:p w14:paraId="50AAA54E">
            <w:pPr>
              <w:jc w:val="center"/>
              <w:rPr>
                <w:rFonts w:ascii="Times New Roman" w:hAnsi="Times New Roman" w:eastAsia="宋体" w:cs="Times New Roman"/>
                <w:color w:val="auto"/>
                <w:sz w:val="21"/>
                <w:szCs w:val="21"/>
                <w:highlight w:val="none"/>
              </w:rPr>
            </w:pPr>
          </w:p>
        </w:tc>
        <w:tc>
          <w:tcPr>
            <w:tcW w:w="811" w:type="dxa"/>
            <w:vMerge w:val="continue"/>
            <w:noWrap w:val="0"/>
            <w:vAlign w:val="center"/>
          </w:tcPr>
          <w:p w14:paraId="6637E6A2">
            <w:pPr>
              <w:jc w:val="center"/>
              <w:rPr>
                <w:rFonts w:ascii="Times New Roman" w:hAnsi="Times New Roman" w:eastAsia="宋体" w:cs="Times New Roman"/>
                <w:color w:val="auto"/>
                <w:sz w:val="21"/>
                <w:szCs w:val="21"/>
                <w:highlight w:val="none"/>
              </w:rPr>
            </w:pPr>
          </w:p>
        </w:tc>
        <w:tc>
          <w:tcPr>
            <w:tcW w:w="633" w:type="dxa"/>
            <w:shd w:val="clear" w:color="auto" w:fill="auto"/>
            <w:noWrap w:val="0"/>
            <w:vAlign w:val="center"/>
          </w:tcPr>
          <w:p w14:paraId="0177FD54">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桶装</w:t>
            </w:r>
          </w:p>
        </w:tc>
        <w:tc>
          <w:tcPr>
            <w:tcW w:w="629" w:type="dxa"/>
            <w:vMerge w:val="continue"/>
            <w:noWrap w:val="0"/>
            <w:vAlign w:val="center"/>
          </w:tcPr>
          <w:p w14:paraId="33AF879F">
            <w:pPr>
              <w:jc w:val="center"/>
              <w:rPr>
                <w:rFonts w:ascii="Times New Roman" w:hAnsi="Times New Roman" w:eastAsia="宋体" w:cs="Times New Roman"/>
                <w:color w:val="auto"/>
                <w:sz w:val="21"/>
                <w:szCs w:val="21"/>
                <w:highlight w:val="none"/>
              </w:rPr>
            </w:pPr>
          </w:p>
        </w:tc>
        <w:tc>
          <w:tcPr>
            <w:tcW w:w="719" w:type="dxa"/>
            <w:vMerge w:val="continue"/>
            <w:noWrap w:val="0"/>
            <w:vAlign w:val="center"/>
          </w:tcPr>
          <w:p w14:paraId="5FFD449F">
            <w:pPr>
              <w:jc w:val="center"/>
              <w:rPr>
                <w:rFonts w:ascii="Times New Roman" w:hAnsi="Times New Roman" w:eastAsia="宋体" w:cs="Times New Roman"/>
                <w:color w:val="auto"/>
                <w:sz w:val="21"/>
                <w:szCs w:val="21"/>
                <w:highlight w:val="none"/>
              </w:rPr>
            </w:pPr>
          </w:p>
        </w:tc>
      </w:tr>
      <w:tr w14:paraId="23737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394" w:type="dxa"/>
            <w:noWrap w:val="0"/>
            <w:vAlign w:val="center"/>
          </w:tcPr>
          <w:p w14:paraId="65BBB52D">
            <w:pPr>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p>
        </w:tc>
        <w:tc>
          <w:tcPr>
            <w:tcW w:w="1254" w:type="dxa"/>
            <w:vMerge w:val="continue"/>
            <w:noWrap w:val="0"/>
            <w:vAlign w:val="center"/>
          </w:tcPr>
          <w:p w14:paraId="69CFDE82">
            <w:pPr>
              <w:jc w:val="center"/>
              <w:rPr>
                <w:rFonts w:ascii="Times New Roman" w:hAnsi="Times New Roman" w:eastAsia="宋体" w:cs="Times New Roman"/>
                <w:color w:val="auto"/>
                <w:sz w:val="21"/>
                <w:szCs w:val="21"/>
                <w:highlight w:val="none"/>
              </w:rPr>
            </w:pPr>
          </w:p>
        </w:tc>
        <w:tc>
          <w:tcPr>
            <w:tcW w:w="903" w:type="dxa"/>
            <w:shd w:val="clear" w:color="auto" w:fill="auto"/>
            <w:noWrap w:val="0"/>
            <w:vAlign w:val="center"/>
          </w:tcPr>
          <w:p w14:paraId="099071FF">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ascii="Times New Roman" w:hAnsi="Times New Roman" w:eastAsia="宋体" w:cs="Times New Roman"/>
                <w:bCs/>
                <w:color w:val="auto"/>
                <w:sz w:val="21"/>
                <w:szCs w:val="21"/>
                <w:highlight w:val="none"/>
                <w:lang w:val="en-US" w:eastAsia="zh-CN"/>
              </w:rPr>
              <w:t>废抹布</w:t>
            </w:r>
          </w:p>
        </w:tc>
        <w:tc>
          <w:tcPr>
            <w:tcW w:w="1079" w:type="dxa"/>
            <w:shd w:val="clear" w:color="auto" w:fill="auto"/>
            <w:noWrap w:val="0"/>
            <w:vAlign w:val="center"/>
          </w:tcPr>
          <w:p w14:paraId="63F285A7">
            <w:pPr>
              <w:jc w:val="center"/>
              <w:rPr>
                <w:rFonts w:ascii="Times New Roman" w:hAnsi="Times New Roman" w:eastAsia="宋体" w:cs="Times New Roman"/>
                <w:color w:val="auto"/>
                <w:kern w:val="0"/>
                <w:sz w:val="21"/>
                <w:szCs w:val="21"/>
                <w:lang w:val="en-US" w:eastAsia="zh-CN" w:bidi="ar-SA"/>
              </w:rPr>
            </w:pPr>
            <w:r>
              <w:rPr>
                <w:rFonts w:hint="eastAsia"/>
                <w:color w:val="auto"/>
                <w:kern w:val="0"/>
                <w:sz w:val="21"/>
                <w:szCs w:val="21"/>
              </w:rPr>
              <w:t>H</w:t>
            </w:r>
            <w:r>
              <w:rPr>
                <w:color w:val="auto"/>
                <w:kern w:val="0"/>
                <w:sz w:val="21"/>
                <w:szCs w:val="21"/>
              </w:rPr>
              <w:t>W49</w:t>
            </w:r>
            <w:r>
              <w:rPr>
                <w:rFonts w:hint="eastAsia"/>
                <w:color w:val="auto"/>
                <w:kern w:val="0"/>
                <w:sz w:val="21"/>
                <w:szCs w:val="21"/>
              </w:rPr>
              <w:t>其他废物</w:t>
            </w:r>
          </w:p>
        </w:tc>
        <w:tc>
          <w:tcPr>
            <w:tcW w:w="1240" w:type="dxa"/>
            <w:shd w:val="clear" w:color="auto" w:fill="auto"/>
            <w:noWrap w:val="0"/>
            <w:vAlign w:val="center"/>
          </w:tcPr>
          <w:p w14:paraId="2E0241C1">
            <w:pPr>
              <w:jc w:val="center"/>
              <w:rPr>
                <w:rFonts w:ascii="Times New Roman" w:hAnsi="Times New Roman" w:eastAsia="宋体" w:cs="Times New Roman"/>
                <w:color w:val="auto"/>
                <w:kern w:val="2"/>
                <w:sz w:val="21"/>
                <w:szCs w:val="21"/>
                <w:lang w:val="en-US" w:eastAsia="zh-CN" w:bidi="ar-SA"/>
              </w:rPr>
            </w:pPr>
            <w:r>
              <w:rPr>
                <w:rFonts w:hint="eastAsia"/>
                <w:color w:val="auto"/>
                <w:sz w:val="21"/>
                <w:szCs w:val="21"/>
              </w:rPr>
              <w:t>900-041-49</w:t>
            </w:r>
          </w:p>
        </w:tc>
        <w:tc>
          <w:tcPr>
            <w:tcW w:w="731" w:type="dxa"/>
            <w:vMerge w:val="continue"/>
            <w:noWrap w:val="0"/>
            <w:vAlign w:val="center"/>
          </w:tcPr>
          <w:p w14:paraId="410DCCA8">
            <w:pPr>
              <w:jc w:val="center"/>
              <w:rPr>
                <w:rFonts w:ascii="Times New Roman" w:hAnsi="Times New Roman" w:eastAsia="宋体" w:cs="Times New Roman"/>
                <w:color w:val="auto"/>
                <w:sz w:val="21"/>
                <w:szCs w:val="21"/>
                <w:highlight w:val="none"/>
              </w:rPr>
            </w:pPr>
          </w:p>
        </w:tc>
        <w:tc>
          <w:tcPr>
            <w:tcW w:w="811" w:type="dxa"/>
            <w:vMerge w:val="continue"/>
            <w:noWrap w:val="0"/>
            <w:vAlign w:val="center"/>
          </w:tcPr>
          <w:p w14:paraId="278D918E">
            <w:pPr>
              <w:jc w:val="center"/>
              <w:rPr>
                <w:rFonts w:ascii="Times New Roman" w:hAnsi="Times New Roman" w:eastAsia="宋体" w:cs="Times New Roman"/>
                <w:color w:val="auto"/>
                <w:sz w:val="21"/>
                <w:szCs w:val="21"/>
                <w:highlight w:val="none"/>
              </w:rPr>
            </w:pPr>
          </w:p>
        </w:tc>
        <w:tc>
          <w:tcPr>
            <w:tcW w:w="633" w:type="dxa"/>
            <w:shd w:val="clear" w:color="auto" w:fill="auto"/>
            <w:noWrap w:val="0"/>
            <w:vAlign w:val="center"/>
          </w:tcPr>
          <w:p w14:paraId="562AC1D8">
            <w:pPr>
              <w:jc w:val="center"/>
              <w:rPr>
                <w:rFonts w:hint="eastAsia" w:ascii="Times New Roman" w:hAnsi="Times New Roman" w:eastAsia="宋体" w:cs="Times New Roman"/>
                <w:color w:val="auto"/>
                <w:kern w:val="2"/>
                <w:sz w:val="21"/>
                <w:szCs w:val="21"/>
                <w:lang w:val="en-US" w:eastAsia="zh-CN" w:bidi="ar-SA"/>
              </w:rPr>
            </w:pPr>
            <w:r>
              <w:rPr>
                <w:rFonts w:hint="eastAsia"/>
                <w:color w:val="auto"/>
                <w:sz w:val="21"/>
                <w:szCs w:val="21"/>
              </w:rPr>
              <w:t>袋装</w:t>
            </w:r>
          </w:p>
        </w:tc>
        <w:tc>
          <w:tcPr>
            <w:tcW w:w="629" w:type="dxa"/>
            <w:vMerge w:val="continue"/>
            <w:noWrap w:val="0"/>
            <w:vAlign w:val="center"/>
          </w:tcPr>
          <w:p w14:paraId="0DB6A63A">
            <w:pPr>
              <w:jc w:val="center"/>
              <w:rPr>
                <w:rFonts w:ascii="Times New Roman" w:hAnsi="Times New Roman" w:eastAsia="宋体" w:cs="Times New Roman"/>
                <w:color w:val="auto"/>
                <w:sz w:val="21"/>
                <w:szCs w:val="21"/>
                <w:highlight w:val="none"/>
              </w:rPr>
            </w:pPr>
          </w:p>
        </w:tc>
        <w:tc>
          <w:tcPr>
            <w:tcW w:w="719" w:type="dxa"/>
            <w:vMerge w:val="continue"/>
            <w:noWrap w:val="0"/>
            <w:vAlign w:val="center"/>
          </w:tcPr>
          <w:p w14:paraId="72215544">
            <w:pPr>
              <w:jc w:val="center"/>
              <w:rPr>
                <w:rFonts w:ascii="Times New Roman" w:hAnsi="Times New Roman" w:eastAsia="宋体" w:cs="Times New Roman"/>
                <w:color w:val="auto"/>
                <w:sz w:val="21"/>
                <w:szCs w:val="21"/>
                <w:highlight w:val="none"/>
              </w:rPr>
            </w:pPr>
          </w:p>
        </w:tc>
      </w:tr>
    </w:tbl>
    <w:p w14:paraId="58316906">
      <w:pPr>
        <w:numPr>
          <w:ilvl w:val="0"/>
          <w:numId w:val="0"/>
        </w:numPr>
        <w:adjustRightInd/>
        <w:snapToGrid/>
        <w:spacing w:line="360" w:lineRule="auto"/>
        <w:ind w:firstLine="480" w:firstLineChars="200"/>
        <w:jc w:val="left"/>
        <w:rPr>
          <w:rFonts w:hint="eastAsia" w:ascii="Times New Roman" w:hAnsi="Times New Roman" w:eastAsia="宋体" w:cs="Times New Roman"/>
          <w:color w:val="auto"/>
          <w:kern w:val="0"/>
          <w:sz w:val="24"/>
          <w:szCs w:val="24"/>
          <w:highlight w:val="none"/>
        </w:rPr>
      </w:pPr>
      <w:r>
        <w:rPr>
          <w:rFonts w:hint="eastAsia" w:ascii="Times New Roman" w:hAnsi="Times New Roman" w:eastAsia="宋体" w:cs="Times New Roman"/>
          <w:color w:val="auto"/>
          <w:kern w:val="0"/>
          <w:sz w:val="24"/>
          <w:szCs w:val="24"/>
          <w:highlight w:val="none"/>
        </w:rPr>
        <w:t>根据上表可知，</w:t>
      </w:r>
      <w:r>
        <w:rPr>
          <w:rFonts w:hint="eastAsia" w:ascii="Times New Roman" w:hAnsi="Times New Roman" w:eastAsia="宋体" w:cs="Times New Roman"/>
          <w:color w:val="auto"/>
          <w:kern w:val="0"/>
          <w:sz w:val="24"/>
          <w:szCs w:val="24"/>
          <w:highlight w:val="none"/>
          <w:lang w:val="en-US" w:eastAsia="zh-CN"/>
        </w:rPr>
        <w:t>企业拟在厂房西侧设置一般固废仓库（</w:t>
      </w:r>
      <w:r>
        <w:rPr>
          <w:rFonts w:hint="eastAsia" w:ascii="Times New Roman" w:hAnsi="Times New Roman" w:eastAsia="宋体"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rPr>
        <w:t>0</w:t>
      </w:r>
      <w:r>
        <w:rPr>
          <w:rFonts w:ascii="Times New Roman" w:hAnsi="Times New Roman" w:eastAsia="宋体" w:cs="Times New Roman"/>
          <w:color w:val="auto"/>
          <w:sz w:val="24"/>
          <w:szCs w:val="24"/>
          <w:highlight w:val="none"/>
        </w:rPr>
        <w:t>m</w:t>
      </w:r>
      <w:r>
        <w:rPr>
          <w:rFonts w:ascii="Times New Roman" w:hAnsi="Times New Roman" w:eastAsia="宋体" w:cs="Times New Roman"/>
          <w:color w:val="auto"/>
          <w:sz w:val="24"/>
          <w:szCs w:val="24"/>
          <w:highlight w:val="none"/>
          <w:vertAlign w:val="superscript"/>
        </w:rPr>
        <w:t>2</w:t>
      </w:r>
      <w:r>
        <w:rPr>
          <w:rFonts w:hint="eastAsia"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rPr>
        <w:t>，一般固废</w:t>
      </w:r>
      <w:r>
        <w:rPr>
          <w:rFonts w:hint="eastAsia" w:ascii="Times New Roman" w:hAnsi="Times New Roman" w:eastAsia="宋体" w:cs="Times New Roman"/>
          <w:color w:val="auto"/>
          <w:kern w:val="0"/>
          <w:sz w:val="24"/>
          <w:szCs w:val="24"/>
          <w:highlight w:val="none"/>
          <w:lang w:val="en-US" w:eastAsia="zh-CN"/>
        </w:rPr>
        <w:t>仓库</w:t>
      </w:r>
      <w:r>
        <w:rPr>
          <w:rFonts w:hint="eastAsia" w:ascii="Times New Roman" w:hAnsi="Times New Roman" w:eastAsia="宋体" w:cs="Times New Roman"/>
          <w:color w:val="auto"/>
          <w:kern w:val="0"/>
          <w:sz w:val="24"/>
          <w:szCs w:val="24"/>
          <w:highlight w:val="none"/>
        </w:rPr>
        <w:t>贮存</w:t>
      </w:r>
      <w:r>
        <w:rPr>
          <w:rFonts w:hint="eastAsia" w:ascii="Times New Roman" w:hAnsi="Times New Roman" w:eastAsia="宋体" w:cs="Times New Roman"/>
          <w:color w:val="auto"/>
          <w:kern w:val="0"/>
          <w:sz w:val="24"/>
          <w:szCs w:val="24"/>
          <w:highlight w:val="none"/>
          <w:lang w:val="en-US" w:eastAsia="zh-CN"/>
        </w:rPr>
        <w:t>能力约</w:t>
      </w:r>
      <w:r>
        <w:rPr>
          <w:rFonts w:hint="eastAsia"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15</w:t>
      </w:r>
      <w:r>
        <w:rPr>
          <w:rFonts w:hint="eastAsia" w:ascii="Times New Roman" w:hAnsi="Times New Roman" w:eastAsia="宋体" w:cs="Times New Roman"/>
          <w:color w:val="auto"/>
          <w:kern w:val="0"/>
          <w:sz w:val="24"/>
          <w:szCs w:val="24"/>
          <w:highlight w:val="none"/>
        </w:rPr>
        <w:t>t，</w:t>
      </w:r>
      <w:r>
        <w:rPr>
          <w:rFonts w:hint="eastAsia" w:ascii="Times New Roman" w:hAnsi="Times New Roman" w:eastAsia="宋体" w:cs="Times New Roman"/>
          <w:color w:val="auto"/>
          <w:kern w:val="0"/>
          <w:sz w:val="24"/>
          <w:szCs w:val="24"/>
          <w:highlight w:val="none"/>
          <w:lang w:val="en-US" w:eastAsia="zh-CN"/>
        </w:rPr>
        <w:t>项目</w:t>
      </w:r>
      <w:r>
        <w:rPr>
          <w:rFonts w:hint="eastAsia" w:ascii="Times New Roman" w:hAnsi="Times New Roman" w:eastAsia="宋体" w:cs="Times New Roman"/>
          <w:color w:val="auto"/>
          <w:kern w:val="0"/>
          <w:sz w:val="24"/>
          <w:szCs w:val="24"/>
          <w:highlight w:val="none"/>
        </w:rPr>
        <w:t>一般固废产生量</w:t>
      </w:r>
      <w:r>
        <w:rPr>
          <w:rFonts w:hint="eastAsia" w:ascii="Times New Roman" w:hAnsi="Times New Roman" w:eastAsia="宋体" w:cs="Times New Roman"/>
          <w:color w:val="auto"/>
          <w:kern w:val="0"/>
          <w:sz w:val="24"/>
          <w:szCs w:val="24"/>
          <w:highlight w:val="none"/>
          <w:lang w:val="en-US" w:eastAsia="zh-CN"/>
        </w:rPr>
        <w:t>约</w:t>
      </w:r>
      <w:r>
        <w:rPr>
          <w:rFonts w:hint="eastAsia"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40.4</w:t>
      </w:r>
      <w:r>
        <w:rPr>
          <w:rFonts w:hint="eastAsia" w:ascii="Times New Roman" w:hAnsi="Times New Roman" w:eastAsia="宋体" w:cs="Times New Roman"/>
          <w:color w:val="auto"/>
          <w:kern w:val="0"/>
          <w:sz w:val="24"/>
          <w:szCs w:val="24"/>
          <w:highlight w:val="none"/>
        </w:rPr>
        <w:t>t</w:t>
      </w:r>
      <w:r>
        <w:rPr>
          <w:rFonts w:hint="eastAsia" w:ascii="Times New Roman" w:hAnsi="Times New Roman" w:eastAsia="宋体" w:cs="Times New Roman"/>
          <w:color w:val="auto"/>
          <w:kern w:val="0"/>
          <w:sz w:val="24"/>
          <w:szCs w:val="24"/>
          <w:highlight w:val="none"/>
          <w:lang w:val="en-US" w:eastAsia="zh-CN"/>
        </w:rPr>
        <w:t>/a</w:t>
      </w:r>
      <w:r>
        <w:rPr>
          <w:rFonts w:hint="eastAsia" w:ascii="Times New Roman" w:hAnsi="Times New Roman" w:eastAsia="宋体" w:cs="Times New Roman"/>
          <w:color w:val="auto"/>
          <w:kern w:val="0"/>
          <w:sz w:val="24"/>
          <w:szCs w:val="24"/>
          <w:highlight w:val="none"/>
        </w:rPr>
        <w:t>，以</w:t>
      </w:r>
      <w:r>
        <w:rPr>
          <w:rFonts w:hint="eastAsia" w:ascii="Times New Roman" w:hAnsi="Times New Roman" w:eastAsia="宋体" w:cs="Times New Roman"/>
          <w:color w:val="auto"/>
          <w:kern w:val="0"/>
          <w:sz w:val="24"/>
          <w:szCs w:val="24"/>
          <w:highlight w:val="none"/>
          <w:lang w:val="en-US" w:eastAsia="zh-CN"/>
        </w:rPr>
        <w:t>一季度</w:t>
      </w:r>
      <w:r>
        <w:rPr>
          <w:rFonts w:hint="eastAsia" w:ascii="Times New Roman" w:hAnsi="Times New Roman" w:eastAsia="宋体" w:cs="Times New Roman"/>
          <w:color w:val="auto"/>
          <w:kern w:val="0"/>
          <w:sz w:val="24"/>
          <w:szCs w:val="24"/>
          <w:highlight w:val="none"/>
        </w:rPr>
        <w:t>为贮存周期，则企业的一般固废</w:t>
      </w:r>
      <w:r>
        <w:rPr>
          <w:rFonts w:hint="eastAsia" w:ascii="Times New Roman" w:hAnsi="Times New Roman" w:eastAsia="宋体" w:cs="Times New Roman"/>
          <w:color w:val="auto"/>
          <w:kern w:val="0"/>
          <w:sz w:val="24"/>
          <w:szCs w:val="24"/>
          <w:highlight w:val="none"/>
          <w:lang w:val="en-US" w:eastAsia="zh-CN"/>
        </w:rPr>
        <w:t>仓库</w:t>
      </w:r>
      <w:r>
        <w:rPr>
          <w:rFonts w:hint="eastAsia" w:ascii="Times New Roman" w:hAnsi="Times New Roman" w:eastAsia="宋体" w:cs="Times New Roman"/>
          <w:color w:val="auto"/>
          <w:kern w:val="0"/>
          <w:sz w:val="24"/>
          <w:szCs w:val="24"/>
          <w:highlight w:val="none"/>
        </w:rPr>
        <w:t>贮存能力能满足需求。一般固废</w:t>
      </w:r>
      <w:r>
        <w:rPr>
          <w:rFonts w:hint="eastAsia" w:ascii="Times New Roman" w:hAnsi="Times New Roman" w:eastAsia="宋体" w:cs="Times New Roman"/>
          <w:color w:val="auto"/>
          <w:kern w:val="0"/>
          <w:sz w:val="24"/>
          <w:szCs w:val="24"/>
          <w:highlight w:val="none"/>
          <w:lang w:val="en-US" w:eastAsia="zh-CN"/>
        </w:rPr>
        <w:t>仓库</w:t>
      </w:r>
      <w:r>
        <w:rPr>
          <w:rFonts w:hint="eastAsia" w:ascii="Times New Roman" w:hAnsi="Times New Roman" w:eastAsia="宋体" w:cs="Times New Roman"/>
          <w:color w:val="auto"/>
          <w:kern w:val="0"/>
          <w:sz w:val="24"/>
          <w:szCs w:val="24"/>
          <w:highlight w:val="none"/>
        </w:rPr>
        <w:t>应满足相应防渗漏、防雨淋、防扬尘等环境保护要求。</w:t>
      </w:r>
    </w:p>
    <w:p w14:paraId="1FE20BC6">
      <w:pPr>
        <w:numPr>
          <w:ilvl w:val="0"/>
          <w:numId w:val="0"/>
        </w:numPr>
        <w:adjustRightInd/>
        <w:snapToGrid/>
        <w:spacing w:line="360" w:lineRule="auto"/>
        <w:ind w:firstLine="480" w:firstLineChars="200"/>
        <w:jc w:val="left"/>
        <w:rPr>
          <w:rFonts w:ascii="Times New Roman" w:hAnsi="Times New Roman" w:eastAsia="宋体" w:cs="Times New Roman"/>
          <w:b/>
          <w:bCs/>
          <w:color w:val="auto"/>
          <w:sz w:val="24"/>
          <w:szCs w:val="24"/>
          <w:highlight w:val="none"/>
        </w:rPr>
      </w:pPr>
      <w:r>
        <w:rPr>
          <w:rFonts w:hint="eastAsia" w:ascii="Times New Roman" w:hAnsi="Times New Roman" w:eastAsia="宋体" w:cs="Times New Roman"/>
          <w:color w:val="auto"/>
          <w:kern w:val="0"/>
          <w:sz w:val="24"/>
          <w:szCs w:val="24"/>
          <w:highlight w:val="none"/>
          <w:lang w:val="en-US" w:eastAsia="zh-CN"/>
        </w:rPr>
        <w:t>企业拟在厂房西侧设置危废仓库（4</w:t>
      </w:r>
      <w:r>
        <w:rPr>
          <w:rFonts w:ascii="Times New Roman" w:hAnsi="Times New Roman" w:eastAsia="宋体" w:cs="Times New Roman"/>
          <w:color w:val="auto"/>
          <w:sz w:val="24"/>
          <w:szCs w:val="24"/>
          <w:highlight w:val="none"/>
        </w:rPr>
        <w:t>m</w:t>
      </w:r>
      <w:r>
        <w:rPr>
          <w:rFonts w:ascii="Times New Roman" w:hAnsi="Times New Roman" w:eastAsia="宋体" w:cs="Times New Roman"/>
          <w:color w:val="auto"/>
          <w:sz w:val="24"/>
          <w:szCs w:val="24"/>
          <w:highlight w:val="none"/>
          <w:vertAlign w:val="superscript"/>
        </w:rPr>
        <w:t>2</w:t>
      </w:r>
      <w:r>
        <w:rPr>
          <w:rFonts w:hint="eastAsia" w:ascii="Times New Roman" w:hAnsi="Times New Roman" w:eastAsia="宋体"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rPr>
        <w:t>，危废仓库贮存</w:t>
      </w:r>
      <w:r>
        <w:rPr>
          <w:rFonts w:hint="eastAsia" w:ascii="Times New Roman" w:hAnsi="Times New Roman" w:eastAsia="宋体" w:cs="Times New Roman"/>
          <w:color w:val="auto"/>
          <w:kern w:val="0"/>
          <w:sz w:val="24"/>
          <w:szCs w:val="24"/>
          <w:highlight w:val="none"/>
          <w:lang w:val="en-US" w:eastAsia="zh-CN"/>
        </w:rPr>
        <w:t>能力约</w:t>
      </w:r>
      <w:r>
        <w:rPr>
          <w:rFonts w:hint="eastAsia"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2</w:t>
      </w:r>
      <w:r>
        <w:rPr>
          <w:rFonts w:hint="eastAsia" w:ascii="Times New Roman" w:hAnsi="Times New Roman" w:eastAsia="宋体" w:cs="Times New Roman"/>
          <w:color w:val="auto"/>
          <w:kern w:val="0"/>
          <w:sz w:val="24"/>
          <w:szCs w:val="24"/>
          <w:highlight w:val="none"/>
        </w:rPr>
        <w:t>t，</w:t>
      </w:r>
      <w:r>
        <w:rPr>
          <w:rFonts w:hint="eastAsia" w:ascii="Times New Roman" w:hAnsi="Times New Roman" w:eastAsia="宋体" w:cs="Times New Roman"/>
          <w:color w:val="auto"/>
          <w:kern w:val="0"/>
          <w:sz w:val="24"/>
          <w:szCs w:val="24"/>
          <w:highlight w:val="none"/>
          <w:lang w:val="en-US" w:eastAsia="zh-CN"/>
        </w:rPr>
        <w:t>项目危险废物</w:t>
      </w:r>
      <w:r>
        <w:rPr>
          <w:rFonts w:hint="eastAsia" w:ascii="Times New Roman" w:hAnsi="Times New Roman" w:eastAsia="宋体" w:cs="Times New Roman"/>
          <w:color w:val="auto"/>
          <w:kern w:val="0"/>
          <w:sz w:val="24"/>
          <w:szCs w:val="24"/>
          <w:highlight w:val="none"/>
        </w:rPr>
        <w:t>产生量</w:t>
      </w:r>
      <w:r>
        <w:rPr>
          <w:rFonts w:hint="eastAsia" w:ascii="Times New Roman" w:hAnsi="Times New Roman" w:eastAsia="宋体" w:cs="Times New Roman"/>
          <w:color w:val="auto"/>
          <w:kern w:val="0"/>
          <w:sz w:val="24"/>
          <w:szCs w:val="24"/>
          <w:highlight w:val="none"/>
          <w:lang w:val="en-US" w:eastAsia="zh-CN"/>
        </w:rPr>
        <w:t>约</w:t>
      </w:r>
      <w:r>
        <w:rPr>
          <w:rFonts w:hint="eastAsia" w:ascii="Times New Roman" w:hAnsi="Times New Roman" w:eastAsia="宋体" w:cs="Times New Roman"/>
          <w:color w:val="auto"/>
          <w:kern w:val="0"/>
          <w:sz w:val="24"/>
          <w:szCs w:val="24"/>
          <w:highlight w:val="none"/>
        </w:rPr>
        <w:t>为</w:t>
      </w:r>
      <w:r>
        <w:rPr>
          <w:rFonts w:hint="eastAsia" w:ascii="Times New Roman" w:hAnsi="Times New Roman" w:eastAsia="宋体" w:cs="Times New Roman"/>
          <w:color w:val="auto"/>
          <w:kern w:val="0"/>
          <w:sz w:val="24"/>
          <w:szCs w:val="24"/>
          <w:highlight w:val="none"/>
          <w:lang w:val="en-US" w:eastAsia="zh-CN"/>
        </w:rPr>
        <w:t>2.06</w:t>
      </w:r>
      <w:r>
        <w:rPr>
          <w:rFonts w:hint="eastAsia" w:cs="Times New Roman"/>
          <w:color w:val="auto"/>
          <w:kern w:val="0"/>
          <w:sz w:val="24"/>
          <w:szCs w:val="24"/>
          <w:highlight w:val="none"/>
          <w:lang w:val="en-US" w:eastAsia="zh-CN"/>
        </w:rPr>
        <w:t>2</w:t>
      </w:r>
      <w:r>
        <w:rPr>
          <w:rFonts w:hint="eastAsia" w:ascii="Times New Roman" w:hAnsi="Times New Roman" w:eastAsia="宋体" w:cs="Times New Roman"/>
          <w:color w:val="auto"/>
          <w:kern w:val="0"/>
          <w:sz w:val="24"/>
          <w:szCs w:val="24"/>
          <w:highlight w:val="none"/>
        </w:rPr>
        <w:t>t</w:t>
      </w:r>
      <w:r>
        <w:rPr>
          <w:rFonts w:hint="eastAsia" w:ascii="Times New Roman" w:hAnsi="Times New Roman" w:eastAsia="宋体" w:cs="Times New Roman"/>
          <w:color w:val="auto"/>
          <w:kern w:val="0"/>
          <w:sz w:val="24"/>
          <w:szCs w:val="24"/>
          <w:highlight w:val="none"/>
          <w:lang w:val="en-US" w:eastAsia="zh-CN"/>
        </w:rPr>
        <w:t>/a，以一季度</w:t>
      </w:r>
      <w:r>
        <w:rPr>
          <w:rFonts w:hint="eastAsia" w:ascii="Times New Roman" w:hAnsi="Times New Roman" w:eastAsia="宋体" w:cs="Times New Roman"/>
          <w:color w:val="auto"/>
          <w:kern w:val="0"/>
          <w:sz w:val="24"/>
          <w:szCs w:val="24"/>
          <w:highlight w:val="none"/>
        </w:rPr>
        <w:t>为贮存周期，则企业的危废仓库贮存能力能满足需求。</w:t>
      </w:r>
      <w:r>
        <w:rPr>
          <w:color w:val="auto"/>
          <w:kern w:val="0"/>
          <w:sz w:val="24"/>
          <w:szCs w:val="24"/>
        </w:rPr>
        <w:t>本项目</w:t>
      </w:r>
      <w:r>
        <w:rPr>
          <w:rFonts w:hint="eastAsia"/>
          <w:color w:val="auto"/>
          <w:kern w:val="0"/>
          <w:sz w:val="24"/>
          <w:szCs w:val="24"/>
        </w:rPr>
        <w:t>需</w:t>
      </w:r>
      <w:r>
        <w:rPr>
          <w:color w:val="auto"/>
          <w:kern w:val="0"/>
          <w:sz w:val="24"/>
          <w:szCs w:val="24"/>
        </w:rPr>
        <w:t>按照《危险废物贮存污染控制标准》（GB18597-2023）要求设置危废仓库。危废仓库采取必要的防风、防晒、防雨、防漏、防渗、防腐以及其他环境污染防治措施；地面、墙面裙脚、堵截泄漏的围堰、接触危险废物的隔板和墙体等应采用坚固的材料建造，表面无裂缝，地面与裙脚要用坚固、防渗的材料建造，建筑材料必须与危险废物相容；不相容的危险废物必须分开存放，并设有隔离间隔断；贮存设施或场所、容器和包装物应按《危险废物识别标志设置技术规范》(HJ 1276-2022)要求设置危险废物贮存设施或场所标志、危险废物贮存分区标志和危险废物标签等危险废物识别标志</w:t>
      </w:r>
      <w:r>
        <w:rPr>
          <w:rFonts w:hint="eastAsia"/>
          <w:color w:val="auto"/>
          <w:kern w:val="0"/>
          <w:sz w:val="24"/>
          <w:szCs w:val="24"/>
        </w:rPr>
        <w:t>。</w:t>
      </w:r>
    </w:p>
    <w:p w14:paraId="7FE0FEDC">
      <w:pPr>
        <w:spacing w:line="360" w:lineRule="auto"/>
        <w:ind w:firstLine="440" w:firstLineChars="200"/>
        <w:rPr>
          <w:rFonts w:ascii="Times New Roman" w:hAnsi="Times New Roman" w:eastAsia="宋体" w:cs="Times New Roman"/>
          <w:b w:val="0"/>
          <w:bCs/>
          <w:color w:val="auto"/>
          <w:spacing w:val="-10"/>
          <w:sz w:val="24"/>
          <w:szCs w:val="24"/>
        </w:rPr>
      </w:pPr>
      <w:r>
        <w:rPr>
          <w:rFonts w:hint="eastAsia" w:ascii="Times New Roman" w:hAnsi="Times New Roman" w:eastAsia="宋体" w:cs="Times New Roman"/>
          <w:b w:val="0"/>
          <w:bCs/>
          <w:color w:val="auto"/>
          <w:spacing w:val="-10"/>
          <w:sz w:val="24"/>
          <w:szCs w:val="24"/>
          <w:lang w:val="en-US" w:eastAsia="zh-CN"/>
        </w:rPr>
        <w:t>3、</w:t>
      </w:r>
      <w:r>
        <w:rPr>
          <w:rFonts w:ascii="Times New Roman" w:hAnsi="Times New Roman" w:eastAsia="宋体" w:cs="Times New Roman"/>
          <w:b w:val="0"/>
          <w:bCs/>
          <w:color w:val="auto"/>
          <w:spacing w:val="-10"/>
          <w:sz w:val="24"/>
          <w:szCs w:val="24"/>
        </w:rPr>
        <w:t>固体废物环境影响分析及管理要求</w:t>
      </w:r>
    </w:p>
    <w:p w14:paraId="1D6CC487">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1）一般固废</w:t>
      </w:r>
    </w:p>
    <w:p w14:paraId="750E890A">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一般工业固废收集后在仓库内暂存，委托有关单位综合利用或处置。</w:t>
      </w:r>
    </w:p>
    <w:p w14:paraId="290B7885">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企业应当参照《一般工业固体废物贮存和填埋污染控制标准》(GB18599-2020)标准进行管理，要求建设一般固废暂存场所，做好防风、防雨、地面硬化等措施，并完善一般固废识别标志。</w:t>
      </w:r>
    </w:p>
    <w:p w14:paraId="225B186C">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企业应当建立健全工业固体废物产生、收集、贮存、运输、利用、处置全过程的污染环境防治责任制度，建立一般工业固体废物管理台账，如实记录产生工业固体废物的种类、数量、流向、贮存、利用、处置等信息；注册并登录浙江省固体废物管理信息系统，实时填报工业固体废物产生、转移、利用和处置等数据。</w:t>
      </w:r>
    </w:p>
    <w:p w14:paraId="0AFD18E4">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企业委托他人运输、利用、处置工业固体废物的，应当对受托方的主体资格和技术能力进行核实，依法签订书面合同，在合同中约定污染防治要求。</w:t>
      </w:r>
    </w:p>
    <w:p w14:paraId="20C17BC4">
      <w:pPr>
        <w:widowControl/>
        <w:spacing w:line="360" w:lineRule="auto"/>
        <w:ind w:firstLine="480" w:firstLineChars="200"/>
        <w:jc w:val="both"/>
        <w:rPr>
          <w:rFonts w:ascii="Times New Roman" w:hAnsi="Times New Roman" w:eastAsia="宋体" w:cs="Times New Roman"/>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④</w:t>
      </w:r>
      <w:r>
        <w:rPr>
          <w:rFonts w:ascii="Times New Roman" w:hAnsi="Times New Roman" w:eastAsia="宋体" w:cs="Times New Roman"/>
          <w:color w:val="auto"/>
          <w:kern w:val="2"/>
          <w:sz w:val="24"/>
          <w:szCs w:val="24"/>
          <w:lang w:val="en-US" w:eastAsia="zh-CN" w:bidi="ar-SA"/>
        </w:rPr>
        <w:t>企业应执行《浙江省工业固体废物电子转移联单管理办法（试行）》的相关要求，委托他人运输和利用处置工业固体废物的，应当通过省固废系统发起工业固体废物电子转移联单，如实填写移出人、承运人、接收人信息和转移工业固体废物的种类、重量（数量）等信息。</w:t>
      </w:r>
    </w:p>
    <w:p w14:paraId="525553C1">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2）危险废物</w:t>
      </w:r>
    </w:p>
    <w:p w14:paraId="62C9F2F4">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①</w:t>
      </w:r>
      <w:r>
        <w:rPr>
          <w:rFonts w:ascii="Times New Roman" w:hAnsi="Times New Roman" w:eastAsia="宋体" w:cs="Times New Roman"/>
          <w:color w:val="auto"/>
          <w:sz w:val="24"/>
          <w:szCs w:val="24"/>
        </w:rPr>
        <w:t>危险废物环境影响分析</w:t>
      </w:r>
    </w:p>
    <w:p w14:paraId="4B5E9DAA">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A.污染影响途径分析</w:t>
      </w:r>
    </w:p>
    <w:p w14:paraId="0C0F4519">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本项目产生的危废为固态、液态等形式，危险废物从产生环节运输到贮存场所过程中以及贮存期间，可能存在泄漏等情形。危废泄漏若未能及时收集处置，则有可能进入雨水系统进而污染周边地表水，或下渗进入地下污染土壤和地下水。</w:t>
      </w:r>
    </w:p>
    <w:p w14:paraId="50A1F397">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B.污染影响分析</w:t>
      </w:r>
    </w:p>
    <w:p w14:paraId="0F9D1B51">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项目危废产生点至危废仓库之间的转运均在厂区内完成，因此转运路线上不涉及环境敏感点。项目产生的各类危险废物在产生点及时收集后，采用密封桶转运至危废仓库，正常情况下发生危废泄漏的机率不大。危废仓库内地面采取必要的防渗、防腐措施和液体泄漏堵截设施后，能够避免污染物污染地下水和土壤环境。</w:t>
      </w:r>
    </w:p>
    <w:p w14:paraId="7B16FB10">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②</w:t>
      </w:r>
      <w:r>
        <w:rPr>
          <w:rFonts w:ascii="Times New Roman" w:hAnsi="Times New Roman" w:eastAsia="宋体" w:cs="Times New Roman"/>
          <w:color w:val="auto"/>
          <w:sz w:val="24"/>
          <w:szCs w:val="24"/>
        </w:rPr>
        <w:t>危险废物收集贮存过程管理要求</w:t>
      </w:r>
    </w:p>
    <w:p w14:paraId="67F0F2DC">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企业应按照《危险废物贮存污染控制标准》（GB18597-2023）和《危险废物识别标志设置技术规范》（HJ1276-2022）等相关规定，在厂区内设置相对独立的危险固废存放场地。并做好危险废物的收集、暂存工作。</w:t>
      </w:r>
    </w:p>
    <w:p w14:paraId="3C825BA9">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 xml:space="preserve">A.危险废物的收集 </w:t>
      </w:r>
    </w:p>
    <w:p w14:paraId="6C7AF369">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危险废物要根据其成分，用符合国家标准的专门容器分类收集。装运危险废物的容器应根据危险废物的不同特性而设计，不易破损、变形、老化，能有效防止渗漏、扩散。根据HJ1276-2022，危险废物标签应以醒目的字样标注</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危险废物</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。危险废物标签应包含废物名称、废物类别、废物代码、废物形态、危险特性、主要成分、有害成分、注意事项、产生/收集单位名称、联系人、联系方式等。危险废物标签宜设置危险废物数字识别码和二维码。</w:t>
      </w:r>
    </w:p>
    <w:p w14:paraId="1098AC2D">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盛装危险废物的容器和包装物污染控制要求：</w:t>
      </w:r>
    </w:p>
    <w:p w14:paraId="1A841D2B">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a.容器和包装物材质、内衬应与盛装的危险废物相容。</w:t>
      </w:r>
    </w:p>
    <w:p w14:paraId="2A07C828">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b.针对不同类别、形态、物理化学性质的危险废物，其容器和包装物应满足相应的防渗、防漏、防腐和强度等要求。</w:t>
      </w:r>
    </w:p>
    <w:p w14:paraId="47B12BAA">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c.硬质容器和包装物及其支护结构堆叠码放时不应有明显变形，无破损泄漏。</w:t>
      </w:r>
    </w:p>
    <w:p w14:paraId="68B4E3FC">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d.柔性容器和包装物堆叠码放时应封口严密，无破损泄漏。</w:t>
      </w:r>
    </w:p>
    <w:p w14:paraId="3AF122D2">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e.使用容器盛装液态、半固态危险废物时，容器内部应留有适当的空间，以适应因温度变化等可能引发的收缩和膨胀，防止其导致容器渗漏或永久变形。</w:t>
      </w:r>
    </w:p>
    <w:p w14:paraId="7DA455EF">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f.容器和包装物外表面应保持清洁。</w:t>
      </w:r>
    </w:p>
    <w:p w14:paraId="6E841F85">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B.危废暂存场地建设要求</w:t>
      </w:r>
    </w:p>
    <w:p w14:paraId="36896D92">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a.贮存设施应根据危险废物的形态、物理化学性质、包装形式和污染物迁移途径，采取必要的防风、防晒、防雨、防漏、防渗、防腐以及其他环境污染防治措施，不应露天堆放危险废物。</w:t>
      </w:r>
    </w:p>
    <w:p w14:paraId="0B76CECD">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b.贮存设施应根据危险废物的类别、数量、形态、物理化学性质和污染防治等要求设置必要的贮存分区，避免不相容的危险废物接触、混合。</w:t>
      </w:r>
    </w:p>
    <w:p w14:paraId="3840C38E">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c.贮存设施或贮存分区内地面、墙面裙脚、堵截泄漏的围堰、接触危险废物的隔板和墙体等应采用坚固的材料建造，表面无裂缝。</w:t>
      </w:r>
    </w:p>
    <w:p w14:paraId="70EABC52">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d.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ascii="Times New Roman" w:hAnsi="Times New Roman" w:eastAsia="宋体" w:cs="Times New Roman"/>
          <w:color w:val="auto"/>
          <w:sz w:val="24"/>
          <w:szCs w:val="24"/>
          <w:vertAlign w:val="superscript"/>
        </w:rPr>
        <w:t>-7</w:t>
      </w:r>
      <w:r>
        <w:rPr>
          <w:rFonts w:ascii="Times New Roman" w:hAnsi="Times New Roman" w:eastAsia="宋体" w:cs="Times New Roman"/>
          <w:color w:val="auto"/>
          <w:sz w:val="24"/>
          <w:szCs w:val="24"/>
        </w:rPr>
        <w:t>cm/s），或至少2mm厚高密度聚乙烯膜等人工防渗材料（渗透系数不大于10</w:t>
      </w:r>
      <w:r>
        <w:rPr>
          <w:rFonts w:ascii="Times New Roman" w:hAnsi="Times New Roman" w:eastAsia="宋体" w:cs="Times New Roman"/>
          <w:color w:val="auto"/>
          <w:sz w:val="24"/>
          <w:szCs w:val="24"/>
          <w:vertAlign w:val="superscript"/>
        </w:rPr>
        <w:t>-10</w:t>
      </w:r>
      <w:r>
        <w:rPr>
          <w:rFonts w:ascii="Times New Roman" w:hAnsi="Times New Roman" w:eastAsia="宋体" w:cs="Times New Roman"/>
          <w:color w:val="auto"/>
          <w:sz w:val="24"/>
          <w:szCs w:val="24"/>
        </w:rPr>
        <w:t xml:space="preserve"> cm/s），或其他防渗性能等效的材料。</w:t>
      </w:r>
    </w:p>
    <w:p w14:paraId="79801064">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e.同一贮存设施宜采用相同的防渗、防腐工艺（包括防渗、防腐结构或材料），防渗、防腐材料应覆盖所有可能与废物及其渗滤液、渗漏液等接触的构筑物表面；采用不同防渗、防腐工艺应分别建设贮存分区。</w:t>
      </w:r>
    </w:p>
    <w:p w14:paraId="22A6B3E4">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f.贮存设施应采取技术和管理措施防止无关人员进入。</w:t>
      </w:r>
    </w:p>
    <w:p w14:paraId="243F2074">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C.危险废物委托处置过程管理要求</w:t>
      </w:r>
    </w:p>
    <w:p w14:paraId="79304700">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危险废物将委托有危废处置资质的单位进行处置。根据《危险废物转移管理办法》（部令第23号），危险废物转移应当执行危险废物转移联单制度，通过国家危险废物信息管理系统填写、运行危险废物电子转移联单，并依照国家有关规定公开危险废物转移相关污染环境防治信息。危险废物电子转移联单数据应当在信息系统中至少保存十年。</w:t>
      </w:r>
    </w:p>
    <w:p w14:paraId="06FD3125">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③</w:t>
      </w:r>
      <w:r>
        <w:rPr>
          <w:rFonts w:ascii="Times New Roman" w:hAnsi="Times New Roman" w:eastAsia="宋体" w:cs="Times New Roman"/>
          <w:color w:val="auto"/>
          <w:sz w:val="24"/>
          <w:szCs w:val="24"/>
        </w:rPr>
        <w:t>危险废物运输管理要求</w:t>
      </w:r>
    </w:p>
    <w:p w14:paraId="23EDFEAF">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本项目危险废物运输方式为汽车运输，危险废物运输应由具有从事危险废物运输经营许可性的运输单位完成，运输过程严格按照《危险废物收集 贮存 运输技术规范》</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HJ2025-2012</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进行，对运输沿线环境影响较小。具体运输要求如下：</w:t>
      </w:r>
    </w:p>
    <w:p w14:paraId="0D9EBE26">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A.运输危险废物的车辆必须严格交通、消防、治安等法规并控制车速，保持与前车的距离，严禁违章超车，确保行车安全；装载危废的车辆不得在居民集聚区、行人稠密地段、风景游览区停车；</w:t>
      </w:r>
    </w:p>
    <w:p w14:paraId="71D31623">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B.运输危险废物必须配备随车人员在途中经常检查，不得搭乘无关人员，车上人员严禁吸烟；</w:t>
      </w:r>
    </w:p>
    <w:p w14:paraId="73B31AC6">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C.根据车上废物性质，采取遮阳、控温、防火、防爆、防震、防水、防冻等措施；</w:t>
      </w:r>
    </w:p>
    <w:p w14:paraId="2465AD3F">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D.危险废物随车人员不得擅自改变作业计划，严禁擅自拼装、超载。危险废物运输应优先安排；</w:t>
      </w:r>
    </w:p>
    <w:p w14:paraId="049BE547">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E.危险废物装卸作业必须严格遵守操作规程，轻装、轻卸，严禁摔碰、撞击、重压、倒置。</w:t>
      </w:r>
    </w:p>
    <w:p w14:paraId="56D8B609">
      <w:pPr>
        <w:spacing w:line="360" w:lineRule="auto"/>
        <w:ind w:firstLine="480" w:firstLineChars="200"/>
        <w:rPr>
          <w:rFonts w:ascii="Times New Roman" w:hAnsi="Times New Roman" w:eastAsia="宋体" w:cs="Times New Roman"/>
          <w:color w:val="auto"/>
          <w:sz w:val="24"/>
          <w:szCs w:val="24"/>
        </w:rPr>
      </w:pPr>
      <w:r>
        <w:rPr>
          <w:rFonts w:hint="eastAsia" w:ascii="宋体" w:hAnsi="宋体" w:eastAsia="宋体" w:cs="宋体"/>
          <w:color w:val="auto"/>
          <w:sz w:val="24"/>
          <w:szCs w:val="24"/>
        </w:rPr>
        <w:t>④</w:t>
      </w:r>
      <w:r>
        <w:rPr>
          <w:rFonts w:ascii="Times New Roman" w:hAnsi="Times New Roman" w:eastAsia="宋体" w:cs="Times New Roman"/>
          <w:color w:val="auto"/>
          <w:sz w:val="24"/>
          <w:szCs w:val="24"/>
        </w:rPr>
        <w:t>危险废物其他管理要求</w:t>
      </w:r>
    </w:p>
    <w:p w14:paraId="529E9ED0">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要求企业履行申报的登记制度、建立危废管理台账制度，每种危废一本；及时登记各种危废的产生、转移、处置情况。登记资料至少保存5年。</w:t>
      </w:r>
    </w:p>
    <w:p w14:paraId="274A118B">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危险废物的容器和包装物须设置符合规范的危废标签，危险废物贮存场所须设置危险废物警示标志；对操作工人进行安全操作和废弃物处理方面的培训，推行培训上岗制度。</w:t>
      </w:r>
    </w:p>
    <w:p w14:paraId="2D879556">
      <w:pPr>
        <w:spacing w:line="360" w:lineRule="auto"/>
        <w:ind w:firstLine="480" w:firstLineChars="200"/>
        <w:rPr>
          <w:rFonts w:ascii="Times New Roman" w:hAnsi="Times New Roman" w:eastAsia="宋体" w:cs="Times New Roman"/>
          <w:b/>
          <w:color w:val="auto"/>
          <w:sz w:val="24"/>
          <w:szCs w:val="24"/>
        </w:rPr>
      </w:pPr>
      <w:r>
        <w:rPr>
          <w:rFonts w:hint="eastAsia" w:ascii="Times New Roman" w:hAnsi="Times New Roman" w:eastAsia="宋体" w:cs="Times New Roman"/>
          <w:b/>
          <w:color w:val="auto"/>
          <w:sz w:val="24"/>
          <w:szCs w:val="24"/>
          <w:lang w:val="en-US" w:eastAsia="zh-CN"/>
        </w:rPr>
        <w:t>1.8</w:t>
      </w:r>
      <w:r>
        <w:rPr>
          <w:rFonts w:hint="eastAsia" w:ascii="Times New Roman" w:hAnsi="Times New Roman" w:eastAsia="宋体" w:cs="Times New Roman"/>
          <w:b/>
          <w:color w:val="auto"/>
          <w:sz w:val="24"/>
          <w:szCs w:val="24"/>
        </w:rPr>
        <w:t>总量控制指标</w:t>
      </w:r>
    </w:p>
    <w:p w14:paraId="01B5B6E3">
      <w:pPr>
        <w:spacing w:line="360" w:lineRule="auto"/>
        <w:ind w:firstLine="480" w:firstLineChars="200"/>
        <w:rPr>
          <w:rFonts w:ascii="Times New Roman" w:hAnsi="Times New Roman" w:eastAsia="宋体" w:cs="Times New Roman"/>
          <w:bCs/>
          <w:color w:val="auto"/>
          <w:sz w:val="24"/>
          <w:szCs w:val="24"/>
        </w:rPr>
      </w:pPr>
      <w:r>
        <w:rPr>
          <w:rFonts w:hint="eastAsia" w:ascii="Times New Roman" w:hAnsi="Times New Roman" w:eastAsia="宋体" w:cs="Times New Roman"/>
          <w:b w:val="0"/>
          <w:bCs/>
          <w:color w:val="auto"/>
          <w:sz w:val="24"/>
          <w:szCs w:val="24"/>
          <w:lang w:val="en-US" w:eastAsia="zh-CN"/>
        </w:rPr>
        <w:t>1、</w:t>
      </w:r>
      <w:r>
        <w:rPr>
          <w:rFonts w:hint="eastAsia" w:ascii="Times New Roman" w:hAnsi="Times New Roman" w:eastAsia="宋体" w:cs="Times New Roman"/>
          <w:b w:val="0"/>
          <w:bCs/>
          <w:color w:val="auto"/>
          <w:sz w:val="24"/>
          <w:szCs w:val="24"/>
        </w:rPr>
        <w:t>污染物总量控制指标</w:t>
      </w:r>
    </w:p>
    <w:p w14:paraId="74263212">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根据现行的环保管理要求，污染物排放总量控制仍是我国现阶段强有力的环保管理措施，主要总量控制指标为：二氧化硫（SO</w:t>
      </w:r>
      <w:r>
        <w:rPr>
          <w:rFonts w:ascii="Times New Roman" w:hAnsi="Times New Roman" w:eastAsia="宋体" w:cs="Times New Roman"/>
          <w:color w:val="auto"/>
          <w:sz w:val="24"/>
          <w:szCs w:val="24"/>
          <w:vertAlign w:val="subscript"/>
        </w:rPr>
        <w:t>2</w:t>
      </w:r>
      <w:r>
        <w:rPr>
          <w:rFonts w:ascii="Times New Roman" w:hAnsi="Times New Roman" w:eastAsia="宋体" w:cs="Times New Roman"/>
          <w:color w:val="auto"/>
          <w:sz w:val="24"/>
          <w:szCs w:val="24"/>
        </w:rPr>
        <w:t>）、化学需氧量（COD）、氨氮（NH</w:t>
      </w:r>
      <w:r>
        <w:rPr>
          <w:rFonts w:ascii="Times New Roman" w:hAnsi="Times New Roman" w:eastAsia="宋体" w:cs="Times New Roman"/>
          <w:color w:val="auto"/>
          <w:sz w:val="24"/>
          <w:szCs w:val="24"/>
          <w:vertAlign w:val="subscript"/>
        </w:rPr>
        <w:t>3</w:t>
      </w:r>
      <w:r>
        <w:rPr>
          <w:rFonts w:ascii="Times New Roman" w:hAnsi="Times New Roman" w:eastAsia="宋体" w:cs="Times New Roman"/>
          <w:color w:val="auto"/>
          <w:sz w:val="24"/>
          <w:szCs w:val="24"/>
        </w:rPr>
        <w:t>-N）和氮氧化物（NO</w:t>
      </w:r>
      <w:r>
        <w:rPr>
          <w:rFonts w:ascii="Times New Roman" w:hAnsi="Times New Roman" w:eastAsia="宋体" w:cs="Times New Roman"/>
          <w:color w:val="auto"/>
          <w:sz w:val="24"/>
          <w:szCs w:val="24"/>
          <w:vertAlign w:val="subscript"/>
        </w:rPr>
        <w:t>x</w:t>
      </w:r>
      <w:r>
        <w:rPr>
          <w:rFonts w:ascii="Times New Roman" w:hAnsi="Times New Roman" w:eastAsia="宋体" w:cs="Times New Roman"/>
          <w:color w:val="auto"/>
          <w:sz w:val="24"/>
          <w:szCs w:val="24"/>
        </w:rPr>
        <w:t>）及工业烟粉尘、重金属、挥发性有机物（VOCs）。</w:t>
      </w:r>
    </w:p>
    <w:p w14:paraId="0C33643A">
      <w:pPr>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结合本项目的实际情况分析，本项目被纳入总量控制指标的有COD、NH</w:t>
      </w:r>
      <w:r>
        <w:rPr>
          <w:rFonts w:ascii="Times New Roman" w:hAnsi="Times New Roman" w:eastAsia="宋体" w:cs="Times New Roman"/>
          <w:color w:val="auto"/>
          <w:sz w:val="24"/>
          <w:szCs w:val="24"/>
          <w:vertAlign w:val="subscript"/>
        </w:rPr>
        <w:t>3</w:t>
      </w:r>
      <w:r>
        <w:rPr>
          <w:rFonts w:ascii="Times New Roman" w:hAnsi="Times New Roman" w:eastAsia="宋体" w:cs="Times New Roman"/>
          <w:color w:val="auto"/>
          <w:sz w:val="24"/>
          <w:szCs w:val="24"/>
        </w:rPr>
        <w:t>-N、VOCs。</w:t>
      </w:r>
    </w:p>
    <w:p w14:paraId="77242818">
      <w:pPr>
        <w:widowControl w:val="0"/>
        <w:numPr>
          <w:ilvl w:val="0"/>
          <w:numId w:val="6"/>
        </w:numPr>
        <w:adjustRightInd w:val="0"/>
        <w:snapToGrid w:val="0"/>
        <w:ind w:left="420" w:hanging="420"/>
        <w:jc w:val="center"/>
        <w:rPr>
          <w:rFonts w:ascii="Times New Roman" w:hAnsi="Times New Roman" w:eastAsia="宋体" w:cs="Times New Roman"/>
          <w:b/>
          <w:color w:val="auto"/>
          <w:kern w:val="2"/>
          <w:sz w:val="21"/>
          <w:szCs w:val="21"/>
          <w:lang w:val="zh-CN" w:eastAsia="zh-CN" w:bidi="ar-SA"/>
        </w:rPr>
      </w:pPr>
      <w:r>
        <w:rPr>
          <w:rFonts w:hint="eastAsia" w:ascii="Times New Roman" w:hAnsi="Times New Roman" w:eastAsia="宋体" w:cs="Times New Roman"/>
          <w:b/>
          <w:color w:val="auto"/>
          <w:kern w:val="2"/>
          <w:sz w:val="21"/>
          <w:szCs w:val="21"/>
          <w:lang w:val="en-US" w:eastAsia="zh-CN" w:bidi="ar-SA"/>
        </w:rPr>
        <w:t>本项目</w:t>
      </w:r>
      <w:r>
        <w:rPr>
          <w:rFonts w:ascii="Times New Roman" w:hAnsi="Times New Roman" w:eastAsia="宋体" w:cs="Times New Roman"/>
          <w:b/>
          <w:color w:val="auto"/>
          <w:kern w:val="2"/>
          <w:sz w:val="21"/>
          <w:szCs w:val="21"/>
          <w:lang w:val="zh-CN" w:eastAsia="zh-CN" w:bidi="ar-SA"/>
        </w:rPr>
        <w:t>污染物产排情况</w:t>
      </w:r>
      <w:r>
        <w:rPr>
          <w:rFonts w:hint="eastAsia" w:ascii="Times New Roman" w:hAnsi="Times New Roman" w:eastAsia="宋体" w:cs="Times New Roman"/>
          <w:b/>
          <w:color w:val="auto"/>
          <w:kern w:val="2"/>
          <w:sz w:val="21"/>
          <w:szCs w:val="21"/>
          <w:lang w:val="zh-CN" w:eastAsia="zh-CN" w:bidi="ar-SA"/>
        </w:rPr>
        <w:t xml:space="preserve">   </w:t>
      </w:r>
      <w:r>
        <w:rPr>
          <w:rFonts w:ascii="Times New Roman" w:hAnsi="Times New Roman" w:eastAsia="宋体" w:cs="Times New Roman"/>
          <w:b/>
          <w:color w:val="auto"/>
          <w:kern w:val="2"/>
          <w:sz w:val="21"/>
          <w:szCs w:val="21"/>
          <w:lang w:val="zh-CN" w:eastAsia="zh-CN" w:bidi="ar-SA"/>
        </w:rPr>
        <w:t xml:space="preserve"> 单位：t/a</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6" w:type="dxa"/>
          <w:bottom w:w="0" w:type="dxa"/>
          <w:right w:w="6" w:type="dxa"/>
        </w:tblCellMar>
      </w:tblPr>
      <w:tblGrid>
        <w:gridCol w:w="1676"/>
        <w:gridCol w:w="1111"/>
        <w:gridCol w:w="1111"/>
        <w:gridCol w:w="1481"/>
        <w:gridCol w:w="1331"/>
        <w:gridCol w:w="1704"/>
      </w:tblGrid>
      <w:tr w14:paraId="1599C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1022" w:type="pct"/>
            <w:noWrap/>
            <w:tcMar>
              <w:top w:w="0" w:type="dxa"/>
              <w:left w:w="57" w:type="dxa"/>
              <w:bottom w:w="0" w:type="dxa"/>
              <w:right w:w="57" w:type="dxa"/>
            </w:tcMar>
            <w:vAlign w:val="center"/>
          </w:tcPr>
          <w:p w14:paraId="71093E26">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项目</w:t>
            </w:r>
          </w:p>
        </w:tc>
        <w:tc>
          <w:tcPr>
            <w:tcW w:w="1372" w:type="pct"/>
            <w:gridSpan w:val="2"/>
            <w:noWrap/>
            <w:tcMar>
              <w:top w:w="0" w:type="dxa"/>
              <w:left w:w="57" w:type="dxa"/>
              <w:bottom w:w="0" w:type="dxa"/>
              <w:right w:w="57" w:type="dxa"/>
            </w:tcMar>
            <w:vAlign w:val="center"/>
          </w:tcPr>
          <w:p w14:paraId="41F55DF7">
            <w:pPr>
              <w:widowControl/>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w:t>
            </w:r>
          </w:p>
        </w:tc>
        <w:tc>
          <w:tcPr>
            <w:tcW w:w="906" w:type="pct"/>
            <w:vAlign w:val="center"/>
          </w:tcPr>
          <w:p w14:paraId="4493A956">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产生量</w:t>
            </w:r>
          </w:p>
        </w:tc>
        <w:tc>
          <w:tcPr>
            <w:tcW w:w="817" w:type="pct"/>
            <w:vAlign w:val="center"/>
          </w:tcPr>
          <w:p w14:paraId="5ACDB67E">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削减量</w:t>
            </w:r>
          </w:p>
        </w:tc>
        <w:tc>
          <w:tcPr>
            <w:tcW w:w="881" w:type="pct"/>
            <w:tcMar>
              <w:top w:w="0" w:type="dxa"/>
              <w:left w:w="57" w:type="dxa"/>
              <w:bottom w:w="0" w:type="dxa"/>
              <w:right w:w="57" w:type="dxa"/>
            </w:tcMar>
            <w:vAlign w:val="center"/>
          </w:tcPr>
          <w:p w14:paraId="5A74C8DB">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排放量</w:t>
            </w:r>
          </w:p>
        </w:tc>
      </w:tr>
      <w:tr w14:paraId="33072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1022" w:type="pct"/>
            <w:vMerge w:val="restart"/>
            <w:noWrap/>
            <w:tcMar>
              <w:top w:w="0" w:type="dxa"/>
              <w:left w:w="57" w:type="dxa"/>
              <w:bottom w:w="0" w:type="dxa"/>
              <w:right w:w="57" w:type="dxa"/>
            </w:tcMar>
            <w:vAlign w:val="center"/>
          </w:tcPr>
          <w:p w14:paraId="1078FB42">
            <w:pPr>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废水</w:t>
            </w:r>
          </w:p>
        </w:tc>
        <w:tc>
          <w:tcPr>
            <w:tcW w:w="1372" w:type="pct"/>
            <w:gridSpan w:val="2"/>
            <w:noWrap/>
            <w:tcMar>
              <w:top w:w="0" w:type="dxa"/>
              <w:left w:w="57" w:type="dxa"/>
              <w:bottom w:w="0" w:type="dxa"/>
              <w:right w:w="57" w:type="dxa"/>
            </w:tcMar>
            <w:vAlign w:val="center"/>
          </w:tcPr>
          <w:p w14:paraId="6D8279BC">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废水量</w:t>
            </w:r>
          </w:p>
        </w:tc>
        <w:tc>
          <w:tcPr>
            <w:tcW w:w="1750" w:type="dxa"/>
            <w:vAlign w:val="center"/>
          </w:tcPr>
          <w:p w14:paraId="22FBDEE8">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701</w:t>
            </w:r>
          </w:p>
        </w:tc>
        <w:tc>
          <w:tcPr>
            <w:tcW w:w="1578" w:type="dxa"/>
            <w:vAlign w:val="center"/>
          </w:tcPr>
          <w:p w14:paraId="6C2F76DF">
            <w:pPr>
              <w:keepNext w:val="0"/>
              <w:keepLines w:val="0"/>
              <w:widowControl/>
              <w:suppressLineNumbers w:val="0"/>
              <w:jc w:val="center"/>
              <w:textAlignment w:val="center"/>
              <w:rPr>
                <w:rFonts w:ascii="Times New Roman" w:hAnsi="Times New Roman" w:eastAsia="宋体" w:cs="Times New Roman"/>
                <w:color w:val="auto"/>
                <w:sz w:val="21"/>
                <w:szCs w:val="21"/>
                <w:lang w:val="zh-CN"/>
              </w:rPr>
            </w:pPr>
            <w:r>
              <w:rPr>
                <w:rFonts w:hint="default" w:ascii="Times New Roman" w:hAnsi="Times New Roman" w:eastAsia="宋体" w:cs="Times New Roman"/>
                <w:i w:val="0"/>
                <w:iCs w:val="0"/>
                <w:color w:val="auto"/>
                <w:kern w:val="0"/>
                <w:sz w:val="21"/>
                <w:szCs w:val="21"/>
                <w:u w:val="none"/>
                <w:lang w:val="en-US" w:eastAsia="zh-CN" w:bidi="ar"/>
              </w:rPr>
              <w:t>0</w:t>
            </w:r>
          </w:p>
        </w:tc>
        <w:tc>
          <w:tcPr>
            <w:tcW w:w="1703" w:type="dxa"/>
            <w:shd w:val="clear" w:color="auto" w:fill="auto"/>
            <w:noWrap/>
            <w:tcMar>
              <w:top w:w="0" w:type="dxa"/>
              <w:left w:w="57" w:type="dxa"/>
              <w:bottom w:w="0" w:type="dxa"/>
              <w:right w:w="57" w:type="dxa"/>
            </w:tcMar>
            <w:vAlign w:val="center"/>
          </w:tcPr>
          <w:p w14:paraId="4B197E6A">
            <w:pPr>
              <w:keepNext w:val="0"/>
              <w:keepLines w:val="0"/>
              <w:widowControl/>
              <w:suppressLineNumbers w:val="0"/>
              <w:jc w:val="center"/>
              <w:textAlignment w:val="center"/>
              <w:rPr>
                <w:rFonts w:ascii="宋体" w:hAnsi="宋体" w:eastAsia="宋体" w:cs="宋体"/>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701</w:t>
            </w:r>
          </w:p>
        </w:tc>
      </w:tr>
      <w:tr w14:paraId="5BE26C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1022" w:type="pct"/>
            <w:vMerge w:val="continue"/>
            <w:vAlign w:val="center"/>
          </w:tcPr>
          <w:p w14:paraId="6A0C4A36">
            <w:pPr>
              <w:widowControl/>
              <w:jc w:val="left"/>
              <w:rPr>
                <w:rFonts w:ascii="Times New Roman" w:hAnsi="Times New Roman" w:eastAsia="宋体" w:cs="Times New Roman"/>
                <w:color w:val="auto"/>
                <w:sz w:val="21"/>
                <w:szCs w:val="21"/>
              </w:rPr>
            </w:pPr>
          </w:p>
        </w:tc>
        <w:tc>
          <w:tcPr>
            <w:tcW w:w="686" w:type="pct"/>
            <w:noWrap/>
            <w:tcMar>
              <w:top w:w="0" w:type="dxa"/>
              <w:left w:w="57" w:type="dxa"/>
              <w:bottom w:w="0" w:type="dxa"/>
              <w:right w:w="57" w:type="dxa"/>
            </w:tcMar>
            <w:vAlign w:val="center"/>
          </w:tcPr>
          <w:p w14:paraId="69088DE8">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COD</w:t>
            </w:r>
          </w:p>
        </w:tc>
        <w:tc>
          <w:tcPr>
            <w:tcW w:w="686" w:type="pct"/>
            <w:noWrap/>
            <w:tcMar>
              <w:top w:w="0" w:type="dxa"/>
              <w:left w:w="57" w:type="dxa"/>
              <w:bottom w:w="0" w:type="dxa"/>
              <w:right w:w="57" w:type="dxa"/>
            </w:tcMar>
            <w:vAlign w:val="center"/>
          </w:tcPr>
          <w:p w14:paraId="4DCDCBE6">
            <w:pPr>
              <w:widowControl/>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40mg/L</w:t>
            </w:r>
          </w:p>
        </w:tc>
        <w:tc>
          <w:tcPr>
            <w:tcW w:w="1750" w:type="dxa"/>
            <w:vAlign w:val="center"/>
          </w:tcPr>
          <w:p w14:paraId="1D4132DE">
            <w:pPr>
              <w:keepNext w:val="0"/>
              <w:keepLines w:val="0"/>
              <w:widowControl/>
              <w:suppressLineNumbers w:val="0"/>
              <w:jc w:val="center"/>
              <w:textAlignment w:val="center"/>
              <w:rPr>
                <w:rFonts w:ascii="Times New Roman" w:hAnsi="Times New Roman" w:eastAsia="宋体" w:cs="Times New Roman"/>
                <w:color w:val="auto"/>
                <w:sz w:val="21"/>
                <w:szCs w:val="21"/>
                <w:lang w:val="zh-CN"/>
              </w:rPr>
            </w:pPr>
            <w:r>
              <w:rPr>
                <w:rFonts w:hint="default" w:ascii="Times New Roman" w:hAnsi="Times New Roman" w:eastAsia="宋体" w:cs="Times New Roman"/>
                <w:i w:val="0"/>
                <w:iCs w:val="0"/>
                <w:color w:val="auto"/>
                <w:kern w:val="0"/>
                <w:sz w:val="21"/>
                <w:szCs w:val="21"/>
                <w:u w:val="none"/>
                <w:lang w:val="en-US" w:eastAsia="zh-CN" w:bidi="ar"/>
              </w:rPr>
              <w:t xml:space="preserve">0.245 </w:t>
            </w:r>
          </w:p>
        </w:tc>
        <w:tc>
          <w:tcPr>
            <w:tcW w:w="1578" w:type="dxa"/>
            <w:shd w:val="clear" w:color="auto" w:fill="auto"/>
            <w:vAlign w:val="center"/>
          </w:tcPr>
          <w:p w14:paraId="5861F233">
            <w:pPr>
              <w:keepNext w:val="0"/>
              <w:keepLines w:val="0"/>
              <w:widowControl/>
              <w:suppressLineNumbers w:val="0"/>
              <w:jc w:val="center"/>
              <w:textAlignment w:val="center"/>
              <w:rPr>
                <w:rFonts w:hint="default" w:ascii="宋体" w:hAnsi="宋体" w:eastAsia="宋体" w:cs="宋体"/>
                <w:color w:val="auto"/>
                <w:kern w:val="0"/>
                <w:sz w:val="21"/>
                <w:szCs w:val="21"/>
                <w:highlight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0.217 </w:t>
            </w:r>
          </w:p>
        </w:tc>
        <w:tc>
          <w:tcPr>
            <w:tcW w:w="1703" w:type="dxa"/>
            <w:noWrap/>
            <w:tcMar>
              <w:top w:w="0" w:type="dxa"/>
              <w:left w:w="57" w:type="dxa"/>
              <w:bottom w:w="0" w:type="dxa"/>
              <w:right w:w="57" w:type="dxa"/>
            </w:tcMar>
            <w:vAlign w:val="center"/>
          </w:tcPr>
          <w:p w14:paraId="45727822">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0.028</w:t>
            </w:r>
          </w:p>
        </w:tc>
      </w:tr>
      <w:tr w14:paraId="64723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1022" w:type="pct"/>
            <w:vMerge w:val="continue"/>
            <w:vAlign w:val="center"/>
          </w:tcPr>
          <w:p w14:paraId="7B6DC39F">
            <w:pPr>
              <w:widowControl/>
              <w:jc w:val="left"/>
              <w:rPr>
                <w:rFonts w:ascii="Times New Roman" w:hAnsi="Times New Roman" w:eastAsia="宋体" w:cs="Times New Roman"/>
                <w:color w:val="auto"/>
                <w:sz w:val="21"/>
                <w:szCs w:val="21"/>
              </w:rPr>
            </w:pPr>
          </w:p>
        </w:tc>
        <w:tc>
          <w:tcPr>
            <w:tcW w:w="686" w:type="pct"/>
            <w:noWrap/>
            <w:tcMar>
              <w:top w:w="0" w:type="dxa"/>
              <w:left w:w="57" w:type="dxa"/>
              <w:bottom w:w="0" w:type="dxa"/>
              <w:right w:w="57" w:type="dxa"/>
            </w:tcMar>
            <w:vAlign w:val="center"/>
          </w:tcPr>
          <w:p w14:paraId="03F6FC34">
            <w:pPr>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NH</w:t>
            </w:r>
            <w:r>
              <w:rPr>
                <w:rFonts w:ascii="Times New Roman" w:hAnsi="Times New Roman" w:eastAsia="宋体" w:cs="Times New Roman"/>
                <w:color w:val="auto"/>
                <w:sz w:val="21"/>
                <w:szCs w:val="21"/>
                <w:vertAlign w:val="subscript"/>
              </w:rPr>
              <w:t>3</w:t>
            </w:r>
            <w:r>
              <w:rPr>
                <w:rFonts w:ascii="Times New Roman" w:hAnsi="Times New Roman" w:eastAsia="宋体" w:cs="Times New Roman"/>
                <w:color w:val="auto"/>
                <w:sz w:val="21"/>
                <w:szCs w:val="21"/>
              </w:rPr>
              <w:t>-N</w:t>
            </w:r>
          </w:p>
        </w:tc>
        <w:tc>
          <w:tcPr>
            <w:tcW w:w="686" w:type="pct"/>
            <w:noWrap/>
            <w:tcMar>
              <w:top w:w="0" w:type="dxa"/>
              <w:left w:w="57" w:type="dxa"/>
              <w:bottom w:w="0" w:type="dxa"/>
              <w:right w:w="57" w:type="dxa"/>
            </w:tcMar>
            <w:vAlign w:val="center"/>
          </w:tcPr>
          <w:p w14:paraId="1A3042E3">
            <w:pPr>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2mg/L</w:t>
            </w:r>
          </w:p>
        </w:tc>
        <w:tc>
          <w:tcPr>
            <w:tcW w:w="1750" w:type="dxa"/>
            <w:vAlign w:val="center"/>
          </w:tcPr>
          <w:p w14:paraId="6DD8A023">
            <w:pPr>
              <w:keepNext w:val="0"/>
              <w:keepLines w:val="0"/>
              <w:widowControl/>
              <w:suppressLineNumbers w:val="0"/>
              <w:jc w:val="center"/>
              <w:textAlignment w:val="center"/>
              <w:rPr>
                <w:rFonts w:ascii="Times New Roman" w:hAnsi="Times New Roman" w:eastAsia="宋体" w:cs="Times New Roman"/>
                <w:color w:val="auto"/>
                <w:sz w:val="21"/>
                <w:szCs w:val="21"/>
                <w:lang w:val="zh-CN"/>
              </w:rPr>
            </w:pPr>
            <w:r>
              <w:rPr>
                <w:rFonts w:hint="default" w:ascii="Times New Roman" w:hAnsi="Times New Roman" w:eastAsia="宋体" w:cs="Times New Roman"/>
                <w:i w:val="0"/>
                <w:iCs w:val="0"/>
                <w:color w:val="auto"/>
                <w:kern w:val="0"/>
                <w:sz w:val="21"/>
                <w:szCs w:val="21"/>
                <w:u w:val="none"/>
                <w:lang w:val="en-US" w:eastAsia="zh-CN" w:bidi="ar"/>
              </w:rPr>
              <w:t xml:space="preserve">0.025 </w:t>
            </w:r>
          </w:p>
        </w:tc>
        <w:tc>
          <w:tcPr>
            <w:tcW w:w="1578" w:type="dxa"/>
            <w:shd w:val="clear" w:color="auto" w:fill="auto"/>
            <w:vAlign w:val="center"/>
          </w:tcPr>
          <w:p w14:paraId="6FA2C2AC">
            <w:pPr>
              <w:keepNext w:val="0"/>
              <w:keepLines w:val="0"/>
              <w:widowControl/>
              <w:suppressLineNumbers w:val="0"/>
              <w:jc w:val="center"/>
              <w:textAlignment w:val="center"/>
              <w:rPr>
                <w:rFonts w:ascii="宋体" w:hAnsi="宋体" w:eastAsia="宋体" w:cs="宋体"/>
                <w:color w:val="auto"/>
                <w:kern w:val="0"/>
                <w:sz w:val="21"/>
                <w:szCs w:val="21"/>
                <w:highlight w:val="none"/>
                <w:lang w:val="zh-CN" w:eastAsia="zh-CN" w:bidi="ar-SA"/>
              </w:rPr>
            </w:pPr>
            <w:r>
              <w:rPr>
                <w:rFonts w:hint="default" w:ascii="Times New Roman" w:hAnsi="Times New Roman" w:eastAsia="宋体" w:cs="Times New Roman"/>
                <w:i w:val="0"/>
                <w:iCs w:val="0"/>
                <w:color w:val="auto"/>
                <w:kern w:val="0"/>
                <w:sz w:val="21"/>
                <w:szCs w:val="21"/>
                <w:u w:val="none"/>
                <w:lang w:val="en-US" w:eastAsia="zh-CN" w:bidi="ar"/>
              </w:rPr>
              <w:t xml:space="preserve">0.024 </w:t>
            </w:r>
          </w:p>
        </w:tc>
        <w:tc>
          <w:tcPr>
            <w:tcW w:w="1703" w:type="dxa"/>
            <w:noWrap/>
            <w:tcMar>
              <w:top w:w="0" w:type="dxa"/>
              <w:left w:w="57" w:type="dxa"/>
              <w:bottom w:w="0" w:type="dxa"/>
              <w:right w:w="57" w:type="dxa"/>
            </w:tcMar>
            <w:vAlign w:val="center"/>
          </w:tcPr>
          <w:p w14:paraId="7D743CE9">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r>
      <w:tr w14:paraId="1B334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6" w:type="dxa"/>
            <w:bottom w:w="0" w:type="dxa"/>
            <w:right w:w="6" w:type="dxa"/>
          </w:tblCellMar>
        </w:tblPrEx>
        <w:trPr>
          <w:trHeight w:val="283" w:hRule="atLeast"/>
          <w:jc w:val="center"/>
        </w:trPr>
        <w:tc>
          <w:tcPr>
            <w:tcW w:w="1022" w:type="pct"/>
            <w:tcMar>
              <w:top w:w="0" w:type="dxa"/>
              <w:left w:w="57" w:type="dxa"/>
              <w:bottom w:w="0" w:type="dxa"/>
              <w:right w:w="57" w:type="dxa"/>
            </w:tcMar>
            <w:vAlign w:val="center"/>
          </w:tcPr>
          <w:p w14:paraId="5D54BEEB">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废气</w:t>
            </w:r>
          </w:p>
        </w:tc>
        <w:tc>
          <w:tcPr>
            <w:tcW w:w="1372" w:type="pct"/>
            <w:gridSpan w:val="2"/>
            <w:tcMar>
              <w:top w:w="0" w:type="dxa"/>
              <w:left w:w="57" w:type="dxa"/>
              <w:bottom w:w="0" w:type="dxa"/>
              <w:right w:w="57" w:type="dxa"/>
            </w:tcMar>
            <w:vAlign w:val="center"/>
          </w:tcPr>
          <w:p w14:paraId="005FDD27">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VOCs</w:t>
            </w:r>
          </w:p>
        </w:tc>
        <w:tc>
          <w:tcPr>
            <w:tcW w:w="1750" w:type="dxa"/>
            <w:vAlign w:val="center"/>
          </w:tcPr>
          <w:p w14:paraId="57D400BA">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2.244</w:t>
            </w:r>
          </w:p>
        </w:tc>
        <w:tc>
          <w:tcPr>
            <w:tcW w:w="1578" w:type="dxa"/>
            <w:vAlign w:val="center"/>
          </w:tcPr>
          <w:p w14:paraId="02E4B979">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1.219</w:t>
            </w:r>
          </w:p>
        </w:tc>
        <w:tc>
          <w:tcPr>
            <w:tcW w:w="1703" w:type="dxa"/>
            <w:noWrap/>
            <w:tcMar>
              <w:top w:w="0" w:type="dxa"/>
              <w:left w:w="57" w:type="dxa"/>
              <w:bottom w:w="0" w:type="dxa"/>
              <w:right w:w="57" w:type="dxa"/>
            </w:tcMar>
            <w:vAlign w:val="center"/>
          </w:tcPr>
          <w:p w14:paraId="74BDD9EE">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1.025</w:t>
            </w:r>
          </w:p>
        </w:tc>
      </w:tr>
    </w:tbl>
    <w:p w14:paraId="5A306215">
      <w:pPr>
        <w:adjustRightInd w:val="0"/>
        <w:snapToGrid w:val="0"/>
        <w:spacing w:line="360" w:lineRule="auto"/>
        <w:ind w:firstLine="480" w:firstLineChars="200"/>
        <w:rPr>
          <w:rFonts w:ascii="Times New Roman" w:hAnsi="Times New Roman" w:eastAsia="宋体" w:cs="Times New Roman"/>
          <w:b w:val="0"/>
          <w:bCs/>
          <w:color w:val="auto"/>
          <w:sz w:val="24"/>
          <w:szCs w:val="24"/>
        </w:rPr>
      </w:pPr>
      <w:r>
        <w:rPr>
          <w:rFonts w:hint="eastAsia" w:ascii="Times New Roman" w:hAnsi="Times New Roman" w:eastAsia="宋体" w:cs="Times New Roman"/>
          <w:b w:val="0"/>
          <w:bCs/>
          <w:color w:val="auto"/>
          <w:sz w:val="24"/>
          <w:szCs w:val="24"/>
          <w:lang w:val="en-US" w:eastAsia="zh-CN"/>
        </w:rPr>
        <w:t>2、</w:t>
      </w:r>
      <w:r>
        <w:rPr>
          <w:rFonts w:ascii="Times New Roman" w:hAnsi="Times New Roman" w:eastAsia="宋体" w:cs="Times New Roman"/>
          <w:b w:val="0"/>
          <w:bCs/>
          <w:color w:val="auto"/>
          <w:sz w:val="24"/>
          <w:szCs w:val="24"/>
        </w:rPr>
        <w:t>总量平衡方案</w:t>
      </w:r>
    </w:p>
    <w:p w14:paraId="213E5DA7">
      <w:pPr>
        <w:adjustRightInd w:val="0"/>
        <w:snapToGrid w:val="0"/>
        <w:spacing w:line="360" w:lineRule="auto"/>
        <w:ind w:firstLine="480" w:firstLineChars="200"/>
        <w:rPr>
          <w:rFonts w:ascii="Times New Roman" w:hAnsi="Times New Roman" w:eastAsia="宋体" w:cs="Times New Roman"/>
          <w:bCs/>
          <w:color w:val="auto"/>
          <w:sz w:val="24"/>
          <w:szCs w:val="24"/>
        </w:rPr>
      </w:pPr>
      <w:r>
        <w:rPr>
          <w:rFonts w:hint="eastAsia" w:ascii="宋体" w:hAnsi="宋体" w:eastAsia="宋体" w:cs="Times New Roman"/>
          <w:bCs/>
          <w:color w:val="auto"/>
          <w:sz w:val="24"/>
          <w:szCs w:val="24"/>
        </w:rPr>
        <w:t>根据《建设项目主要污染物排放总量指标审核及管理暂行办法》（环发〔</w:t>
      </w:r>
      <w:r>
        <w:rPr>
          <w:rFonts w:hint="eastAsia" w:ascii="Times New Roman" w:hAnsi="Times New Roman" w:eastAsia="宋体" w:cs="Times New Roman"/>
          <w:bCs/>
          <w:color w:val="auto"/>
          <w:sz w:val="24"/>
          <w:szCs w:val="24"/>
        </w:rPr>
        <w:t>2014</w:t>
      </w:r>
      <w:r>
        <w:rPr>
          <w:rFonts w:hint="eastAsia" w:ascii="宋体" w:hAnsi="宋体" w:eastAsia="宋体" w:cs="Times New Roman"/>
          <w:bCs/>
          <w:color w:val="auto"/>
          <w:sz w:val="24"/>
          <w:szCs w:val="24"/>
        </w:rPr>
        <w:t>〕</w:t>
      </w:r>
      <w:r>
        <w:rPr>
          <w:rFonts w:hint="eastAsia" w:ascii="Times New Roman" w:hAnsi="Times New Roman" w:eastAsia="宋体" w:cs="Times New Roman"/>
          <w:bCs/>
          <w:color w:val="auto"/>
          <w:sz w:val="24"/>
          <w:szCs w:val="24"/>
        </w:rPr>
        <w:t>197</w:t>
      </w:r>
      <w:r>
        <w:rPr>
          <w:rFonts w:hint="eastAsia" w:ascii="宋体" w:hAnsi="宋体" w:eastAsia="宋体" w:cs="Times New Roman"/>
          <w:bCs/>
          <w:color w:val="auto"/>
          <w:sz w:val="24"/>
          <w:szCs w:val="24"/>
        </w:rPr>
        <w:t>号）、《关于印发杭州市</w:t>
      </w:r>
      <w:r>
        <w:rPr>
          <w:rFonts w:hint="eastAsia" w:ascii="Times New Roman" w:hAnsi="Times New Roman" w:eastAsia="宋体" w:cs="Times New Roman"/>
          <w:bCs/>
          <w:color w:val="auto"/>
          <w:sz w:val="24"/>
          <w:szCs w:val="24"/>
        </w:rPr>
        <w:t>2021</w:t>
      </w:r>
      <w:r>
        <w:rPr>
          <w:rFonts w:hint="eastAsia" w:ascii="宋体" w:hAnsi="宋体" w:eastAsia="宋体" w:cs="Times New Roman"/>
          <w:bCs/>
          <w:color w:val="auto"/>
          <w:sz w:val="24"/>
          <w:szCs w:val="24"/>
        </w:rPr>
        <w:t>年环境空气质量巩固提升实施计划的通知》</w:t>
      </w:r>
      <w:r>
        <w:rPr>
          <w:rFonts w:hint="eastAsia" w:ascii="Times New Roman" w:hAnsi="Times New Roman" w:eastAsia="宋体" w:cs="Times New Roman"/>
          <w:bCs/>
          <w:color w:val="auto"/>
          <w:sz w:val="24"/>
          <w:szCs w:val="24"/>
        </w:rPr>
        <w:t>(</w:t>
      </w:r>
      <w:r>
        <w:rPr>
          <w:rFonts w:hint="eastAsia" w:ascii="宋体" w:hAnsi="宋体" w:eastAsia="宋体" w:cs="Times New Roman"/>
          <w:bCs/>
          <w:color w:val="auto"/>
          <w:sz w:val="24"/>
          <w:szCs w:val="24"/>
        </w:rPr>
        <w:t>杭大气办</w:t>
      </w:r>
      <w:r>
        <w:rPr>
          <w:rFonts w:hint="eastAsia" w:ascii="Times New Roman" w:hAnsi="Times New Roman" w:eastAsia="宋体" w:cs="Times New Roman"/>
          <w:bCs/>
          <w:color w:val="auto"/>
          <w:sz w:val="24"/>
          <w:szCs w:val="24"/>
        </w:rPr>
        <w:t>[2021]3</w:t>
      </w:r>
      <w:r>
        <w:rPr>
          <w:rFonts w:hint="eastAsia" w:ascii="宋体" w:hAnsi="宋体" w:eastAsia="宋体" w:cs="Times New Roman"/>
          <w:bCs/>
          <w:color w:val="auto"/>
          <w:sz w:val="24"/>
          <w:szCs w:val="24"/>
        </w:rPr>
        <w:t>号</w:t>
      </w:r>
      <w:r>
        <w:rPr>
          <w:rFonts w:hint="eastAsia" w:ascii="Times New Roman" w:hAnsi="Times New Roman" w:eastAsia="宋体" w:cs="Times New Roman"/>
          <w:bCs/>
          <w:color w:val="auto"/>
          <w:sz w:val="24"/>
          <w:szCs w:val="24"/>
        </w:rPr>
        <w:t>)</w:t>
      </w:r>
      <w:r>
        <w:rPr>
          <w:rFonts w:hint="eastAsia" w:ascii="宋体" w:hAnsi="宋体" w:eastAsia="宋体" w:cs="Times New Roman"/>
          <w:bCs/>
          <w:color w:val="auto"/>
          <w:sz w:val="24"/>
          <w:szCs w:val="24"/>
        </w:rPr>
        <w:t>等文件相关规定，结合临平区</w:t>
      </w:r>
      <w:r>
        <w:rPr>
          <w:rFonts w:hint="eastAsia" w:ascii="Times New Roman" w:hAnsi="Times New Roman" w:eastAsia="宋体" w:cs="Times New Roman"/>
          <w:bCs/>
          <w:color w:val="auto"/>
          <w:sz w:val="24"/>
          <w:szCs w:val="24"/>
        </w:rPr>
        <w:t>2023</w:t>
      </w:r>
      <w:r>
        <w:rPr>
          <w:rFonts w:hint="eastAsia" w:ascii="宋体" w:hAnsi="宋体" w:eastAsia="宋体" w:cs="Times New Roman"/>
          <w:bCs/>
          <w:color w:val="auto"/>
          <w:sz w:val="24"/>
          <w:szCs w:val="24"/>
        </w:rPr>
        <w:t>年环境质量（地表水为达标区，环境空气为不达标区），</w:t>
      </w:r>
      <w:r>
        <w:rPr>
          <w:color w:val="auto"/>
          <w:sz w:val="24"/>
          <w:szCs w:val="24"/>
          <w:highlight w:val="none"/>
        </w:rPr>
        <w:t>本项目不排放生产废水，只排放生活污水，</w:t>
      </w:r>
      <w:r>
        <w:rPr>
          <w:rFonts w:hint="eastAsia" w:ascii="Times New Roman" w:hAnsi="Times New Roman" w:eastAsia="宋体" w:cs="Times New Roman"/>
          <w:bCs/>
          <w:color w:val="auto"/>
          <w:sz w:val="24"/>
          <w:szCs w:val="24"/>
        </w:rPr>
        <w:t>COD</w:t>
      </w:r>
      <w:r>
        <w:rPr>
          <w:rFonts w:hint="eastAsia" w:ascii="Times New Roman" w:hAnsi="Times New Roman" w:eastAsia="宋体" w:cs="Times New Roman"/>
          <w:bCs/>
          <w:color w:val="auto"/>
          <w:sz w:val="24"/>
          <w:szCs w:val="24"/>
          <w:vertAlign w:val="subscript"/>
        </w:rPr>
        <w:t>Cr</w:t>
      </w:r>
      <w:r>
        <w:rPr>
          <w:rFonts w:hint="eastAsia" w:ascii="宋体" w:hAnsi="宋体" w:eastAsia="宋体" w:cs="Times New Roman"/>
          <w:bCs/>
          <w:color w:val="auto"/>
          <w:sz w:val="24"/>
          <w:szCs w:val="24"/>
        </w:rPr>
        <w:t>、氨氮</w:t>
      </w:r>
      <w:r>
        <w:rPr>
          <w:color w:val="auto"/>
          <w:sz w:val="24"/>
          <w:szCs w:val="24"/>
          <w:highlight w:val="none"/>
        </w:rPr>
        <w:t>可不进行区域替代削减</w:t>
      </w:r>
      <w:r>
        <w:rPr>
          <w:rFonts w:hint="eastAsia" w:ascii="宋体" w:hAnsi="宋体" w:eastAsia="宋体" w:cs="Times New Roman"/>
          <w:bCs/>
          <w:color w:val="auto"/>
          <w:sz w:val="24"/>
          <w:szCs w:val="24"/>
          <w:lang w:eastAsia="zh-CN"/>
        </w:rPr>
        <w:t>；</w:t>
      </w:r>
      <w:r>
        <w:rPr>
          <w:rFonts w:hint="eastAsia" w:ascii="Times New Roman" w:hAnsi="Times New Roman" w:eastAsia="宋体" w:cs="Times New Roman"/>
          <w:bCs/>
          <w:color w:val="auto"/>
          <w:sz w:val="24"/>
          <w:szCs w:val="24"/>
        </w:rPr>
        <w:t>VOCs</w:t>
      </w:r>
      <w:r>
        <w:rPr>
          <w:rFonts w:hint="eastAsia" w:ascii="宋体" w:hAnsi="宋体" w:eastAsia="宋体" w:cs="Times New Roman"/>
          <w:bCs/>
          <w:color w:val="auto"/>
          <w:sz w:val="24"/>
          <w:szCs w:val="24"/>
        </w:rPr>
        <w:t>按</w:t>
      </w:r>
      <w:r>
        <w:rPr>
          <w:rFonts w:hint="eastAsia" w:ascii="Times New Roman" w:hAnsi="Times New Roman" w:eastAsia="宋体" w:cs="Times New Roman"/>
          <w:bCs/>
          <w:color w:val="auto"/>
          <w:sz w:val="24"/>
          <w:szCs w:val="24"/>
        </w:rPr>
        <w:t>1:2</w:t>
      </w:r>
      <w:r>
        <w:rPr>
          <w:rFonts w:hint="eastAsia" w:ascii="宋体" w:hAnsi="宋体" w:eastAsia="宋体" w:cs="Times New Roman"/>
          <w:bCs/>
          <w:color w:val="auto"/>
          <w:sz w:val="24"/>
          <w:szCs w:val="24"/>
        </w:rPr>
        <w:t>进行区域替代削减。</w:t>
      </w:r>
    </w:p>
    <w:p w14:paraId="1D7C2BF8">
      <w:pPr>
        <w:adjustRightInd w:val="0"/>
        <w:snapToGrid w:val="0"/>
        <w:spacing w:line="360" w:lineRule="auto"/>
        <w:ind w:firstLine="480" w:firstLineChars="200"/>
        <w:rPr>
          <w:rFonts w:hint="eastAsia" w:ascii="宋体" w:hAnsi="宋体" w:eastAsia="宋体" w:cs="Times New Roman"/>
          <w:color w:val="auto"/>
          <w:sz w:val="24"/>
          <w:szCs w:val="24"/>
        </w:rPr>
      </w:pPr>
      <w:r>
        <w:rPr>
          <w:rFonts w:ascii="宋体" w:hAnsi="宋体" w:eastAsia="宋体" w:cs="Times New Roman"/>
          <w:color w:val="auto"/>
          <w:sz w:val="24"/>
          <w:szCs w:val="24"/>
        </w:rPr>
        <w:t>本项目实施后，企业污染物排放总量详见下表。</w:t>
      </w:r>
    </w:p>
    <w:p w14:paraId="04380961">
      <w:pPr>
        <w:widowControl w:val="0"/>
        <w:numPr>
          <w:ilvl w:val="0"/>
          <w:numId w:val="6"/>
        </w:numPr>
        <w:adjustRightInd w:val="0"/>
        <w:snapToGrid w:val="0"/>
        <w:ind w:left="420" w:hanging="420"/>
        <w:jc w:val="center"/>
        <w:rPr>
          <w:rFonts w:ascii="Times New Roman" w:hAnsi="Times New Roman" w:eastAsia="宋体" w:cs="Times New Roman"/>
          <w:b/>
          <w:color w:val="auto"/>
          <w:kern w:val="2"/>
          <w:sz w:val="21"/>
          <w:szCs w:val="21"/>
          <w:lang w:val="zh-CN" w:eastAsia="zh-CN" w:bidi="ar-SA"/>
        </w:rPr>
      </w:pPr>
      <w:r>
        <w:rPr>
          <w:rFonts w:hint="eastAsia" w:ascii="Times New Roman" w:hAnsi="Times New Roman" w:eastAsia="宋体" w:cs="Times New Roman"/>
          <w:b/>
          <w:color w:val="auto"/>
          <w:kern w:val="2"/>
          <w:sz w:val="21"/>
          <w:szCs w:val="21"/>
          <w:lang w:val="en-US" w:eastAsia="zh-CN" w:bidi="ar-SA"/>
        </w:rPr>
        <w:t>本项目</w:t>
      </w:r>
      <w:r>
        <w:rPr>
          <w:rFonts w:hint="eastAsia" w:ascii="Times New Roman" w:hAnsi="Times New Roman" w:eastAsia="宋体" w:cs="Times New Roman"/>
          <w:b/>
          <w:color w:val="auto"/>
          <w:kern w:val="2"/>
          <w:sz w:val="21"/>
          <w:szCs w:val="21"/>
          <w:lang w:val="zh-CN" w:eastAsia="zh-CN" w:bidi="ar-SA"/>
        </w:rPr>
        <w:t xml:space="preserve">总量平衡表  </w:t>
      </w:r>
      <w:r>
        <w:rPr>
          <w:rFonts w:ascii="Times New Roman" w:hAnsi="Times New Roman" w:eastAsia="宋体" w:cs="Times New Roman"/>
          <w:b/>
          <w:color w:val="auto"/>
          <w:kern w:val="2"/>
          <w:sz w:val="21"/>
          <w:szCs w:val="21"/>
          <w:lang w:val="zh-CN" w:eastAsia="zh-CN" w:bidi="ar-SA"/>
        </w:rPr>
        <w:t xml:space="preserve"> 单位：t/a</w:t>
      </w: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1" w:type="dxa"/>
          <w:bottom w:w="0" w:type="dxa"/>
          <w:right w:w="11" w:type="dxa"/>
        </w:tblCellMar>
      </w:tblPr>
      <w:tblGrid>
        <w:gridCol w:w="721"/>
        <w:gridCol w:w="1250"/>
        <w:gridCol w:w="1289"/>
        <w:gridCol w:w="1575"/>
        <w:gridCol w:w="1575"/>
        <w:gridCol w:w="1912"/>
      </w:tblGrid>
      <w:tr w14:paraId="49692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433" w:type="pct"/>
            <w:shd w:val="clear" w:color="000000" w:fill="FFFFFF"/>
            <w:vAlign w:val="center"/>
          </w:tcPr>
          <w:p w14:paraId="5630FFA7">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项目</w:t>
            </w:r>
          </w:p>
        </w:tc>
        <w:tc>
          <w:tcPr>
            <w:tcW w:w="751" w:type="pct"/>
            <w:shd w:val="clear" w:color="000000" w:fill="FFFFFF"/>
            <w:vAlign w:val="center"/>
          </w:tcPr>
          <w:p w14:paraId="187A9585">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污染物</w:t>
            </w:r>
          </w:p>
        </w:tc>
        <w:tc>
          <w:tcPr>
            <w:tcW w:w="774" w:type="pct"/>
            <w:shd w:val="clear" w:color="000000" w:fill="FFFFFF"/>
            <w:vAlign w:val="center"/>
          </w:tcPr>
          <w:p w14:paraId="4AEA60CE">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本项目排放量</w:t>
            </w:r>
          </w:p>
        </w:tc>
        <w:tc>
          <w:tcPr>
            <w:tcW w:w="946" w:type="pct"/>
            <w:shd w:val="clear" w:color="000000" w:fill="FFFFFF"/>
            <w:vAlign w:val="center"/>
          </w:tcPr>
          <w:p w14:paraId="0EB515AF">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本项目总量建议值</w:t>
            </w:r>
          </w:p>
        </w:tc>
        <w:tc>
          <w:tcPr>
            <w:tcW w:w="946" w:type="pct"/>
            <w:shd w:val="clear" w:color="000000" w:fill="FFFFFF"/>
            <w:vAlign w:val="center"/>
          </w:tcPr>
          <w:p w14:paraId="3FAB3585">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区域削减替代比例</w:t>
            </w:r>
          </w:p>
        </w:tc>
        <w:tc>
          <w:tcPr>
            <w:tcW w:w="1148" w:type="pct"/>
            <w:shd w:val="clear" w:color="000000" w:fill="FFFFFF"/>
            <w:vAlign w:val="center"/>
          </w:tcPr>
          <w:p w14:paraId="629ADEB2">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需区域平衡削减替代量</w:t>
            </w:r>
          </w:p>
        </w:tc>
      </w:tr>
      <w:tr w14:paraId="6507B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433" w:type="pct"/>
            <w:vMerge w:val="restart"/>
            <w:shd w:val="clear" w:color="000000" w:fill="FFFFFF"/>
            <w:vAlign w:val="center"/>
          </w:tcPr>
          <w:p w14:paraId="2FD410AE">
            <w:pPr>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废水</w:t>
            </w:r>
          </w:p>
        </w:tc>
        <w:tc>
          <w:tcPr>
            <w:tcW w:w="751" w:type="pct"/>
            <w:shd w:val="clear" w:color="000000" w:fill="FFFFFF"/>
            <w:vAlign w:val="center"/>
          </w:tcPr>
          <w:p w14:paraId="33342A19">
            <w:pPr>
              <w:widowControl/>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废水量</w:t>
            </w:r>
          </w:p>
        </w:tc>
        <w:tc>
          <w:tcPr>
            <w:tcW w:w="1481" w:type="dxa"/>
            <w:shd w:val="clear" w:color="auto" w:fill="auto"/>
            <w:vAlign w:val="center"/>
          </w:tcPr>
          <w:p w14:paraId="1DEAFFF4">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701</w:t>
            </w:r>
          </w:p>
        </w:tc>
        <w:tc>
          <w:tcPr>
            <w:tcW w:w="1810" w:type="dxa"/>
            <w:shd w:val="clear" w:color="000000" w:fill="FFFFFF"/>
            <w:vAlign w:val="center"/>
          </w:tcPr>
          <w:p w14:paraId="6470C7D8">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701</w:t>
            </w:r>
          </w:p>
        </w:tc>
        <w:tc>
          <w:tcPr>
            <w:tcW w:w="946" w:type="pct"/>
            <w:shd w:val="clear" w:color="000000" w:fill="FFFFFF"/>
            <w:vAlign w:val="center"/>
          </w:tcPr>
          <w:p w14:paraId="75E6BD8B">
            <w:pPr>
              <w:widowControl/>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c>
          <w:tcPr>
            <w:tcW w:w="1148" w:type="pct"/>
            <w:shd w:val="clear" w:color="000000" w:fill="FFFFFF"/>
            <w:vAlign w:val="center"/>
          </w:tcPr>
          <w:p w14:paraId="4BD61F02">
            <w:pPr>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r>
      <w:tr w14:paraId="36A66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433" w:type="pct"/>
            <w:vMerge w:val="continue"/>
            <w:shd w:val="clear" w:color="000000" w:fill="FFFFFF"/>
            <w:vAlign w:val="center"/>
          </w:tcPr>
          <w:p w14:paraId="3796CFBA">
            <w:pPr>
              <w:widowControl/>
              <w:adjustRightInd w:val="0"/>
              <w:snapToGrid w:val="0"/>
              <w:jc w:val="center"/>
              <w:rPr>
                <w:rFonts w:ascii="Times New Roman" w:hAnsi="Times New Roman" w:eastAsia="宋体" w:cs="Times New Roman"/>
                <w:color w:val="auto"/>
                <w:sz w:val="21"/>
                <w:szCs w:val="21"/>
              </w:rPr>
            </w:pPr>
          </w:p>
        </w:tc>
        <w:tc>
          <w:tcPr>
            <w:tcW w:w="751" w:type="pct"/>
            <w:shd w:val="clear" w:color="000000" w:fill="FFFFFF"/>
            <w:vAlign w:val="center"/>
          </w:tcPr>
          <w:p w14:paraId="7A3B6FDD">
            <w:pPr>
              <w:widowControl/>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COD</w:t>
            </w:r>
          </w:p>
        </w:tc>
        <w:tc>
          <w:tcPr>
            <w:tcW w:w="1481" w:type="dxa"/>
            <w:shd w:val="clear" w:color="auto" w:fill="auto"/>
            <w:vAlign w:val="center"/>
          </w:tcPr>
          <w:p w14:paraId="42F0AEA4">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0.028</w:t>
            </w:r>
          </w:p>
        </w:tc>
        <w:tc>
          <w:tcPr>
            <w:tcW w:w="1810" w:type="dxa"/>
            <w:shd w:val="clear" w:color="000000" w:fill="FFFFFF"/>
            <w:vAlign w:val="center"/>
          </w:tcPr>
          <w:p w14:paraId="5D10A0AB">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0.028</w:t>
            </w:r>
          </w:p>
        </w:tc>
        <w:tc>
          <w:tcPr>
            <w:tcW w:w="1810" w:type="dxa"/>
            <w:shd w:val="clear" w:color="000000" w:fill="FFFFFF"/>
            <w:vAlign w:val="center"/>
          </w:tcPr>
          <w:p w14:paraId="62536C3C">
            <w:pPr>
              <w:widowControl/>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c>
          <w:tcPr>
            <w:tcW w:w="2196" w:type="dxa"/>
            <w:shd w:val="clear" w:color="000000" w:fill="FFFFFF"/>
            <w:vAlign w:val="center"/>
          </w:tcPr>
          <w:p w14:paraId="1BAC6850">
            <w:pPr>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r>
      <w:tr w14:paraId="58686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433" w:type="pct"/>
            <w:vMerge w:val="continue"/>
            <w:shd w:val="clear" w:color="000000" w:fill="FFFFFF"/>
            <w:vAlign w:val="center"/>
          </w:tcPr>
          <w:p w14:paraId="469FB286">
            <w:pPr>
              <w:widowControl/>
              <w:adjustRightInd w:val="0"/>
              <w:snapToGrid w:val="0"/>
              <w:jc w:val="center"/>
              <w:rPr>
                <w:rFonts w:ascii="Times New Roman" w:hAnsi="Times New Roman" w:eastAsia="宋体" w:cs="Times New Roman"/>
                <w:color w:val="auto"/>
                <w:sz w:val="21"/>
                <w:szCs w:val="21"/>
              </w:rPr>
            </w:pPr>
          </w:p>
        </w:tc>
        <w:tc>
          <w:tcPr>
            <w:tcW w:w="751" w:type="pct"/>
            <w:shd w:val="clear" w:color="000000" w:fill="FFFFFF"/>
            <w:vAlign w:val="center"/>
          </w:tcPr>
          <w:p w14:paraId="2E69527D">
            <w:pPr>
              <w:widowControl/>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氨氮</w:t>
            </w:r>
          </w:p>
        </w:tc>
        <w:tc>
          <w:tcPr>
            <w:tcW w:w="1481" w:type="dxa"/>
            <w:shd w:val="clear" w:color="auto" w:fill="auto"/>
            <w:vAlign w:val="center"/>
          </w:tcPr>
          <w:p w14:paraId="63BD2CBC">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c>
          <w:tcPr>
            <w:tcW w:w="1810" w:type="dxa"/>
            <w:shd w:val="clear" w:color="000000" w:fill="FFFFFF"/>
            <w:vAlign w:val="center"/>
          </w:tcPr>
          <w:p w14:paraId="026B4CBD">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0.001</w:t>
            </w:r>
          </w:p>
        </w:tc>
        <w:tc>
          <w:tcPr>
            <w:tcW w:w="1810" w:type="dxa"/>
            <w:shd w:val="clear" w:color="000000" w:fill="FFFFFF"/>
            <w:vAlign w:val="center"/>
          </w:tcPr>
          <w:p w14:paraId="7A667465">
            <w:pPr>
              <w:widowControl/>
              <w:adjustRightInd w:val="0"/>
              <w:snapToGrid w:val="0"/>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c>
          <w:tcPr>
            <w:tcW w:w="2196" w:type="dxa"/>
            <w:shd w:val="clear" w:color="000000" w:fill="FFFFFF"/>
            <w:vAlign w:val="center"/>
          </w:tcPr>
          <w:p w14:paraId="5915CBCF">
            <w:pPr>
              <w:jc w:val="center"/>
              <w:rPr>
                <w:rFonts w:ascii="Times New Roman" w:hAnsi="Times New Roman" w:eastAsia="宋体" w:cs="Times New Roman"/>
                <w:color w:val="auto"/>
                <w:sz w:val="21"/>
                <w:szCs w:val="21"/>
              </w:rPr>
            </w:pPr>
            <w:r>
              <w:rPr>
                <w:rFonts w:hint="eastAsia" w:ascii="Times New Roman" w:hAnsi="Times New Roman" w:eastAsia="宋体" w:cs="Times New Roman"/>
                <w:color w:val="auto"/>
                <w:sz w:val="21"/>
                <w:szCs w:val="21"/>
              </w:rPr>
              <w:t>-</w:t>
            </w:r>
            <w:r>
              <w:rPr>
                <w:rFonts w:ascii="Times New Roman" w:hAnsi="Times New Roman" w:eastAsia="宋体" w:cs="Times New Roman"/>
                <w:color w:val="auto"/>
                <w:sz w:val="21"/>
                <w:szCs w:val="21"/>
              </w:rPr>
              <w:t>-</w:t>
            </w:r>
          </w:p>
        </w:tc>
      </w:tr>
      <w:tr w14:paraId="21F5F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1" w:type="dxa"/>
            <w:bottom w:w="0" w:type="dxa"/>
            <w:right w:w="11" w:type="dxa"/>
          </w:tblCellMar>
        </w:tblPrEx>
        <w:trPr>
          <w:trHeight w:val="340" w:hRule="atLeast"/>
          <w:jc w:val="center"/>
        </w:trPr>
        <w:tc>
          <w:tcPr>
            <w:tcW w:w="433" w:type="pct"/>
            <w:shd w:val="clear" w:color="000000" w:fill="FFFFFF"/>
            <w:vAlign w:val="center"/>
          </w:tcPr>
          <w:p w14:paraId="5142297B">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废气</w:t>
            </w:r>
          </w:p>
        </w:tc>
        <w:tc>
          <w:tcPr>
            <w:tcW w:w="751" w:type="pct"/>
            <w:shd w:val="clear" w:color="000000" w:fill="FFFFFF"/>
            <w:vAlign w:val="center"/>
          </w:tcPr>
          <w:p w14:paraId="1C33CA97">
            <w:pPr>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VOCs</w:t>
            </w:r>
          </w:p>
        </w:tc>
        <w:tc>
          <w:tcPr>
            <w:tcW w:w="1481" w:type="dxa"/>
            <w:shd w:val="clear" w:color="auto" w:fill="auto"/>
            <w:vAlign w:val="center"/>
          </w:tcPr>
          <w:p w14:paraId="6BC34DC7">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1.025</w:t>
            </w:r>
          </w:p>
        </w:tc>
        <w:tc>
          <w:tcPr>
            <w:tcW w:w="1810" w:type="dxa"/>
            <w:shd w:val="clear" w:color="auto" w:fill="auto"/>
            <w:vAlign w:val="center"/>
          </w:tcPr>
          <w:p w14:paraId="7EE35CF8">
            <w:pPr>
              <w:keepNext w:val="0"/>
              <w:keepLines w:val="0"/>
              <w:widowControl/>
              <w:suppressLineNumbers w:val="0"/>
              <w:jc w:val="center"/>
              <w:textAlignment w:val="center"/>
              <w:rPr>
                <w:rFonts w:ascii="Times New Roman" w:hAnsi="Times New Roman" w:eastAsia="宋体" w:cs="Times New Roman"/>
                <w:color w:val="auto"/>
                <w:sz w:val="21"/>
                <w:szCs w:val="21"/>
              </w:rPr>
            </w:pPr>
            <w:r>
              <w:rPr>
                <w:rFonts w:hint="default" w:ascii="Times New Roman" w:hAnsi="Times New Roman" w:eastAsia="宋体" w:cs="Times New Roman"/>
                <w:i w:val="0"/>
                <w:iCs w:val="0"/>
                <w:color w:val="auto"/>
                <w:kern w:val="0"/>
                <w:sz w:val="21"/>
                <w:szCs w:val="21"/>
                <w:u w:val="none"/>
                <w:lang w:val="en-US" w:eastAsia="zh-CN" w:bidi="ar"/>
              </w:rPr>
              <w:t>1.025</w:t>
            </w:r>
          </w:p>
        </w:tc>
        <w:tc>
          <w:tcPr>
            <w:tcW w:w="946" w:type="pct"/>
            <w:shd w:val="clear" w:color="000000" w:fill="FFFFFF"/>
            <w:vAlign w:val="center"/>
          </w:tcPr>
          <w:p w14:paraId="56E29058">
            <w:pPr>
              <w:widowControl/>
              <w:adjustRightInd w:val="0"/>
              <w:snapToGrid w:val="0"/>
              <w:jc w:val="center"/>
              <w:rPr>
                <w:rFonts w:ascii="Times New Roman" w:hAnsi="Times New Roman" w:eastAsia="宋体" w:cs="Times New Roman"/>
                <w:color w:val="auto"/>
                <w:sz w:val="21"/>
                <w:szCs w:val="21"/>
              </w:rPr>
            </w:pPr>
            <w:r>
              <w:rPr>
                <w:rFonts w:ascii="Times New Roman" w:hAnsi="Times New Roman" w:eastAsia="宋体" w:cs="Times New Roman"/>
                <w:color w:val="auto"/>
                <w:sz w:val="21"/>
                <w:szCs w:val="21"/>
              </w:rPr>
              <w:t>1:2</w:t>
            </w:r>
          </w:p>
        </w:tc>
        <w:tc>
          <w:tcPr>
            <w:tcW w:w="1148" w:type="pct"/>
            <w:shd w:val="clear" w:color="000000" w:fill="FFFFFF"/>
            <w:vAlign w:val="center"/>
          </w:tcPr>
          <w:p w14:paraId="43FDF766">
            <w:pPr>
              <w:jc w:val="center"/>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2.05</w:t>
            </w:r>
          </w:p>
        </w:tc>
      </w:tr>
    </w:tbl>
    <w:p w14:paraId="37529F07">
      <w:pPr>
        <w:spacing w:line="360" w:lineRule="auto"/>
        <w:ind w:firstLine="480" w:firstLineChars="200"/>
        <w:rPr>
          <w:color w:val="auto"/>
          <w:sz w:val="24"/>
          <w:szCs w:val="24"/>
          <w:highlight w:val="none"/>
        </w:rPr>
      </w:pPr>
      <w:r>
        <w:rPr>
          <w:color w:val="auto"/>
          <w:sz w:val="24"/>
          <w:szCs w:val="24"/>
          <w:highlight w:val="none"/>
        </w:rPr>
        <w:t>由上表可知，全厂总量建议值为：COD</w:t>
      </w:r>
      <w:r>
        <w:rPr>
          <w:rFonts w:hint="default"/>
          <w:color w:val="auto"/>
          <w:sz w:val="24"/>
          <w:szCs w:val="24"/>
          <w:highlight w:val="none"/>
          <w:lang w:val="en-US" w:eastAsia="zh-CN"/>
        </w:rPr>
        <w:t>0.028</w:t>
      </w:r>
      <w:r>
        <w:rPr>
          <w:color w:val="auto"/>
          <w:sz w:val="24"/>
          <w:szCs w:val="24"/>
          <w:highlight w:val="none"/>
        </w:rPr>
        <w:t>t/a、氨氮 0.00</w:t>
      </w:r>
      <w:r>
        <w:rPr>
          <w:rFonts w:hint="eastAsia"/>
          <w:color w:val="auto"/>
          <w:sz w:val="24"/>
          <w:szCs w:val="24"/>
          <w:highlight w:val="none"/>
          <w:lang w:val="en-US" w:eastAsia="zh-CN"/>
        </w:rPr>
        <w:t>1</w:t>
      </w:r>
      <w:r>
        <w:rPr>
          <w:color w:val="auto"/>
          <w:sz w:val="24"/>
          <w:szCs w:val="24"/>
          <w:highlight w:val="none"/>
        </w:rPr>
        <w:t xml:space="preserve">t/a、VOCs </w:t>
      </w:r>
      <w:r>
        <w:rPr>
          <w:rFonts w:hint="eastAsia"/>
          <w:color w:val="auto"/>
          <w:sz w:val="24"/>
          <w:szCs w:val="24"/>
          <w:highlight w:val="none"/>
          <w:lang w:val="en-US" w:eastAsia="zh-CN"/>
        </w:rPr>
        <w:t>1.025</w:t>
      </w:r>
      <w:r>
        <w:rPr>
          <w:color w:val="auto"/>
          <w:sz w:val="24"/>
          <w:szCs w:val="24"/>
          <w:highlight w:val="none"/>
        </w:rPr>
        <w:t>t/a。</w:t>
      </w:r>
      <w:r>
        <w:rPr>
          <w:rFonts w:hint="eastAsia"/>
          <w:color w:val="auto"/>
          <w:sz w:val="24"/>
          <w:szCs w:val="24"/>
          <w:highlight w:val="none"/>
          <w:lang w:val="en-US" w:eastAsia="zh-CN"/>
        </w:rPr>
        <w:t>其中</w:t>
      </w:r>
      <w:r>
        <w:rPr>
          <w:color w:val="auto"/>
          <w:sz w:val="24"/>
          <w:szCs w:val="24"/>
          <w:highlight w:val="none"/>
        </w:rPr>
        <w:t>VOCs需按1:2的比例进行区域削减替代。</w:t>
      </w:r>
    </w:p>
    <w:p w14:paraId="65FE2B99">
      <w:pPr>
        <w:adjustRightInd w:val="0"/>
        <w:snapToGrid w:val="0"/>
        <w:spacing w:line="360" w:lineRule="auto"/>
        <w:ind w:firstLine="480" w:firstLineChars="200"/>
        <w:rPr>
          <w:rFonts w:ascii="Times New Roman" w:hAnsi="Times New Roman" w:eastAsia="宋体" w:cs="Times New Roman"/>
          <w:color w:val="auto"/>
          <w:sz w:val="24"/>
          <w:szCs w:val="24"/>
        </w:rPr>
      </w:pPr>
      <w:r>
        <w:rPr>
          <w:color w:val="auto"/>
          <w:sz w:val="24"/>
          <w:szCs w:val="24"/>
          <w:highlight w:val="none"/>
        </w:rPr>
        <w:t>本项目总量由杭州市生态环境局临平分局总量调剂同意后方可投入生产。</w:t>
      </w:r>
    </w:p>
    <w:p w14:paraId="6F4D99D0">
      <w:pPr>
        <w:adjustRightInd w:val="0"/>
        <w:snapToGrid w:val="0"/>
        <w:spacing w:line="360" w:lineRule="auto"/>
        <w:ind w:firstLine="480" w:firstLineChars="200"/>
        <w:rPr>
          <w:rFonts w:ascii="Times New Roman" w:hAnsi="Times New Roman" w:eastAsia="宋体" w:cs="Times New Roman"/>
          <w:b/>
          <w:bCs w:val="0"/>
          <w:color w:val="auto"/>
          <w:sz w:val="24"/>
          <w:szCs w:val="24"/>
        </w:rPr>
      </w:pPr>
      <w:r>
        <w:rPr>
          <w:rFonts w:hint="eastAsia" w:ascii="Times New Roman" w:hAnsi="Times New Roman" w:eastAsia="宋体" w:cs="Times New Roman"/>
          <w:b/>
          <w:bCs w:val="0"/>
          <w:color w:val="auto"/>
          <w:sz w:val="24"/>
          <w:szCs w:val="24"/>
          <w:lang w:eastAsia="zh-CN"/>
        </w:rPr>
        <w:t>1</w:t>
      </w:r>
      <w:r>
        <w:rPr>
          <w:rFonts w:hint="eastAsia" w:ascii="Times New Roman" w:hAnsi="Times New Roman" w:eastAsia="宋体" w:cs="Times New Roman"/>
          <w:b/>
          <w:bCs w:val="0"/>
          <w:color w:val="auto"/>
          <w:sz w:val="24"/>
          <w:szCs w:val="24"/>
          <w:lang w:val="en-US" w:eastAsia="zh-CN"/>
        </w:rPr>
        <w:t>.9</w:t>
      </w:r>
      <w:r>
        <w:rPr>
          <w:rFonts w:hint="eastAsia" w:ascii="Times New Roman" w:hAnsi="Times New Roman" w:eastAsia="宋体" w:cs="Times New Roman"/>
          <w:b/>
          <w:bCs w:val="0"/>
          <w:color w:val="auto"/>
          <w:sz w:val="24"/>
          <w:szCs w:val="24"/>
        </w:rPr>
        <w:t>环保措施监督检查清单</w:t>
      </w:r>
    </w:p>
    <w:p w14:paraId="71D13253">
      <w:pPr>
        <w:adjustRightInd w:val="0"/>
        <w:snapToGrid w:val="0"/>
        <w:spacing w:line="360" w:lineRule="auto"/>
        <w:ind w:firstLine="480" w:firstLineChars="2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本项目</w:t>
      </w:r>
      <w:r>
        <w:rPr>
          <w:rFonts w:hint="eastAsia" w:ascii="Times New Roman" w:hAnsi="Times New Roman" w:eastAsia="宋体" w:cs="Times New Roman"/>
          <w:color w:val="auto"/>
          <w:sz w:val="24"/>
          <w:szCs w:val="24"/>
        </w:rPr>
        <w:t>环保措施监督检查清单如下表所示：</w:t>
      </w:r>
    </w:p>
    <w:p w14:paraId="3B997E41">
      <w:pPr>
        <w:widowControl w:val="0"/>
        <w:numPr>
          <w:ilvl w:val="0"/>
          <w:numId w:val="6"/>
        </w:numPr>
        <w:adjustRightInd w:val="0"/>
        <w:snapToGrid w:val="0"/>
        <w:ind w:left="420" w:hanging="420"/>
        <w:jc w:val="center"/>
        <w:rPr>
          <w:rFonts w:ascii="Times New Roman" w:hAnsi="Times New Roman" w:eastAsia="宋体" w:cs="Times New Roman"/>
          <w:b/>
          <w:color w:val="auto"/>
          <w:kern w:val="2"/>
          <w:sz w:val="24"/>
          <w:szCs w:val="24"/>
          <w:lang w:val="zh-CN" w:eastAsia="zh-CN" w:bidi="ar-SA"/>
        </w:rPr>
      </w:pPr>
      <w:bookmarkStart w:id="13" w:name="_Hlk54167917"/>
      <w:r>
        <w:rPr>
          <w:rFonts w:ascii="Times New Roman" w:hAnsi="Times New Roman" w:eastAsia="宋体" w:cs="Times New Roman"/>
          <w:b/>
          <w:color w:val="auto"/>
          <w:kern w:val="2"/>
          <w:sz w:val="24"/>
          <w:szCs w:val="24"/>
          <w:lang w:val="zh-CN" w:eastAsia="zh-CN" w:bidi="ar-SA"/>
        </w:rPr>
        <w:t>环境保护措施监督检查清单</w:t>
      </w:r>
      <w:bookmarkEnd w:id="13"/>
    </w:p>
    <w:tbl>
      <w:tblPr>
        <w:tblStyle w:val="1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28" w:type="dxa"/>
          <w:bottom w:w="0" w:type="dxa"/>
          <w:right w:w="28" w:type="dxa"/>
        </w:tblCellMar>
      </w:tblPr>
      <w:tblGrid>
        <w:gridCol w:w="1181"/>
        <w:gridCol w:w="1099"/>
        <w:gridCol w:w="958"/>
        <w:gridCol w:w="3022"/>
        <w:gridCol w:w="2096"/>
      </w:tblGrid>
      <w:tr w14:paraId="7263DFB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9" w:type="pct"/>
            <w:tcBorders>
              <w:tl2br w:val="single" w:color="auto" w:sz="4" w:space="0"/>
            </w:tcBorders>
          </w:tcPr>
          <w:p w14:paraId="267CAFB9">
            <w:pPr>
              <w:adjustRightInd w:val="0"/>
              <w:snapToGrid w:val="0"/>
              <w:ind w:firstLine="960" w:firstLineChars="40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内容</w:t>
            </w:r>
          </w:p>
          <w:p w14:paraId="719F0AA3">
            <w:pPr>
              <w:adjustRightInd w:val="0"/>
              <w:snapToGrid w:val="0"/>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要素</w:t>
            </w:r>
          </w:p>
        </w:tc>
        <w:tc>
          <w:tcPr>
            <w:tcW w:w="730" w:type="pct"/>
            <w:vAlign w:val="center"/>
          </w:tcPr>
          <w:p w14:paraId="23A3F16A">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排放口(编号、名称)/污染源</w:t>
            </w:r>
          </w:p>
        </w:tc>
        <w:tc>
          <w:tcPr>
            <w:tcW w:w="478" w:type="pct"/>
            <w:vAlign w:val="center"/>
          </w:tcPr>
          <w:p w14:paraId="0713EADA">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污染物项目</w:t>
            </w:r>
          </w:p>
        </w:tc>
        <w:tc>
          <w:tcPr>
            <w:tcW w:w="1880" w:type="pct"/>
            <w:vAlign w:val="center"/>
          </w:tcPr>
          <w:p w14:paraId="4F952992">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环境保护措施</w:t>
            </w:r>
          </w:p>
        </w:tc>
        <w:tc>
          <w:tcPr>
            <w:tcW w:w="1130" w:type="pct"/>
            <w:vAlign w:val="center"/>
          </w:tcPr>
          <w:p w14:paraId="37E6B3DE">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执行标准</w:t>
            </w:r>
          </w:p>
        </w:tc>
      </w:tr>
      <w:tr w14:paraId="2466D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766" w:hRule="atLeast"/>
          <w:jc w:val="center"/>
        </w:trPr>
        <w:tc>
          <w:tcPr>
            <w:tcW w:w="779" w:type="pct"/>
            <w:vMerge w:val="restart"/>
            <w:vAlign w:val="center"/>
          </w:tcPr>
          <w:p w14:paraId="5BD2F350">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大气环境</w:t>
            </w:r>
          </w:p>
        </w:tc>
        <w:tc>
          <w:tcPr>
            <w:tcW w:w="730" w:type="pct"/>
            <w:vAlign w:val="center"/>
          </w:tcPr>
          <w:p w14:paraId="561087B2">
            <w:pPr>
              <w:adjustRightInd w:val="0"/>
              <w:snapToGrid w:val="0"/>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szCs w:val="24"/>
              </w:rPr>
              <w:t>D</w:t>
            </w:r>
            <w:r>
              <w:rPr>
                <w:rFonts w:ascii="Times New Roman" w:hAnsi="Times New Roman" w:eastAsia="宋体" w:cs="Times New Roman"/>
                <w:color w:val="auto"/>
                <w:sz w:val="24"/>
                <w:szCs w:val="24"/>
              </w:rPr>
              <w:t>A001</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熔融挤出废气</w:t>
            </w:r>
            <w:r>
              <w:rPr>
                <w:rFonts w:hint="eastAsia" w:ascii="Times New Roman" w:hAnsi="Times New Roman" w:eastAsia="宋体" w:cs="Times New Roman"/>
                <w:color w:val="auto"/>
                <w:sz w:val="24"/>
                <w:szCs w:val="24"/>
                <w:lang w:eastAsia="zh-CN"/>
              </w:rPr>
              <w:t>）</w:t>
            </w:r>
          </w:p>
        </w:tc>
        <w:tc>
          <w:tcPr>
            <w:tcW w:w="478" w:type="pct"/>
            <w:vAlign w:val="center"/>
          </w:tcPr>
          <w:p w14:paraId="3118E788">
            <w:pPr>
              <w:adjustRightInd w:val="0"/>
              <w:snapToGrid w:val="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非甲烷总烃、氨、臭气浓度</w:t>
            </w:r>
          </w:p>
        </w:tc>
        <w:tc>
          <w:tcPr>
            <w:tcW w:w="1880" w:type="pct"/>
            <w:vAlign w:val="center"/>
          </w:tcPr>
          <w:p w14:paraId="4731A919">
            <w:pPr>
              <w:adjustRightInd w:val="0"/>
              <w:snapToGrid w:val="0"/>
              <w:rPr>
                <w:rFonts w:ascii="Times New Roman" w:hAnsi="Times New Roman" w:eastAsia="宋体" w:cs="Times New Roman"/>
                <w:color w:val="auto"/>
                <w:sz w:val="24"/>
                <w:szCs w:val="24"/>
              </w:rPr>
            </w:pPr>
            <w:r>
              <w:rPr>
                <w:rFonts w:hint="eastAsia"/>
                <w:color w:val="auto"/>
                <w:sz w:val="24"/>
                <w:szCs w:val="24"/>
                <w:highlight w:val="none"/>
              </w:rPr>
              <w:t>集气罩四面设置垂帘，收集后</w:t>
            </w:r>
            <w:r>
              <w:rPr>
                <w:rFonts w:hint="eastAsia"/>
                <w:color w:val="auto"/>
                <w:sz w:val="24"/>
                <w:szCs w:val="24"/>
                <w:highlight w:val="none"/>
                <w:lang w:val="en-US" w:eastAsia="zh-CN"/>
              </w:rPr>
              <w:t>经</w:t>
            </w:r>
            <w:r>
              <w:rPr>
                <w:rFonts w:hint="eastAsia" w:ascii="Times New Roman" w:hAnsi="Times New Roman" w:eastAsia="宋体" w:cs="Times New Roman"/>
                <w:color w:val="auto"/>
                <w:sz w:val="24"/>
                <w:szCs w:val="24"/>
                <w:lang w:val="en-US" w:eastAsia="zh-CN"/>
              </w:rPr>
              <w:t>1套活性炭吸附/脱附+催化燃烧装置处理，最终经不低于45米高排气筒（DA001）高空排放</w:t>
            </w:r>
          </w:p>
        </w:tc>
        <w:tc>
          <w:tcPr>
            <w:tcW w:w="1130" w:type="pct"/>
            <w:vMerge w:val="restart"/>
            <w:vAlign w:val="center"/>
          </w:tcPr>
          <w:p w14:paraId="643138C1">
            <w:pPr>
              <w:adjustRightInd w:val="0"/>
              <w:snapToGrid w:val="0"/>
              <w:jc w:val="center"/>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《合成树脂工业污染物排放标准》</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rPr>
              <w:t>GB31572-2015</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含2024年修改单</w:t>
            </w:r>
            <w:r>
              <w:rPr>
                <w:rFonts w:hint="eastAsia" w:ascii="Times New Roman" w:hAnsi="Times New Roman" w:eastAsia="宋体" w:cs="Times New Roman"/>
                <w:color w:val="auto"/>
                <w:sz w:val="24"/>
                <w:szCs w:val="24"/>
                <w:lang w:eastAsia="zh-CN"/>
              </w:rPr>
              <w:t>）、《恶臭污染物排放标准》（GB14554-1993）</w:t>
            </w:r>
          </w:p>
        </w:tc>
      </w:tr>
      <w:tr w14:paraId="0838A2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3924" w:hRule="atLeast"/>
          <w:jc w:val="center"/>
        </w:trPr>
        <w:tc>
          <w:tcPr>
            <w:tcW w:w="779" w:type="pct"/>
            <w:vAlign w:val="center"/>
          </w:tcPr>
          <w:p w14:paraId="4E423182">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水环境</w:t>
            </w:r>
          </w:p>
        </w:tc>
        <w:tc>
          <w:tcPr>
            <w:tcW w:w="730" w:type="pct"/>
            <w:vAlign w:val="center"/>
          </w:tcPr>
          <w:p w14:paraId="632B26B8">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DW001企业总排口</w:t>
            </w:r>
          </w:p>
        </w:tc>
        <w:tc>
          <w:tcPr>
            <w:tcW w:w="478" w:type="pct"/>
            <w:vAlign w:val="center"/>
          </w:tcPr>
          <w:p w14:paraId="15C45A06">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COD</w:t>
            </w:r>
            <w:r>
              <w:rPr>
                <w:rFonts w:ascii="Times New Roman" w:hAnsi="Times New Roman" w:eastAsia="宋体" w:cs="Times New Roman"/>
                <w:color w:val="auto"/>
                <w:sz w:val="24"/>
                <w:szCs w:val="24"/>
                <w:vertAlign w:val="subscript"/>
              </w:rPr>
              <w:t>Cr</w:t>
            </w:r>
            <w:r>
              <w:rPr>
                <w:rFonts w:ascii="Times New Roman" w:hAnsi="Times New Roman" w:eastAsia="宋体" w:cs="Times New Roman"/>
                <w:color w:val="auto"/>
                <w:sz w:val="24"/>
                <w:szCs w:val="24"/>
              </w:rPr>
              <w:t>、NH</w:t>
            </w:r>
            <w:r>
              <w:rPr>
                <w:rFonts w:ascii="Times New Roman" w:hAnsi="Times New Roman" w:eastAsia="宋体" w:cs="Times New Roman"/>
                <w:color w:val="auto"/>
                <w:sz w:val="24"/>
                <w:szCs w:val="24"/>
                <w:vertAlign w:val="subscript"/>
              </w:rPr>
              <w:t>3</w:t>
            </w:r>
            <w:r>
              <w:rPr>
                <w:rFonts w:ascii="Times New Roman" w:hAnsi="Times New Roman" w:eastAsia="宋体" w:cs="Times New Roman"/>
                <w:color w:val="auto"/>
                <w:sz w:val="24"/>
                <w:szCs w:val="24"/>
              </w:rPr>
              <w:t>-N</w:t>
            </w:r>
          </w:p>
        </w:tc>
        <w:tc>
          <w:tcPr>
            <w:tcW w:w="1880" w:type="pct"/>
            <w:vAlign w:val="center"/>
          </w:tcPr>
          <w:p w14:paraId="07B4DB2D">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生活污水经化粪池预处理后达到污水厂纳管标准，可直接纳入市政污水管网，进入</w:t>
            </w:r>
            <w:r>
              <w:rPr>
                <w:rFonts w:hint="eastAsia" w:ascii="Times New Roman" w:hAnsi="Times New Roman" w:eastAsia="宋体" w:cs="Times New Roman"/>
                <w:color w:val="auto"/>
                <w:sz w:val="24"/>
                <w:szCs w:val="24"/>
              </w:rPr>
              <w:t>塘栖污水</w:t>
            </w:r>
            <w:r>
              <w:rPr>
                <w:rFonts w:ascii="Times New Roman" w:hAnsi="Times New Roman" w:eastAsia="宋体" w:cs="Times New Roman"/>
                <w:color w:val="auto"/>
                <w:sz w:val="24"/>
                <w:szCs w:val="24"/>
              </w:rPr>
              <w:t>处理厂处理</w:t>
            </w:r>
          </w:p>
        </w:tc>
        <w:tc>
          <w:tcPr>
            <w:tcW w:w="1130" w:type="pct"/>
            <w:vAlign w:val="center"/>
          </w:tcPr>
          <w:p w14:paraId="2B4C9087">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《污水综合排放标准》（GB8978-1996）及《工业企业废水氮、磷污染物间接排放限值》（DB33/887-2013）</w:t>
            </w:r>
          </w:p>
        </w:tc>
      </w:tr>
      <w:tr w14:paraId="016EF9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425" w:hRule="atLeast"/>
          <w:jc w:val="center"/>
        </w:trPr>
        <w:tc>
          <w:tcPr>
            <w:tcW w:w="779" w:type="pct"/>
            <w:vAlign w:val="center"/>
          </w:tcPr>
          <w:p w14:paraId="68B68012">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声环境</w:t>
            </w:r>
          </w:p>
        </w:tc>
        <w:tc>
          <w:tcPr>
            <w:tcW w:w="730" w:type="pct"/>
            <w:vAlign w:val="center"/>
          </w:tcPr>
          <w:p w14:paraId="2DCD18AF">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噪声</w:t>
            </w:r>
          </w:p>
        </w:tc>
        <w:tc>
          <w:tcPr>
            <w:tcW w:w="478" w:type="pct"/>
            <w:vAlign w:val="center"/>
          </w:tcPr>
          <w:p w14:paraId="67F82B87">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Leq（A）</w:t>
            </w:r>
          </w:p>
        </w:tc>
        <w:tc>
          <w:tcPr>
            <w:tcW w:w="1880" w:type="pct"/>
            <w:vAlign w:val="center"/>
          </w:tcPr>
          <w:p w14:paraId="04879996">
            <w:pPr>
              <w:adjustRightInd w:val="0"/>
              <w:snapToGrid w:val="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（1）在设备选型方面，满足功能要求的前提下，选用低噪声设备。</w:t>
            </w:r>
          </w:p>
          <w:p w14:paraId="6E05049F">
            <w:pPr>
              <w:adjustRightInd w:val="0"/>
              <w:snapToGrid w:val="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（2）高噪声设备尽量布置在</w:t>
            </w:r>
            <w:r>
              <w:rPr>
                <w:rFonts w:hint="eastAsia" w:cs="Times New Roman"/>
                <w:color w:val="auto"/>
                <w:sz w:val="24"/>
                <w:szCs w:val="24"/>
                <w:lang w:val="en-US" w:eastAsia="zh-CN"/>
              </w:rPr>
              <w:t>车间</w:t>
            </w:r>
            <w:r>
              <w:rPr>
                <w:rFonts w:hint="eastAsia" w:ascii="Times New Roman" w:hAnsi="Times New Roman" w:eastAsia="宋体" w:cs="Times New Roman"/>
                <w:color w:val="auto"/>
                <w:sz w:val="24"/>
                <w:szCs w:val="24"/>
              </w:rPr>
              <w:t>的中间区域，</w:t>
            </w:r>
            <w:r>
              <w:rPr>
                <w:rFonts w:hint="eastAsia" w:cs="Times New Roman"/>
                <w:color w:val="auto"/>
                <w:sz w:val="24"/>
                <w:szCs w:val="24"/>
                <w:lang w:val="en-US" w:eastAsia="zh-CN"/>
              </w:rPr>
              <w:t>生产</w:t>
            </w:r>
            <w:r>
              <w:rPr>
                <w:rFonts w:hint="eastAsia" w:ascii="Times New Roman" w:hAnsi="Times New Roman" w:eastAsia="宋体" w:cs="Times New Roman"/>
                <w:color w:val="auto"/>
                <w:sz w:val="24"/>
                <w:szCs w:val="24"/>
              </w:rPr>
              <w:t>时尽可能保持门窗关闭状态。</w:t>
            </w:r>
          </w:p>
          <w:p w14:paraId="2435EA7F">
            <w:pPr>
              <w:adjustRightInd w:val="0"/>
              <w:snapToGrid w:val="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（3）对高噪声设备设置隔声、吸声/消声、减震等降噪措施。</w:t>
            </w:r>
          </w:p>
          <w:p w14:paraId="79AF5C0B">
            <w:pPr>
              <w:adjustRightInd w:val="0"/>
              <w:snapToGrid w:val="0"/>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（4）加强设备日常检修和维护，确保设备处于良好的运转状态，杜绝因设备不正常运转时产生的高噪声现象。</w:t>
            </w:r>
          </w:p>
        </w:tc>
        <w:tc>
          <w:tcPr>
            <w:tcW w:w="1130" w:type="pct"/>
            <w:vAlign w:val="center"/>
          </w:tcPr>
          <w:p w14:paraId="0A077BC8">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《工业企业厂界环境噪声排放标准》</w:t>
            </w:r>
            <w:r>
              <w:rPr>
                <w:rFonts w:hint="eastAsia" w:ascii="Times New Roman" w:hAnsi="Times New Roman" w:eastAsia="宋体" w:cs="Times New Roman"/>
                <w:color w:val="auto"/>
                <w:sz w:val="24"/>
                <w:szCs w:val="24"/>
              </w:rPr>
              <w:t>（</w:t>
            </w:r>
            <w:r>
              <w:rPr>
                <w:rFonts w:ascii="Times New Roman" w:hAnsi="Times New Roman" w:eastAsia="宋体" w:cs="Times New Roman"/>
                <w:color w:val="auto"/>
                <w:sz w:val="24"/>
                <w:szCs w:val="24"/>
              </w:rPr>
              <w:t>GB12348-2008</w:t>
            </w:r>
            <w:r>
              <w:rPr>
                <w:rFonts w:hint="eastAsia" w:ascii="Times New Roman" w:hAnsi="Times New Roman" w:eastAsia="宋体" w:cs="Times New Roman"/>
                <w:color w:val="auto"/>
                <w:sz w:val="24"/>
                <w:szCs w:val="24"/>
              </w:rPr>
              <w:t>）3类</w:t>
            </w:r>
            <w:r>
              <w:rPr>
                <w:rFonts w:ascii="Times New Roman" w:hAnsi="Times New Roman" w:eastAsia="宋体" w:cs="Times New Roman"/>
                <w:color w:val="auto"/>
                <w:sz w:val="24"/>
                <w:szCs w:val="24"/>
              </w:rPr>
              <w:t>标准</w:t>
            </w:r>
          </w:p>
        </w:tc>
      </w:tr>
      <w:tr w14:paraId="7907665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9" w:type="pct"/>
            <w:vAlign w:val="center"/>
          </w:tcPr>
          <w:p w14:paraId="6744E641">
            <w:pPr>
              <w:adjustRightInd w:val="0"/>
              <w:snapToGrid w:val="0"/>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固体废物</w:t>
            </w:r>
          </w:p>
        </w:tc>
        <w:tc>
          <w:tcPr>
            <w:tcW w:w="4220" w:type="pct"/>
            <w:gridSpan w:val="4"/>
            <w:vAlign w:val="center"/>
          </w:tcPr>
          <w:p w14:paraId="7FA1FF3D">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废包装袋</w:t>
            </w:r>
            <w:r>
              <w:rPr>
                <w:rFonts w:hint="eastAsia"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废过滤网</w:t>
            </w:r>
            <w:r>
              <w:rPr>
                <w:rFonts w:ascii="Times New Roman" w:hAnsi="Times New Roman" w:eastAsia="宋体" w:cs="Times New Roman"/>
                <w:color w:val="auto"/>
                <w:sz w:val="24"/>
                <w:szCs w:val="24"/>
              </w:rPr>
              <w:t>等一般工业固废出售综合利用；废活性炭</w:t>
            </w:r>
            <w:r>
              <w:rPr>
                <w:rFonts w:hint="eastAsia" w:ascii="Times New Roman" w:hAnsi="Times New Roman" w:eastAsia="宋体" w:cs="Times New Roman"/>
                <w:color w:val="auto"/>
                <w:sz w:val="24"/>
                <w:szCs w:val="24"/>
              </w:rPr>
              <w:t>、</w:t>
            </w:r>
            <w:r>
              <w:rPr>
                <w:rFonts w:hint="eastAsia" w:ascii="Times New Roman" w:hAnsi="Times New Roman" w:eastAsia="宋体" w:cs="Times New Roman"/>
                <w:color w:val="auto"/>
                <w:sz w:val="24"/>
                <w:szCs w:val="24"/>
                <w:highlight w:val="none"/>
                <w:lang w:val="en-US" w:eastAsia="zh-CN"/>
              </w:rPr>
              <w:t>废催化剂、废润滑油、废抹布</w:t>
            </w:r>
            <w:r>
              <w:rPr>
                <w:rFonts w:ascii="Times New Roman" w:hAnsi="Times New Roman" w:eastAsia="宋体" w:cs="Times New Roman"/>
                <w:color w:val="auto"/>
                <w:sz w:val="24"/>
                <w:szCs w:val="24"/>
              </w:rPr>
              <w:t>等危险废物委托有资质单位集中处置，危废在厂内暂存期间，企业在厂区内按危废贮存要求妥善保管、封存，并做好相应场所的防渗、防漏工作；生活垃圾委托环卫部门清运。</w:t>
            </w:r>
          </w:p>
        </w:tc>
      </w:tr>
      <w:tr w14:paraId="295D81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779" w:type="pct"/>
            <w:vAlign w:val="center"/>
          </w:tcPr>
          <w:p w14:paraId="17480232">
            <w:pPr>
              <w:widowControl/>
              <w:adjustRightInd w:val="0"/>
              <w:snapToGrid w:val="0"/>
              <w:spacing w:line="360"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lang w:bidi="ar"/>
              </w:rPr>
              <w:t>土壤及地下水污染防治措施</w:t>
            </w:r>
          </w:p>
        </w:tc>
        <w:tc>
          <w:tcPr>
            <w:tcW w:w="4220" w:type="pct"/>
            <w:gridSpan w:val="4"/>
            <w:vAlign w:val="center"/>
          </w:tcPr>
          <w:p w14:paraId="044482B6">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危废仓库及相应管道做好防渗措施，确保废气、废水处理装置正常运转，废水、废气达标排放，做好环境保护日常管理与运营。</w:t>
            </w:r>
          </w:p>
        </w:tc>
      </w:tr>
      <w:tr w14:paraId="66E2BA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1497" w:type="dxa"/>
            <w:vAlign w:val="center"/>
          </w:tcPr>
          <w:p w14:paraId="70138B99">
            <w:pPr>
              <w:adjustRightInd w:val="0"/>
              <w:snapToGrid w:val="0"/>
              <w:spacing w:line="276"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环境风险防范措施</w:t>
            </w:r>
          </w:p>
        </w:tc>
        <w:tc>
          <w:tcPr>
            <w:tcW w:w="8101" w:type="dxa"/>
            <w:gridSpan w:val="4"/>
            <w:vAlign w:val="center"/>
          </w:tcPr>
          <w:p w14:paraId="0A373F66">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w:t>
            </w:r>
            <w:r>
              <w:rPr>
                <w:rFonts w:ascii="Times New Roman" w:hAnsi="Times New Roman" w:eastAsia="宋体" w:cs="Times New Roman"/>
                <w:color w:val="auto"/>
                <w:sz w:val="24"/>
                <w:szCs w:val="24"/>
              </w:rPr>
              <w:t>划定禁火区，设有明显警示标志，各项配置符合安全要求，加强安全管理，完善灭火系统；</w:t>
            </w:r>
          </w:p>
          <w:p w14:paraId="1A37BD37">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w:t>
            </w:r>
            <w:r>
              <w:rPr>
                <w:rFonts w:ascii="Times New Roman" w:hAnsi="Times New Roman" w:eastAsia="宋体" w:cs="Times New Roman"/>
                <w:color w:val="auto"/>
                <w:sz w:val="24"/>
                <w:szCs w:val="24"/>
              </w:rPr>
              <w:t>加强废气处理设施的运行维护；</w:t>
            </w:r>
          </w:p>
          <w:p w14:paraId="5C2286D3">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w:t>
            </w:r>
            <w:r>
              <w:rPr>
                <w:rFonts w:ascii="Times New Roman" w:hAnsi="Times New Roman" w:eastAsia="宋体" w:cs="Times New Roman"/>
                <w:color w:val="auto"/>
                <w:sz w:val="24"/>
                <w:szCs w:val="24"/>
              </w:rPr>
              <w:t>危废仓库等区域应严格落实防腐防渗措施；</w:t>
            </w:r>
          </w:p>
          <w:p w14:paraId="6C560E01">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④按照要求编制突发环境事件应急预案，完善各类应急措施、物资等</w:t>
            </w:r>
            <w:r>
              <w:rPr>
                <w:rFonts w:ascii="Times New Roman" w:hAnsi="Times New Roman" w:eastAsia="宋体" w:cs="Times New Roman"/>
                <w:color w:val="auto"/>
                <w:sz w:val="24"/>
                <w:szCs w:val="24"/>
              </w:rPr>
              <w:t>。</w:t>
            </w:r>
          </w:p>
        </w:tc>
      </w:tr>
      <w:tr w14:paraId="728F8E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28" w:type="dxa"/>
            <w:bottom w:w="0" w:type="dxa"/>
            <w:right w:w="28" w:type="dxa"/>
          </w:tblCellMar>
        </w:tblPrEx>
        <w:trPr>
          <w:trHeight w:val="1276" w:hRule="atLeast"/>
          <w:jc w:val="center"/>
        </w:trPr>
        <w:tc>
          <w:tcPr>
            <w:tcW w:w="1497" w:type="dxa"/>
            <w:vAlign w:val="center"/>
          </w:tcPr>
          <w:p w14:paraId="0D230160">
            <w:pPr>
              <w:adjustRightInd w:val="0"/>
              <w:snapToGrid w:val="0"/>
              <w:spacing w:line="276" w:lineRule="auto"/>
              <w:jc w:val="center"/>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其他环境管理要求</w:t>
            </w:r>
          </w:p>
        </w:tc>
        <w:tc>
          <w:tcPr>
            <w:tcW w:w="8101" w:type="dxa"/>
            <w:gridSpan w:val="4"/>
            <w:vAlign w:val="center"/>
          </w:tcPr>
          <w:p w14:paraId="357A3B81">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1、竣工环境保护验收</w:t>
            </w:r>
          </w:p>
          <w:p w14:paraId="197E494A">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根据《建设项目环境保护管理条例》和《建设项目竣工环境保护验收暂行办法》，本项目建设完成后需由企业组织对配套建设的环保设施进行自主验收，编制验收报告，公开相关信息，接受社会监督，确保建设项目需要配套建设的环保设施与主体工程同时投产或者使用，并对验收内容、结论和所公开信息的真实性、准确性和完整性负责，不得在验收过程中弄虚作假。</w:t>
            </w:r>
          </w:p>
          <w:p w14:paraId="62C67D84">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2、排污许可证管理</w:t>
            </w:r>
          </w:p>
          <w:p w14:paraId="08870821">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对照《固定污染源排污许可分类管理名录（2019年版）》，本项目属于“二十四、橡胶和塑料制品业29中第62项”“塑料制品业</w:t>
            </w:r>
            <w:r>
              <w:rPr>
                <w:rFonts w:hint="eastAsia" w:ascii="Times New Roman" w:hAnsi="Times New Roman" w:eastAsia="宋体" w:cs="Times New Roman"/>
                <w:color w:val="auto"/>
                <w:sz w:val="24"/>
                <w:szCs w:val="24"/>
              </w:rPr>
              <w:t>292</w:t>
            </w:r>
            <w:r>
              <w:rPr>
                <w:rFonts w:ascii="Times New Roman" w:hAnsi="Times New Roman" w:eastAsia="宋体" w:cs="Times New Roman"/>
                <w:color w:val="auto"/>
                <w:sz w:val="24"/>
                <w:szCs w:val="24"/>
              </w:rPr>
              <w:t>”的“</w:t>
            </w:r>
            <w:r>
              <w:rPr>
                <w:rFonts w:hint="eastAsia" w:ascii="Times New Roman" w:hAnsi="Times New Roman" w:eastAsia="宋体" w:cs="Times New Roman"/>
                <w:color w:val="auto"/>
                <w:sz w:val="24"/>
                <w:szCs w:val="24"/>
              </w:rPr>
              <w:t>年产1万吨及</w:t>
            </w:r>
            <w:r>
              <w:rPr>
                <w:rFonts w:ascii="Times New Roman" w:hAnsi="Times New Roman" w:eastAsia="宋体" w:cs="Times New Roman"/>
                <w:color w:val="auto"/>
                <w:sz w:val="24"/>
                <w:szCs w:val="24"/>
              </w:rPr>
              <w:t>以上涉及改性的塑料薄膜制造</w:t>
            </w:r>
            <w:r>
              <w:rPr>
                <w:rFonts w:hint="eastAsia" w:ascii="Times New Roman" w:hAnsi="Times New Roman" w:eastAsia="宋体" w:cs="Times New Roman"/>
                <w:color w:val="auto"/>
                <w:sz w:val="24"/>
                <w:szCs w:val="24"/>
              </w:rPr>
              <w:t>2921</w:t>
            </w:r>
            <w:r>
              <w:rPr>
                <w:rFonts w:ascii="Times New Roman" w:hAnsi="Times New Roman" w:eastAsia="宋体" w:cs="Times New Roman"/>
                <w:color w:val="auto"/>
                <w:sz w:val="24"/>
                <w:szCs w:val="24"/>
              </w:rPr>
              <w:t>”，应实施“</w:t>
            </w:r>
            <w:r>
              <w:rPr>
                <w:rFonts w:hint="eastAsia" w:ascii="Times New Roman" w:hAnsi="Times New Roman" w:eastAsia="宋体" w:cs="Times New Roman"/>
                <w:color w:val="auto"/>
                <w:sz w:val="24"/>
                <w:szCs w:val="24"/>
                <w:lang w:val="en-US" w:eastAsia="zh-CN"/>
              </w:rPr>
              <w:t>简化</w:t>
            </w:r>
            <w:r>
              <w:rPr>
                <w:rFonts w:ascii="Times New Roman" w:hAnsi="Times New Roman" w:eastAsia="宋体" w:cs="Times New Roman"/>
                <w:color w:val="auto"/>
                <w:sz w:val="24"/>
                <w:szCs w:val="24"/>
              </w:rPr>
              <w:t>管理”。</w:t>
            </w:r>
          </w:p>
          <w:p w14:paraId="4887F6CC">
            <w:pPr>
              <w:adjustRightInd w:val="0"/>
              <w:snapToGrid w:val="0"/>
              <w:spacing w:line="360" w:lineRule="auto"/>
              <w:rPr>
                <w:rFonts w:ascii="Times New Roman" w:hAnsi="Times New Roman" w:eastAsia="宋体" w:cs="Times New Roman"/>
                <w:color w:val="auto"/>
                <w:sz w:val="24"/>
                <w:szCs w:val="24"/>
              </w:rPr>
            </w:pPr>
            <w:r>
              <w:rPr>
                <w:rFonts w:ascii="Times New Roman" w:hAnsi="Times New Roman" w:eastAsia="宋体" w:cs="Times New Roman"/>
                <w:color w:val="auto"/>
                <w:sz w:val="24"/>
                <w:szCs w:val="24"/>
              </w:rPr>
              <w:t>3、日常管理</w:t>
            </w:r>
          </w:p>
          <w:p w14:paraId="3FD8D075">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①</w:t>
            </w:r>
            <w:r>
              <w:rPr>
                <w:rFonts w:ascii="Times New Roman" w:hAnsi="Times New Roman" w:eastAsia="宋体" w:cs="Times New Roman"/>
                <w:color w:val="auto"/>
                <w:sz w:val="24"/>
                <w:szCs w:val="24"/>
              </w:rPr>
              <w:t>废气管路应设有走向标识，废气排气筒应设置规范化的标志牌和采样孔、检测平台；</w:t>
            </w:r>
          </w:p>
          <w:p w14:paraId="169DAB95">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②</w:t>
            </w:r>
            <w:r>
              <w:rPr>
                <w:rFonts w:ascii="Times New Roman" w:hAnsi="Times New Roman" w:eastAsia="宋体" w:cs="Times New Roman"/>
                <w:color w:val="auto"/>
                <w:sz w:val="24"/>
                <w:szCs w:val="24"/>
              </w:rPr>
              <w:t>落实监测监控制度，按照监测要求开展废水、废气、噪声监测；</w:t>
            </w:r>
          </w:p>
          <w:p w14:paraId="0DC00ADD">
            <w:pPr>
              <w:adjustRightInd w:val="0"/>
              <w:snapToGrid w:val="0"/>
              <w:spacing w:line="360" w:lineRule="auto"/>
              <w:rPr>
                <w:rFonts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rPr>
              <w:t>③</w:t>
            </w:r>
            <w:r>
              <w:rPr>
                <w:rFonts w:ascii="Times New Roman" w:hAnsi="Times New Roman" w:eastAsia="宋体" w:cs="Times New Roman"/>
                <w:color w:val="auto"/>
                <w:sz w:val="24"/>
                <w:szCs w:val="24"/>
              </w:rPr>
              <w:t>应建立环境管理台账制度，设置专人开展台账记录、整理、维护等管理工作，包括污染治理设施运行管理信息、危险废物管理信息、监测记录信息等。台账记录频次和内容须满足排污许可证环境管理要求，台账保存期限不得少于五年。</w:t>
            </w:r>
          </w:p>
        </w:tc>
      </w:tr>
    </w:tbl>
    <w:p w14:paraId="26358B7D">
      <w:pPr>
        <w:rPr>
          <w:color w:val="auto"/>
          <w:sz w:val="24"/>
          <w:szCs w:val="24"/>
        </w:rPr>
        <w:sectPr>
          <w:pgSz w:w="11906" w:h="16838"/>
          <w:pgMar w:top="1440" w:right="1803" w:bottom="1440" w:left="1803" w:header="851" w:footer="992" w:gutter="0"/>
          <w:cols w:space="425" w:num="1"/>
          <w:docGrid w:type="linesAndChars" w:linePitch="312" w:charSpace="0"/>
        </w:sectPr>
      </w:pPr>
    </w:p>
    <w:p w14:paraId="5252E128">
      <w:pPr>
        <w:widowControl/>
        <w:adjustRightInd w:val="0"/>
        <w:snapToGrid w:val="0"/>
        <w:spacing w:before="0" w:beforeAutospacing="0" w:after="0" w:afterAutospacing="0" w:line="400" w:lineRule="exact"/>
        <w:jc w:val="left"/>
        <w:outlineLvl w:val="0"/>
        <w:rPr>
          <w:rFonts w:ascii="Times New Roman" w:hAnsi="Times New Roman" w:eastAsia="宋体" w:cs="Times New Roman"/>
          <w:b/>
          <w:color w:val="auto"/>
          <w:kern w:val="2"/>
          <w:sz w:val="24"/>
          <w:szCs w:val="24"/>
          <w:lang w:val="en-US" w:eastAsia="zh-CN" w:bidi="ar-SA"/>
        </w:rPr>
      </w:pPr>
      <w:r>
        <w:rPr>
          <w:rFonts w:hint="eastAsia" w:ascii="Times New Roman" w:hAnsi="Times New Roman" w:eastAsia="宋体" w:cs="Times New Roman"/>
          <w:b/>
          <w:color w:val="auto"/>
          <w:kern w:val="2"/>
          <w:sz w:val="24"/>
          <w:szCs w:val="24"/>
          <w:lang w:val="en-US" w:eastAsia="zh-CN" w:bidi="ar-SA"/>
        </w:rPr>
        <w:t>1.10</w:t>
      </w:r>
      <w:r>
        <w:rPr>
          <w:rFonts w:ascii="Times New Roman" w:hAnsi="Times New Roman" w:eastAsia="宋体" w:cs="Times New Roman"/>
          <w:b/>
          <w:color w:val="auto"/>
          <w:kern w:val="2"/>
          <w:sz w:val="24"/>
          <w:szCs w:val="24"/>
          <w:lang w:val="en-US" w:eastAsia="zh-CN" w:bidi="ar-SA"/>
        </w:rPr>
        <w:t>项目污染物排放量汇总表</w:t>
      </w:r>
    </w:p>
    <w:tbl>
      <w:tblPr>
        <w:tblStyle w:val="15"/>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075"/>
        <w:gridCol w:w="2110"/>
        <w:gridCol w:w="8"/>
        <w:gridCol w:w="1528"/>
        <w:gridCol w:w="1117"/>
        <w:gridCol w:w="1660"/>
        <w:gridCol w:w="1612"/>
        <w:gridCol w:w="1567"/>
        <w:gridCol w:w="1845"/>
        <w:gridCol w:w="1536"/>
      </w:tblGrid>
      <w:tr w14:paraId="07D6B7A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382" w:type="pct"/>
            <w:tcBorders>
              <w:tl2br w:val="single" w:color="auto" w:sz="4" w:space="0"/>
            </w:tcBorders>
            <w:noWrap w:val="0"/>
            <w:tcMar>
              <w:left w:w="28" w:type="dxa"/>
              <w:right w:w="28" w:type="dxa"/>
            </w:tcMar>
            <w:vAlign w:val="center"/>
          </w:tcPr>
          <w:p w14:paraId="2ADE4CEC">
            <w:pPr>
              <w:pStyle w:val="36"/>
              <w:spacing w:beforeLines="0" w:afterLines="0" w:line="240" w:lineRule="auto"/>
              <w:jc w:val="right"/>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项目</w:t>
            </w:r>
          </w:p>
          <w:p w14:paraId="641A9435">
            <w:pPr>
              <w:pStyle w:val="36"/>
              <w:spacing w:beforeLines="0" w:afterLines="0" w:line="240" w:lineRule="auto"/>
              <w:jc w:val="left"/>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分类</w:t>
            </w:r>
          </w:p>
        </w:tc>
        <w:tc>
          <w:tcPr>
            <w:tcW w:w="750" w:type="pct"/>
            <w:noWrap w:val="0"/>
            <w:tcMar>
              <w:left w:w="28" w:type="dxa"/>
              <w:right w:w="28" w:type="dxa"/>
            </w:tcMar>
            <w:vAlign w:val="center"/>
          </w:tcPr>
          <w:p w14:paraId="3C211B2C">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污染物名称</w:t>
            </w:r>
          </w:p>
        </w:tc>
        <w:tc>
          <w:tcPr>
            <w:tcW w:w="546" w:type="pct"/>
            <w:gridSpan w:val="2"/>
            <w:noWrap w:val="0"/>
            <w:tcMar>
              <w:left w:w="28" w:type="dxa"/>
              <w:right w:w="28" w:type="dxa"/>
            </w:tcMar>
            <w:vAlign w:val="center"/>
          </w:tcPr>
          <w:p w14:paraId="7566A4C4">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现有工程</w:t>
            </w:r>
          </w:p>
          <w:p w14:paraId="1D5D5E1B">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排放量（固体废物产生量）</w:t>
            </w:r>
            <w:r>
              <w:rPr>
                <w:rFonts w:ascii="Times New Roman" w:hAnsi="Times New Roman" w:cs="Times New Roman"/>
                <w:snapToGrid w:val="0"/>
                <w:color w:val="auto"/>
                <w:spacing w:val="-6"/>
                <w:kern w:val="21"/>
                <w:sz w:val="24"/>
                <w:szCs w:val="24"/>
                <w:highlight w:val="none"/>
              </w:rPr>
              <w:fldChar w:fldCharType="begin"/>
            </w:r>
            <w:r>
              <w:rPr>
                <w:rFonts w:ascii="Times New Roman" w:hAnsi="Times New Roman" w:cs="Times New Roman"/>
                <w:snapToGrid w:val="0"/>
                <w:color w:val="auto"/>
                <w:spacing w:val="-6"/>
                <w:kern w:val="21"/>
                <w:sz w:val="24"/>
                <w:szCs w:val="24"/>
                <w:highlight w:val="none"/>
              </w:rPr>
              <w:instrText xml:space="preserve"> = 1 \* GB3 \* MERGEFORMAT </w:instrText>
            </w:r>
            <w:r>
              <w:rPr>
                <w:rFonts w:ascii="Times New Roman" w:hAnsi="Times New Roman" w:cs="Times New Roman"/>
                <w:snapToGrid w:val="0"/>
                <w:color w:val="auto"/>
                <w:spacing w:val="-6"/>
                <w:kern w:val="21"/>
                <w:sz w:val="24"/>
                <w:szCs w:val="24"/>
                <w:highlight w:val="none"/>
              </w:rPr>
              <w:fldChar w:fldCharType="separate"/>
            </w:r>
            <w:r>
              <w:rPr>
                <w:rFonts w:hint="default" w:ascii="Times New Roman" w:hAnsi="Times New Roman" w:cs="Times New Roman"/>
                <w:color w:val="auto"/>
                <w:kern w:val="2"/>
                <w:sz w:val="24"/>
                <w:szCs w:val="24"/>
                <w:highlight w:val="none"/>
              </w:rPr>
              <w:t>①</w:t>
            </w:r>
            <w:r>
              <w:rPr>
                <w:rFonts w:ascii="Times New Roman" w:hAnsi="Times New Roman" w:cs="Times New Roman"/>
                <w:snapToGrid w:val="0"/>
                <w:color w:val="auto"/>
                <w:spacing w:val="-6"/>
                <w:kern w:val="21"/>
                <w:sz w:val="24"/>
                <w:szCs w:val="24"/>
                <w:highlight w:val="none"/>
              </w:rPr>
              <w:fldChar w:fldCharType="end"/>
            </w:r>
          </w:p>
        </w:tc>
        <w:tc>
          <w:tcPr>
            <w:tcW w:w="397" w:type="pct"/>
            <w:noWrap w:val="0"/>
            <w:tcMar>
              <w:left w:w="28" w:type="dxa"/>
              <w:right w:w="28" w:type="dxa"/>
            </w:tcMar>
            <w:vAlign w:val="center"/>
          </w:tcPr>
          <w:p w14:paraId="43A18351">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现有工程</w:t>
            </w:r>
          </w:p>
          <w:p w14:paraId="6EF495A1">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许可排放量</w:t>
            </w:r>
            <w:r>
              <w:rPr>
                <w:rFonts w:ascii="Times New Roman" w:hAnsi="Times New Roman" w:cs="Times New Roman"/>
                <w:snapToGrid w:val="0"/>
                <w:color w:val="auto"/>
                <w:spacing w:val="-6"/>
                <w:kern w:val="21"/>
                <w:sz w:val="24"/>
                <w:szCs w:val="24"/>
                <w:highlight w:val="none"/>
              </w:rPr>
              <w:fldChar w:fldCharType="begin"/>
            </w:r>
            <w:r>
              <w:rPr>
                <w:rFonts w:ascii="Times New Roman" w:hAnsi="Times New Roman" w:cs="Times New Roman"/>
                <w:snapToGrid w:val="0"/>
                <w:color w:val="auto"/>
                <w:spacing w:val="-6"/>
                <w:kern w:val="21"/>
                <w:sz w:val="24"/>
                <w:szCs w:val="24"/>
                <w:highlight w:val="none"/>
              </w:rPr>
              <w:instrText xml:space="preserve"> = 2 \* GB3 \* MERGEFORMAT </w:instrText>
            </w:r>
            <w:r>
              <w:rPr>
                <w:rFonts w:ascii="Times New Roman" w:hAnsi="Times New Roman" w:cs="Times New Roman"/>
                <w:snapToGrid w:val="0"/>
                <w:color w:val="auto"/>
                <w:spacing w:val="-6"/>
                <w:kern w:val="21"/>
                <w:sz w:val="24"/>
                <w:szCs w:val="24"/>
                <w:highlight w:val="none"/>
              </w:rPr>
              <w:fldChar w:fldCharType="separate"/>
            </w:r>
            <w:r>
              <w:rPr>
                <w:rFonts w:hint="default" w:ascii="Times New Roman" w:hAnsi="Times New Roman" w:cs="Times New Roman"/>
                <w:snapToGrid w:val="0"/>
                <w:color w:val="auto"/>
                <w:spacing w:val="-6"/>
                <w:kern w:val="21"/>
                <w:sz w:val="24"/>
                <w:szCs w:val="24"/>
                <w:highlight w:val="none"/>
              </w:rPr>
              <w:t>②</w:t>
            </w:r>
            <w:r>
              <w:rPr>
                <w:rFonts w:ascii="Times New Roman" w:hAnsi="Times New Roman" w:cs="Times New Roman"/>
                <w:snapToGrid w:val="0"/>
                <w:color w:val="auto"/>
                <w:spacing w:val="-6"/>
                <w:kern w:val="21"/>
                <w:sz w:val="24"/>
                <w:szCs w:val="24"/>
                <w:highlight w:val="none"/>
              </w:rPr>
              <w:fldChar w:fldCharType="end"/>
            </w:r>
          </w:p>
        </w:tc>
        <w:tc>
          <w:tcPr>
            <w:tcW w:w="590" w:type="pct"/>
            <w:noWrap w:val="0"/>
            <w:tcMar>
              <w:left w:w="28" w:type="dxa"/>
              <w:right w:w="28" w:type="dxa"/>
            </w:tcMar>
            <w:vAlign w:val="center"/>
          </w:tcPr>
          <w:p w14:paraId="011DDD82">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在建工程</w:t>
            </w:r>
          </w:p>
          <w:p w14:paraId="21C9DA71">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排放量（固体废物产生量）</w:t>
            </w:r>
            <w:r>
              <w:rPr>
                <w:rFonts w:ascii="Times New Roman" w:hAnsi="Times New Roman" w:cs="Times New Roman"/>
                <w:snapToGrid w:val="0"/>
                <w:color w:val="auto"/>
                <w:spacing w:val="-6"/>
                <w:kern w:val="21"/>
                <w:sz w:val="24"/>
                <w:szCs w:val="24"/>
                <w:highlight w:val="none"/>
              </w:rPr>
              <w:fldChar w:fldCharType="begin"/>
            </w:r>
            <w:r>
              <w:rPr>
                <w:rFonts w:ascii="Times New Roman" w:hAnsi="Times New Roman" w:cs="Times New Roman"/>
                <w:snapToGrid w:val="0"/>
                <w:color w:val="auto"/>
                <w:spacing w:val="-6"/>
                <w:kern w:val="21"/>
                <w:sz w:val="24"/>
                <w:szCs w:val="24"/>
                <w:highlight w:val="none"/>
              </w:rPr>
              <w:instrText xml:space="preserve"> = 3 \* GB3 \* MERGEFORMAT </w:instrText>
            </w:r>
            <w:r>
              <w:rPr>
                <w:rFonts w:ascii="Times New Roman" w:hAnsi="Times New Roman" w:cs="Times New Roman"/>
                <w:snapToGrid w:val="0"/>
                <w:color w:val="auto"/>
                <w:spacing w:val="-6"/>
                <w:kern w:val="21"/>
                <w:sz w:val="24"/>
                <w:szCs w:val="24"/>
                <w:highlight w:val="none"/>
              </w:rPr>
              <w:fldChar w:fldCharType="separate"/>
            </w:r>
            <w:r>
              <w:rPr>
                <w:rFonts w:hint="default" w:ascii="Times New Roman" w:hAnsi="Times New Roman" w:cs="Times New Roman"/>
                <w:color w:val="auto"/>
                <w:kern w:val="2"/>
                <w:sz w:val="24"/>
                <w:szCs w:val="24"/>
                <w:highlight w:val="none"/>
              </w:rPr>
              <w:t>③</w:t>
            </w:r>
            <w:r>
              <w:rPr>
                <w:rFonts w:ascii="Times New Roman" w:hAnsi="Times New Roman" w:cs="Times New Roman"/>
                <w:snapToGrid w:val="0"/>
                <w:color w:val="auto"/>
                <w:spacing w:val="-6"/>
                <w:kern w:val="21"/>
                <w:sz w:val="24"/>
                <w:szCs w:val="24"/>
                <w:highlight w:val="none"/>
              </w:rPr>
              <w:fldChar w:fldCharType="end"/>
            </w:r>
          </w:p>
        </w:tc>
        <w:tc>
          <w:tcPr>
            <w:tcW w:w="573" w:type="pct"/>
            <w:noWrap w:val="0"/>
            <w:tcMar>
              <w:left w:w="28" w:type="dxa"/>
              <w:right w:w="28" w:type="dxa"/>
            </w:tcMar>
            <w:vAlign w:val="center"/>
          </w:tcPr>
          <w:p w14:paraId="2D6DC922">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本项目</w:t>
            </w:r>
          </w:p>
          <w:p w14:paraId="13DF9D0D">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排放量（固体废物产生量）</w:t>
            </w:r>
            <w:r>
              <w:rPr>
                <w:rFonts w:ascii="Times New Roman" w:hAnsi="Times New Roman" w:cs="Times New Roman"/>
                <w:snapToGrid w:val="0"/>
                <w:color w:val="auto"/>
                <w:spacing w:val="-6"/>
                <w:kern w:val="21"/>
                <w:sz w:val="24"/>
                <w:szCs w:val="24"/>
                <w:highlight w:val="none"/>
              </w:rPr>
              <w:fldChar w:fldCharType="begin"/>
            </w:r>
            <w:r>
              <w:rPr>
                <w:rFonts w:ascii="Times New Roman" w:hAnsi="Times New Roman" w:cs="Times New Roman"/>
                <w:snapToGrid w:val="0"/>
                <w:color w:val="auto"/>
                <w:spacing w:val="-6"/>
                <w:kern w:val="21"/>
                <w:sz w:val="24"/>
                <w:szCs w:val="24"/>
                <w:highlight w:val="none"/>
              </w:rPr>
              <w:instrText xml:space="preserve"> = 4 \* GB3 \* MERGEFORMAT </w:instrText>
            </w:r>
            <w:r>
              <w:rPr>
                <w:rFonts w:ascii="Times New Roman" w:hAnsi="Times New Roman" w:cs="Times New Roman"/>
                <w:snapToGrid w:val="0"/>
                <w:color w:val="auto"/>
                <w:spacing w:val="-6"/>
                <w:kern w:val="21"/>
                <w:sz w:val="24"/>
                <w:szCs w:val="24"/>
                <w:highlight w:val="none"/>
              </w:rPr>
              <w:fldChar w:fldCharType="separate"/>
            </w:r>
            <w:r>
              <w:rPr>
                <w:rFonts w:hint="default" w:ascii="Times New Roman" w:hAnsi="Times New Roman" w:cs="Times New Roman"/>
                <w:color w:val="auto"/>
                <w:kern w:val="2"/>
                <w:sz w:val="24"/>
                <w:szCs w:val="24"/>
                <w:highlight w:val="none"/>
              </w:rPr>
              <w:t>④</w:t>
            </w:r>
            <w:r>
              <w:rPr>
                <w:rFonts w:ascii="Times New Roman" w:hAnsi="Times New Roman" w:cs="Times New Roman"/>
                <w:snapToGrid w:val="0"/>
                <w:color w:val="auto"/>
                <w:spacing w:val="-6"/>
                <w:kern w:val="21"/>
                <w:sz w:val="24"/>
                <w:szCs w:val="24"/>
                <w:highlight w:val="none"/>
              </w:rPr>
              <w:fldChar w:fldCharType="end"/>
            </w:r>
          </w:p>
        </w:tc>
        <w:tc>
          <w:tcPr>
            <w:tcW w:w="557" w:type="pct"/>
            <w:noWrap w:val="0"/>
            <w:tcMar>
              <w:left w:w="28" w:type="dxa"/>
              <w:right w:w="28" w:type="dxa"/>
            </w:tcMar>
            <w:vAlign w:val="center"/>
          </w:tcPr>
          <w:p w14:paraId="30A910C5">
            <w:pPr>
              <w:pStyle w:val="36"/>
              <w:spacing w:beforeLines="0" w:afterLines="0" w:line="240" w:lineRule="auto"/>
              <w:rPr>
                <w:rFonts w:ascii="Times New Roman" w:hAnsi="Times New Roman" w:cs="Times New Roman"/>
                <w:snapToGrid w:val="0"/>
                <w:color w:val="auto"/>
                <w:spacing w:val="-16"/>
                <w:kern w:val="21"/>
                <w:sz w:val="24"/>
                <w:szCs w:val="24"/>
                <w:highlight w:val="none"/>
              </w:rPr>
            </w:pPr>
            <w:r>
              <w:rPr>
                <w:rFonts w:ascii="Times New Roman" w:hAnsi="Times New Roman" w:cs="Times New Roman"/>
                <w:snapToGrid w:val="0"/>
                <w:color w:val="auto"/>
                <w:spacing w:val="-16"/>
                <w:kern w:val="21"/>
                <w:sz w:val="24"/>
                <w:szCs w:val="24"/>
                <w:highlight w:val="none"/>
              </w:rPr>
              <w:t>以新带老削减量</w:t>
            </w:r>
          </w:p>
          <w:p w14:paraId="143D1286">
            <w:pPr>
              <w:pStyle w:val="36"/>
              <w:spacing w:beforeLines="0" w:afterLines="0" w:line="240" w:lineRule="auto"/>
              <w:rPr>
                <w:rFonts w:ascii="Times New Roman" w:hAnsi="Times New Roman" w:cs="Times New Roman"/>
                <w:snapToGrid w:val="0"/>
                <w:color w:val="auto"/>
                <w:spacing w:val="-16"/>
                <w:kern w:val="21"/>
                <w:sz w:val="24"/>
                <w:szCs w:val="24"/>
                <w:highlight w:val="none"/>
              </w:rPr>
            </w:pPr>
            <w:r>
              <w:rPr>
                <w:rFonts w:ascii="Times New Roman" w:hAnsi="Times New Roman" w:cs="Times New Roman"/>
                <w:snapToGrid w:val="0"/>
                <w:color w:val="auto"/>
                <w:spacing w:val="-16"/>
                <w:kern w:val="21"/>
                <w:sz w:val="24"/>
                <w:szCs w:val="24"/>
                <w:highlight w:val="none"/>
              </w:rPr>
              <w:t>（新建项目不填）</w:t>
            </w:r>
            <w:r>
              <w:rPr>
                <w:rFonts w:ascii="Times New Roman" w:hAnsi="Times New Roman" w:cs="Times New Roman"/>
                <w:snapToGrid w:val="0"/>
                <w:color w:val="auto"/>
                <w:spacing w:val="-16"/>
                <w:kern w:val="21"/>
                <w:sz w:val="24"/>
                <w:szCs w:val="24"/>
                <w:highlight w:val="none"/>
              </w:rPr>
              <w:fldChar w:fldCharType="begin"/>
            </w:r>
            <w:r>
              <w:rPr>
                <w:rFonts w:ascii="Times New Roman" w:hAnsi="Times New Roman" w:cs="Times New Roman"/>
                <w:snapToGrid w:val="0"/>
                <w:color w:val="auto"/>
                <w:spacing w:val="-16"/>
                <w:kern w:val="21"/>
                <w:sz w:val="24"/>
                <w:szCs w:val="24"/>
                <w:highlight w:val="none"/>
              </w:rPr>
              <w:instrText xml:space="preserve"> = 5 \* GB3 \* MERGEFORMAT </w:instrText>
            </w:r>
            <w:r>
              <w:rPr>
                <w:rFonts w:ascii="Times New Roman" w:hAnsi="Times New Roman" w:cs="Times New Roman"/>
                <w:snapToGrid w:val="0"/>
                <w:color w:val="auto"/>
                <w:spacing w:val="-16"/>
                <w:kern w:val="21"/>
                <w:sz w:val="24"/>
                <w:szCs w:val="24"/>
                <w:highlight w:val="none"/>
              </w:rPr>
              <w:fldChar w:fldCharType="separate"/>
            </w:r>
            <w:r>
              <w:rPr>
                <w:rFonts w:hint="default" w:ascii="Times New Roman" w:hAnsi="Times New Roman" w:cs="Times New Roman"/>
                <w:color w:val="auto"/>
                <w:kern w:val="2"/>
                <w:sz w:val="24"/>
                <w:szCs w:val="24"/>
                <w:highlight w:val="none"/>
              </w:rPr>
              <w:t>⑤</w:t>
            </w:r>
            <w:r>
              <w:rPr>
                <w:rFonts w:ascii="Times New Roman" w:hAnsi="Times New Roman" w:cs="Times New Roman"/>
                <w:snapToGrid w:val="0"/>
                <w:color w:val="auto"/>
                <w:spacing w:val="-16"/>
                <w:kern w:val="21"/>
                <w:sz w:val="24"/>
                <w:szCs w:val="24"/>
                <w:highlight w:val="none"/>
              </w:rPr>
              <w:fldChar w:fldCharType="end"/>
            </w:r>
          </w:p>
        </w:tc>
        <w:tc>
          <w:tcPr>
            <w:tcW w:w="656" w:type="pct"/>
            <w:noWrap w:val="0"/>
            <w:tcMar>
              <w:left w:w="28" w:type="dxa"/>
              <w:right w:w="28" w:type="dxa"/>
            </w:tcMar>
            <w:vAlign w:val="center"/>
          </w:tcPr>
          <w:p w14:paraId="7BDB3C77">
            <w:pPr>
              <w:pStyle w:val="36"/>
              <w:spacing w:beforeLines="0" w:afterLines="0" w:line="240" w:lineRule="auto"/>
              <w:rPr>
                <w:rFonts w:ascii="Times New Roman" w:hAnsi="Times New Roman" w:cs="Times New Roman"/>
                <w:snapToGrid w:val="0"/>
                <w:color w:val="auto"/>
                <w:spacing w:val="-16"/>
                <w:kern w:val="21"/>
                <w:sz w:val="24"/>
                <w:szCs w:val="24"/>
                <w:highlight w:val="none"/>
              </w:rPr>
            </w:pPr>
            <w:r>
              <w:rPr>
                <w:rFonts w:ascii="Times New Roman" w:hAnsi="Times New Roman" w:cs="Times New Roman"/>
                <w:snapToGrid w:val="0"/>
                <w:color w:val="auto"/>
                <w:spacing w:val="-16"/>
                <w:kern w:val="21"/>
                <w:sz w:val="24"/>
                <w:szCs w:val="24"/>
                <w:highlight w:val="none"/>
              </w:rPr>
              <w:t>本项目建成后</w:t>
            </w:r>
          </w:p>
          <w:p w14:paraId="15E8EB82">
            <w:pPr>
              <w:pStyle w:val="36"/>
              <w:spacing w:beforeLines="0" w:afterLines="0" w:line="240" w:lineRule="auto"/>
              <w:rPr>
                <w:rFonts w:ascii="Times New Roman" w:hAnsi="Times New Roman" w:cs="Times New Roman"/>
                <w:snapToGrid w:val="0"/>
                <w:color w:val="auto"/>
                <w:spacing w:val="-16"/>
                <w:kern w:val="21"/>
                <w:sz w:val="24"/>
                <w:szCs w:val="24"/>
                <w:highlight w:val="none"/>
              </w:rPr>
            </w:pPr>
            <w:r>
              <w:rPr>
                <w:rFonts w:ascii="Times New Roman" w:hAnsi="Times New Roman" w:cs="Times New Roman"/>
                <w:snapToGrid w:val="0"/>
                <w:color w:val="auto"/>
                <w:spacing w:val="-16"/>
                <w:kern w:val="21"/>
                <w:sz w:val="24"/>
                <w:szCs w:val="24"/>
                <w:highlight w:val="none"/>
              </w:rPr>
              <w:t>全厂排放量（固体废物产生量）</w:t>
            </w:r>
            <w:r>
              <w:rPr>
                <w:rFonts w:ascii="Times New Roman" w:hAnsi="Times New Roman" w:cs="Times New Roman"/>
                <w:snapToGrid w:val="0"/>
                <w:color w:val="auto"/>
                <w:spacing w:val="-16"/>
                <w:kern w:val="21"/>
                <w:sz w:val="24"/>
                <w:szCs w:val="24"/>
                <w:highlight w:val="none"/>
              </w:rPr>
              <w:fldChar w:fldCharType="begin"/>
            </w:r>
            <w:r>
              <w:rPr>
                <w:rFonts w:ascii="Times New Roman" w:hAnsi="Times New Roman" w:cs="Times New Roman"/>
                <w:snapToGrid w:val="0"/>
                <w:color w:val="auto"/>
                <w:spacing w:val="-16"/>
                <w:kern w:val="21"/>
                <w:sz w:val="24"/>
                <w:szCs w:val="24"/>
                <w:highlight w:val="none"/>
              </w:rPr>
              <w:instrText xml:space="preserve"> = 6 \* GB3 \* MERGEFORMAT </w:instrText>
            </w:r>
            <w:r>
              <w:rPr>
                <w:rFonts w:ascii="Times New Roman" w:hAnsi="Times New Roman" w:cs="Times New Roman"/>
                <w:snapToGrid w:val="0"/>
                <w:color w:val="auto"/>
                <w:spacing w:val="-16"/>
                <w:kern w:val="21"/>
                <w:sz w:val="24"/>
                <w:szCs w:val="24"/>
                <w:highlight w:val="none"/>
              </w:rPr>
              <w:fldChar w:fldCharType="separate"/>
            </w:r>
            <w:r>
              <w:rPr>
                <w:rFonts w:hint="default" w:ascii="Times New Roman" w:hAnsi="Times New Roman" w:cs="Times New Roman"/>
                <w:color w:val="auto"/>
                <w:kern w:val="2"/>
                <w:sz w:val="24"/>
                <w:szCs w:val="24"/>
                <w:highlight w:val="none"/>
              </w:rPr>
              <w:t>⑥</w:t>
            </w:r>
            <w:r>
              <w:rPr>
                <w:rFonts w:ascii="Times New Roman" w:hAnsi="Times New Roman" w:cs="Times New Roman"/>
                <w:snapToGrid w:val="0"/>
                <w:color w:val="auto"/>
                <w:spacing w:val="-16"/>
                <w:kern w:val="21"/>
                <w:sz w:val="24"/>
                <w:szCs w:val="24"/>
                <w:highlight w:val="none"/>
              </w:rPr>
              <w:fldChar w:fldCharType="end"/>
            </w:r>
          </w:p>
        </w:tc>
        <w:tc>
          <w:tcPr>
            <w:tcW w:w="546" w:type="pct"/>
            <w:noWrap w:val="0"/>
            <w:tcMar>
              <w:left w:w="28" w:type="dxa"/>
              <w:right w:w="28" w:type="dxa"/>
            </w:tcMar>
            <w:vAlign w:val="center"/>
          </w:tcPr>
          <w:p w14:paraId="739090F0">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t>变化量</w:t>
            </w:r>
          </w:p>
          <w:p w14:paraId="55AE9348">
            <w:pPr>
              <w:pStyle w:val="36"/>
              <w:spacing w:beforeLines="0" w:afterLines="0" w:line="240" w:lineRule="auto"/>
              <w:rPr>
                <w:rFonts w:ascii="Times New Roman" w:hAnsi="Times New Roman" w:cs="Times New Roman"/>
                <w:snapToGrid w:val="0"/>
                <w:color w:val="auto"/>
                <w:spacing w:val="-6"/>
                <w:kern w:val="21"/>
                <w:sz w:val="24"/>
                <w:szCs w:val="24"/>
                <w:highlight w:val="none"/>
              </w:rPr>
            </w:pPr>
            <w:r>
              <w:rPr>
                <w:rFonts w:ascii="Times New Roman" w:hAnsi="Times New Roman" w:cs="Times New Roman"/>
                <w:snapToGrid w:val="0"/>
                <w:color w:val="auto"/>
                <w:spacing w:val="-6"/>
                <w:kern w:val="21"/>
                <w:sz w:val="24"/>
                <w:szCs w:val="24"/>
                <w:highlight w:val="none"/>
              </w:rPr>
              <w:fldChar w:fldCharType="begin"/>
            </w:r>
            <w:r>
              <w:rPr>
                <w:rFonts w:ascii="Times New Roman" w:hAnsi="Times New Roman" w:cs="Times New Roman"/>
                <w:snapToGrid w:val="0"/>
                <w:color w:val="auto"/>
                <w:spacing w:val="-6"/>
                <w:kern w:val="21"/>
                <w:sz w:val="24"/>
                <w:szCs w:val="24"/>
                <w:highlight w:val="none"/>
              </w:rPr>
              <w:instrText xml:space="preserve"> = 7 \* GB3 \* MERGEFORMAT </w:instrText>
            </w:r>
            <w:r>
              <w:rPr>
                <w:rFonts w:ascii="Times New Roman" w:hAnsi="Times New Roman" w:cs="Times New Roman"/>
                <w:snapToGrid w:val="0"/>
                <w:color w:val="auto"/>
                <w:spacing w:val="-6"/>
                <w:kern w:val="21"/>
                <w:sz w:val="24"/>
                <w:szCs w:val="24"/>
                <w:highlight w:val="none"/>
              </w:rPr>
              <w:fldChar w:fldCharType="separate"/>
            </w:r>
            <w:r>
              <w:rPr>
                <w:rFonts w:hint="default" w:ascii="Times New Roman" w:hAnsi="Times New Roman" w:cs="Times New Roman"/>
                <w:color w:val="auto"/>
                <w:kern w:val="2"/>
                <w:sz w:val="24"/>
                <w:szCs w:val="24"/>
                <w:highlight w:val="none"/>
              </w:rPr>
              <w:t>⑦</w:t>
            </w:r>
            <w:r>
              <w:rPr>
                <w:rFonts w:ascii="Times New Roman" w:hAnsi="Times New Roman" w:cs="Times New Roman"/>
                <w:snapToGrid w:val="0"/>
                <w:color w:val="auto"/>
                <w:spacing w:val="-6"/>
                <w:kern w:val="21"/>
                <w:sz w:val="24"/>
                <w:szCs w:val="24"/>
                <w:highlight w:val="none"/>
              </w:rPr>
              <w:fldChar w:fldCharType="end"/>
            </w:r>
          </w:p>
        </w:tc>
      </w:tr>
      <w:tr w14:paraId="75E8B9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noWrap w:val="0"/>
            <w:vAlign w:val="center"/>
          </w:tcPr>
          <w:p w14:paraId="0BD0D3ED">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废气</w:t>
            </w:r>
          </w:p>
        </w:tc>
        <w:tc>
          <w:tcPr>
            <w:tcW w:w="750" w:type="pct"/>
            <w:noWrap w:val="0"/>
            <w:vAlign w:val="center"/>
          </w:tcPr>
          <w:p w14:paraId="4026D534">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VOCs</w:t>
            </w:r>
          </w:p>
        </w:tc>
        <w:tc>
          <w:tcPr>
            <w:tcW w:w="546" w:type="pct"/>
            <w:gridSpan w:val="2"/>
            <w:noWrap w:val="0"/>
            <w:vAlign w:val="center"/>
          </w:tcPr>
          <w:p w14:paraId="7536F6B7">
            <w:pPr>
              <w:adjustRightInd w:val="0"/>
              <w:snapToGrid w:val="0"/>
              <w:jc w:val="center"/>
              <w:rPr>
                <w:rFonts w:hint="default" w:ascii="Times New Roman" w:hAnsi="Times New Roman" w:eastAsia="宋体" w:cs="Times New Roman"/>
                <w:bCs/>
                <w:caps/>
                <w:color w:val="auto"/>
                <w:sz w:val="24"/>
                <w:szCs w:val="24"/>
                <w:highlight w:val="none"/>
                <w:lang w:val="en-US" w:eastAsia="zh-CN"/>
              </w:rPr>
            </w:pPr>
          </w:p>
        </w:tc>
        <w:tc>
          <w:tcPr>
            <w:tcW w:w="397" w:type="pct"/>
            <w:noWrap w:val="0"/>
            <w:vAlign w:val="center"/>
          </w:tcPr>
          <w:p w14:paraId="29F4F730">
            <w:pPr>
              <w:adjustRightInd w:val="0"/>
              <w:snapToGrid w:val="0"/>
              <w:jc w:val="center"/>
              <w:rPr>
                <w:rFonts w:ascii="Times New Roman" w:hAnsi="Times New Roman" w:cs="Times New Roman"/>
                <w:bCs/>
                <w:caps/>
                <w:color w:val="auto"/>
                <w:sz w:val="24"/>
                <w:szCs w:val="24"/>
                <w:highlight w:val="none"/>
              </w:rPr>
            </w:pPr>
          </w:p>
        </w:tc>
        <w:tc>
          <w:tcPr>
            <w:tcW w:w="590" w:type="pct"/>
            <w:noWrap w:val="0"/>
            <w:vAlign w:val="center"/>
          </w:tcPr>
          <w:p w14:paraId="2FD7FDE8">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6A815AE2">
            <w:pPr>
              <w:widowControl/>
              <w:jc w:val="center"/>
              <w:rPr>
                <w:rFonts w:ascii="Times New Roman" w:hAnsi="Times New Roman" w:cs="Times New Roman"/>
                <w:color w:val="auto"/>
                <w:kern w:val="0"/>
                <w:sz w:val="24"/>
                <w:szCs w:val="24"/>
                <w:highlight w:val="none"/>
              </w:rPr>
            </w:pPr>
            <w:r>
              <w:rPr>
                <w:rFonts w:hint="eastAsia" w:ascii="Times New Roman" w:hAnsi="Times New Roman" w:cs="Times New Roman"/>
                <w:bCs/>
                <w:caps/>
                <w:color w:val="auto"/>
                <w:sz w:val="24"/>
                <w:szCs w:val="24"/>
                <w:highlight w:val="none"/>
                <w:lang w:val="en-US" w:eastAsia="zh-CN"/>
              </w:rPr>
              <w:t>1.025</w:t>
            </w:r>
          </w:p>
        </w:tc>
        <w:tc>
          <w:tcPr>
            <w:tcW w:w="557" w:type="pct"/>
            <w:noWrap w:val="0"/>
            <w:vAlign w:val="center"/>
          </w:tcPr>
          <w:p w14:paraId="29AA22B0">
            <w:pPr>
              <w:widowControl/>
              <w:adjustRightInd w:val="0"/>
              <w:snapToGrid w:val="0"/>
              <w:jc w:val="center"/>
              <w:rPr>
                <w:rFonts w:ascii="Times New Roman" w:hAnsi="Times New Roman" w:cs="Times New Roman"/>
                <w:color w:val="auto"/>
                <w:kern w:val="0"/>
                <w:sz w:val="24"/>
                <w:szCs w:val="24"/>
                <w:highlight w:val="none"/>
              </w:rPr>
            </w:pPr>
            <w:r>
              <w:rPr>
                <w:rFonts w:ascii="Times New Roman" w:hAnsi="Times New Roman" w:cs="Times New Roman"/>
                <w:color w:val="auto"/>
                <w:kern w:val="0"/>
                <w:sz w:val="24"/>
                <w:szCs w:val="24"/>
                <w:highlight w:val="none"/>
              </w:rPr>
              <w:t>0</w:t>
            </w:r>
          </w:p>
        </w:tc>
        <w:tc>
          <w:tcPr>
            <w:tcW w:w="656" w:type="pct"/>
            <w:noWrap w:val="0"/>
            <w:vAlign w:val="center"/>
          </w:tcPr>
          <w:p w14:paraId="4832ABE4">
            <w:pPr>
              <w:widowControl/>
              <w:jc w:val="center"/>
              <w:rPr>
                <w:rFonts w:ascii="Times New Roman" w:hAnsi="Times New Roman" w:cs="Times New Roman"/>
                <w:color w:val="auto"/>
                <w:kern w:val="0"/>
                <w:sz w:val="24"/>
                <w:szCs w:val="24"/>
                <w:highlight w:val="none"/>
              </w:rPr>
            </w:pPr>
            <w:r>
              <w:rPr>
                <w:rFonts w:hint="eastAsia" w:ascii="Times New Roman" w:hAnsi="Times New Roman" w:cs="Times New Roman"/>
                <w:bCs/>
                <w:caps/>
                <w:color w:val="auto"/>
                <w:sz w:val="24"/>
                <w:szCs w:val="24"/>
                <w:highlight w:val="none"/>
                <w:lang w:val="en-US" w:eastAsia="zh-CN"/>
              </w:rPr>
              <w:t>1.025</w:t>
            </w:r>
          </w:p>
        </w:tc>
        <w:tc>
          <w:tcPr>
            <w:tcW w:w="546" w:type="pct"/>
            <w:noWrap w:val="0"/>
            <w:vAlign w:val="center"/>
          </w:tcPr>
          <w:p w14:paraId="77AACC35">
            <w:pPr>
              <w:widowControl/>
              <w:jc w:val="center"/>
              <w:rPr>
                <w:rFonts w:ascii="Times New Roman" w:hAnsi="Times New Roman" w:cs="Times New Roman"/>
                <w:snapToGrid w:val="0"/>
                <w:color w:val="auto"/>
                <w:kern w:val="21"/>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eastAsia" w:ascii="Times New Roman" w:hAnsi="Times New Roman" w:cs="Times New Roman"/>
                <w:bCs/>
                <w:caps/>
                <w:color w:val="auto"/>
                <w:sz w:val="24"/>
                <w:szCs w:val="24"/>
                <w:highlight w:val="none"/>
                <w:lang w:val="en-US" w:eastAsia="zh-CN"/>
              </w:rPr>
              <w:t>1.025</w:t>
            </w:r>
          </w:p>
        </w:tc>
      </w:tr>
      <w:tr w14:paraId="73E1D84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restart"/>
            <w:noWrap w:val="0"/>
            <w:vAlign w:val="center"/>
          </w:tcPr>
          <w:p w14:paraId="2181F082">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废水</w:t>
            </w:r>
          </w:p>
        </w:tc>
        <w:tc>
          <w:tcPr>
            <w:tcW w:w="750" w:type="pct"/>
            <w:noWrap w:val="0"/>
            <w:vAlign w:val="center"/>
          </w:tcPr>
          <w:p w14:paraId="0BABC180">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废水量</w:t>
            </w:r>
          </w:p>
        </w:tc>
        <w:tc>
          <w:tcPr>
            <w:tcW w:w="546" w:type="pct"/>
            <w:gridSpan w:val="2"/>
            <w:noWrap w:val="0"/>
            <w:vAlign w:val="center"/>
          </w:tcPr>
          <w:p w14:paraId="5F071E6C">
            <w:pPr>
              <w:widowControl/>
              <w:adjustRightInd w:val="0"/>
              <w:snapToGrid w:val="0"/>
              <w:jc w:val="center"/>
              <w:rPr>
                <w:rFonts w:ascii="Times New Roman" w:hAnsi="Times New Roman" w:cs="Times New Roman"/>
                <w:color w:val="auto"/>
                <w:kern w:val="0"/>
                <w:sz w:val="24"/>
                <w:szCs w:val="24"/>
                <w:highlight w:val="none"/>
              </w:rPr>
            </w:pPr>
          </w:p>
        </w:tc>
        <w:tc>
          <w:tcPr>
            <w:tcW w:w="397" w:type="pct"/>
            <w:noWrap w:val="0"/>
            <w:vAlign w:val="center"/>
          </w:tcPr>
          <w:p w14:paraId="7E044119">
            <w:pPr>
              <w:pStyle w:val="36"/>
              <w:spacing w:beforeLines="0" w:afterLines="0" w:line="240" w:lineRule="auto"/>
              <w:rPr>
                <w:rFonts w:ascii="Times New Roman" w:hAnsi="Times New Roman" w:cs="Times New Roman"/>
                <w:color w:val="auto"/>
                <w:sz w:val="24"/>
                <w:szCs w:val="24"/>
                <w:highlight w:val="none"/>
              </w:rPr>
            </w:pPr>
          </w:p>
        </w:tc>
        <w:tc>
          <w:tcPr>
            <w:tcW w:w="590" w:type="pct"/>
            <w:noWrap w:val="0"/>
            <w:vAlign w:val="center"/>
          </w:tcPr>
          <w:p w14:paraId="09138E6C">
            <w:pPr>
              <w:pStyle w:val="36"/>
              <w:spacing w:beforeLines="0" w:afterLines="0" w:line="240" w:lineRule="auto"/>
              <w:rPr>
                <w:rFonts w:ascii="Times New Roman" w:hAnsi="Times New Roman" w:cs="Times New Roman"/>
                <w:color w:val="auto"/>
                <w:sz w:val="24"/>
                <w:szCs w:val="24"/>
                <w:highlight w:val="none"/>
              </w:rPr>
            </w:pPr>
          </w:p>
        </w:tc>
        <w:tc>
          <w:tcPr>
            <w:tcW w:w="573" w:type="pct"/>
            <w:noWrap w:val="0"/>
            <w:vAlign w:val="center"/>
          </w:tcPr>
          <w:p w14:paraId="340F1B76">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701</w:t>
            </w:r>
          </w:p>
        </w:tc>
        <w:tc>
          <w:tcPr>
            <w:tcW w:w="557" w:type="pct"/>
            <w:noWrap w:val="0"/>
            <w:vAlign w:val="center"/>
          </w:tcPr>
          <w:p w14:paraId="6116FA13">
            <w:pPr>
              <w:widowControl/>
              <w:adjustRightInd w:val="0"/>
              <w:snapToGrid w:val="0"/>
              <w:jc w:val="center"/>
              <w:rPr>
                <w:rFonts w:ascii="Times New Roman" w:hAnsi="Times New Roman" w:cs="Times New Roman"/>
                <w:color w:val="auto"/>
                <w:kern w:val="0"/>
                <w:sz w:val="24"/>
                <w:szCs w:val="24"/>
                <w:highlight w:val="none"/>
              </w:rPr>
            </w:pPr>
            <w:r>
              <w:rPr>
                <w:rFonts w:ascii="Times New Roman" w:hAnsi="Times New Roman" w:cs="Times New Roman"/>
                <w:color w:val="auto"/>
                <w:kern w:val="0"/>
                <w:sz w:val="24"/>
                <w:szCs w:val="24"/>
                <w:highlight w:val="none"/>
              </w:rPr>
              <w:t>0</w:t>
            </w:r>
          </w:p>
        </w:tc>
        <w:tc>
          <w:tcPr>
            <w:tcW w:w="656" w:type="pct"/>
            <w:noWrap w:val="0"/>
            <w:vAlign w:val="center"/>
          </w:tcPr>
          <w:p w14:paraId="7A7D45B0">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701</w:t>
            </w:r>
          </w:p>
        </w:tc>
        <w:tc>
          <w:tcPr>
            <w:tcW w:w="546" w:type="pct"/>
            <w:noWrap w:val="0"/>
            <w:vAlign w:val="center"/>
          </w:tcPr>
          <w:p w14:paraId="4A3DBC11">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highlight w:val="none"/>
                <w:lang w:val="en-US" w:eastAsia="zh-CN"/>
              </w:rPr>
              <w:t>701</w:t>
            </w:r>
          </w:p>
        </w:tc>
      </w:tr>
      <w:tr w14:paraId="57042B6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04B5FA29">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0" w:type="pct"/>
            <w:noWrap w:val="0"/>
            <w:vAlign w:val="center"/>
          </w:tcPr>
          <w:p w14:paraId="3DE198FA">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COD</w:t>
            </w:r>
          </w:p>
        </w:tc>
        <w:tc>
          <w:tcPr>
            <w:tcW w:w="546" w:type="pct"/>
            <w:gridSpan w:val="2"/>
            <w:noWrap w:val="0"/>
            <w:vAlign w:val="center"/>
          </w:tcPr>
          <w:p w14:paraId="4335315F">
            <w:pPr>
              <w:widowControl/>
              <w:adjustRightInd w:val="0"/>
              <w:snapToGrid w:val="0"/>
              <w:jc w:val="center"/>
              <w:rPr>
                <w:rFonts w:ascii="Times New Roman" w:hAnsi="Times New Roman" w:cs="Times New Roman"/>
                <w:color w:val="auto"/>
                <w:kern w:val="0"/>
                <w:sz w:val="24"/>
                <w:szCs w:val="24"/>
                <w:highlight w:val="none"/>
              </w:rPr>
            </w:pPr>
          </w:p>
        </w:tc>
        <w:tc>
          <w:tcPr>
            <w:tcW w:w="397" w:type="pct"/>
            <w:noWrap w:val="0"/>
            <w:vAlign w:val="center"/>
          </w:tcPr>
          <w:p w14:paraId="6945CFBA">
            <w:pPr>
              <w:pStyle w:val="36"/>
              <w:spacing w:beforeLines="0" w:afterLines="0" w:line="240" w:lineRule="auto"/>
              <w:rPr>
                <w:rFonts w:ascii="Times New Roman" w:hAnsi="Times New Roman" w:cs="Times New Roman"/>
                <w:color w:val="auto"/>
                <w:sz w:val="24"/>
                <w:szCs w:val="24"/>
                <w:highlight w:val="none"/>
              </w:rPr>
            </w:pPr>
          </w:p>
        </w:tc>
        <w:tc>
          <w:tcPr>
            <w:tcW w:w="590" w:type="pct"/>
            <w:noWrap w:val="0"/>
            <w:vAlign w:val="center"/>
          </w:tcPr>
          <w:p w14:paraId="4B6776BD">
            <w:pPr>
              <w:pStyle w:val="36"/>
              <w:spacing w:beforeLines="0" w:afterLines="0" w:line="240" w:lineRule="auto"/>
              <w:rPr>
                <w:rFonts w:ascii="Times New Roman" w:hAnsi="Times New Roman" w:cs="Times New Roman"/>
                <w:color w:val="auto"/>
                <w:sz w:val="24"/>
                <w:szCs w:val="24"/>
                <w:highlight w:val="none"/>
              </w:rPr>
            </w:pPr>
          </w:p>
        </w:tc>
        <w:tc>
          <w:tcPr>
            <w:tcW w:w="573" w:type="pct"/>
            <w:noWrap w:val="0"/>
            <w:vAlign w:val="center"/>
          </w:tcPr>
          <w:p w14:paraId="5CB7D222">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0.028</w:t>
            </w:r>
          </w:p>
        </w:tc>
        <w:tc>
          <w:tcPr>
            <w:tcW w:w="557" w:type="pct"/>
            <w:noWrap w:val="0"/>
            <w:vAlign w:val="center"/>
          </w:tcPr>
          <w:p w14:paraId="311953FE">
            <w:pPr>
              <w:widowControl/>
              <w:adjustRightInd w:val="0"/>
              <w:snapToGrid w:val="0"/>
              <w:jc w:val="center"/>
              <w:rPr>
                <w:rFonts w:ascii="Times New Roman" w:hAnsi="Times New Roman" w:cs="Times New Roman"/>
                <w:color w:val="auto"/>
                <w:kern w:val="0"/>
                <w:sz w:val="24"/>
                <w:szCs w:val="24"/>
                <w:highlight w:val="none"/>
              </w:rPr>
            </w:pPr>
            <w:r>
              <w:rPr>
                <w:rFonts w:ascii="Times New Roman" w:hAnsi="Times New Roman" w:cs="Times New Roman"/>
                <w:color w:val="auto"/>
                <w:kern w:val="0"/>
                <w:sz w:val="24"/>
                <w:szCs w:val="24"/>
                <w:highlight w:val="none"/>
              </w:rPr>
              <w:t>0</w:t>
            </w:r>
          </w:p>
        </w:tc>
        <w:tc>
          <w:tcPr>
            <w:tcW w:w="656" w:type="pct"/>
            <w:noWrap w:val="0"/>
            <w:vAlign w:val="center"/>
          </w:tcPr>
          <w:p w14:paraId="2AEDD66C">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0.028</w:t>
            </w:r>
          </w:p>
        </w:tc>
        <w:tc>
          <w:tcPr>
            <w:tcW w:w="546" w:type="pct"/>
            <w:noWrap w:val="0"/>
            <w:vAlign w:val="center"/>
          </w:tcPr>
          <w:p w14:paraId="659AD63E">
            <w:pPr>
              <w:pStyle w:val="54"/>
              <w:shd w:val="clear" w:color="auto" w:fill="auto"/>
              <w:adjustRightInd w:val="0"/>
              <w:snapToGrid w:val="0"/>
              <w:spacing w:after="0" w:line="240" w:lineRule="auto"/>
              <w:rPr>
                <w:rFonts w:ascii="Times New Roman" w:hAnsi="Times New Roman" w:cs="Times New Roman"/>
                <w:color w:val="auto"/>
                <w:sz w:val="24"/>
                <w:szCs w:val="24"/>
                <w:highlight w:val="none"/>
                <w:lang w:val="zh-CN"/>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highlight w:val="none"/>
                <w:lang w:val="en-US" w:eastAsia="zh-CN"/>
              </w:rPr>
              <w:t>0.028</w:t>
            </w:r>
          </w:p>
        </w:tc>
      </w:tr>
      <w:tr w14:paraId="726063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06D27F94">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0" w:type="pct"/>
            <w:noWrap w:val="0"/>
            <w:vAlign w:val="center"/>
          </w:tcPr>
          <w:p w14:paraId="08E24915">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氨氮</w:t>
            </w:r>
          </w:p>
        </w:tc>
        <w:tc>
          <w:tcPr>
            <w:tcW w:w="546" w:type="pct"/>
            <w:gridSpan w:val="2"/>
            <w:noWrap w:val="0"/>
            <w:vAlign w:val="center"/>
          </w:tcPr>
          <w:p w14:paraId="574F942C">
            <w:pPr>
              <w:widowControl/>
              <w:adjustRightInd w:val="0"/>
              <w:snapToGrid w:val="0"/>
              <w:jc w:val="center"/>
              <w:rPr>
                <w:rFonts w:ascii="Times New Roman" w:hAnsi="Times New Roman" w:cs="Times New Roman"/>
                <w:color w:val="auto"/>
                <w:kern w:val="0"/>
                <w:sz w:val="24"/>
                <w:szCs w:val="24"/>
                <w:highlight w:val="none"/>
              </w:rPr>
            </w:pPr>
          </w:p>
        </w:tc>
        <w:tc>
          <w:tcPr>
            <w:tcW w:w="397" w:type="pct"/>
            <w:noWrap w:val="0"/>
            <w:vAlign w:val="center"/>
          </w:tcPr>
          <w:p w14:paraId="44E7BE8C">
            <w:pPr>
              <w:pStyle w:val="36"/>
              <w:spacing w:beforeLines="0" w:afterLines="0" w:line="240" w:lineRule="auto"/>
              <w:rPr>
                <w:rFonts w:ascii="Times New Roman" w:hAnsi="Times New Roman" w:cs="Times New Roman"/>
                <w:color w:val="auto"/>
                <w:sz w:val="24"/>
                <w:szCs w:val="24"/>
                <w:highlight w:val="none"/>
              </w:rPr>
            </w:pPr>
          </w:p>
        </w:tc>
        <w:tc>
          <w:tcPr>
            <w:tcW w:w="590" w:type="pct"/>
            <w:noWrap w:val="0"/>
            <w:vAlign w:val="center"/>
          </w:tcPr>
          <w:p w14:paraId="68F51790">
            <w:pPr>
              <w:pStyle w:val="36"/>
              <w:spacing w:beforeLines="0" w:afterLines="0" w:line="240" w:lineRule="auto"/>
              <w:rPr>
                <w:rFonts w:ascii="Times New Roman" w:hAnsi="Times New Roman" w:cs="Times New Roman"/>
                <w:color w:val="auto"/>
                <w:sz w:val="24"/>
                <w:szCs w:val="24"/>
                <w:highlight w:val="none"/>
              </w:rPr>
            </w:pPr>
          </w:p>
        </w:tc>
        <w:tc>
          <w:tcPr>
            <w:tcW w:w="573" w:type="pct"/>
            <w:noWrap w:val="0"/>
            <w:vAlign w:val="center"/>
          </w:tcPr>
          <w:p w14:paraId="47662684">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0.001</w:t>
            </w:r>
          </w:p>
        </w:tc>
        <w:tc>
          <w:tcPr>
            <w:tcW w:w="557" w:type="pct"/>
            <w:noWrap w:val="0"/>
            <w:vAlign w:val="center"/>
          </w:tcPr>
          <w:p w14:paraId="30E316CF">
            <w:pPr>
              <w:widowControl/>
              <w:adjustRightInd w:val="0"/>
              <w:snapToGrid w:val="0"/>
              <w:jc w:val="center"/>
              <w:rPr>
                <w:rFonts w:ascii="Times New Roman" w:hAnsi="Times New Roman" w:cs="Times New Roman"/>
                <w:color w:val="auto"/>
                <w:kern w:val="0"/>
                <w:sz w:val="24"/>
                <w:szCs w:val="24"/>
                <w:highlight w:val="none"/>
              </w:rPr>
            </w:pPr>
            <w:r>
              <w:rPr>
                <w:rFonts w:ascii="Times New Roman" w:hAnsi="Times New Roman" w:cs="Times New Roman"/>
                <w:color w:val="auto"/>
                <w:kern w:val="0"/>
                <w:sz w:val="24"/>
                <w:szCs w:val="24"/>
                <w:highlight w:val="none"/>
              </w:rPr>
              <w:t>0</w:t>
            </w:r>
          </w:p>
        </w:tc>
        <w:tc>
          <w:tcPr>
            <w:tcW w:w="656" w:type="pct"/>
            <w:noWrap w:val="0"/>
            <w:vAlign w:val="center"/>
          </w:tcPr>
          <w:p w14:paraId="0F5E0E25">
            <w:pPr>
              <w:pStyle w:val="54"/>
              <w:shd w:val="clear" w:color="auto" w:fill="auto"/>
              <w:adjustRightInd w:val="0"/>
              <w:snapToGrid w:val="0"/>
              <w:spacing w:after="0" w:line="240" w:lineRule="auto"/>
              <w:rPr>
                <w:rFonts w:ascii="Times New Roman" w:hAnsi="Times New Roman" w:cs="Times New Roman"/>
                <w:color w:val="auto"/>
                <w:kern w:val="0"/>
                <w:sz w:val="24"/>
                <w:szCs w:val="24"/>
                <w:highlight w:val="none"/>
              </w:rPr>
            </w:pPr>
            <w:r>
              <w:rPr>
                <w:rFonts w:hint="default" w:ascii="Times New Roman" w:hAnsi="Times New Roman" w:cs="Times New Roman"/>
                <w:color w:val="auto"/>
                <w:sz w:val="24"/>
                <w:szCs w:val="24"/>
                <w:highlight w:val="none"/>
                <w:lang w:val="en-US" w:eastAsia="zh-CN"/>
              </w:rPr>
              <w:t>0.001</w:t>
            </w:r>
          </w:p>
        </w:tc>
        <w:tc>
          <w:tcPr>
            <w:tcW w:w="546" w:type="pct"/>
            <w:noWrap w:val="0"/>
            <w:vAlign w:val="center"/>
          </w:tcPr>
          <w:p w14:paraId="0DC54D34">
            <w:pPr>
              <w:pStyle w:val="54"/>
              <w:shd w:val="clear" w:color="auto" w:fill="auto"/>
              <w:adjustRightInd w:val="0"/>
              <w:snapToGrid w:val="0"/>
              <w:spacing w:after="0" w:line="240" w:lineRule="auto"/>
              <w:rPr>
                <w:rFonts w:ascii="Times New Roman" w:hAnsi="Times New Roman" w:cs="Times New Roman"/>
                <w:color w:val="auto"/>
                <w:sz w:val="24"/>
                <w:szCs w:val="24"/>
                <w:highlight w:val="none"/>
                <w:lang w:val="zh-CN"/>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highlight w:val="none"/>
                <w:lang w:val="en-US" w:eastAsia="zh-CN"/>
              </w:rPr>
              <w:t>0.001</w:t>
            </w:r>
          </w:p>
        </w:tc>
      </w:tr>
      <w:tr w14:paraId="000FF1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restart"/>
            <w:noWrap w:val="0"/>
            <w:vAlign w:val="center"/>
          </w:tcPr>
          <w:p w14:paraId="4D65E0EE">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一般工业</w:t>
            </w:r>
          </w:p>
          <w:p w14:paraId="4BBC3768">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固体废物</w:t>
            </w:r>
          </w:p>
        </w:tc>
        <w:tc>
          <w:tcPr>
            <w:tcW w:w="750" w:type="pct"/>
            <w:noWrap w:val="0"/>
            <w:vAlign w:val="center"/>
          </w:tcPr>
          <w:p w14:paraId="05F47736">
            <w:pPr>
              <w:keepNext/>
              <w:keepLines/>
              <w:numPr>
                <w:ilvl w:val="0"/>
                <w:numId w:val="0"/>
              </w:numPr>
              <w:spacing w:line="240" w:lineRule="auto"/>
              <w:ind w:left="0" w:leftChars="0" w:firstLine="0" w:firstLineChars="0"/>
              <w:jc w:val="center"/>
              <w:rPr>
                <w:rFonts w:ascii="Times New Roman" w:hAnsi="Times New Roman" w:cs="Times New Roman"/>
                <w:snapToGrid w:val="0"/>
                <w:color w:val="auto"/>
                <w:kern w:val="21"/>
                <w:sz w:val="24"/>
                <w:szCs w:val="24"/>
                <w:highlight w:val="none"/>
              </w:rPr>
            </w:pPr>
            <w:r>
              <w:rPr>
                <w:rFonts w:ascii="Times New Roman" w:hAnsi="Times New Roman" w:cs="Times New Roman"/>
                <w:bCs/>
                <w:color w:val="auto"/>
                <w:sz w:val="24"/>
                <w:szCs w:val="24"/>
                <w:highlight w:val="none"/>
              </w:rPr>
              <w:t>废包装袋</w:t>
            </w:r>
          </w:p>
        </w:tc>
        <w:tc>
          <w:tcPr>
            <w:tcW w:w="546" w:type="pct"/>
            <w:gridSpan w:val="2"/>
            <w:noWrap w:val="0"/>
            <w:vAlign w:val="center"/>
          </w:tcPr>
          <w:p w14:paraId="49B22756">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5DB40D95">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0FD0999D">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1D58E0BC">
            <w:pPr>
              <w:adjustRightInd w:val="0"/>
              <w:snapToGrid w:val="0"/>
              <w:jc w:val="center"/>
              <w:rPr>
                <w:rFonts w:ascii="Times New Roman" w:hAnsi="Times New Roman" w:cs="Times New Roman"/>
                <w:color w:val="auto"/>
                <w:sz w:val="24"/>
                <w:szCs w:val="24"/>
                <w:highlight w:val="none"/>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0</w:t>
            </w:r>
          </w:p>
        </w:tc>
        <w:tc>
          <w:tcPr>
            <w:tcW w:w="557" w:type="pct"/>
            <w:noWrap w:val="0"/>
            <w:vAlign w:val="center"/>
          </w:tcPr>
          <w:p w14:paraId="565FD5D6">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noWrap w:val="0"/>
            <w:vAlign w:val="center"/>
          </w:tcPr>
          <w:p w14:paraId="296FB41C">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60</w:t>
            </w:r>
          </w:p>
        </w:tc>
        <w:tc>
          <w:tcPr>
            <w:tcW w:w="546" w:type="pct"/>
            <w:noWrap w:val="0"/>
            <w:vAlign w:val="center"/>
          </w:tcPr>
          <w:p w14:paraId="18230AD9">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0</w:t>
            </w:r>
          </w:p>
        </w:tc>
      </w:tr>
      <w:tr w14:paraId="4F0D43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481A030F">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0" w:type="pct"/>
            <w:noWrap w:val="0"/>
            <w:vAlign w:val="center"/>
          </w:tcPr>
          <w:p w14:paraId="2B7131AE">
            <w:pPr>
              <w:jc w:val="center"/>
              <w:rPr>
                <w:rFonts w:ascii="Times New Roman" w:hAnsi="Times New Roman" w:cs="Times New Roman"/>
                <w:snapToGrid w:val="0"/>
                <w:color w:val="auto"/>
                <w:kern w:val="21"/>
                <w:sz w:val="24"/>
                <w:szCs w:val="24"/>
                <w:highlight w:val="none"/>
              </w:rPr>
            </w:pPr>
            <w:r>
              <w:rPr>
                <w:rFonts w:hint="default" w:ascii="Times New Roman" w:hAnsi="Times New Roman" w:cs="Times New Roman"/>
                <w:bCs/>
                <w:color w:val="auto"/>
                <w:sz w:val="24"/>
                <w:szCs w:val="24"/>
                <w:highlight w:val="none"/>
                <w:lang w:val="en-US" w:eastAsia="zh-CN"/>
              </w:rPr>
              <w:t>废过滤网</w:t>
            </w:r>
          </w:p>
        </w:tc>
        <w:tc>
          <w:tcPr>
            <w:tcW w:w="546" w:type="pct"/>
            <w:gridSpan w:val="2"/>
            <w:noWrap w:val="0"/>
            <w:vAlign w:val="center"/>
          </w:tcPr>
          <w:p w14:paraId="5E5898F7">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0903F819">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042D52AF">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439C41FA">
            <w:pPr>
              <w:adjustRightInd w:val="0"/>
              <w:snapToGrid w:val="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4</w:t>
            </w:r>
          </w:p>
        </w:tc>
        <w:tc>
          <w:tcPr>
            <w:tcW w:w="557" w:type="pct"/>
            <w:noWrap w:val="0"/>
            <w:vAlign w:val="center"/>
          </w:tcPr>
          <w:p w14:paraId="04DB6B40">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noWrap w:val="0"/>
            <w:vAlign w:val="center"/>
          </w:tcPr>
          <w:p w14:paraId="2B73C99B">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0.5</w:t>
            </w:r>
          </w:p>
        </w:tc>
        <w:tc>
          <w:tcPr>
            <w:tcW w:w="546" w:type="pct"/>
            <w:noWrap w:val="0"/>
            <w:vAlign w:val="center"/>
          </w:tcPr>
          <w:p w14:paraId="1786D2E3">
            <w:pPr>
              <w:adjustRightInd w:val="0"/>
              <w:snapToGrid w:val="0"/>
              <w:jc w:val="center"/>
              <w:rPr>
                <w:rFonts w:ascii="Times New Roman" w:hAnsi="Times New Roman" w:cs="Times New Roman"/>
                <w:snapToGrid w:val="0"/>
                <w:color w:val="auto"/>
                <w:kern w:val="21"/>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4</w:t>
            </w:r>
          </w:p>
        </w:tc>
      </w:tr>
      <w:tr w14:paraId="395450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3C9A70A1">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0" w:type="pct"/>
            <w:noWrap w:val="0"/>
            <w:vAlign w:val="center"/>
          </w:tcPr>
          <w:p w14:paraId="7A060832">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小计</w:t>
            </w:r>
          </w:p>
        </w:tc>
        <w:tc>
          <w:tcPr>
            <w:tcW w:w="546" w:type="pct"/>
            <w:gridSpan w:val="2"/>
            <w:noWrap w:val="0"/>
            <w:vAlign w:val="center"/>
          </w:tcPr>
          <w:p w14:paraId="4B726378">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5E9E99EB">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60D17EFA">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02A6C293">
            <w:pPr>
              <w:adjustRightInd w:val="0"/>
              <w:snapToGrid w:val="0"/>
              <w:jc w:val="center"/>
              <w:rPr>
                <w:rFonts w:hint="default" w:ascii="Times New Roman" w:hAnsi="Times New Roman" w:cs="Times New Roman"/>
                <w:color w:val="auto"/>
                <w:sz w:val="24"/>
                <w:szCs w:val="24"/>
                <w:highlight w:val="none"/>
                <w:lang w:val="en-US"/>
              </w:rPr>
            </w:pP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4</w:t>
            </w:r>
          </w:p>
        </w:tc>
        <w:tc>
          <w:tcPr>
            <w:tcW w:w="557" w:type="pct"/>
            <w:noWrap w:val="0"/>
            <w:vAlign w:val="center"/>
          </w:tcPr>
          <w:p w14:paraId="25D49C11">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noWrap w:val="0"/>
            <w:vAlign w:val="center"/>
          </w:tcPr>
          <w:p w14:paraId="2EA61CB3">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lang w:val="en-US" w:eastAsia="zh-CN"/>
              </w:rPr>
              <w:t>60.5</w:t>
            </w:r>
          </w:p>
        </w:tc>
        <w:tc>
          <w:tcPr>
            <w:tcW w:w="546" w:type="pct"/>
            <w:noWrap w:val="0"/>
            <w:vAlign w:val="center"/>
          </w:tcPr>
          <w:p w14:paraId="6C38D33D">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eastAsia" w:ascii="Times New Roman" w:hAnsi="Times New Roman"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0.</w:t>
            </w:r>
            <w:r>
              <w:rPr>
                <w:rFonts w:hint="eastAsia" w:ascii="Times New Roman" w:hAnsi="Times New Roman" w:cs="Times New Roman"/>
                <w:color w:val="auto"/>
                <w:sz w:val="24"/>
                <w:szCs w:val="24"/>
                <w:highlight w:val="none"/>
                <w:lang w:val="en-US" w:eastAsia="zh-CN"/>
              </w:rPr>
              <w:t>4</w:t>
            </w:r>
          </w:p>
        </w:tc>
      </w:tr>
      <w:tr w14:paraId="2E0127C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1135" w:type="pct"/>
            <w:gridSpan w:val="3"/>
            <w:noWrap w:val="0"/>
            <w:vAlign w:val="center"/>
          </w:tcPr>
          <w:p w14:paraId="20701CC2">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生活垃圾</w:t>
            </w:r>
          </w:p>
        </w:tc>
        <w:tc>
          <w:tcPr>
            <w:tcW w:w="543" w:type="pct"/>
            <w:noWrap w:val="0"/>
            <w:vAlign w:val="center"/>
          </w:tcPr>
          <w:p w14:paraId="127BBDD7">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632C9B84">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1CC17374">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588F9F2B">
            <w:pPr>
              <w:pStyle w:val="36"/>
              <w:spacing w:beforeLines="0" w:afterLines="0" w:line="240" w:lineRule="auto"/>
              <w:rPr>
                <w:rFonts w:hint="default" w:ascii="Times New Roman" w:hAnsi="Times New Roman" w:eastAsia="宋体" w:cs="Times New Roman"/>
                <w:snapToGrid w:val="0"/>
                <w:color w:val="auto"/>
                <w:kern w:val="21"/>
                <w:sz w:val="24"/>
                <w:szCs w:val="24"/>
                <w:highlight w:val="none"/>
                <w:lang w:val="en-US" w:eastAsia="zh-CN"/>
              </w:rPr>
            </w:pPr>
            <w:r>
              <w:rPr>
                <w:rFonts w:hint="default" w:ascii="Times New Roman" w:hAnsi="Times New Roman" w:cs="Times New Roman"/>
                <w:snapToGrid w:val="0"/>
                <w:color w:val="auto"/>
                <w:kern w:val="21"/>
                <w:sz w:val="24"/>
                <w:szCs w:val="24"/>
                <w:highlight w:val="none"/>
                <w:lang w:val="en-US" w:eastAsia="zh-CN"/>
              </w:rPr>
              <w:t>16.5</w:t>
            </w:r>
          </w:p>
        </w:tc>
        <w:tc>
          <w:tcPr>
            <w:tcW w:w="557" w:type="pct"/>
            <w:noWrap w:val="0"/>
            <w:vAlign w:val="center"/>
          </w:tcPr>
          <w:p w14:paraId="10C3704D">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noWrap w:val="0"/>
            <w:vAlign w:val="center"/>
          </w:tcPr>
          <w:p w14:paraId="0453A8C9">
            <w:pPr>
              <w:pStyle w:val="36"/>
              <w:spacing w:beforeLines="0" w:afterLines="0" w:line="240" w:lineRule="auto"/>
              <w:rPr>
                <w:rFonts w:hint="default" w:ascii="Times New Roman" w:hAnsi="Times New Roman" w:eastAsia="宋体" w:cs="Times New Roman"/>
                <w:snapToGrid w:val="0"/>
                <w:color w:val="auto"/>
                <w:kern w:val="21"/>
                <w:sz w:val="24"/>
                <w:szCs w:val="24"/>
                <w:highlight w:val="none"/>
                <w:lang w:eastAsia="zh-CN"/>
              </w:rPr>
            </w:pPr>
            <w:r>
              <w:rPr>
                <w:rFonts w:hint="default" w:ascii="Times New Roman" w:hAnsi="Times New Roman" w:cs="Times New Roman"/>
                <w:snapToGrid w:val="0"/>
                <w:color w:val="auto"/>
                <w:kern w:val="21"/>
                <w:sz w:val="24"/>
                <w:szCs w:val="24"/>
                <w:highlight w:val="none"/>
                <w:lang w:val="en-US" w:eastAsia="zh-CN"/>
              </w:rPr>
              <w:t>16.5</w:t>
            </w:r>
          </w:p>
        </w:tc>
        <w:tc>
          <w:tcPr>
            <w:tcW w:w="546" w:type="pct"/>
            <w:noWrap w:val="0"/>
            <w:vAlign w:val="center"/>
          </w:tcPr>
          <w:p w14:paraId="3141C781">
            <w:pPr>
              <w:pStyle w:val="36"/>
              <w:spacing w:beforeLines="0" w:afterLines="0" w:line="240" w:lineRule="auto"/>
              <w:rPr>
                <w:rFonts w:hint="default" w:ascii="Times New Roman" w:hAnsi="Times New Roman" w:eastAsia="宋体" w:cs="Times New Roman"/>
                <w:snapToGrid w:val="0"/>
                <w:color w:val="auto"/>
                <w:kern w:val="21"/>
                <w:sz w:val="24"/>
                <w:szCs w:val="24"/>
                <w:highlight w:val="none"/>
                <w:lang w:eastAsia="zh-CN"/>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snapToGrid w:val="0"/>
                <w:color w:val="auto"/>
                <w:kern w:val="21"/>
                <w:sz w:val="24"/>
                <w:szCs w:val="24"/>
                <w:highlight w:val="none"/>
                <w:lang w:val="en-US" w:eastAsia="zh-CN"/>
              </w:rPr>
              <w:t>16.5</w:t>
            </w:r>
          </w:p>
        </w:tc>
      </w:tr>
      <w:tr w14:paraId="4691DA3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restart"/>
            <w:noWrap w:val="0"/>
            <w:vAlign w:val="center"/>
          </w:tcPr>
          <w:p w14:paraId="5073EB95">
            <w:pPr>
              <w:pStyle w:val="36"/>
              <w:spacing w:before="24" w:after="24" w:line="240" w:lineRule="auto"/>
              <w:rPr>
                <w:rFonts w:ascii="Times New Roman" w:hAnsi="Times New Roman" w:cs="Times New Roman"/>
                <w:snapToGrid w:val="0"/>
                <w:color w:val="auto"/>
                <w:kern w:val="21"/>
                <w:sz w:val="24"/>
                <w:szCs w:val="24"/>
                <w:highlight w:val="none"/>
              </w:rPr>
            </w:pPr>
            <w:r>
              <w:rPr>
                <w:rFonts w:hint="default" w:ascii="Times New Roman" w:hAnsi="Times New Roman" w:cs="Times New Roman"/>
                <w:snapToGrid w:val="0"/>
                <w:color w:val="auto"/>
                <w:kern w:val="21"/>
                <w:sz w:val="24"/>
                <w:szCs w:val="24"/>
                <w:highlight w:val="none"/>
              </w:rPr>
              <w:t>危险废物</w:t>
            </w:r>
          </w:p>
        </w:tc>
        <w:tc>
          <w:tcPr>
            <w:tcW w:w="753" w:type="pct"/>
            <w:gridSpan w:val="2"/>
            <w:noWrap w:val="0"/>
            <w:vAlign w:val="center"/>
          </w:tcPr>
          <w:p w14:paraId="2182D5A4">
            <w:pPr>
              <w:keepNext/>
              <w:keepLines/>
              <w:numPr>
                <w:ilvl w:val="0"/>
                <w:numId w:val="0"/>
              </w:numPr>
              <w:spacing w:line="240" w:lineRule="auto"/>
              <w:ind w:left="0" w:leftChars="0" w:firstLine="0" w:firstLineChars="0"/>
              <w:jc w:val="center"/>
              <w:rPr>
                <w:rFonts w:ascii="Times New Roman" w:hAnsi="Times New Roman" w:cs="Times New Roman"/>
                <w:snapToGrid w:val="0"/>
                <w:color w:val="auto"/>
                <w:kern w:val="21"/>
                <w:sz w:val="24"/>
                <w:szCs w:val="24"/>
                <w:highlight w:val="none"/>
              </w:rPr>
            </w:pPr>
            <w:r>
              <w:rPr>
                <w:rFonts w:ascii="Times New Roman" w:hAnsi="Times New Roman" w:eastAsia="宋体" w:cs="Times New Roman"/>
                <w:bCs/>
                <w:color w:val="auto"/>
                <w:sz w:val="24"/>
                <w:szCs w:val="24"/>
                <w:highlight w:val="none"/>
              </w:rPr>
              <w:t>废活性炭</w:t>
            </w:r>
          </w:p>
        </w:tc>
        <w:tc>
          <w:tcPr>
            <w:tcW w:w="543" w:type="pct"/>
            <w:noWrap w:val="0"/>
            <w:vAlign w:val="center"/>
          </w:tcPr>
          <w:p w14:paraId="26C8A557">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5C918EB6">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091CE0E0">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shd w:val="clear" w:color="auto" w:fill="auto"/>
            <w:noWrap w:val="0"/>
            <w:vAlign w:val="center"/>
          </w:tcPr>
          <w:p w14:paraId="36A70611">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2</w:t>
            </w:r>
          </w:p>
        </w:tc>
        <w:tc>
          <w:tcPr>
            <w:tcW w:w="557" w:type="pct"/>
            <w:noWrap w:val="0"/>
            <w:vAlign w:val="center"/>
          </w:tcPr>
          <w:p w14:paraId="1252E600">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color w:val="auto"/>
                <w:kern w:val="2"/>
                <w:sz w:val="24"/>
                <w:szCs w:val="24"/>
                <w:highlight w:val="none"/>
              </w:rPr>
              <w:t>0</w:t>
            </w:r>
          </w:p>
        </w:tc>
        <w:tc>
          <w:tcPr>
            <w:tcW w:w="656" w:type="pct"/>
            <w:shd w:val="clear" w:color="auto" w:fill="auto"/>
            <w:noWrap w:val="0"/>
            <w:vAlign w:val="center"/>
          </w:tcPr>
          <w:p w14:paraId="75ED819E">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2</w:t>
            </w:r>
          </w:p>
        </w:tc>
        <w:tc>
          <w:tcPr>
            <w:tcW w:w="546" w:type="pct"/>
            <w:noWrap w:val="0"/>
            <w:vAlign w:val="center"/>
          </w:tcPr>
          <w:p w14:paraId="7B3D9A05">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2</w:t>
            </w:r>
          </w:p>
        </w:tc>
      </w:tr>
      <w:tr w14:paraId="4D2751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1128AFD5">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3" w:type="pct"/>
            <w:gridSpan w:val="2"/>
            <w:noWrap w:val="0"/>
            <w:vAlign w:val="center"/>
          </w:tcPr>
          <w:p w14:paraId="123DCAB9">
            <w:pPr>
              <w:spacing w:line="240" w:lineRule="auto"/>
              <w:jc w:val="center"/>
              <w:rPr>
                <w:rFonts w:ascii="Times New Roman" w:hAnsi="Times New Roman" w:cs="Times New Roman"/>
                <w:snapToGrid w:val="0"/>
                <w:color w:val="auto"/>
                <w:kern w:val="21"/>
                <w:sz w:val="24"/>
                <w:szCs w:val="24"/>
                <w:highlight w:val="none"/>
              </w:rPr>
            </w:pPr>
            <w:r>
              <w:rPr>
                <w:rFonts w:hint="eastAsia" w:ascii="Times New Roman" w:hAnsi="Times New Roman" w:eastAsia="宋体" w:cs="Times New Roman"/>
                <w:bCs/>
                <w:color w:val="auto"/>
                <w:sz w:val="24"/>
                <w:szCs w:val="24"/>
                <w:highlight w:val="none"/>
                <w:lang w:val="en-US" w:eastAsia="zh-CN"/>
              </w:rPr>
              <w:t>废催化剂</w:t>
            </w:r>
          </w:p>
        </w:tc>
        <w:tc>
          <w:tcPr>
            <w:tcW w:w="543" w:type="pct"/>
            <w:noWrap w:val="0"/>
            <w:vAlign w:val="center"/>
          </w:tcPr>
          <w:p w14:paraId="290D001A">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02A58558">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13234EAF">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shd w:val="clear" w:color="auto" w:fill="auto"/>
            <w:noWrap w:val="0"/>
            <w:vAlign w:val="center"/>
          </w:tcPr>
          <w:p w14:paraId="5A2811BB">
            <w:pPr>
              <w:adjustRightInd w:val="0"/>
              <w:snapToGrid w:val="0"/>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0.05</w:t>
            </w:r>
          </w:p>
        </w:tc>
        <w:tc>
          <w:tcPr>
            <w:tcW w:w="557" w:type="pct"/>
            <w:noWrap w:val="0"/>
            <w:vAlign w:val="center"/>
          </w:tcPr>
          <w:p w14:paraId="3F7E58A3">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shd w:val="clear" w:color="auto" w:fill="auto"/>
            <w:noWrap w:val="0"/>
            <w:vAlign w:val="center"/>
          </w:tcPr>
          <w:p w14:paraId="7E007838">
            <w:pPr>
              <w:adjustRightInd w:val="0"/>
              <w:snapToGrid w:val="0"/>
              <w:jc w:val="center"/>
              <w:rPr>
                <w:rFonts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0.05</w:t>
            </w:r>
          </w:p>
        </w:tc>
        <w:tc>
          <w:tcPr>
            <w:tcW w:w="546" w:type="pct"/>
            <w:noWrap w:val="0"/>
            <w:vAlign w:val="center"/>
          </w:tcPr>
          <w:p w14:paraId="0151BB63">
            <w:pPr>
              <w:adjustRightInd w:val="0"/>
              <w:snapToGrid w:val="0"/>
              <w:jc w:val="center"/>
              <w:rPr>
                <w:rFonts w:ascii="Times New Roman" w:hAnsi="Times New Roman" w:cs="Times New Roman"/>
                <w:color w:val="auto"/>
                <w:sz w:val="24"/>
                <w:szCs w:val="24"/>
                <w:highlight w:val="none"/>
              </w:rPr>
            </w:pPr>
            <w:r>
              <w:rPr>
                <w:rFonts w:hint="default" w:ascii="Times New Roman" w:hAnsi="Times New Roman" w:cs="Times New Roman"/>
                <w:color w:val="auto"/>
                <w:kern w:val="0"/>
                <w:sz w:val="24"/>
                <w:szCs w:val="24"/>
                <w:highlight w:val="none"/>
                <w:lang w:val="en-US" w:eastAsia="zh-CN"/>
              </w:rPr>
              <w:t>+</w:t>
            </w:r>
            <w:r>
              <w:rPr>
                <w:rFonts w:hint="default" w:ascii="Times New Roman" w:hAnsi="Times New Roman" w:cs="Times New Roman"/>
                <w:color w:val="auto"/>
                <w:sz w:val="24"/>
                <w:szCs w:val="24"/>
                <w:highlight w:val="none"/>
                <w:lang w:val="en-US" w:eastAsia="zh-CN"/>
              </w:rPr>
              <w:t>0.05</w:t>
            </w:r>
          </w:p>
        </w:tc>
      </w:tr>
      <w:tr w14:paraId="3DAA994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3B313E6F">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3" w:type="pct"/>
            <w:gridSpan w:val="2"/>
            <w:noWrap w:val="0"/>
            <w:vAlign w:val="center"/>
          </w:tcPr>
          <w:p w14:paraId="5194C0CB">
            <w:pPr>
              <w:spacing w:line="240" w:lineRule="auto"/>
              <w:jc w:val="center"/>
              <w:rPr>
                <w:rFonts w:hint="default" w:ascii="Times New Roman" w:hAnsi="Times New Roman"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废润滑油</w:t>
            </w:r>
          </w:p>
        </w:tc>
        <w:tc>
          <w:tcPr>
            <w:tcW w:w="543" w:type="pct"/>
            <w:noWrap w:val="0"/>
            <w:vAlign w:val="center"/>
          </w:tcPr>
          <w:p w14:paraId="35AF4A35">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54CB1066">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497E7C52">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shd w:val="clear" w:color="auto" w:fill="auto"/>
            <w:noWrap w:val="0"/>
            <w:vAlign w:val="center"/>
          </w:tcPr>
          <w:p w14:paraId="1D0D136A">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0.002</w:t>
            </w:r>
          </w:p>
        </w:tc>
        <w:tc>
          <w:tcPr>
            <w:tcW w:w="557" w:type="pct"/>
            <w:noWrap w:val="0"/>
            <w:vAlign w:val="center"/>
          </w:tcPr>
          <w:p w14:paraId="0759CFE3">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color w:val="auto"/>
                <w:kern w:val="2"/>
                <w:sz w:val="24"/>
                <w:szCs w:val="24"/>
                <w:highlight w:val="none"/>
              </w:rPr>
              <w:t>0</w:t>
            </w:r>
          </w:p>
        </w:tc>
        <w:tc>
          <w:tcPr>
            <w:tcW w:w="656" w:type="pct"/>
            <w:shd w:val="clear" w:color="auto" w:fill="auto"/>
            <w:noWrap w:val="0"/>
            <w:vAlign w:val="center"/>
          </w:tcPr>
          <w:p w14:paraId="1013C3C9">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0.002</w:t>
            </w:r>
          </w:p>
        </w:tc>
        <w:tc>
          <w:tcPr>
            <w:tcW w:w="546" w:type="pct"/>
            <w:shd w:val="clear" w:color="auto" w:fill="auto"/>
            <w:noWrap w:val="0"/>
            <w:vAlign w:val="center"/>
          </w:tcPr>
          <w:p w14:paraId="370A9CC2">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+0.002</w:t>
            </w:r>
          </w:p>
        </w:tc>
      </w:tr>
      <w:tr w14:paraId="06DD253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59CD912B">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3" w:type="pct"/>
            <w:gridSpan w:val="2"/>
            <w:noWrap w:val="0"/>
            <w:vAlign w:val="center"/>
          </w:tcPr>
          <w:p w14:paraId="15A20EC5">
            <w:pPr>
              <w:spacing w:line="240" w:lineRule="auto"/>
              <w:jc w:val="center"/>
              <w:rPr>
                <w:rFonts w:hint="default" w:ascii="Times New Roman" w:hAnsi="Times New Roman" w:cs="Times New Roman"/>
                <w:bCs/>
                <w:color w:val="auto"/>
                <w:sz w:val="24"/>
                <w:szCs w:val="24"/>
                <w:highlight w:val="none"/>
                <w:lang w:val="en-US" w:eastAsia="zh-CN"/>
              </w:rPr>
            </w:pPr>
            <w:r>
              <w:rPr>
                <w:rFonts w:hint="eastAsia" w:ascii="Times New Roman" w:hAnsi="Times New Roman" w:eastAsia="宋体" w:cs="Times New Roman"/>
                <w:bCs/>
                <w:color w:val="auto"/>
                <w:sz w:val="24"/>
                <w:szCs w:val="24"/>
                <w:highlight w:val="none"/>
                <w:lang w:val="en-US" w:eastAsia="zh-CN"/>
              </w:rPr>
              <w:t>废抹布</w:t>
            </w:r>
          </w:p>
        </w:tc>
        <w:tc>
          <w:tcPr>
            <w:tcW w:w="543" w:type="pct"/>
            <w:noWrap w:val="0"/>
            <w:vAlign w:val="center"/>
          </w:tcPr>
          <w:p w14:paraId="3458C987">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6E71527A">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61518915">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shd w:val="clear" w:color="auto" w:fill="auto"/>
            <w:noWrap w:val="0"/>
            <w:vAlign w:val="center"/>
          </w:tcPr>
          <w:p w14:paraId="46F23B94">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0.01</w:t>
            </w:r>
          </w:p>
        </w:tc>
        <w:tc>
          <w:tcPr>
            <w:tcW w:w="557" w:type="pct"/>
            <w:noWrap w:val="0"/>
            <w:vAlign w:val="center"/>
          </w:tcPr>
          <w:p w14:paraId="432936D9">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color w:val="auto"/>
                <w:kern w:val="2"/>
                <w:sz w:val="24"/>
                <w:szCs w:val="24"/>
                <w:highlight w:val="none"/>
              </w:rPr>
              <w:t>0</w:t>
            </w:r>
          </w:p>
        </w:tc>
        <w:tc>
          <w:tcPr>
            <w:tcW w:w="656" w:type="pct"/>
            <w:shd w:val="clear" w:color="auto" w:fill="auto"/>
            <w:noWrap w:val="0"/>
            <w:vAlign w:val="center"/>
          </w:tcPr>
          <w:p w14:paraId="156BF21F">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0.01</w:t>
            </w:r>
          </w:p>
        </w:tc>
        <w:tc>
          <w:tcPr>
            <w:tcW w:w="546" w:type="pct"/>
            <w:shd w:val="clear" w:color="auto" w:fill="auto"/>
            <w:noWrap w:val="0"/>
            <w:vAlign w:val="center"/>
          </w:tcPr>
          <w:p w14:paraId="2B39E4D2">
            <w:pPr>
              <w:adjustRightInd w:val="0"/>
              <w:snapToGrid w:val="0"/>
              <w:jc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sz w:val="24"/>
                <w:szCs w:val="24"/>
                <w:highlight w:val="none"/>
                <w:lang w:val="en-US" w:eastAsia="zh-CN"/>
              </w:rPr>
              <w:t>+0.01</w:t>
            </w:r>
          </w:p>
        </w:tc>
      </w:tr>
      <w:tr w14:paraId="67B4D3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jc w:val="center"/>
        </w:trPr>
        <w:tc>
          <w:tcPr>
            <w:tcW w:w="382" w:type="pct"/>
            <w:vMerge w:val="continue"/>
            <w:noWrap w:val="0"/>
            <w:vAlign w:val="center"/>
          </w:tcPr>
          <w:p w14:paraId="0EF0552B">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753" w:type="pct"/>
            <w:gridSpan w:val="2"/>
            <w:noWrap w:val="0"/>
            <w:vAlign w:val="center"/>
          </w:tcPr>
          <w:p w14:paraId="14EBDAAE">
            <w:pPr>
              <w:pStyle w:val="36"/>
              <w:spacing w:beforeLines="0" w:afterLines="0" w:line="240" w:lineRule="auto"/>
              <w:rPr>
                <w:rFonts w:ascii="Times New Roman" w:hAnsi="Times New Roman" w:cs="Times New Roman"/>
                <w:color w:val="auto"/>
                <w:sz w:val="24"/>
                <w:szCs w:val="24"/>
                <w:highlight w:val="none"/>
              </w:rPr>
            </w:pPr>
            <w:r>
              <w:rPr>
                <w:rFonts w:ascii="Times New Roman" w:hAnsi="Times New Roman" w:cs="Times New Roman"/>
                <w:color w:val="auto"/>
                <w:sz w:val="24"/>
                <w:szCs w:val="24"/>
                <w:highlight w:val="none"/>
              </w:rPr>
              <w:t>小计</w:t>
            </w:r>
          </w:p>
        </w:tc>
        <w:tc>
          <w:tcPr>
            <w:tcW w:w="543" w:type="pct"/>
            <w:noWrap w:val="0"/>
            <w:vAlign w:val="center"/>
          </w:tcPr>
          <w:p w14:paraId="09A2897C">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397" w:type="pct"/>
            <w:noWrap w:val="0"/>
            <w:vAlign w:val="center"/>
          </w:tcPr>
          <w:p w14:paraId="248D146E">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90" w:type="pct"/>
            <w:noWrap w:val="0"/>
            <w:vAlign w:val="center"/>
          </w:tcPr>
          <w:p w14:paraId="26B0A872">
            <w:pPr>
              <w:pStyle w:val="36"/>
              <w:spacing w:beforeLines="0" w:afterLines="0" w:line="240" w:lineRule="auto"/>
              <w:rPr>
                <w:rFonts w:ascii="Times New Roman" w:hAnsi="Times New Roman" w:cs="Times New Roman"/>
                <w:snapToGrid w:val="0"/>
                <w:color w:val="auto"/>
                <w:kern w:val="21"/>
                <w:sz w:val="24"/>
                <w:szCs w:val="24"/>
                <w:highlight w:val="none"/>
              </w:rPr>
            </w:pPr>
          </w:p>
        </w:tc>
        <w:tc>
          <w:tcPr>
            <w:tcW w:w="573" w:type="pct"/>
            <w:noWrap w:val="0"/>
            <w:vAlign w:val="center"/>
          </w:tcPr>
          <w:p w14:paraId="5668C8E2">
            <w:pPr>
              <w:adjustRightInd w:val="0"/>
              <w:snapToGrid w:val="0"/>
              <w:jc w:val="center"/>
              <w:rPr>
                <w:rFonts w:hint="default" w:ascii="Times New Roman" w:hAnsi="Times New Roman" w:cs="Times New Roman"/>
                <w:color w:val="auto"/>
                <w:sz w:val="24"/>
                <w:szCs w:val="24"/>
                <w:highlight w:val="none"/>
                <w:lang w:val="en-US"/>
              </w:rPr>
            </w:pPr>
            <w:r>
              <w:rPr>
                <w:rFonts w:hint="eastAsia" w:ascii="Times New Roman" w:hAnsi="Times New Roman" w:eastAsia="宋体" w:cs="Times New Roman"/>
                <w:color w:val="auto"/>
                <w:kern w:val="0"/>
                <w:sz w:val="24"/>
                <w:szCs w:val="24"/>
                <w:highlight w:val="none"/>
                <w:lang w:val="en-US" w:eastAsia="zh-CN"/>
              </w:rPr>
              <w:t>2.06</w:t>
            </w:r>
            <w:r>
              <w:rPr>
                <w:rFonts w:hint="eastAsia" w:cs="Times New Roman"/>
                <w:color w:val="auto"/>
                <w:kern w:val="0"/>
                <w:sz w:val="24"/>
                <w:szCs w:val="24"/>
                <w:highlight w:val="none"/>
                <w:lang w:val="en-US" w:eastAsia="zh-CN"/>
              </w:rPr>
              <w:t>2</w:t>
            </w:r>
          </w:p>
        </w:tc>
        <w:tc>
          <w:tcPr>
            <w:tcW w:w="557" w:type="pct"/>
            <w:noWrap w:val="0"/>
            <w:vAlign w:val="center"/>
          </w:tcPr>
          <w:p w14:paraId="1D7D100F">
            <w:pPr>
              <w:pStyle w:val="36"/>
              <w:spacing w:beforeLines="0" w:afterLines="0" w:line="240" w:lineRule="auto"/>
              <w:rPr>
                <w:rFonts w:ascii="Times New Roman" w:hAnsi="Times New Roman" w:cs="Times New Roman"/>
                <w:snapToGrid w:val="0"/>
                <w:color w:val="auto"/>
                <w:kern w:val="21"/>
                <w:sz w:val="24"/>
                <w:szCs w:val="24"/>
                <w:highlight w:val="none"/>
              </w:rPr>
            </w:pPr>
            <w:r>
              <w:rPr>
                <w:rFonts w:ascii="Times New Roman" w:hAnsi="Times New Roman" w:cs="Times New Roman"/>
                <w:snapToGrid w:val="0"/>
                <w:color w:val="auto"/>
                <w:kern w:val="21"/>
                <w:sz w:val="24"/>
                <w:szCs w:val="24"/>
                <w:highlight w:val="none"/>
              </w:rPr>
              <w:t>0</w:t>
            </w:r>
          </w:p>
        </w:tc>
        <w:tc>
          <w:tcPr>
            <w:tcW w:w="656" w:type="pct"/>
            <w:noWrap w:val="0"/>
            <w:vAlign w:val="center"/>
          </w:tcPr>
          <w:p w14:paraId="57643C55">
            <w:pPr>
              <w:adjustRightInd w:val="0"/>
              <w:snapToGrid w:val="0"/>
              <w:jc w:val="center"/>
              <w:rPr>
                <w:rFonts w:hint="default" w:ascii="Times New Roman" w:hAnsi="Times New Roman" w:cs="Times New Roman"/>
                <w:color w:val="auto"/>
                <w:sz w:val="24"/>
                <w:szCs w:val="24"/>
                <w:highlight w:val="none"/>
                <w:lang w:val="en-US"/>
              </w:rPr>
            </w:pPr>
            <w:r>
              <w:rPr>
                <w:rFonts w:hint="eastAsia" w:ascii="Times New Roman" w:hAnsi="Times New Roman" w:eastAsia="宋体" w:cs="Times New Roman"/>
                <w:color w:val="auto"/>
                <w:kern w:val="0"/>
                <w:sz w:val="24"/>
                <w:szCs w:val="24"/>
                <w:highlight w:val="none"/>
                <w:lang w:val="en-US" w:eastAsia="zh-CN"/>
              </w:rPr>
              <w:t>2.06</w:t>
            </w:r>
            <w:r>
              <w:rPr>
                <w:rFonts w:hint="eastAsia" w:cs="Times New Roman"/>
                <w:color w:val="auto"/>
                <w:kern w:val="0"/>
                <w:sz w:val="24"/>
                <w:szCs w:val="24"/>
                <w:highlight w:val="none"/>
                <w:lang w:val="en-US" w:eastAsia="zh-CN"/>
              </w:rPr>
              <w:t>2</w:t>
            </w:r>
          </w:p>
        </w:tc>
        <w:tc>
          <w:tcPr>
            <w:tcW w:w="546" w:type="pct"/>
            <w:noWrap w:val="0"/>
            <w:vAlign w:val="center"/>
          </w:tcPr>
          <w:p w14:paraId="499683DF">
            <w:pPr>
              <w:adjustRightInd w:val="0"/>
              <w:snapToGrid w:val="0"/>
              <w:jc w:val="center"/>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kern w:val="0"/>
                <w:sz w:val="24"/>
                <w:szCs w:val="24"/>
                <w:highlight w:val="none"/>
                <w:lang w:val="en-US" w:eastAsia="zh-CN"/>
              </w:rPr>
              <w:t>+</w:t>
            </w:r>
            <w:r>
              <w:rPr>
                <w:rFonts w:hint="eastAsia" w:ascii="Times New Roman" w:hAnsi="Times New Roman" w:eastAsia="宋体" w:cs="Times New Roman"/>
                <w:color w:val="auto"/>
                <w:kern w:val="0"/>
                <w:sz w:val="24"/>
                <w:szCs w:val="24"/>
                <w:highlight w:val="none"/>
                <w:lang w:val="en-US" w:eastAsia="zh-CN"/>
              </w:rPr>
              <w:t>2.06</w:t>
            </w:r>
            <w:r>
              <w:rPr>
                <w:rFonts w:hint="eastAsia" w:cs="Times New Roman"/>
                <w:color w:val="auto"/>
                <w:kern w:val="0"/>
                <w:sz w:val="24"/>
                <w:szCs w:val="24"/>
                <w:highlight w:val="none"/>
                <w:lang w:val="en-US" w:eastAsia="zh-CN"/>
              </w:rPr>
              <w:t>2</w:t>
            </w:r>
          </w:p>
        </w:tc>
      </w:tr>
    </w:tbl>
    <w:p w14:paraId="6F81A5DB">
      <w:pPr>
        <w:widowControl w:val="0"/>
        <w:adjustRightInd w:val="0"/>
        <w:snapToGrid w:val="0"/>
        <w:spacing w:after="24" w:line="360" w:lineRule="auto"/>
        <w:jc w:val="left"/>
        <w:rPr>
          <w:rFonts w:ascii="Times New Roman" w:hAnsi="Times New Roman" w:eastAsia="宋体" w:cs="Times New Roman"/>
          <w:b w:val="0"/>
          <w:bCs/>
          <w:color w:val="auto"/>
          <w:spacing w:val="-6"/>
          <w:kern w:val="21"/>
          <w:sz w:val="24"/>
          <w:szCs w:val="24"/>
          <w:lang w:val="en-US" w:eastAsia="zh-CN" w:bidi="ar-SA"/>
        </w:rPr>
      </w:pPr>
      <w:r>
        <w:rPr>
          <w:rFonts w:ascii="Times New Roman" w:hAnsi="Times New Roman" w:eastAsia="宋体" w:cs="Times New Roman"/>
          <w:b w:val="0"/>
          <w:bCs/>
          <w:color w:val="auto"/>
          <w:kern w:val="21"/>
          <w:sz w:val="24"/>
          <w:szCs w:val="24"/>
          <w:lang w:val="en-US" w:eastAsia="zh-CN" w:bidi="ar-SA"/>
        </w:rPr>
        <w:t>注：</w:t>
      </w:r>
      <w:r>
        <w:rPr>
          <w:rFonts w:ascii="Times New Roman" w:hAnsi="Times New Roman" w:eastAsia="宋体" w:cs="Times New Roman"/>
          <w:b w:val="0"/>
          <w:bCs/>
          <w:color w:val="auto"/>
          <w:spacing w:val="-16"/>
          <w:kern w:val="21"/>
          <w:sz w:val="24"/>
          <w:szCs w:val="24"/>
          <w:lang w:val="en-US" w:eastAsia="zh-CN" w:bidi="ar-SA"/>
        </w:rPr>
        <w:fldChar w:fldCharType="begin"/>
      </w:r>
      <w:r>
        <w:rPr>
          <w:rFonts w:ascii="Times New Roman" w:hAnsi="Times New Roman" w:eastAsia="宋体" w:cs="Times New Roman"/>
          <w:b w:val="0"/>
          <w:bCs/>
          <w:color w:val="auto"/>
          <w:spacing w:val="-16"/>
          <w:kern w:val="21"/>
          <w:sz w:val="24"/>
          <w:szCs w:val="24"/>
          <w:lang w:val="en-US" w:eastAsia="zh-CN" w:bidi="ar-SA"/>
        </w:rPr>
        <w:instrText xml:space="preserve"> = 6 \* GB3 \* MERGEFORMAT </w:instrText>
      </w:r>
      <w:r>
        <w:rPr>
          <w:rFonts w:ascii="Times New Roman" w:hAnsi="Times New Roman" w:eastAsia="宋体" w:cs="Times New Roman"/>
          <w:b w:val="0"/>
          <w:bCs/>
          <w:color w:val="auto"/>
          <w:spacing w:val="-1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⑥</w:t>
      </w:r>
      <w:r>
        <w:rPr>
          <w:rFonts w:ascii="Times New Roman" w:hAnsi="Times New Roman" w:eastAsia="宋体" w:cs="Times New Roman"/>
          <w:b w:val="0"/>
          <w:bCs/>
          <w:color w:val="auto"/>
          <w:spacing w:val="-16"/>
          <w:kern w:val="21"/>
          <w:sz w:val="24"/>
          <w:szCs w:val="24"/>
          <w:lang w:val="en-US" w:eastAsia="zh-CN" w:bidi="ar-SA"/>
        </w:rPr>
        <w:fldChar w:fldCharType="end"/>
      </w:r>
      <w:r>
        <w:rPr>
          <w:rFonts w:ascii="Times New Roman" w:hAnsi="Times New Roman" w:eastAsia="宋体" w:cs="Times New Roman"/>
          <w:b w:val="0"/>
          <w:bCs/>
          <w:color w:val="auto"/>
          <w:spacing w:val="-16"/>
          <w:kern w:val="21"/>
          <w:sz w:val="24"/>
          <w:szCs w:val="24"/>
          <w:lang w:val="en-US" w:eastAsia="zh-CN" w:bidi="ar-SA"/>
        </w:rPr>
        <w:t>=</w:t>
      </w:r>
      <w:r>
        <w:rPr>
          <w:rFonts w:ascii="Times New Roman" w:hAnsi="Times New Roman" w:eastAsia="宋体" w:cs="Times New Roman"/>
          <w:b w:val="0"/>
          <w:bCs/>
          <w:color w:val="auto"/>
          <w:spacing w:val="-6"/>
          <w:kern w:val="21"/>
          <w:sz w:val="24"/>
          <w:szCs w:val="24"/>
          <w:lang w:val="en-US" w:eastAsia="zh-CN" w:bidi="ar-SA"/>
        </w:rPr>
        <w:fldChar w:fldCharType="begin"/>
      </w:r>
      <w:r>
        <w:rPr>
          <w:rFonts w:ascii="Times New Roman" w:hAnsi="Times New Roman" w:eastAsia="宋体" w:cs="Times New Roman"/>
          <w:b w:val="0"/>
          <w:bCs/>
          <w:color w:val="auto"/>
          <w:spacing w:val="-6"/>
          <w:kern w:val="21"/>
          <w:sz w:val="24"/>
          <w:szCs w:val="24"/>
          <w:lang w:val="en-US" w:eastAsia="zh-CN" w:bidi="ar-SA"/>
        </w:rPr>
        <w:instrText xml:space="preserve"> = 1 \* GB3 \* MERGEFORMAT </w:instrText>
      </w:r>
      <w:r>
        <w:rPr>
          <w:rFonts w:ascii="Times New Roman" w:hAnsi="Times New Roman" w:eastAsia="宋体" w:cs="Times New Roman"/>
          <w:b w:val="0"/>
          <w:bCs/>
          <w:color w:val="auto"/>
          <w:spacing w:val="-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①</w:t>
      </w:r>
      <w:r>
        <w:rPr>
          <w:rFonts w:ascii="Times New Roman" w:hAnsi="Times New Roman" w:eastAsia="宋体" w:cs="Times New Roman"/>
          <w:b w:val="0"/>
          <w:bCs/>
          <w:color w:val="auto"/>
          <w:spacing w:val="-6"/>
          <w:kern w:val="21"/>
          <w:sz w:val="24"/>
          <w:szCs w:val="24"/>
          <w:lang w:val="en-US" w:eastAsia="zh-CN" w:bidi="ar-SA"/>
        </w:rPr>
        <w:fldChar w:fldCharType="end"/>
      </w:r>
      <w:r>
        <w:rPr>
          <w:rFonts w:ascii="Times New Roman" w:hAnsi="Times New Roman" w:eastAsia="宋体" w:cs="Times New Roman"/>
          <w:b w:val="0"/>
          <w:bCs/>
          <w:color w:val="auto"/>
          <w:spacing w:val="-6"/>
          <w:kern w:val="21"/>
          <w:sz w:val="24"/>
          <w:szCs w:val="24"/>
          <w:lang w:val="en-US" w:eastAsia="zh-CN" w:bidi="ar-SA"/>
        </w:rPr>
        <w:t>+</w:t>
      </w:r>
      <w:r>
        <w:rPr>
          <w:rFonts w:ascii="Times New Roman" w:hAnsi="Times New Roman" w:eastAsia="宋体" w:cs="Times New Roman"/>
          <w:b w:val="0"/>
          <w:bCs/>
          <w:color w:val="auto"/>
          <w:spacing w:val="-6"/>
          <w:kern w:val="21"/>
          <w:sz w:val="24"/>
          <w:szCs w:val="24"/>
          <w:lang w:val="en-US" w:eastAsia="zh-CN" w:bidi="ar-SA"/>
        </w:rPr>
        <w:fldChar w:fldCharType="begin"/>
      </w:r>
      <w:r>
        <w:rPr>
          <w:rFonts w:ascii="Times New Roman" w:hAnsi="Times New Roman" w:eastAsia="宋体" w:cs="Times New Roman"/>
          <w:b w:val="0"/>
          <w:bCs/>
          <w:color w:val="auto"/>
          <w:spacing w:val="-6"/>
          <w:kern w:val="21"/>
          <w:sz w:val="24"/>
          <w:szCs w:val="24"/>
          <w:lang w:val="en-US" w:eastAsia="zh-CN" w:bidi="ar-SA"/>
        </w:rPr>
        <w:instrText xml:space="preserve"> = 3 \* GB3 \* MERGEFORMAT </w:instrText>
      </w:r>
      <w:r>
        <w:rPr>
          <w:rFonts w:ascii="Times New Roman" w:hAnsi="Times New Roman" w:eastAsia="宋体" w:cs="Times New Roman"/>
          <w:b w:val="0"/>
          <w:bCs/>
          <w:color w:val="auto"/>
          <w:spacing w:val="-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③</w:t>
      </w:r>
      <w:r>
        <w:rPr>
          <w:rFonts w:ascii="Times New Roman" w:hAnsi="Times New Roman" w:eastAsia="宋体" w:cs="Times New Roman"/>
          <w:b w:val="0"/>
          <w:bCs/>
          <w:color w:val="auto"/>
          <w:spacing w:val="-6"/>
          <w:kern w:val="21"/>
          <w:sz w:val="24"/>
          <w:szCs w:val="24"/>
          <w:lang w:val="en-US" w:eastAsia="zh-CN" w:bidi="ar-SA"/>
        </w:rPr>
        <w:fldChar w:fldCharType="end"/>
      </w:r>
      <w:r>
        <w:rPr>
          <w:rFonts w:ascii="Times New Roman" w:hAnsi="Times New Roman" w:eastAsia="宋体" w:cs="Times New Roman"/>
          <w:b w:val="0"/>
          <w:bCs/>
          <w:color w:val="auto"/>
          <w:spacing w:val="-6"/>
          <w:kern w:val="21"/>
          <w:sz w:val="24"/>
          <w:szCs w:val="24"/>
          <w:lang w:val="en-US" w:eastAsia="zh-CN" w:bidi="ar-SA"/>
        </w:rPr>
        <w:t>+</w:t>
      </w:r>
      <w:r>
        <w:rPr>
          <w:rFonts w:ascii="Times New Roman" w:hAnsi="Times New Roman" w:eastAsia="宋体" w:cs="Times New Roman"/>
          <w:b w:val="0"/>
          <w:bCs/>
          <w:color w:val="auto"/>
          <w:spacing w:val="-6"/>
          <w:kern w:val="21"/>
          <w:sz w:val="24"/>
          <w:szCs w:val="24"/>
          <w:lang w:val="en-US" w:eastAsia="zh-CN" w:bidi="ar-SA"/>
        </w:rPr>
        <w:fldChar w:fldCharType="begin"/>
      </w:r>
      <w:r>
        <w:rPr>
          <w:rFonts w:ascii="Times New Roman" w:hAnsi="Times New Roman" w:eastAsia="宋体" w:cs="Times New Roman"/>
          <w:b w:val="0"/>
          <w:bCs/>
          <w:color w:val="auto"/>
          <w:spacing w:val="-6"/>
          <w:kern w:val="21"/>
          <w:sz w:val="24"/>
          <w:szCs w:val="24"/>
          <w:lang w:val="en-US" w:eastAsia="zh-CN" w:bidi="ar-SA"/>
        </w:rPr>
        <w:instrText xml:space="preserve"> = 4 \* GB3 \* MERGEFORMAT </w:instrText>
      </w:r>
      <w:r>
        <w:rPr>
          <w:rFonts w:ascii="Times New Roman" w:hAnsi="Times New Roman" w:eastAsia="宋体" w:cs="Times New Roman"/>
          <w:b w:val="0"/>
          <w:bCs/>
          <w:color w:val="auto"/>
          <w:spacing w:val="-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④</w:t>
      </w:r>
      <w:r>
        <w:rPr>
          <w:rFonts w:ascii="Times New Roman" w:hAnsi="Times New Roman" w:eastAsia="宋体" w:cs="Times New Roman"/>
          <w:b w:val="0"/>
          <w:bCs/>
          <w:color w:val="auto"/>
          <w:spacing w:val="-6"/>
          <w:kern w:val="21"/>
          <w:sz w:val="24"/>
          <w:szCs w:val="24"/>
          <w:lang w:val="en-US" w:eastAsia="zh-CN" w:bidi="ar-SA"/>
        </w:rPr>
        <w:fldChar w:fldCharType="end"/>
      </w:r>
      <w:r>
        <w:rPr>
          <w:rFonts w:ascii="Times New Roman" w:hAnsi="Times New Roman" w:eastAsia="宋体" w:cs="Times New Roman"/>
          <w:b w:val="0"/>
          <w:bCs/>
          <w:color w:val="auto"/>
          <w:spacing w:val="-6"/>
          <w:kern w:val="21"/>
          <w:sz w:val="24"/>
          <w:szCs w:val="24"/>
          <w:lang w:val="en-US" w:eastAsia="zh-CN" w:bidi="ar-SA"/>
        </w:rPr>
        <w:t>-</w:t>
      </w:r>
      <w:r>
        <w:rPr>
          <w:rFonts w:ascii="Times New Roman" w:hAnsi="Times New Roman" w:eastAsia="宋体" w:cs="Times New Roman"/>
          <w:b w:val="0"/>
          <w:bCs/>
          <w:color w:val="auto"/>
          <w:spacing w:val="-16"/>
          <w:kern w:val="21"/>
          <w:sz w:val="24"/>
          <w:szCs w:val="24"/>
          <w:lang w:val="en-US" w:eastAsia="zh-CN" w:bidi="ar-SA"/>
        </w:rPr>
        <w:fldChar w:fldCharType="begin"/>
      </w:r>
      <w:r>
        <w:rPr>
          <w:rFonts w:ascii="Times New Roman" w:hAnsi="Times New Roman" w:eastAsia="宋体" w:cs="Times New Roman"/>
          <w:b w:val="0"/>
          <w:bCs/>
          <w:color w:val="auto"/>
          <w:spacing w:val="-16"/>
          <w:kern w:val="21"/>
          <w:sz w:val="24"/>
          <w:szCs w:val="24"/>
          <w:lang w:val="en-US" w:eastAsia="zh-CN" w:bidi="ar-SA"/>
        </w:rPr>
        <w:instrText xml:space="preserve"> = 5 \* GB3 \* MERGEFORMAT </w:instrText>
      </w:r>
      <w:r>
        <w:rPr>
          <w:rFonts w:ascii="Times New Roman" w:hAnsi="Times New Roman" w:eastAsia="宋体" w:cs="Times New Roman"/>
          <w:b w:val="0"/>
          <w:bCs/>
          <w:color w:val="auto"/>
          <w:spacing w:val="-1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⑤</w:t>
      </w:r>
      <w:r>
        <w:rPr>
          <w:rFonts w:ascii="Times New Roman" w:hAnsi="Times New Roman" w:eastAsia="宋体" w:cs="Times New Roman"/>
          <w:b w:val="0"/>
          <w:bCs/>
          <w:color w:val="auto"/>
          <w:spacing w:val="-16"/>
          <w:kern w:val="21"/>
          <w:sz w:val="24"/>
          <w:szCs w:val="24"/>
          <w:lang w:val="en-US" w:eastAsia="zh-CN" w:bidi="ar-SA"/>
        </w:rPr>
        <w:fldChar w:fldCharType="end"/>
      </w:r>
      <w:r>
        <w:rPr>
          <w:rFonts w:ascii="Times New Roman" w:hAnsi="Times New Roman" w:eastAsia="宋体" w:cs="Times New Roman"/>
          <w:b w:val="0"/>
          <w:bCs/>
          <w:color w:val="auto"/>
          <w:spacing w:val="-16"/>
          <w:kern w:val="21"/>
          <w:sz w:val="24"/>
          <w:szCs w:val="24"/>
          <w:lang w:val="en-US" w:eastAsia="zh-CN" w:bidi="ar-SA"/>
        </w:rPr>
        <w:t>；</w:t>
      </w:r>
      <w:r>
        <w:rPr>
          <w:rFonts w:ascii="Times New Roman" w:hAnsi="Times New Roman" w:eastAsia="宋体" w:cs="Times New Roman"/>
          <w:b w:val="0"/>
          <w:bCs/>
          <w:color w:val="auto"/>
          <w:spacing w:val="-6"/>
          <w:kern w:val="21"/>
          <w:sz w:val="24"/>
          <w:szCs w:val="24"/>
          <w:lang w:val="en-US" w:eastAsia="zh-CN" w:bidi="ar-SA"/>
        </w:rPr>
        <w:fldChar w:fldCharType="begin"/>
      </w:r>
      <w:r>
        <w:rPr>
          <w:rFonts w:ascii="Times New Roman" w:hAnsi="Times New Roman" w:eastAsia="宋体" w:cs="Times New Roman"/>
          <w:b w:val="0"/>
          <w:bCs/>
          <w:color w:val="auto"/>
          <w:spacing w:val="-6"/>
          <w:kern w:val="21"/>
          <w:sz w:val="24"/>
          <w:szCs w:val="24"/>
          <w:lang w:val="en-US" w:eastAsia="zh-CN" w:bidi="ar-SA"/>
        </w:rPr>
        <w:instrText xml:space="preserve"> = 7 \* GB3 \* MERGEFORMAT </w:instrText>
      </w:r>
      <w:r>
        <w:rPr>
          <w:rFonts w:ascii="Times New Roman" w:hAnsi="Times New Roman" w:eastAsia="宋体" w:cs="Times New Roman"/>
          <w:b w:val="0"/>
          <w:bCs/>
          <w:color w:val="auto"/>
          <w:spacing w:val="-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⑦</w:t>
      </w:r>
      <w:r>
        <w:rPr>
          <w:rFonts w:ascii="Times New Roman" w:hAnsi="Times New Roman" w:eastAsia="宋体" w:cs="Times New Roman"/>
          <w:b w:val="0"/>
          <w:bCs/>
          <w:color w:val="auto"/>
          <w:spacing w:val="-6"/>
          <w:kern w:val="21"/>
          <w:sz w:val="24"/>
          <w:szCs w:val="24"/>
          <w:lang w:val="en-US" w:eastAsia="zh-CN" w:bidi="ar-SA"/>
        </w:rPr>
        <w:fldChar w:fldCharType="end"/>
      </w:r>
      <w:r>
        <w:rPr>
          <w:rFonts w:ascii="Times New Roman" w:hAnsi="Times New Roman" w:eastAsia="宋体" w:cs="Times New Roman"/>
          <w:b w:val="0"/>
          <w:bCs/>
          <w:color w:val="auto"/>
          <w:spacing w:val="-6"/>
          <w:kern w:val="21"/>
          <w:sz w:val="24"/>
          <w:szCs w:val="24"/>
          <w:lang w:val="en-US" w:eastAsia="zh-CN" w:bidi="ar-SA"/>
        </w:rPr>
        <w:t>=</w:t>
      </w:r>
      <w:r>
        <w:rPr>
          <w:rFonts w:ascii="Times New Roman" w:hAnsi="Times New Roman" w:eastAsia="宋体" w:cs="Times New Roman"/>
          <w:b w:val="0"/>
          <w:bCs/>
          <w:color w:val="auto"/>
          <w:spacing w:val="-16"/>
          <w:kern w:val="21"/>
          <w:sz w:val="24"/>
          <w:szCs w:val="24"/>
          <w:lang w:val="en-US" w:eastAsia="zh-CN" w:bidi="ar-SA"/>
        </w:rPr>
        <w:fldChar w:fldCharType="begin"/>
      </w:r>
      <w:r>
        <w:rPr>
          <w:rFonts w:ascii="Times New Roman" w:hAnsi="Times New Roman" w:eastAsia="宋体" w:cs="Times New Roman"/>
          <w:b w:val="0"/>
          <w:bCs/>
          <w:color w:val="auto"/>
          <w:spacing w:val="-16"/>
          <w:kern w:val="21"/>
          <w:sz w:val="24"/>
          <w:szCs w:val="24"/>
          <w:lang w:val="en-US" w:eastAsia="zh-CN" w:bidi="ar-SA"/>
        </w:rPr>
        <w:instrText xml:space="preserve"> = 6 \* GB3 \* MERGEFORMAT </w:instrText>
      </w:r>
      <w:r>
        <w:rPr>
          <w:rFonts w:ascii="Times New Roman" w:hAnsi="Times New Roman" w:eastAsia="宋体" w:cs="Times New Roman"/>
          <w:b w:val="0"/>
          <w:bCs/>
          <w:color w:val="auto"/>
          <w:spacing w:val="-1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⑥</w:t>
      </w:r>
      <w:r>
        <w:rPr>
          <w:rFonts w:ascii="Times New Roman" w:hAnsi="Times New Roman" w:eastAsia="宋体" w:cs="Times New Roman"/>
          <w:b w:val="0"/>
          <w:bCs/>
          <w:color w:val="auto"/>
          <w:spacing w:val="-16"/>
          <w:kern w:val="21"/>
          <w:sz w:val="24"/>
          <w:szCs w:val="24"/>
          <w:lang w:val="en-US" w:eastAsia="zh-CN" w:bidi="ar-SA"/>
        </w:rPr>
        <w:fldChar w:fldCharType="end"/>
      </w:r>
      <w:r>
        <w:rPr>
          <w:rFonts w:ascii="Times New Roman" w:hAnsi="Times New Roman" w:eastAsia="宋体" w:cs="Times New Roman"/>
          <w:b w:val="0"/>
          <w:bCs/>
          <w:color w:val="auto"/>
          <w:spacing w:val="-16"/>
          <w:kern w:val="21"/>
          <w:sz w:val="24"/>
          <w:szCs w:val="24"/>
          <w:lang w:val="en-US" w:eastAsia="zh-CN" w:bidi="ar-SA"/>
        </w:rPr>
        <w:t>-</w:t>
      </w:r>
      <w:r>
        <w:rPr>
          <w:rFonts w:ascii="Times New Roman" w:hAnsi="Times New Roman" w:eastAsia="宋体" w:cs="Times New Roman"/>
          <w:b w:val="0"/>
          <w:bCs/>
          <w:color w:val="auto"/>
          <w:spacing w:val="-6"/>
          <w:kern w:val="21"/>
          <w:sz w:val="24"/>
          <w:szCs w:val="24"/>
          <w:lang w:val="en-US" w:eastAsia="zh-CN" w:bidi="ar-SA"/>
        </w:rPr>
        <w:fldChar w:fldCharType="begin"/>
      </w:r>
      <w:r>
        <w:rPr>
          <w:rFonts w:ascii="Times New Roman" w:hAnsi="Times New Roman" w:eastAsia="宋体" w:cs="Times New Roman"/>
          <w:b w:val="0"/>
          <w:bCs/>
          <w:color w:val="auto"/>
          <w:spacing w:val="-6"/>
          <w:kern w:val="21"/>
          <w:sz w:val="24"/>
          <w:szCs w:val="24"/>
          <w:lang w:val="en-US" w:eastAsia="zh-CN" w:bidi="ar-SA"/>
        </w:rPr>
        <w:instrText xml:space="preserve"> = 1 \* GB3 \* MERGEFORMAT </w:instrText>
      </w:r>
      <w:r>
        <w:rPr>
          <w:rFonts w:ascii="Times New Roman" w:hAnsi="Times New Roman" w:eastAsia="宋体" w:cs="Times New Roman"/>
          <w:b w:val="0"/>
          <w:bCs/>
          <w:color w:val="auto"/>
          <w:spacing w:val="-6"/>
          <w:kern w:val="21"/>
          <w:sz w:val="24"/>
          <w:szCs w:val="24"/>
          <w:lang w:val="en-US" w:eastAsia="zh-CN" w:bidi="ar-SA"/>
        </w:rPr>
        <w:fldChar w:fldCharType="separate"/>
      </w:r>
      <w:r>
        <w:rPr>
          <w:rFonts w:ascii="Times New Roman" w:hAnsi="Times New Roman" w:eastAsia="宋体" w:cs="Times New Roman"/>
          <w:b w:val="0"/>
          <w:bCs/>
          <w:color w:val="auto"/>
          <w:kern w:val="2"/>
          <w:sz w:val="24"/>
          <w:szCs w:val="24"/>
          <w:lang w:val="en-US" w:eastAsia="zh-CN" w:bidi="ar-SA"/>
        </w:rPr>
        <w:t>①</w:t>
      </w:r>
      <w:r>
        <w:rPr>
          <w:rFonts w:ascii="Times New Roman" w:hAnsi="Times New Roman" w:eastAsia="宋体" w:cs="Times New Roman"/>
          <w:b w:val="0"/>
          <w:bCs/>
          <w:color w:val="auto"/>
          <w:spacing w:val="-6"/>
          <w:kern w:val="21"/>
          <w:sz w:val="24"/>
          <w:szCs w:val="24"/>
          <w:lang w:val="en-US" w:eastAsia="zh-CN" w:bidi="ar-SA"/>
        </w:rPr>
        <w:fldChar w:fldCharType="end"/>
      </w:r>
      <w:r>
        <w:rPr>
          <w:rFonts w:ascii="Times New Roman" w:hAnsi="Times New Roman" w:eastAsia="宋体" w:cs="Times New Roman"/>
          <w:b w:val="0"/>
          <w:bCs/>
          <w:color w:val="auto"/>
          <w:spacing w:val="-6"/>
          <w:kern w:val="21"/>
          <w:sz w:val="24"/>
          <w:szCs w:val="24"/>
          <w:lang w:val="en-US" w:eastAsia="zh-CN" w:bidi="ar-SA"/>
        </w:rPr>
        <w:t>；单位：t/a</w:t>
      </w:r>
    </w:p>
    <w:p w14:paraId="559C3AE3">
      <w:pPr>
        <w:adjustRightInd w:val="0"/>
        <w:snapToGrid w:val="0"/>
        <w:spacing w:line="360" w:lineRule="auto"/>
        <w:rPr>
          <w:color w:val="auto"/>
          <w:sz w:val="24"/>
          <w:szCs w:val="24"/>
        </w:rPr>
        <w:sectPr>
          <w:pgSz w:w="16838" w:h="11906" w:orient="landscape"/>
          <w:pgMar w:top="1134" w:right="1418" w:bottom="1230" w:left="1418" w:header="851" w:footer="992" w:gutter="0"/>
          <w:cols w:space="425" w:num="1"/>
          <w:docGrid w:type="linesAndChars" w:linePitch="312" w:charSpace="0"/>
        </w:sectPr>
      </w:pPr>
    </w:p>
    <w:p w14:paraId="44194BD2">
      <w:pPr>
        <w:jc w:val="center"/>
        <w:rPr>
          <w:rFonts w:ascii="Times New Roman" w:hAnsi="Times New Roman" w:eastAsia="宋体" w:cs="Times New Roman"/>
          <w:color w:val="auto"/>
        </w:rPr>
      </w:pPr>
      <w:r>
        <w:rPr>
          <w:color w:val="auto"/>
        </w:rPr>
        <w:drawing>
          <wp:inline distT="0" distB="0" distL="114300" distR="114300">
            <wp:extent cx="8874760" cy="6141720"/>
            <wp:effectExtent l="0" t="0" r="2540" b="1143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8874760" cy="6141720"/>
                    </a:xfrm>
                    <a:prstGeom prst="rect">
                      <a:avLst/>
                    </a:prstGeom>
                    <a:noFill/>
                    <a:ln>
                      <a:noFill/>
                    </a:ln>
                  </pic:spPr>
                </pic:pic>
              </a:graphicData>
            </a:graphic>
          </wp:inline>
        </w:drawing>
      </w:r>
      <w:r>
        <w:rPr>
          <w:color w:val="auto"/>
        </w:rPr>
        <w:drawing>
          <wp:inline distT="0" distB="0" distL="114300" distR="114300">
            <wp:extent cx="7147560" cy="5039995"/>
            <wp:effectExtent l="0" t="0" r="1524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3"/>
                    <a:stretch>
                      <a:fillRect/>
                    </a:stretch>
                  </pic:blipFill>
                  <pic:spPr>
                    <a:xfrm>
                      <a:off x="0" y="0"/>
                      <a:ext cx="7147560" cy="5039995"/>
                    </a:xfrm>
                    <a:prstGeom prst="rect">
                      <a:avLst/>
                    </a:prstGeom>
                    <a:noFill/>
                    <a:ln>
                      <a:noFill/>
                    </a:ln>
                  </pic:spPr>
                </pic:pic>
              </a:graphicData>
            </a:graphic>
          </wp:inline>
        </w:drawing>
      </w:r>
    </w:p>
    <w:p w14:paraId="4BA3693B">
      <w:pPr>
        <w:numPr>
          <w:ilvl w:val="-1"/>
          <w:numId w:val="0"/>
        </w:numPr>
        <w:adjustRightInd w:val="0"/>
        <w:snapToGrid w:val="0"/>
        <w:spacing w:line="360" w:lineRule="auto"/>
        <w:ind w:firstLine="0" w:firstLineChars="0"/>
        <w:rPr>
          <w:rFonts w:hint="eastAsia"/>
          <w:b w:val="0"/>
          <w:bCs/>
          <w:color w:val="auto"/>
        </w:rPr>
      </w:pPr>
    </w:p>
    <w:p w14:paraId="7501FE8D">
      <w:pPr>
        <w:spacing w:line="360" w:lineRule="auto"/>
        <w:ind w:firstLine="420" w:firstLineChars="200"/>
        <w:rPr>
          <w:rFonts w:ascii="Times New Roman" w:hAnsi="Times New Roman" w:eastAsia="宋体" w:cs="Times New Roman"/>
          <w:b w:val="0"/>
          <w:bCs/>
          <w:color w:val="auto"/>
          <w:szCs w:val="24"/>
          <w:highlight w:val="none"/>
        </w:rPr>
      </w:pPr>
    </w:p>
    <w:p w14:paraId="605532B1">
      <w:pPr>
        <w:pStyle w:val="24"/>
        <w:rPr>
          <w:b/>
          <w:color w:val="auto"/>
        </w:rPr>
        <w:sectPr>
          <w:pgSz w:w="16838" w:h="11906" w:orient="landscape"/>
          <w:pgMar w:top="1134" w:right="1418" w:bottom="1230" w:left="1418" w:header="851" w:footer="992" w:gutter="0"/>
          <w:cols w:space="425" w:num="1"/>
          <w:docGrid w:type="linesAndChars" w:linePitch="312" w:charSpace="0"/>
        </w:sectPr>
      </w:pPr>
    </w:p>
    <w:bookmarkEnd w:id="10"/>
    <w:p w14:paraId="00F2C6B5">
      <w:pPr>
        <w:bidi w:val="0"/>
        <w:rPr>
          <w:color w:val="auto"/>
        </w:rPr>
      </w:pPr>
    </w:p>
    <w:bookmarkEnd w:id="14"/>
    <w:sectPr>
      <w:pgSz w:w="11906" w:h="16838"/>
      <w:pgMar w:top="1418" w:right="1230" w:bottom="1418" w:left="1134"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Arial Unicode MS"/>
    <w:panose1 w:val="02000000000000000000"/>
    <w:charset w:val="86"/>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F0BFA3">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714D58">
                          <w:pPr>
                            <w:pStyle w:val="1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714D58">
                    <w:pPr>
                      <w:pStyle w:val="10"/>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B56561">
    <w:pPr>
      <w:pStyle w:val="10"/>
      <w:ind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D6D63B">
                          <w:pPr>
                            <w:pStyle w:val="10"/>
                          </w:pPr>
                          <w:r>
                            <w:fldChar w:fldCharType="begin"/>
                          </w:r>
                          <w:r>
                            <w:instrText xml:space="preserve"> PAGE  \* MERGEFORMAT </w:instrText>
                          </w:r>
                          <w:r>
                            <w:fldChar w:fldCharType="separate"/>
                          </w:r>
                          <w:r>
                            <w:t>12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08D6D63B">
                    <w:pPr>
                      <w:pStyle w:val="10"/>
                    </w:pPr>
                    <w:r>
                      <w:fldChar w:fldCharType="begin"/>
                    </w:r>
                    <w:r>
                      <w:instrText xml:space="preserve"> PAGE  \* MERGEFORMAT </w:instrText>
                    </w:r>
                    <w:r>
                      <w:fldChar w:fldCharType="separate"/>
                    </w:r>
                    <w:r>
                      <w:t>12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2A61F1">
    <w:pPr>
      <w:pStyle w:val="11"/>
      <w:pBdr>
        <w:bottom w:val="none" w:color="auto" w:sz="0" w:space="0"/>
      </w:pBdr>
      <w:ind w:firstLine="480"/>
      <w:rPr>
        <w:rFonts w:ascii="宋体" w:hAnsi="宋体"/>
        <w:kern w:val="0"/>
        <w:sz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236FB1"/>
    <w:multiLevelType w:val="singleLevel"/>
    <w:tmpl w:val="80236FB1"/>
    <w:lvl w:ilvl="0" w:tentative="0">
      <w:start w:val="1"/>
      <w:numFmt w:val="decimal"/>
      <w:suff w:val="nothing"/>
      <w:lvlText w:val="%1、"/>
      <w:lvlJc w:val="left"/>
    </w:lvl>
  </w:abstractNum>
  <w:abstractNum w:abstractNumId="1">
    <w:nsid w:val="B891CA97"/>
    <w:multiLevelType w:val="singleLevel"/>
    <w:tmpl w:val="B891CA97"/>
    <w:lvl w:ilvl="0" w:tentative="0">
      <w:start w:val="1"/>
      <w:numFmt w:val="decimal"/>
      <w:suff w:val="nothing"/>
      <w:lvlText w:val="%1、"/>
      <w:lvlJc w:val="left"/>
    </w:lvl>
  </w:abstractNum>
  <w:abstractNum w:abstractNumId="2">
    <w:nsid w:val="C1A085B9"/>
    <w:multiLevelType w:val="singleLevel"/>
    <w:tmpl w:val="C1A085B9"/>
    <w:lvl w:ilvl="0" w:tentative="0">
      <w:start w:val="1"/>
      <w:numFmt w:val="chineseCounting"/>
      <w:suff w:val="nothing"/>
      <w:lvlText w:val="%1、"/>
      <w:lvlJc w:val="left"/>
      <w:rPr>
        <w:rFonts w:hint="eastAsia"/>
      </w:rPr>
    </w:lvl>
  </w:abstractNum>
  <w:abstractNum w:abstractNumId="3">
    <w:nsid w:val="C2745F84"/>
    <w:multiLevelType w:val="singleLevel"/>
    <w:tmpl w:val="C2745F84"/>
    <w:lvl w:ilvl="0" w:tentative="0">
      <w:start w:val="4"/>
      <w:numFmt w:val="decimal"/>
      <w:suff w:val="nothing"/>
      <w:lvlText w:val="（%1）"/>
      <w:lvlJc w:val="left"/>
    </w:lvl>
  </w:abstractNum>
  <w:abstractNum w:abstractNumId="4">
    <w:nsid w:val="077F530D"/>
    <w:multiLevelType w:val="multilevel"/>
    <w:tmpl w:val="077F530D"/>
    <w:lvl w:ilvl="0" w:tentative="0">
      <w:start w:val="1"/>
      <w:numFmt w:val="decimal"/>
      <w:lvlText w:val="表%1"/>
      <w:lvlJc w:val="left"/>
      <w:pPr>
        <w:ind w:left="420" w:hanging="420"/>
      </w:pPr>
      <w:rPr>
        <w:rFonts w:hint="default"/>
        <w:b/>
        <w:bCs/>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3F874F9F"/>
    <w:multiLevelType w:val="multilevel"/>
    <w:tmpl w:val="3F874F9F"/>
    <w:lvl w:ilvl="0" w:tentative="0">
      <w:start w:val="1"/>
      <w:numFmt w:val="decimal"/>
      <w:pStyle w:val="41"/>
      <w:suff w:val="nothing"/>
      <w:lvlText w:val="2.%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40B76BFD"/>
    <w:multiLevelType w:val="multilevel"/>
    <w:tmpl w:val="40B76BFD"/>
    <w:lvl w:ilvl="0" w:tentative="0">
      <w:start w:val="1"/>
      <w:numFmt w:val="decimal"/>
      <w:pStyle w:val="25"/>
      <w:lvlText w:val="表2-%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41E241F"/>
    <w:multiLevelType w:val="singleLevel"/>
    <w:tmpl w:val="441E241F"/>
    <w:lvl w:ilvl="0" w:tentative="0">
      <w:start w:val="7"/>
      <w:numFmt w:val="decimal"/>
      <w:suff w:val="nothing"/>
      <w:lvlText w:val="（%1）"/>
      <w:lvlJc w:val="left"/>
    </w:lvl>
  </w:abstractNum>
  <w:abstractNum w:abstractNumId="8">
    <w:nsid w:val="4D9059F9"/>
    <w:multiLevelType w:val="singleLevel"/>
    <w:tmpl w:val="4D9059F9"/>
    <w:lvl w:ilvl="0" w:tentative="0">
      <w:start w:val="1"/>
      <w:numFmt w:val="decimal"/>
      <w:suff w:val="nothing"/>
      <w:lvlText w:val="%1、"/>
      <w:lvlJc w:val="left"/>
    </w:lvl>
  </w:abstractNum>
  <w:abstractNum w:abstractNumId="9">
    <w:nsid w:val="6830566F"/>
    <w:multiLevelType w:val="multilevel"/>
    <w:tmpl w:val="6830566F"/>
    <w:lvl w:ilvl="0" w:tentative="0">
      <w:start w:val="1"/>
      <w:numFmt w:val="decimal"/>
      <w:pStyle w:val="30"/>
      <w:suff w:val="nothing"/>
      <w:lvlText w:val="1.%1"/>
      <w:lvlJc w:val="left"/>
      <w:pPr>
        <w:ind w:left="0" w:firstLine="0"/>
      </w:pPr>
      <w:rPr>
        <w:rFonts w:hint="default" w:ascii="Times New Roman" w:hAnsi="Times New Roman" w:eastAsia="宋体"/>
        <w:b/>
        <w:i w:val="0"/>
        <w:sz w:val="24"/>
        <w:szCs w:val="24"/>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92869EC"/>
    <w:multiLevelType w:val="multilevel"/>
    <w:tmpl w:val="692869EC"/>
    <w:lvl w:ilvl="0" w:tentative="0">
      <w:start w:val="1"/>
      <w:numFmt w:val="decimal"/>
      <w:pStyle w:val="28"/>
      <w:lvlText w:val="表1-%1"/>
      <w:lvlJc w:val="center"/>
      <w:pPr>
        <w:ind w:left="0" w:firstLine="0"/>
      </w:pPr>
      <w:rPr>
        <w:rFonts w:hint="default" w:ascii="Times New Roman" w:hAnsi="Times New Roman" w:eastAsia="宋体"/>
        <w:b/>
        <w:i w:val="0"/>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B65BDCD"/>
    <w:multiLevelType w:val="singleLevel"/>
    <w:tmpl w:val="7B65BDCD"/>
    <w:lvl w:ilvl="0" w:tentative="0">
      <w:start w:val="1"/>
      <w:numFmt w:val="decimal"/>
      <w:suff w:val="nothing"/>
      <w:lvlText w:val="（%1）"/>
      <w:lvlJc w:val="left"/>
    </w:lvl>
  </w:abstractNum>
  <w:num w:numId="1">
    <w:abstractNumId w:val="6"/>
  </w:num>
  <w:num w:numId="2">
    <w:abstractNumId w:val="10"/>
  </w:num>
  <w:num w:numId="3">
    <w:abstractNumId w:val="9"/>
  </w:num>
  <w:num w:numId="4">
    <w:abstractNumId w:val="5"/>
  </w:num>
  <w:num w:numId="5">
    <w:abstractNumId w:val="2"/>
  </w:num>
  <w:num w:numId="6">
    <w:abstractNumId w:val="4"/>
  </w:num>
  <w:num w:numId="7">
    <w:abstractNumId w:val="8"/>
  </w:num>
  <w:num w:numId="8">
    <w:abstractNumId w:val="3"/>
  </w:num>
  <w:num w:numId="9">
    <w:abstractNumId w:val="7"/>
  </w:num>
  <w:num w:numId="10">
    <w:abstractNumId w:val="1"/>
  </w:num>
  <w:num w:numId="11">
    <w:abstractNumId w:val="11"/>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VlZTAzYWU4YjM4ODg0Zjg0YjE4ZjgyNGU5Yzg3ODAifQ=="/>
  </w:docVars>
  <w:rsids>
    <w:rsidRoot w:val="0051462C"/>
    <w:rsid w:val="0002133A"/>
    <w:rsid w:val="0004438F"/>
    <w:rsid w:val="00046E5C"/>
    <w:rsid w:val="00047016"/>
    <w:rsid w:val="00050A61"/>
    <w:rsid w:val="00052CD3"/>
    <w:rsid w:val="00085F2C"/>
    <w:rsid w:val="000D6454"/>
    <w:rsid w:val="000E6D32"/>
    <w:rsid w:val="00113656"/>
    <w:rsid w:val="00131A37"/>
    <w:rsid w:val="0013412B"/>
    <w:rsid w:val="00157D39"/>
    <w:rsid w:val="00177F33"/>
    <w:rsid w:val="001A3257"/>
    <w:rsid w:val="001B3D6E"/>
    <w:rsid w:val="001B564E"/>
    <w:rsid w:val="00213530"/>
    <w:rsid w:val="00214765"/>
    <w:rsid w:val="00251FB0"/>
    <w:rsid w:val="00252352"/>
    <w:rsid w:val="00270AE5"/>
    <w:rsid w:val="002972FB"/>
    <w:rsid w:val="002C464A"/>
    <w:rsid w:val="002D4D68"/>
    <w:rsid w:val="00315C44"/>
    <w:rsid w:val="003815C0"/>
    <w:rsid w:val="003971A1"/>
    <w:rsid w:val="003A7D74"/>
    <w:rsid w:val="003B284D"/>
    <w:rsid w:val="003E07E7"/>
    <w:rsid w:val="003F148F"/>
    <w:rsid w:val="003F2C61"/>
    <w:rsid w:val="0040448C"/>
    <w:rsid w:val="00414311"/>
    <w:rsid w:val="00415594"/>
    <w:rsid w:val="0042049D"/>
    <w:rsid w:val="00422A4D"/>
    <w:rsid w:val="00440E39"/>
    <w:rsid w:val="00462C12"/>
    <w:rsid w:val="00482EC1"/>
    <w:rsid w:val="00492E10"/>
    <w:rsid w:val="0049770F"/>
    <w:rsid w:val="004B0286"/>
    <w:rsid w:val="004B2C88"/>
    <w:rsid w:val="004C3D6D"/>
    <w:rsid w:val="004D5807"/>
    <w:rsid w:val="0051462C"/>
    <w:rsid w:val="005503EC"/>
    <w:rsid w:val="0055151B"/>
    <w:rsid w:val="005A424F"/>
    <w:rsid w:val="005B32F3"/>
    <w:rsid w:val="005B6578"/>
    <w:rsid w:val="005E031D"/>
    <w:rsid w:val="005F7D30"/>
    <w:rsid w:val="00622D77"/>
    <w:rsid w:val="00624258"/>
    <w:rsid w:val="006332E3"/>
    <w:rsid w:val="00666485"/>
    <w:rsid w:val="006665BF"/>
    <w:rsid w:val="006E2248"/>
    <w:rsid w:val="00716F5F"/>
    <w:rsid w:val="007200AE"/>
    <w:rsid w:val="00722131"/>
    <w:rsid w:val="007378A8"/>
    <w:rsid w:val="007569D8"/>
    <w:rsid w:val="007935CD"/>
    <w:rsid w:val="0079612A"/>
    <w:rsid w:val="007C5E61"/>
    <w:rsid w:val="007C6945"/>
    <w:rsid w:val="007F23D1"/>
    <w:rsid w:val="008034D7"/>
    <w:rsid w:val="00824A46"/>
    <w:rsid w:val="00854BD9"/>
    <w:rsid w:val="0089345C"/>
    <w:rsid w:val="008A10BB"/>
    <w:rsid w:val="008A415D"/>
    <w:rsid w:val="008B2B47"/>
    <w:rsid w:val="008D66B6"/>
    <w:rsid w:val="008E6492"/>
    <w:rsid w:val="00952BF8"/>
    <w:rsid w:val="00957C14"/>
    <w:rsid w:val="009842F5"/>
    <w:rsid w:val="00990146"/>
    <w:rsid w:val="00991A85"/>
    <w:rsid w:val="009A02A1"/>
    <w:rsid w:val="009A3312"/>
    <w:rsid w:val="009A33E5"/>
    <w:rsid w:val="009D6EB5"/>
    <w:rsid w:val="009E0E86"/>
    <w:rsid w:val="009F508D"/>
    <w:rsid w:val="00A17EAC"/>
    <w:rsid w:val="00A303DA"/>
    <w:rsid w:val="00A32E3D"/>
    <w:rsid w:val="00A70CE8"/>
    <w:rsid w:val="00A94784"/>
    <w:rsid w:val="00AC0007"/>
    <w:rsid w:val="00AD192E"/>
    <w:rsid w:val="00B20DF2"/>
    <w:rsid w:val="00B70788"/>
    <w:rsid w:val="00B804B9"/>
    <w:rsid w:val="00B85797"/>
    <w:rsid w:val="00B95382"/>
    <w:rsid w:val="00BA02E8"/>
    <w:rsid w:val="00BA1EFD"/>
    <w:rsid w:val="00BB5568"/>
    <w:rsid w:val="00BD28F4"/>
    <w:rsid w:val="00C07C1F"/>
    <w:rsid w:val="00C5051A"/>
    <w:rsid w:val="00C636F3"/>
    <w:rsid w:val="00C6395C"/>
    <w:rsid w:val="00C70D15"/>
    <w:rsid w:val="00C8688D"/>
    <w:rsid w:val="00C90488"/>
    <w:rsid w:val="00C97C27"/>
    <w:rsid w:val="00CA1273"/>
    <w:rsid w:val="00CE23AC"/>
    <w:rsid w:val="00D042E4"/>
    <w:rsid w:val="00D06620"/>
    <w:rsid w:val="00D07CD7"/>
    <w:rsid w:val="00D12C5D"/>
    <w:rsid w:val="00D1613F"/>
    <w:rsid w:val="00D30C4D"/>
    <w:rsid w:val="00D419AC"/>
    <w:rsid w:val="00D67F38"/>
    <w:rsid w:val="00DD3461"/>
    <w:rsid w:val="00DE2487"/>
    <w:rsid w:val="00DF265A"/>
    <w:rsid w:val="00E052D5"/>
    <w:rsid w:val="00E06810"/>
    <w:rsid w:val="00E2078B"/>
    <w:rsid w:val="00E6143B"/>
    <w:rsid w:val="00E6284A"/>
    <w:rsid w:val="00E64C4F"/>
    <w:rsid w:val="00E87E7D"/>
    <w:rsid w:val="00E92038"/>
    <w:rsid w:val="00EC1A52"/>
    <w:rsid w:val="00EE7094"/>
    <w:rsid w:val="00F07073"/>
    <w:rsid w:val="00F1313A"/>
    <w:rsid w:val="00F409EB"/>
    <w:rsid w:val="00F45B61"/>
    <w:rsid w:val="00F71A78"/>
    <w:rsid w:val="00FA09ED"/>
    <w:rsid w:val="017165B7"/>
    <w:rsid w:val="0176022F"/>
    <w:rsid w:val="01964270"/>
    <w:rsid w:val="02581525"/>
    <w:rsid w:val="027C209F"/>
    <w:rsid w:val="02AB5AF9"/>
    <w:rsid w:val="02BD239A"/>
    <w:rsid w:val="030D0501"/>
    <w:rsid w:val="0328539C"/>
    <w:rsid w:val="033E4BBF"/>
    <w:rsid w:val="03771E7F"/>
    <w:rsid w:val="039D18E6"/>
    <w:rsid w:val="03EF297E"/>
    <w:rsid w:val="042B5143"/>
    <w:rsid w:val="049D5915"/>
    <w:rsid w:val="04FF037E"/>
    <w:rsid w:val="051A6F66"/>
    <w:rsid w:val="05306615"/>
    <w:rsid w:val="053242B0"/>
    <w:rsid w:val="05597B30"/>
    <w:rsid w:val="056621AB"/>
    <w:rsid w:val="05B64EE1"/>
    <w:rsid w:val="062005AC"/>
    <w:rsid w:val="068154EF"/>
    <w:rsid w:val="068428E9"/>
    <w:rsid w:val="06982838"/>
    <w:rsid w:val="06BC6195"/>
    <w:rsid w:val="06D849E3"/>
    <w:rsid w:val="06F23CF7"/>
    <w:rsid w:val="07177C01"/>
    <w:rsid w:val="07302A71"/>
    <w:rsid w:val="075619C5"/>
    <w:rsid w:val="07591FC8"/>
    <w:rsid w:val="07B436A2"/>
    <w:rsid w:val="083640B7"/>
    <w:rsid w:val="084A5DB4"/>
    <w:rsid w:val="084C7436"/>
    <w:rsid w:val="08641B13"/>
    <w:rsid w:val="087F780C"/>
    <w:rsid w:val="09315698"/>
    <w:rsid w:val="093D1475"/>
    <w:rsid w:val="094B1DE4"/>
    <w:rsid w:val="09630EDC"/>
    <w:rsid w:val="0983332C"/>
    <w:rsid w:val="09B07E99"/>
    <w:rsid w:val="09CA1445"/>
    <w:rsid w:val="09D41DD9"/>
    <w:rsid w:val="0AF85654"/>
    <w:rsid w:val="0AFA069B"/>
    <w:rsid w:val="0B48482D"/>
    <w:rsid w:val="0B8C0927"/>
    <w:rsid w:val="0BD240F7"/>
    <w:rsid w:val="0C28640C"/>
    <w:rsid w:val="0C5E5468"/>
    <w:rsid w:val="0C711B61"/>
    <w:rsid w:val="0C7B653C"/>
    <w:rsid w:val="0C9D2956"/>
    <w:rsid w:val="0CB86B08"/>
    <w:rsid w:val="0D3064EE"/>
    <w:rsid w:val="0D534663"/>
    <w:rsid w:val="0D7910F6"/>
    <w:rsid w:val="0DBA3A10"/>
    <w:rsid w:val="0DDA54E4"/>
    <w:rsid w:val="0DF447F8"/>
    <w:rsid w:val="0E0013EF"/>
    <w:rsid w:val="0E1529C0"/>
    <w:rsid w:val="0E5620A3"/>
    <w:rsid w:val="0EA70609"/>
    <w:rsid w:val="0EB126E9"/>
    <w:rsid w:val="0ED4462A"/>
    <w:rsid w:val="0EDB465D"/>
    <w:rsid w:val="0EE632F1"/>
    <w:rsid w:val="0F533C3C"/>
    <w:rsid w:val="0F64201F"/>
    <w:rsid w:val="0F692FC4"/>
    <w:rsid w:val="0F6A2898"/>
    <w:rsid w:val="0FF46D31"/>
    <w:rsid w:val="10030D22"/>
    <w:rsid w:val="10134CDE"/>
    <w:rsid w:val="101744CC"/>
    <w:rsid w:val="10301A7D"/>
    <w:rsid w:val="104770C4"/>
    <w:rsid w:val="104A4BA3"/>
    <w:rsid w:val="10675755"/>
    <w:rsid w:val="1068327B"/>
    <w:rsid w:val="10DB3A4D"/>
    <w:rsid w:val="1173012A"/>
    <w:rsid w:val="11B147AE"/>
    <w:rsid w:val="11B7030E"/>
    <w:rsid w:val="11F052D6"/>
    <w:rsid w:val="125B3B12"/>
    <w:rsid w:val="12AC282E"/>
    <w:rsid w:val="130124BB"/>
    <w:rsid w:val="13366F4D"/>
    <w:rsid w:val="13567447"/>
    <w:rsid w:val="138E4DA7"/>
    <w:rsid w:val="13C80B59"/>
    <w:rsid w:val="13D525E9"/>
    <w:rsid w:val="149F2FE4"/>
    <w:rsid w:val="14A54BB3"/>
    <w:rsid w:val="153876C0"/>
    <w:rsid w:val="15545B7C"/>
    <w:rsid w:val="15674B17"/>
    <w:rsid w:val="1573347F"/>
    <w:rsid w:val="15AD04C1"/>
    <w:rsid w:val="15B744CC"/>
    <w:rsid w:val="15BE749A"/>
    <w:rsid w:val="15E92769"/>
    <w:rsid w:val="15F01D49"/>
    <w:rsid w:val="160D6B52"/>
    <w:rsid w:val="16685D83"/>
    <w:rsid w:val="168B3820"/>
    <w:rsid w:val="168D120F"/>
    <w:rsid w:val="169070D5"/>
    <w:rsid w:val="170F4451"/>
    <w:rsid w:val="17215F32"/>
    <w:rsid w:val="1767588B"/>
    <w:rsid w:val="176E561B"/>
    <w:rsid w:val="177D7BD5"/>
    <w:rsid w:val="17BA7837"/>
    <w:rsid w:val="17CE7E68"/>
    <w:rsid w:val="17E31439"/>
    <w:rsid w:val="17E53404"/>
    <w:rsid w:val="17FC336F"/>
    <w:rsid w:val="17FF2717"/>
    <w:rsid w:val="183A374F"/>
    <w:rsid w:val="185331C0"/>
    <w:rsid w:val="18950127"/>
    <w:rsid w:val="189F1804"/>
    <w:rsid w:val="18D85642"/>
    <w:rsid w:val="18F356AC"/>
    <w:rsid w:val="19622F5E"/>
    <w:rsid w:val="198D5B01"/>
    <w:rsid w:val="199D21E8"/>
    <w:rsid w:val="19C37774"/>
    <w:rsid w:val="19C808E7"/>
    <w:rsid w:val="1A5605E9"/>
    <w:rsid w:val="1B0673BD"/>
    <w:rsid w:val="1B155DAE"/>
    <w:rsid w:val="1B252495"/>
    <w:rsid w:val="1B813443"/>
    <w:rsid w:val="1BA76F2D"/>
    <w:rsid w:val="1BE77CE2"/>
    <w:rsid w:val="1C027F4D"/>
    <w:rsid w:val="1C2C1601"/>
    <w:rsid w:val="1C43089F"/>
    <w:rsid w:val="1C71170A"/>
    <w:rsid w:val="1C876708"/>
    <w:rsid w:val="1CD41C94"/>
    <w:rsid w:val="1D6848BB"/>
    <w:rsid w:val="1D6B7F07"/>
    <w:rsid w:val="1D774AFE"/>
    <w:rsid w:val="1D80266F"/>
    <w:rsid w:val="1E0F11DA"/>
    <w:rsid w:val="1E1660C5"/>
    <w:rsid w:val="1EA45FF7"/>
    <w:rsid w:val="1EE73F05"/>
    <w:rsid w:val="1EF26B32"/>
    <w:rsid w:val="1F06613A"/>
    <w:rsid w:val="1F11111B"/>
    <w:rsid w:val="1F3802BD"/>
    <w:rsid w:val="1F3D58D3"/>
    <w:rsid w:val="1F4D0EAA"/>
    <w:rsid w:val="1FAD3F88"/>
    <w:rsid w:val="1FC3402A"/>
    <w:rsid w:val="1FC733AF"/>
    <w:rsid w:val="1FCD6C57"/>
    <w:rsid w:val="1FED10A7"/>
    <w:rsid w:val="20256A93"/>
    <w:rsid w:val="20570BEB"/>
    <w:rsid w:val="2059498F"/>
    <w:rsid w:val="21115269"/>
    <w:rsid w:val="2120725A"/>
    <w:rsid w:val="21222FD3"/>
    <w:rsid w:val="21AD4F92"/>
    <w:rsid w:val="22837AA1"/>
    <w:rsid w:val="22B940BC"/>
    <w:rsid w:val="22BD1205"/>
    <w:rsid w:val="23563407"/>
    <w:rsid w:val="236E24FF"/>
    <w:rsid w:val="237869FA"/>
    <w:rsid w:val="23BA1BE8"/>
    <w:rsid w:val="23CE7442"/>
    <w:rsid w:val="23EC0C7E"/>
    <w:rsid w:val="23EC53FD"/>
    <w:rsid w:val="24374FE7"/>
    <w:rsid w:val="246102B6"/>
    <w:rsid w:val="2492221D"/>
    <w:rsid w:val="24B726D6"/>
    <w:rsid w:val="24E26B5C"/>
    <w:rsid w:val="24FD0B8C"/>
    <w:rsid w:val="255F4BB4"/>
    <w:rsid w:val="257D2ECD"/>
    <w:rsid w:val="25FF1B34"/>
    <w:rsid w:val="26BB1EFF"/>
    <w:rsid w:val="27073671"/>
    <w:rsid w:val="270A69E3"/>
    <w:rsid w:val="27201D62"/>
    <w:rsid w:val="275B723E"/>
    <w:rsid w:val="276F6846"/>
    <w:rsid w:val="27AE757C"/>
    <w:rsid w:val="27DF1C1D"/>
    <w:rsid w:val="27EB411E"/>
    <w:rsid w:val="27F21951"/>
    <w:rsid w:val="28137B19"/>
    <w:rsid w:val="28255541"/>
    <w:rsid w:val="284F6DA3"/>
    <w:rsid w:val="28EE77B0"/>
    <w:rsid w:val="28F11C08"/>
    <w:rsid w:val="28FA29CD"/>
    <w:rsid w:val="290F39E9"/>
    <w:rsid w:val="29325D7D"/>
    <w:rsid w:val="29345928"/>
    <w:rsid w:val="293B10D5"/>
    <w:rsid w:val="296137CE"/>
    <w:rsid w:val="29E55696"/>
    <w:rsid w:val="2A1D6A2D"/>
    <w:rsid w:val="2A1F32A0"/>
    <w:rsid w:val="2A5D507B"/>
    <w:rsid w:val="2A88659C"/>
    <w:rsid w:val="2A905451"/>
    <w:rsid w:val="2AA27718"/>
    <w:rsid w:val="2AE05B50"/>
    <w:rsid w:val="2AED28A3"/>
    <w:rsid w:val="2AF7102C"/>
    <w:rsid w:val="2B427898"/>
    <w:rsid w:val="2B646F14"/>
    <w:rsid w:val="2B9D1BD3"/>
    <w:rsid w:val="2BC32446"/>
    <w:rsid w:val="2BCC4267"/>
    <w:rsid w:val="2C267E1B"/>
    <w:rsid w:val="2CCD0296"/>
    <w:rsid w:val="2CD23AFF"/>
    <w:rsid w:val="2CE675AA"/>
    <w:rsid w:val="2D2D617D"/>
    <w:rsid w:val="2D656721"/>
    <w:rsid w:val="2D925870"/>
    <w:rsid w:val="2DB24F00"/>
    <w:rsid w:val="2DBB4593"/>
    <w:rsid w:val="2DCA2A28"/>
    <w:rsid w:val="2E150147"/>
    <w:rsid w:val="2E3B56D4"/>
    <w:rsid w:val="2E4C5B33"/>
    <w:rsid w:val="2E6966E5"/>
    <w:rsid w:val="2E6C1D31"/>
    <w:rsid w:val="2E6F28C9"/>
    <w:rsid w:val="2E701821"/>
    <w:rsid w:val="2E7A26A0"/>
    <w:rsid w:val="2EAE40F8"/>
    <w:rsid w:val="2EC35DF5"/>
    <w:rsid w:val="2ED753FC"/>
    <w:rsid w:val="2F20249B"/>
    <w:rsid w:val="2F266384"/>
    <w:rsid w:val="2F6F3FA5"/>
    <w:rsid w:val="2FB550E0"/>
    <w:rsid w:val="2FCD67FF"/>
    <w:rsid w:val="2FD41A10"/>
    <w:rsid w:val="2FEC4ED7"/>
    <w:rsid w:val="30234671"/>
    <w:rsid w:val="30622E08"/>
    <w:rsid w:val="30937A49"/>
    <w:rsid w:val="312707D0"/>
    <w:rsid w:val="31377C1B"/>
    <w:rsid w:val="32CB171C"/>
    <w:rsid w:val="32E71A40"/>
    <w:rsid w:val="32EB591A"/>
    <w:rsid w:val="332130EA"/>
    <w:rsid w:val="333304B5"/>
    <w:rsid w:val="33775400"/>
    <w:rsid w:val="33BC6C7D"/>
    <w:rsid w:val="340D18C0"/>
    <w:rsid w:val="345C0152"/>
    <w:rsid w:val="34675474"/>
    <w:rsid w:val="349A13A6"/>
    <w:rsid w:val="35042CC3"/>
    <w:rsid w:val="3511718E"/>
    <w:rsid w:val="35BC359E"/>
    <w:rsid w:val="361B7078"/>
    <w:rsid w:val="363475D8"/>
    <w:rsid w:val="363E0457"/>
    <w:rsid w:val="365E4655"/>
    <w:rsid w:val="36F445E5"/>
    <w:rsid w:val="37225683"/>
    <w:rsid w:val="372E2279"/>
    <w:rsid w:val="37887BDC"/>
    <w:rsid w:val="378E0F6A"/>
    <w:rsid w:val="38075385"/>
    <w:rsid w:val="388163D9"/>
    <w:rsid w:val="396106E4"/>
    <w:rsid w:val="39820717"/>
    <w:rsid w:val="39C639DF"/>
    <w:rsid w:val="3A016441"/>
    <w:rsid w:val="3A0B68A2"/>
    <w:rsid w:val="3A39340F"/>
    <w:rsid w:val="3A3A7BE6"/>
    <w:rsid w:val="3A555125"/>
    <w:rsid w:val="3AFE3AA8"/>
    <w:rsid w:val="3B0F4170"/>
    <w:rsid w:val="3B5129DA"/>
    <w:rsid w:val="3BB2342A"/>
    <w:rsid w:val="3BD01B51"/>
    <w:rsid w:val="3BD30630"/>
    <w:rsid w:val="3BD553B9"/>
    <w:rsid w:val="3BDB4052"/>
    <w:rsid w:val="3BF21AC7"/>
    <w:rsid w:val="3C47506B"/>
    <w:rsid w:val="3C5C2077"/>
    <w:rsid w:val="3D05582A"/>
    <w:rsid w:val="3D303357"/>
    <w:rsid w:val="3D347EBE"/>
    <w:rsid w:val="3D361E88"/>
    <w:rsid w:val="3D3E0D3C"/>
    <w:rsid w:val="3DA130B8"/>
    <w:rsid w:val="3DAF5796"/>
    <w:rsid w:val="3DF713D9"/>
    <w:rsid w:val="3E03620E"/>
    <w:rsid w:val="3E175815"/>
    <w:rsid w:val="3E9C0079"/>
    <w:rsid w:val="3E9C5D1B"/>
    <w:rsid w:val="3EF913BF"/>
    <w:rsid w:val="3F115748"/>
    <w:rsid w:val="3F395C5F"/>
    <w:rsid w:val="3F3B19D7"/>
    <w:rsid w:val="3F3B5533"/>
    <w:rsid w:val="3F740A45"/>
    <w:rsid w:val="3F9904AC"/>
    <w:rsid w:val="3FB84DD6"/>
    <w:rsid w:val="3FC512A1"/>
    <w:rsid w:val="404B17A6"/>
    <w:rsid w:val="405C1C05"/>
    <w:rsid w:val="406867FC"/>
    <w:rsid w:val="40955117"/>
    <w:rsid w:val="40C96B6F"/>
    <w:rsid w:val="40D479EE"/>
    <w:rsid w:val="40E51BFB"/>
    <w:rsid w:val="40EF2A79"/>
    <w:rsid w:val="40F407F7"/>
    <w:rsid w:val="412065EA"/>
    <w:rsid w:val="41562AF9"/>
    <w:rsid w:val="41790595"/>
    <w:rsid w:val="42276243"/>
    <w:rsid w:val="423170C2"/>
    <w:rsid w:val="424D3EFC"/>
    <w:rsid w:val="42FF4ACA"/>
    <w:rsid w:val="434370AD"/>
    <w:rsid w:val="4379487C"/>
    <w:rsid w:val="43E41877"/>
    <w:rsid w:val="446C43E1"/>
    <w:rsid w:val="44C35434"/>
    <w:rsid w:val="44D3620E"/>
    <w:rsid w:val="45690320"/>
    <w:rsid w:val="457E43CC"/>
    <w:rsid w:val="45CB5896"/>
    <w:rsid w:val="462C3E28"/>
    <w:rsid w:val="462F56C6"/>
    <w:rsid w:val="464E1599"/>
    <w:rsid w:val="46DC584E"/>
    <w:rsid w:val="46E841F3"/>
    <w:rsid w:val="470152B5"/>
    <w:rsid w:val="474D674C"/>
    <w:rsid w:val="47B42327"/>
    <w:rsid w:val="47D4106D"/>
    <w:rsid w:val="48082673"/>
    <w:rsid w:val="481D611E"/>
    <w:rsid w:val="483D40CA"/>
    <w:rsid w:val="484511D1"/>
    <w:rsid w:val="48592ECE"/>
    <w:rsid w:val="49320E07"/>
    <w:rsid w:val="493C5658"/>
    <w:rsid w:val="498D4DE7"/>
    <w:rsid w:val="49A168DB"/>
    <w:rsid w:val="49A563CB"/>
    <w:rsid w:val="49B760FE"/>
    <w:rsid w:val="49C10D2B"/>
    <w:rsid w:val="4A186969"/>
    <w:rsid w:val="4A365275"/>
    <w:rsid w:val="4AAA6F45"/>
    <w:rsid w:val="4B252924"/>
    <w:rsid w:val="4B3C2D5F"/>
    <w:rsid w:val="4B935BD3"/>
    <w:rsid w:val="4BAF1783"/>
    <w:rsid w:val="4C177634"/>
    <w:rsid w:val="4C251A45"/>
    <w:rsid w:val="4C2C109F"/>
    <w:rsid w:val="4C983FC5"/>
    <w:rsid w:val="4C9B5863"/>
    <w:rsid w:val="4CC16155"/>
    <w:rsid w:val="4CE203D0"/>
    <w:rsid w:val="4D0553D3"/>
    <w:rsid w:val="4D1C5645"/>
    <w:rsid w:val="4D1E09EC"/>
    <w:rsid w:val="4D3A507C"/>
    <w:rsid w:val="4D52686A"/>
    <w:rsid w:val="4D5A74CD"/>
    <w:rsid w:val="4D6245D3"/>
    <w:rsid w:val="4D761E2D"/>
    <w:rsid w:val="4DB803C1"/>
    <w:rsid w:val="4E0479C5"/>
    <w:rsid w:val="4E7775FB"/>
    <w:rsid w:val="4EAF1A9A"/>
    <w:rsid w:val="4EBB3F9B"/>
    <w:rsid w:val="4EDF237F"/>
    <w:rsid w:val="4F391364"/>
    <w:rsid w:val="4F43280F"/>
    <w:rsid w:val="4F436CB7"/>
    <w:rsid w:val="4FD03A76"/>
    <w:rsid w:val="4FF534DD"/>
    <w:rsid w:val="500100D3"/>
    <w:rsid w:val="50242014"/>
    <w:rsid w:val="503E6C32"/>
    <w:rsid w:val="505B6325"/>
    <w:rsid w:val="50722D7F"/>
    <w:rsid w:val="50A849F3"/>
    <w:rsid w:val="513A1AEF"/>
    <w:rsid w:val="513D338D"/>
    <w:rsid w:val="51587137"/>
    <w:rsid w:val="517D19DC"/>
    <w:rsid w:val="517D5E7F"/>
    <w:rsid w:val="51D236DC"/>
    <w:rsid w:val="52A708BA"/>
    <w:rsid w:val="52CF270B"/>
    <w:rsid w:val="52E55A8A"/>
    <w:rsid w:val="534A7FE3"/>
    <w:rsid w:val="5361780D"/>
    <w:rsid w:val="53B27FC3"/>
    <w:rsid w:val="53B768FB"/>
    <w:rsid w:val="53F266B1"/>
    <w:rsid w:val="54212884"/>
    <w:rsid w:val="54364459"/>
    <w:rsid w:val="543F741C"/>
    <w:rsid w:val="544D7D8B"/>
    <w:rsid w:val="54521371"/>
    <w:rsid w:val="548322D5"/>
    <w:rsid w:val="54AE54A3"/>
    <w:rsid w:val="54B27BEE"/>
    <w:rsid w:val="54B9117B"/>
    <w:rsid w:val="54D9161F"/>
    <w:rsid w:val="54DC2EBD"/>
    <w:rsid w:val="54EA7388"/>
    <w:rsid w:val="54FA4EF2"/>
    <w:rsid w:val="55943798"/>
    <w:rsid w:val="55D818D6"/>
    <w:rsid w:val="55F34962"/>
    <w:rsid w:val="55F84CE8"/>
    <w:rsid w:val="5630526E"/>
    <w:rsid w:val="56352885"/>
    <w:rsid w:val="56631DFA"/>
    <w:rsid w:val="56660C90"/>
    <w:rsid w:val="567C08F2"/>
    <w:rsid w:val="569C0B56"/>
    <w:rsid w:val="569D042A"/>
    <w:rsid w:val="56A02147"/>
    <w:rsid w:val="56A812A9"/>
    <w:rsid w:val="56B440F1"/>
    <w:rsid w:val="56B45E9F"/>
    <w:rsid w:val="56E202EF"/>
    <w:rsid w:val="56F42740"/>
    <w:rsid w:val="5714516A"/>
    <w:rsid w:val="577C44E3"/>
    <w:rsid w:val="57B36157"/>
    <w:rsid w:val="5805517D"/>
    <w:rsid w:val="583D0C66"/>
    <w:rsid w:val="58474AF1"/>
    <w:rsid w:val="5851771E"/>
    <w:rsid w:val="59B61EBB"/>
    <w:rsid w:val="59E352E3"/>
    <w:rsid w:val="5A052B3B"/>
    <w:rsid w:val="5A1923F9"/>
    <w:rsid w:val="5A36306F"/>
    <w:rsid w:val="5A4B648E"/>
    <w:rsid w:val="5A731BCE"/>
    <w:rsid w:val="5A8F6383"/>
    <w:rsid w:val="5A9F0C15"/>
    <w:rsid w:val="5AA12BDF"/>
    <w:rsid w:val="5AD36B10"/>
    <w:rsid w:val="5AD87E3E"/>
    <w:rsid w:val="5AE66844"/>
    <w:rsid w:val="5AF727FF"/>
    <w:rsid w:val="5B0942E0"/>
    <w:rsid w:val="5B317840"/>
    <w:rsid w:val="5B4E3E42"/>
    <w:rsid w:val="5B7B51DE"/>
    <w:rsid w:val="5B920F8A"/>
    <w:rsid w:val="5B9413E4"/>
    <w:rsid w:val="5BA74018"/>
    <w:rsid w:val="5BF168A5"/>
    <w:rsid w:val="5BF714F0"/>
    <w:rsid w:val="5C185B16"/>
    <w:rsid w:val="5C190553"/>
    <w:rsid w:val="5C2D3FFE"/>
    <w:rsid w:val="5C347580"/>
    <w:rsid w:val="5C3C27FA"/>
    <w:rsid w:val="5C4001D5"/>
    <w:rsid w:val="5C553C81"/>
    <w:rsid w:val="5C6331CF"/>
    <w:rsid w:val="5C9E402C"/>
    <w:rsid w:val="5CCE3A33"/>
    <w:rsid w:val="5D066D29"/>
    <w:rsid w:val="5D5C2DED"/>
    <w:rsid w:val="5D7B501F"/>
    <w:rsid w:val="5DAD746C"/>
    <w:rsid w:val="5DCF54B4"/>
    <w:rsid w:val="5DE54B90"/>
    <w:rsid w:val="5E231BA8"/>
    <w:rsid w:val="5E4F2952"/>
    <w:rsid w:val="5E6C52B2"/>
    <w:rsid w:val="5F294A3B"/>
    <w:rsid w:val="5F3C1128"/>
    <w:rsid w:val="5F4A6064"/>
    <w:rsid w:val="5F572156"/>
    <w:rsid w:val="5F5C006D"/>
    <w:rsid w:val="5F9D3058"/>
    <w:rsid w:val="5FCB6008"/>
    <w:rsid w:val="5FDE21DF"/>
    <w:rsid w:val="603B085D"/>
    <w:rsid w:val="605E5044"/>
    <w:rsid w:val="612260FC"/>
    <w:rsid w:val="618971BB"/>
    <w:rsid w:val="61970898"/>
    <w:rsid w:val="61C457B5"/>
    <w:rsid w:val="624520A2"/>
    <w:rsid w:val="624D387D"/>
    <w:rsid w:val="62647A70"/>
    <w:rsid w:val="62686B7E"/>
    <w:rsid w:val="62C15DE7"/>
    <w:rsid w:val="62F12229"/>
    <w:rsid w:val="630261E5"/>
    <w:rsid w:val="630930CF"/>
    <w:rsid w:val="632779F9"/>
    <w:rsid w:val="63421168"/>
    <w:rsid w:val="6359180F"/>
    <w:rsid w:val="63C17E4E"/>
    <w:rsid w:val="63ED29F1"/>
    <w:rsid w:val="640B731B"/>
    <w:rsid w:val="640D3093"/>
    <w:rsid w:val="643B7C00"/>
    <w:rsid w:val="6446507D"/>
    <w:rsid w:val="64524F4A"/>
    <w:rsid w:val="6472739A"/>
    <w:rsid w:val="64790728"/>
    <w:rsid w:val="64B654D9"/>
    <w:rsid w:val="64EF27FA"/>
    <w:rsid w:val="651B358E"/>
    <w:rsid w:val="653D59B7"/>
    <w:rsid w:val="65817D9D"/>
    <w:rsid w:val="65A26A4F"/>
    <w:rsid w:val="66640A0A"/>
    <w:rsid w:val="666845B1"/>
    <w:rsid w:val="66976C44"/>
    <w:rsid w:val="66B21CD0"/>
    <w:rsid w:val="66B477F6"/>
    <w:rsid w:val="67112E9A"/>
    <w:rsid w:val="6732696D"/>
    <w:rsid w:val="67414CB4"/>
    <w:rsid w:val="676F196F"/>
    <w:rsid w:val="677B0314"/>
    <w:rsid w:val="679A58BC"/>
    <w:rsid w:val="67C63C85"/>
    <w:rsid w:val="6839278B"/>
    <w:rsid w:val="685E6938"/>
    <w:rsid w:val="689773CF"/>
    <w:rsid w:val="68AA5354"/>
    <w:rsid w:val="68FD5692"/>
    <w:rsid w:val="69034A64"/>
    <w:rsid w:val="696372B1"/>
    <w:rsid w:val="699F653B"/>
    <w:rsid w:val="69D03F52"/>
    <w:rsid w:val="6A1862EE"/>
    <w:rsid w:val="6A4D243B"/>
    <w:rsid w:val="6A753740"/>
    <w:rsid w:val="6A786D8C"/>
    <w:rsid w:val="6AC10733"/>
    <w:rsid w:val="6AC45DE2"/>
    <w:rsid w:val="6B855C05"/>
    <w:rsid w:val="6BA50055"/>
    <w:rsid w:val="6BD65222"/>
    <w:rsid w:val="6C186A79"/>
    <w:rsid w:val="6C4909E0"/>
    <w:rsid w:val="6CB85085"/>
    <w:rsid w:val="6CDF30F3"/>
    <w:rsid w:val="6CE55E74"/>
    <w:rsid w:val="6CED5810"/>
    <w:rsid w:val="6D6B61DF"/>
    <w:rsid w:val="6D6F091A"/>
    <w:rsid w:val="6DD20590"/>
    <w:rsid w:val="6DF66946"/>
    <w:rsid w:val="6E001573"/>
    <w:rsid w:val="6E0472B5"/>
    <w:rsid w:val="6E1312A6"/>
    <w:rsid w:val="6E524719"/>
    <w:rsid w:val="6E7657E9"/>
    <w:rsid w:val="6F06705D"/>
    <w:rsid w:val="6F321C00"/>
    <w:rsid w:val="6F4E5D12"/>
    <w:rsid w:val="6F6A191A"/>
    <w:rsid w:val="6F6C3363"/>
    <w:rsid w:val="6F765F90"/>
    <w:rsid w:val="6FE86762"/>
    <w:rsid w:val="70090BB2"/>
    <w:rsid w:val="70444C7C"/>
    <w:rsid w:val="7080699B"/>
    <w:rsid w:val="70AE175A"/>
    <w:rsid w:val="710D4162"/>
    <w:rsid w:val="7113780F"/>
    <w:rsid w:val="71341C5F"/>
    <w:rsid w:val="71A52B5D"/>
    <w:rsid w:val="71A9736A"/>
    <w:rsid w:val="71C32FE3"/>
    <w:rsid w:val="71EC21EE"/>
    <w:rsid w:val="722C0B88"/>
    <w:rsid w:val="7230695B"/>
    <w:rsid w:val="724A3704"/>
    <w:rsid w:val="72677E12"/>
    <w:rsid w:val="72A050D2"/>
    <w:rsid w:val="72AA278E"/>
    <w:rsid w:val="72E17BC5"/>
    <w:rsid w:val="73025D8D"/>
    <w:rsid w:val="73041B05"/>
    <w:rsid w:val="73220FFD"/>
    <w:rsid w:val="73880040"/>
    <w:rsid w:val="73AF381F"/>
    <w:rsid w:val="73CF2113"/>
    <w:rsid w:val="74220495"/>
    <w:rsid w:val="74B17A6A"/>
    <w:rsid w:val="74B542D0"/>
    <w:rsid w:val="74DF477E"/>
    <w:rsid w:val="74FB2A94"/>
    <w:rsid w:val="751D0C5C"/>
    <w:rsid w:val="75644ADD"/>
    <w:rsid w:val="7570597A"/>
    <w:rsid w:val="75A86551"/>
    <w:rsid w:val="762F0C47"/>
    <w:rsid w:val="76432C97"/>
    <w:rsid w:val="76593F16"/>
    <w:rsid w:val="76866047"/>
    <w:rsid w:val="769B452E"/>
    <w:rsid w:val="76A95F71"/>
    <w:rsid w:val="76D8308D"/>
    <w:rsid w:val="76F81981"/>
    <w:rsid w:val="7706409E"/>
    <w:rsid w:val="770A04C5"/>
    <w:rsid w:val="77562203"/>
    <w:rsid w:val="77F7398D"/>
    <w:rsid w:val="782D565A"/>
    <w:rsid w:val="78497CF2"/>
    <w:rsid w:val="78956723"/>
    <w:rsid w:val="78AA0A59"/>
    <w:rsid w:val="78AE0943"/>
    <w:rsid w:val="78B96EEE"/>
    <w:rsid w:val="78DB7B06"/>
    <w:rsid w:val="78F10436"/>
    <w:rsid w:val="7936053E"/>
    <w:rsid w:val="79424F6E"/>
    <w:rsid w:val="794269D6"/>
    <w:rsid w:val="79E9712F"/>
    <w:rsid w:val="7A081EDB"/>
    <w:rsid w:val="7A3945A5"/>
    <w:rsid w:val="7A48677B"/>
    <w:rsid w:val="7A4B08EA"/>
    <w:rsid w:val="7A5B64AE"/>
    <w:rsid w:val="7A7E219D"/>
    <w:rsid w:val="7AD52322"/>
    <w:rsid w:val="7B0E17E2"/>
    <w:rsid w:val="7B5D0004"/>
    <w:rsid w:val="7C345CDD"/>
    <w:rsid w:val="7C3C2310"/>
    <w:rsid w:val="7C4F3DF1"/>
    <w:rsid w:val="7CFD384D"/>
    <w:rsid w:val="7CFE1373"/>
    <w:rsid w:val="7D521F95"/>
    <w:rsid w:val="7D741635"/>
    <w:rsid w:val="7D76299F"/>
    <w:rsid w:val="7DA20A00"/>
    <w:rsid w:val="7DB87254"/>
    <w:rsid w:val="7DC66335"/>
    <w:rsid w:val="7DC73E5B"/>
    <w:rsid w:val="7DEA3607"/>
    <w:rsid w:val="7DF7539E"/>
    <w:rsid w:val="7E0230E5"/>
    <w:rsid w:val="7E094473"/>
    <w:rsid w:val="7E2E5C88"/>
    <w:rsid w:val="7EB443DF"/>
    <w:rsid w:val="7EC108AA"/>
    <w:rsid w:val="7EEF3669"/>
    <w:rsid w:val="7F052E8D"/>
    <w:rsid w:val="7F765B38"/>
    <w:rsid w:val="7FE7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qFormat="1" w:unhideWhenUsed="0" w:uiPriority="99" w:semiHidden="0"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1"/>
      <w:lang w:val="en-US" w:eastAsia="zh-CN" w:bidi="ar-SA"/>
    </w:rPr>
  </w:style>
  <w:style w:type="paragraph" w:styleId="2">
    <w:name w:val="heading 1"/>
    <w:basedOn w:val="1"/>
    <w:next w:val="1"/>
    <w:link w:val="32"/>
    <w:qFormat/>
    <w:uiPriority w:val="0"/>
    <w:pPr>
      <w:keepLines/>
      <w:tabs>
        <w:tab w:val="left" w:pos="960"/>
      </w:tabs>
      <w:jc w:val="center"/>
      <w:outlineLvl w:val="0"/>
    </w:pPr>
    <w:rPr>
      <w:b/>
      <w:bCs/>
      <w:kern w:val="44"/>
      <w:sz w:val="24"/>
      <w:szCs w:val="44"/>
    </w:rPr>
  </w:style>
  <w:style w:type="paragraph" w:styleId="3">
    <w:name w:val="heading 4"/>
    <w:basedOn w:val="1"/>
    <w:next w:val="1"/>
    <w:qFormat/>
    <w:uiPriority w:val="0"/>
    <w:pPr>
      <w:keepNext/>
      <w:keepLines/>
      <w:spacing w:before="280" w:after="290" w:line="376" w:lineRule="auto"/>
      <w:outlineLvl w:val="3"/>
    </w:pPr>
    <w:rPr>
      <w:rFonts w:ascii="Arial" w:hAnsi="Arial" w:eastAsia="黑体"/>
      <w:b/>
      <w:bCs/>
      <w:sz w:val="28"/>
      <w:szCs w:val="28"/>
      <w:lang w:val="zh-CN"/>
    </w:rPr>
  </w:style>
  <w:style w:type="character" w:default="1" w:styleId="17">
    <w:name w:val="Default Paragraph Font"/>
    <w:autoRedefine/>
    <w:semiHidden/>
    <w:unhideWhenUsed/>
    <w:qFormat/>
    <w:uiPriority w:val="1"/>
  </w:style>
  <w:style w:type="table" w:default="1" w:styleId="15">
    <w:name w:val="Normal Table"/>
    <w:autoRedefine/>
    <w:semiHidden/>
    <w:unhideWhenUsed/>
    <w:qFormat/>
    <w:uiPriority w:val="99"/>
    <w:tblPr>
      <w:tblCellMar>
        <w:top w:w="0" w:type="dxa"/>
        <w:left w:w="108" w:type="dxa"/>
        <w:bottom w:w="0" w:type="dxa"/>
        <w:right w:w="108" w:type="dxa"/>
      </w:tblCellMar>
    </w:tblPr>
  </w:style>
  <w:style w:type="paragraph" w:styleId="4">
    <w:name w:val="List 3"/>
    <w:basedOn w:val="1"/>
    <w:qFormat/>
    <w:uiPriority w:val="99"/>
    <w:pPr>
      <w:ind w:left="100" w:leftChars="400" w:hanging="200" w:hangingChars="200"/>
      <w:contextualSpacing/>
    </w:pPr>
    <w:rPr>
      <w:rFonts w:ascii="Arial" w:hAnsi="Arial"/>
      <w:sz w:val="24"/>
      <w:lang w:val="zh-CN"/>
    </w:rPr>
  </w:style>
  <w:style w:type="paragraph" w:styleId="5">
    <w:name w:val="Normal Indent"/>
    <w:basedOn w:val="1"/>
    <w:next w:val="6"/>
    <w:link w:val="44"/>
    <w:qFormat/>
    <w:uiPriority w:val="0"/>
    <w:pPr>
      <w:widowControl/>
      <w:ind w:firstLine="420"/>
      <w:jc w:val="left"/>
    </w:pPr>
    <w:rPr>
      <w:szCs w:val="20"/>
    </w:rPr>
  </w:style>
  <w:style w:type="paragraph" w:styleId="6">
    <w:name w:val="Body Text First Indent 2"/>
    <w:basedOn w:val="3"/>
    <w:qFormat/>
    <w:uiPriority w:val="0"/>
    <w:pPr>
      <w:ind w:firstLine="420" w:firstLineChars="200"/>
    </w:pPr>
    <w:rPr>
      <w:kern w:val="2"/>
      <w:sz w:val="28"/>
      <w:szCs w:val="24"/>
      <w:lang w:val="zh-CN"/>
    </w:rPr>
  </w:style>
  <w:style w:type="paragraph" w:styleId="7">
    <w:name w:val="annotation text"/>
    <w:basedOn w:val="1"/>
    <w:link w:val="45"/>
    <w:autoRedefine/>
    <w:semiHidden/>
    <w:unhideWhenUsed/>
    <w:qFormat/>
    <w:uiPriority w:val="99"/>
    <w:pPr>
      <w:jc w:val="left"/>
    </w:pPr>
  </w:style>
  <w:style w:type="paragraph" w:styleId="8">
    <w:name w:val="Plain Text"/>
    <w:basedOn w:val="1"/>
    <w:link w:val="33"/>
    <w:autoRedefine/>
    <w:qFormat/>
    <w:uiPriority w:val="99"/>
    <w:pPr>
      <w:jc w:val="center"/>
    </w:pPr>
    <w:rPr>
      <w:rFonts w:ascii="宋体" w:hAnsi="Courier New"/>
      <w:sz w:val="20"/>
      <w:szCs w:val="20"/>
    </w:rPr>
  </w:style>
  <w:style w:type="paragraph" w:styleId="9">
    <w:name w:val="Balloon Text"/>
    <w:basedOn w:val="1"/>
    <w:link w:val="47"/>
    <w:autoRedefine/>
    <w:semiHidden/>
    <w:unhideWhenUsed/>
    <w:qFormat/>
    <w:uiPriority w:val="99"/>
    <w:rPr>
      <w:sz w:val="18"/>
      <w:szCs w:val="18"/>
    </w:rPr>
  </w:style>
  <w:style w:type="paragraph" w:styleId="10">
    <w:name w:val="footer"/>
    <w:basedOn w:val="1"/>
    <w:link w:val="34"/>
    <w:qFormat/>
    <w:uiPriority w:val="0"/>
    <w:pPr>
      <w:tabs>
        <w:tab w:val="center" w:pos="4153"/>
        <w:tab w:val="right" w:pos="8306"/>
      </w:tabs>
      <w:snapToGrid w:val="0"/>
      <w:jc w:val="left"/>
    </w:pPr>
    <w:rPr>
      <w:rFonts w:ascii="Arial" w:hAnsi="Arial"/>
      <w:sz w:val="18"/>
      <w:szCs w:val="18"/>
    </w:rPr>
  </w:style>
  <w:style w:type="paragraph" w:styleId="11">
    <w:name w:val="header"/>
    <w:basedOn w:val="1"/>
    <w:link w:val="35"/>
    <w:autoRedefine/>
    <w:qFormat/>
    <w:uiPriority w:val="0"/>
    <w:pPr>
      <w:pBdr>
        <w:bottom w:val="single" w:color="auto" w:sz="6" w:space="1"/>
      </w:pBdr>
      <w:tabs>
        <w:tab w:val="center" w:pos="4153"/>
        <w:tab w:val="right" w:pos="8306"/>
      </w:tabs>
      <w:snapToGrid w:val="0"/>
      <w:jc w:val="center"/>
    </w:pPr>
    <w:rPr>
      <w:rFonts w:ascii="Arial" w:hAnsi="Arial"/>
      <w:sz w:val="18"/>
      <w:szCs w:val="18"/>
    </w:rPr>
  </w:style>
  <w:style w:type="paragraph" w:styleId="12">
    <w:name w:val="toc 1"/>
    <w:basedOn w:val="1"/>
    <w:next w:val="1"/>
    <w:autoRedefine/>
    <w:semiHidden/>
    <w:unhideWhenUsed/>
    <w:qFormat/>
    <w:uiPriority w:val="39"/>
  </w:style>
  <w:style w:type="paragraph" w:styleId="13">
    <w:name w:val="Normal (Web)"/>
    <w:basedOn w:val="1"/>
    <w:qFormat/>
    <w:uiPriority w:val="99"/>
    <w:pPr>
      <w:widowControl/>
      <w:spacing w:before="100" w:beforeAutospacing="1" w:after="100" w:afterAutospacing="1"/>
      <w:jc w:val="left"/>
    </w:pPr>
    <w:rPr>
      <w:rFonts w:ascii="宋体" w:hAnsi="宋体"/>
      <w:kern w:val="0"/>
      <w:sz w:val="24"/>
      <w:szCs w:val="20"/>
    </w:rPr>
  </w:style>
  <w:style w:type="paragraph" w:styleId="14">
    <w:name w:val="annotation subject"/>
    <w:basedOn w:val="7"/>
    <w:next w:val="7"/>
    <w:link w:val="46"/>
    <w:autoRedefine/>
    <w:semiHidden/>
    <w:unhideWhenUsed/>
    <w:qFormat/>
    <w:uiPriority w:val="99"/>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Hyperlink"/>
    <w:qFormat/>
    <w:uiPriority w:val="99"/>
    <w:rPr>
      <w:color w:val="136EC2"/>
      <w:u w:val="single"/>
    </w:rPr>
  </w:style>
  <w:style w:type="character" w:styleId="19">
    <w:name w:val="annotation reference"/>
    <w:basedOn w:val="17"/>
    <w:semiHidden/>
    <w:unhideWhenUsed/>
    <w:qFormat/>
    <w:uiPriority w:val="99"/>
    <w:rPr>
      <w:sz w:val="21"/>
      <w:szCs w:val="21"/>
    </w:rPr>
  </w:style>
  <w:style w:type="paragraph" w:customStyle="1" w:styleId="20">
    <w:name w:val="⑩d表头"/>
    <w:basedOn w:val="1"/>
    <w:link w:val="21"/>
    <w:autoRedefine/>
    <w:qFormat/>
    <w:uiPriority w:val="0"/>
    <w:pPr>
      <w:tabs>
        <w:tab w:val="left" w:pos="0"/>
      </w:tabs>
      <w:adjustRightInd w:val="0"/>
      <w:snapToGrid w:val="0"/>
      <w:spacing w:before="50" w:beforeLines="50"/>
      <w:jc w:val="center"/>
    </w:pPr>
    <w:rPr>
      <w:b/>
      <w:lang w:val="zh-CN"/>
    </w:rPr>
  </w:style>
  <w:style w:type="character" w:customStyle="1" w:styleId="21">
    <w:name w:val="⑩d表头 字符"/>
    <w:link w:val="20"/>
    <w:qFormat/>
    <w:uiPriority w:val="0"/>
    <w:rPr>
      <w:rFonts w:ascii="Times New Roman" w:hAnsi="Times New Roman" w:eastAsia="宋体" w:cs="Times New Roman"/>
      <w:b/>
      <w:szCs w:val="21"/>
      <w:lang w:val="zh-CN"/>
    </w:rPr>
  </w:style>
  <w:style w:type="paragraph" w:customStyle="1" w:styleId="22">
    <w:name w:val="正文首行缩进2个字 Char"/>
    <w:basedOn w:val="1"/>
    <w:link w:val="23"/>
    <w:autoRedefine/>
    <w:qFormat/>
    <w:uiPriority w:val="0"/>
    <w:pPr>
      <w:ind w:firstLine="480" w:firstLineChars="200"/>
    </w:pPr>
    <w:rPr>
      <w:rFonts w:ascii="Calibri" w:hAnsi="Calibri" w:eastAsia="楷体"/>
      <w:sz w:val="24"/>
      <w:szCs w:val="24"/>
    </w:rPr>
  </w:style>
  <w:style w:type="character" w:customStyle="1" w:styleId="23">
    <w:name w:val="正文首行缩进2个字 Char Char"/>
    <w:link w:val="22"/>
    <w:autoRedefine/>
    <w:qFormat/>
    <w:uiPriority w:val="0"/>
    <w:rPr>
      <w:rFonts w:ascii="Calibri" w:hAnsi="Calibri" w:eastAsia="楷体" w:cs="Times New Roman"/>
      <w:sz w:val="24"/>
      <w:szCs w:val="24"/>
    </w:rPr>
  </w:style>
  <w:style w:type="paragraph" w:customStyle="1" w:styleId="24">
    <w:name w:val="①报告表正文"/>
    <w:basedOn w:val="1"/>
    <w:qFormat/>
    <w:uiPriority w:val="0"/>
    <w:pPr>
      <w:spacing w:line="360" w:lineRule="auto"/>
      <w:ind w:firstLine="200" w:firstLineChars="200"/>
    </w:pPr>
    <w:rPr>
      <w:sz w:val="24"/>
      <w:szCs w:val="24"/>
    </w:rPr>
  </w:style>
  <w:style w:type="paragraph" w:customStyle="1" w:styleId="25">
    <w:name w:val="⑥b表头"/>
    <w:basedOn w:val="1"/>
    <w:link w:val="26"/>
    <w:autoRedefine/>
    <w:qFormat/>
    <w:uiPriority w:val="0"/>
    <w:pPr>
      <w:numPr>
        <w:ilvl w:val="0"/>
        <w:numId w:val="1"/>
      </w:numPr>
      <w:tabs>
        <w:tab w:val="left" w:pos="0"/>
      </w:tabs>
      <w:adjustRightInd w:val="0"/>
      <w:snapToGrid w:val="0"/>
      <w:spacing w:before="50" w:beforeLines="50"/>
      <w:jc w:val="center"/>
    </w:pPr>
    <w:rPr>
      <w:b/>
      <w:lang w:val="zh-CN"/>
    </w:rPr>
  </w:style>
  <w:style w:type="character" w:customStyle="1" w:styleId="26">
    <w:name w:val="⑥b表头 字符"/>
    <w:link w:val="25"/>
    <w:autoRedefine/>
    <w:qFormat/>
    <w:uiPriority w:val="0"/>
    <w:rPr>
      <w:rFonts w:ascii="Times New Roman" w:hAnsi="Times New Roman" w:eastAsia="宋体" w:cs="Times New Roman"/>
      <w:b/>
      <w:szCs w:val="21"/>
      <w:lang w:val="zh-CN"/>
    </w:rPr>
  </w:style>
  <w:style w:type="paragraph" w:customStyle="1" w:styleId="27">
    <w:name w:val="④表格内容"/>
    <w:basedOn w:val="1"/>
    <w:autoRedefine/>
    <w:qFormat/>
    <w:uiPriority w:val="0"/>
    <w:pPr>
      <w:widowControl/>
      <w:jc w:val="center"/>
    </w:pPr>
    <w:rPr>
      <w:kern w:val="0"/>
      <w:sz w:val="18"/>
    </w:rPr>
  </w:style>
  <w:style w:type="paragraph" w:customStyle="1" w:styleId="28">
    <w:name w:val="②表头"/>
    <w:basedOn w:val="1"/>
    <w:link w:val="29"/>
    <w:autoRedefine/>
    <w:qFormat/>
    <w:uiPriority w:val="0"/>
    <w:pPr>
      <w:numPr>
        <w:ilvl w:val="0"/>
        <w:numId w:val="2"/>
      </w:numPr>
      <w:tabs>
        <w:tab w:val="left" w:pos="0"/>
      </w:tabs>
      <w:adjustRightInd w:val="0"/>
      <w:snapToGrid w:val="0"/>
      <w:spacing w:before="50" w:beforeLines="50"/>
      <w:jc w:val="center"/>
    </w:pPr>
    <w:rPr>
      <w:b/>
      <w:lang w:val="zh-CN"/>
    </w:rPr>
  </w:style>
  <w:style w:type="character" w:customStyle="1" w:styleId="29">
    <w:name w:val="②表头 字符"/>
    <w:link w:val="28"/>
    <w:autoRedefine/>
    <w:qFormat/>
    <w:uiPriority w:val="0"/>
    <w:rPr>
      <w:rFonts w:ascii="Times New Roman" w:hAnsi="Times New Roman" w:eastAsia="宋体" w:cs="Times New Roman"/>
      <w:b/>
      <w:szCs w:val="21"/>
      <w:lang w:val="zh-CN"/>
    </w:rPr>
  </w:style>
  <w:style w:type="paragraph" w:customStyle="1" w:styleId="30">
    <w:name w:val="③a小标题"/>
    <w:basedOn w:val="1"/>
    <w:link w:val="31"/>
    <w:qFormat/>
    <w:uiPriority w:val="0"/>
    <w:pPr>
      <w:numPr>
        <w:ilvl w:val="0"/>
        <w:numId w:val="3"/>
      </w:numPr>
      <w:adjustRightInd w:val="0"/>
      <w:snapToGrid w:val="0"/>
      <w:spacing w:line="360" w:lineRule="auto"/>
    </w:pPr>
    <w:rPr>
      <w:b/>
      <w:sz w:val="24"/>
      <w:szCs w:val="24"/>
    </w:rPr>
  </w:style>
  <w:style w:type="character" w:customStyle="1" w:styleId="31">
    <w:name w:val="③a小标题 字符"/>
    <w:link w:val="30"/>
    <w:autoRedefine/>
    <w:qFormat/>
    <w:uiPriority w:val="0"/>
    <w:rPr>
      <w:rFonts w:ascii="Times New Roman" w:hAnsi="Times New Roman" w:eastAsia="宋体" w:cs="Times New Roman"/>
      <w:b/>
      <w:sz w:val="24"/>
      <w:szCs w:val="24"/>
    </w:rPr>
  </w:style>
  <w:style w:type="character" w:customStyle="1" w:styleId="32">
    <w:name w:val="标题 1 字符"/>
    <w:basedOn w:val="17"/>
    <w:link w:val="2"/>
    <w:autoRedefine/>
    <w:qFormat/>
    <w:uiPriority w:val="0"/>
    <w:rPr>
      <w:rFonts w:ascii="Times New Roman" w:hAnsi="Times New Roman" w:eastAsia="宋体" w:cs="Times New Roman"/>
      <w:b/>
      <w:bCs/>
      <w:kern w:val="44"/>
      <w:sz w:val="24"/>
      <w:szCs w:val="44"/>
    </w:rPr>
  </w:style>
  <w:style w:type="character" w:customStyle="1" w:styleId="33">
    <w:name w:val="纯文本 字符"/>
    <w:basedOn w:val="17"/>
    <w:link w:val="8"/>
    <w:qFormat/>
    <w:uiPriority w:val="99"/>
    <w:rPr>
      <w:rFonts w:ascii="宋体" w:hAnsi="Courier New" w:eastAsia="宋体" w:cs="Times New Roman"/>
      <w:sz w:val="20"/>
      <w:szCs w:val="20"/>
    </w:rPr>
  </w:style>
  <w:style w:type="character" w:customStyle="1" w:styleId="34">
    <w:name w:val="页脚 字符"/>
    <w:basedOn w:val="17"/>
    <w:link w:val="10"/>
    <w:qFormat/>
    <w:uiPriority w:val="0"/>
    <w:rPr>
      <w:rFonts w:ascii="Arial" w:hAnsi="Arial" w:eastAsia="宋体" w:cs="Times New Roman"/>
      <w:sz w:val="18"/>
      <w:szCs w:val="18"/>
    </w:rPr>
  </w:style>
  <w:style w:type="character" w:customStyle="1" w:styleId="35">
    <w:name w:val="页眉 字符"/>
    <w:basedOn w:val="17"/>
    <w:link w:val="11"/>
    <w:autoRedefine/>
    <w:qFormat/>
    <w:uiPriority w:val="0"/>
    <w:rPr>
      <w:rFonts w:ascii="Arial" w:hAnsi="Arial" w:eastAsia="宋体" w:cs="Times New Roman"/>
      <w:sz w:val="18"/>
      <w:szCs w:val="18"/>
    </w:rPr>
  </w:style>
  <w:style w:type="paragraph" w:customStyle="1" w:styleId="36">
    <w:name w:val="表格"/>
    <w:basedOn w:val="8"/>
    <w:autoRedefine/>
    <w:qFormat/>
    <w:uiPriority w:val="0"/>
    <w:rPr>
      <w:rFonts w:ascii="Times New Roman" w:hAnsi="Times New Roman"/>
      <w:sz w:val="21"/>
    </w:rPr>
  </w:style>
  <w:style w:type="paragraph" w:customStyle="1" w:styleId="37">
    <w:name w:val="正文01"/>
    <w:basedOn w:val="1"/>
    <w:link w:val="38"/>
    <w:autoRedefine/>
    <w:qFormat/>
    <w:uiPriority w:val="0"/>
    <w:pPr>
      <w:spacing w:before="60" w:line="460" w:lineRule="exact"/>
      <w:jc w:val="center"/>
    </w:pPr>
    <w:rPr>
      <w:rFonts w:ascii="Arial" w:hAnsi="Arial"/>
      <w:sz w:val="24"/>
      <w:szCs w:val="24"/>
    </w:rPr>
  </w:style>
  <w:style w:type="character" w:customStyle="1" w:styleId="38">
    <w:name w:val="正文01 Char2"/>
    <w:link w:val="37"/>
    <w:autoRedefine/>
    <w:qFormat/>
    <w:uiPriority w:val="0"/>
    <w:rPr>
      <w:rFonts w:ascii="Arial" w:hAnsi="Arial" w:eastAsia="宋体" w:cs="Times New Roman"/>
      <w:sz w:val="24"/>
      <w:szCs w:val="24"/>
    </w:rPr>
  </w:style>
  <w:style w:type="paragraph" w:styleId="39">
    <w:name w:val="List Paragraph"/>
    <w:basedOn w:val="1"/>
    <w:link w:val="40"/>
    <w:qFormat/>
    <w:uiPriority w:val="34"/>
    <w:pPr>
      <w:ind w:firstLine="420" w:firstLineChars="200"/>
    </w:pPr>
    <w:rPr>
      <w:szCs w:val="24"/>
    </w:rPr>
  </w:style>
  <w:style w:type="character" w:customStyle="1" w:styleId="40">
    <w:name w:val="列表段落 字符"/>
    <w:link w:val="39"/>
    <w:autoRedefine/>
    <w:qFormat/>
    <w:locked/>
    <w:uiPriority w:val="34"/>
    <w:rPr>
      <w:rFonts w:ascii="Times New Roman" w:hAnsi="Times New Roman" w:eastAsia="宋体" w:cs="Times New Roman"/>
      <w:kern w:val="2"/>
      <w:sz w:val="21"/>
      <w:szCs w:val="24"/>
    </w:rPr>
  </w:style>
  <w:style w:type="paragraph" w:customStyle="1" w:styleId="41">
    <w:name w:val="⑤b小标题"/>
    <w:basedOn w:val="30"/>
    <w:link w:val="42"/>
    <w:autoRedefine/>
    <w:qFormat/>
    <w:uiPriority w:val="0"/>
    <w:pPr>
      <w:numPr>
        <w:numId w:val="4"/>
      </w:numPr>
    </w:pPr>
  </w:style>
  <w:style w:type="character" w:customStyle="1" w:styleId="42">
    <w:name w:val="⑤b小标题 字符"/>
    <w:link w:val="41"/>
    <w:autoRedefine/>
    <w:qFormat/>
    <w:uiPriority w:val="0"/>
    <w:rPr>
      <w:rFonts w:ascii="Times New Roman" w:hAnsi="Times New Roman" w:eastAsia="宋体" w:cs="Times New Roman"/>
      <w:b/>
      <w:kern w:val="2"/>
      <w:sz w:val="24"/>
      <w:szCs w:val="24"/>
    </w:rPr>
  </w:style>
  <w:style w:type="paragraph" w:customStyle="1" w:styleId="43">
    <w:name w:val="xl26"/>
    <w:basedOn w:val="1"/>
    <w:autoRedefine/>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kern w:val="0"/>
    </w:rPr>
  </w:style>
  <w:style w:type="character" w:customStyle="1" w:styleId="44">
    <w:name w:val="正文缩进 字符"/>
    <w:link w:val="5"/>
    <w:autoRedefine/>
    <w:qFormat/>
    <w:uiPriority w:val="0"/>
    <w:rPr>
      <w:rFonts w:ascii="Times New Roman" w:hAnsi="Times New Roman" w:eastAsia="宋体" w:cs="Times New Roman"/>
      <w:kern w:val="2"/>
      <w:sz w:val="21"/>
    </w:rPr>
  </w:style>
  <w:style w:type="character" w:customStyle="1" w:styleId="45">
    <w:name w:val="批注文字 字符"/>
    <w:basedOn w:val="17"/>
    <w:link w:val="7"/>
    <w:autoRedefine/>
    <w:semiHidden/>
    <w:qFormat/>
    <w:uiPriority w:val="99"/>
    <w:rPr>
      <w:rFonts w:ascii="Times New Roman" w:hAnsi="Times New Roman" w:eastAsia="宋体" w:cs="Times New Roman"/>
      <w:kern w:val="2"/>
      <w:sz w:val="21"/>
      <w:szCs w:val="21"/>
    </w:rPr>
  </w:style>
  <w:style w:type="character" w:customStyle="1" w:styleId="46">
    <w:name w:val="批注主题 字符"/>
    <w:basedOn w:val="45"/>
    <w:link w:val="14"/>
    <w:autoRedefine/>
    <w:semiHidden/>
    <w:qFormat/>
    <w:uiPriority w:val="99"/>
    <w:rPr>
      <w:rFonts w:ascii="Times New Roman" w:hAnsi="Times New Roman" w:eastAsia="宋体" w:cs="Times New Roman"/>
      <w:b/>
      <w:bCs/>
      <w:kern w:val="2"/>
      <w:sz w:val="21"/>
      <w:szCs w:val="21"/>
    </w:rPr>
  </w:style>
  <w:style w:type="character" w:customStyle="1" w:styleId="47">
    <w:name w:val="批注框文本 字符"/>
    <w:basedOn w:val="17"/>
    <w:link w:val="9"/>
    <w:autoRedefine/>
    <w:semiHidden/>
    <w:qFormat/>
    <w:uiPriority w:val="99"/>
    <w:rPr>
      <w:rFonts w:ascii="Times New Roman" w:hAnsi="Times New Roman" w:eastAsia="宋体" w:cs="Times New Roman"/>
      <w:kern w:val="2"/>
      <w:sz w:val="18"/>
      <w:szCs w:val="18"/>
    </w:rPr>
  </w:style>
  <w:style w:type="paragraph" w:customStyle="1" w:styleId="48">
    <w:name w:val="表格正文"/>
    <w:basedOn w:val="1"/>
    <w:qFormat/>
    <w:uiPriority w:val="0"/>
    <w:pPr>
      <w:spacing w:line="360" w:lineRule="exact"/>
      <w:jc w:val="center"/>
    </w:pPr>
  </w:style>
  <w:style w:type="character" w:customStyle="1" w:styleId="49">
    <w:name w:val="font11"/>
    <w:basedOn w:val="17"/>
    <w:qFormat/>
    <w:uiPriority w:val="0"/>
    <w:rPr>
      <w:rFonts w:hint="default" w:ascii="Times New Roman" w:hAnsi="Times New Roman" w:cs="Times New Roman"/>
      <w:color w:val="000000"/>
      <w:sz w:val="18"/>
      <w:szCs w:val="18"/>
      <w:u w:val="none"/>
    </w:rPr>
  </w:style>
  <w:style w:type="character" w:customStyle="1" w:styleId="50">
    <w:name w:val="font21"/>
    <w:basedOn w:val="17"/>
    <w:qFormat/>
    <w:uiPriority w:val="0"/>
    <w:rPr>
      <w:rFonts w:hint="eastAsia" w:ascii="宋体" w:hAnsi="宋体" w:eastAsia="宋体" w:cs="宋体"/>
      <w:color w:val="000000"/>
      <w:sz w:val="18"/>
      <w:szCs w:val="18"/>
      <w:u w:val="none"/>
    </w:rPr>
  </w:style>
  <w:style w:type="character" w:customStyle="1" w:styleId="51">
    <w:name w:val="font31"/>
    <w:basedOn w:val="17"/>
    <w:qFormat/>
    <w:uiPriority w:val="0"/>
    <w:rPr>
      <w:rFonts w:hint="default" w:ascii="Times New Roman" w:hAnsi="Times New Roman" w:cs="Times New Roman"/>
      <w:color w:val="000000"/>
      <w:sz w:val="18"/>
      <w:szCs w:val="18"/>
      <w:u w:val="none"/>
      <w:vertAlign w:val="superscript"/>
    </w:rPr>
  </w:style>
  <w:style w:type="paragraph" w:customStyle="1" w:styleId="52">
    <w:name w:val="Default"/>
    <w:qFormat/>
    <w:uiPriority w:val="0"/>
    <w:pPr>
      <w:widowControl w:val="0"/>
      <w:autoSpaceDE w:val="0"/>
      <w:autoSpaceDN w:val="0"/>
      <w:adjustRightInd w:val="0"/>
    </w:pPr>
    <w:rPr>
      <w:rFonts w:ascii="仿宋_GB2312" w:hAnsi="Times New Roman" w:eastAsia="仿宋_GB2312" w:cs="Times New Roman"/>
      <w:color w:val="000000"/>
      <w:sz w:val="24"/>
      <w:szCs w:val="24"/>
      <w:lang w:val="en-US" w:eastAsia="zh-CN" w:bidi="ar-SA"/>
    </w:rPr>
  </w:style>
  <w:style w:type="paragraph" w:customStyle="1" w:styleId="53">
    <w:name w:val="样式 表格样式1 + (西文) Arial (中文) 宋体 自动设置 两端对齐 行距: 单倍行距"/>
    <w:basedOn w:val="1"/>
    <w:autoRedefine/>
    <w:qFormat/>
    <w:uiPriority w:val="0"/>
    <w:pPr>
      <w:jc w:val="center"/>
    </w:pPr>
    <w:rPr>
      <w:rFonts w:ascii="Arial" w:hAnsi="Arial"/>
      <w:szCs w:val="20"/>
    </w:rPr>
  </w:style>
  <w:style w:type="paragraph" w:customStyle="1" w:styleId="54">
    <w:name w:val="正文文本2"/>
    <w:basedOn w:val="1"/>
    <w:qFormat/>
    <w:uiPriority w:val="0"/>
    <w:pPr>
      <w:shd w:val="clear" w:color="auto" w:fill="FFFFFF"/>
      <w:spacing w:after="240" w:line="0" w:lineRule="atLeast"/>
      <w:jc w:val="center"/>
    </w:pPr>
    <w:rPr>
      <w:rFonts w:ascii="宋体" w:hAnsi="宋体" w:cs="宋体"/>
      <w:kern w:val="0"/>
      <w:sz w:val="23"/>
      <w:szCs w:val="23"/>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7.png"/><Relationship Id="rId12" Type="http://schemas.openxmlformats.org/officeDocument/2006/relationships/image" Target="media/image6.png"/><Relationship Id="rId11" Type="http://schemas.openxmlformats.org/officeDocument/2006/relationships/image" Target="media/image5.png"/><Relationship Id="rId10" Type="http://schemas.openxmlformats.org/officeDocument/2006/relationships/image" Target="media/image4.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45</Pages>
  <Words>1183</Words>
  <Characters>1365</Characters>
  <Lines>130</Lines>
  <Paragraphs>36</Paragraphs>
  <TotalTime>66</TotalTime>
  <ScaleCrop>false</ScaleCrop>
  <LinksUpToDate>false</LinksUpToDate>
  <CharactersWithSpaces>1384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2024-01-29T12:28:00Z</dcterms:created>
  <dc:creator>H</dc:creator>
  <cp:lastModifiedBy>katty</cp:lastModifiedBy>
  <dcterms:modified xsi:type="dcterms:W3CDTF">2025-08-26T07:24:23Z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2D4B83A69C1C42D9A34F8AB1DF80202A_13</vt:lpwstr>
  </property>
  <property fmtid="{D5CDD505-2E9C-101B-9397-08002B2CF9AE}" pid="4" name="KSOTemplateDocerSaveRecord">
    <vt:lpwstr>eyJoZGlkIjoiN2VlZTAzYWU4YjM4ODg0Zjg0YjE4ZjgyNGU5Yzg3ODAiLCJ1c2VySWQiOiIxMDEwOTYyOTU2In0=</vt:lpwstr>
  </property>
</Properties>
</file>