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87DDC">
      <w:pPr>
        <w:widowControl/>
        <w:adjustRightInd w:val="0"/>
        <w:snapToGrid w:val="0"/>
        <w:spacing w:line="520" w:lineRule="exact"/>
        <w:jc w:val="center"/>
        <w:rPr>
          <w:color w:val="auto"/>
          <w:kern w:val="0"/>
          <w:sz w:val="40"/>
          <w:szCs w:val="40"/>
        </w:rPr>
      </w:pPr>
      <w:r>
        <w:rPr>
          <w:color w:val="auto"/>
          <w:kern w:val="0"/>
          <w:sz w:val="40"/>
          <w:szCs w:val="40"/>
        </w:rPr>
        <w:t>杭州市临平区“区域环评+环境标准”改革</w:t>
      </w:r>
    </w:p>
    <w:p w14:paraId="07212E7A">
      <w:pPr>
        <w:widowControl/>
        <w:adjustRightInd w:val="0"/>
        <w:snapToGrid w:val="0"/>
        <w:spacing w:line="520" w:lineRule="exact"/>
        <w:jc w:val="center"/>
        <w:rPr>
          <w:rFonts w:eastAsia="方正小标宋简体"/>
          <w:color w:val="auto"/>
          <w:kern w:val="0"/>
          <w:sz w:val="40"/>
          <w:szCs w:val="40"/>
        </w:rPr>
      </w:pPr>
      <w:r>
        <w:rPr>
          <w:color w:val="auto"/>
          <w:kern w:val="0"/>
          <w:sz w:val="40"/>
          <w:szCs w:val="40"/>
        </w:rPr>
        <w:t>建设项目环境影响评价登记表备案承诺书</w:t>
      </w:r>
    </w:p>
    <w:p w14:paraId="1F00B1B9">
      <w:pPr>
        <w:widowControl/>
        <w:spacing w:line="520" w:lineRule="exact"/>
        <w:ind w:right="1280"/>
        <w:jc w:val="right"/>
        <w:rPr>
          <w:rFonts w:eastAsia="仿宋_GB2312"/>
          <w:color w:val="auto"/>
          <w:kern w:val="0"/>
          <w:sz w:val="32"/>
          <w:szCs w:val="32"/>
        </w:rPr>
      </w:pPr>
      <w:r>
        <w:rPr>
          <w:rFonts w:eastAsia="仿宋_GB2312"/>
          <w:color w:val="auto"/>
          <w:kern w:val="0"/>
          <w:sz w:val="32"/>
          <w:szCs w:val="32"/>
        </w:rPr>
        <w:t xml:space="preserve"> </w:t>
      </w:r>
    </w:p>
    <w:p w14:paraId="340CFC4B">
      <w:pPr>
        <w:widowControl/>
        <w:adjustRightInd w:val="0"/>
        <w:snapToGrid w:val="0"/>
        <w:spacing w:line="500" w:lineRule="exact"/>
        <w:ind w:firstLine="562" w:firstLineChars="200"/>
        <w:rPr>
          <w:rFonts w:eastAsia="仿宋_GB2312"/>
          <w:color w:val="auto"/>
          <w:kern w:val="0"/>
          <w:sz w:val="28"/>
          <w:szCs w:val="28"/>
        </w:rPr>
      </w:pPr>
      <w:r>
        <w:rPr>
          <w:rFonts w:eastAsia="仿宋_GB2312"/>
          <w:b/>
          <w:bCs/>
          <w:color w:val="auto"/>
          <w:kern w:val="0"/>
          <w:sz w:val="28"/>
          <w:szCs w:val="28"/>
        </w:rPr>
        <w:t>项目名称：</w:t>
      </w:r>
      <w:r>
        <w:rPr>
          <w:rFonts w:hint="eastAsia" w:eastAsia="仿宋_GB2312"/>
          <w:b/>
          <w:bCs/>
          <w:color w:val="auto"/>
          <w:kern w:val="0"/>
          <w:sz w:val="28"/>
          <w:szCs w:val="28"/>
          <w:lang w:val="en-US" w:eastAsia="zh-CN"/>
        </w:rPr>
        <w:t>杭州美盾新材料有限公司年产1万吨高阻隔等新材料及厂房建设项目</w:t>
      </w:r>
    </w:p>
    <w:p w14:paraId="65915827">
      <w:pPr>
        <w:widowControl/>
        <w:adjustRightInd w:val="0"/>
        <w:snapToGrid w:val="0"/>
        <w:spacing w:line="500" w:lineRule="exact"/>
        <w:ind w:firstLine="562" w:firstLineChars="200"/>
        <w:rPr>
          <w:rFonts w:hint="eastAsia" w:eastAsia="仿宋_GB2312"/>
          <w:b w:val="0"/>
          <w:bCs w:val="0"/>
          <w:color w:val="auto"/>
          <w:kern w:val="0"/>
          <w:sz w:val="28"/>
          <w:szCs w:val="28"/>
          <w:lang w:eastAsia="zh-CN"/>
        </w:rPr>
      </w:pPr>
      <w:r>
        <w:rPr>
          <w:rFonts w:eastAsia="仿宋_GB2312"/>
          <w:b/>
          <w:bCs/>
          <w:color w:val="auto"/>
          <w:kern w:val="0"/>
          <w:sz w:val="28"/>
          <w:szCs w:val="28"/>
        </w:rPr>
        <w:t>承诺方（甲方）：</w:t>
      </w:r>
      <w:r>
        <w:rPr>
          <w:rFonts w:hint="eastAsia" w:eastAsia="仿宋_GB2312"/>
          <w:b w:val="0"/>
          <w:bCs w:val="0"/>
          <w:color w:val="auto"/>
          <w:kern w:val="0"/>
          <w:sz w:val="28"/>
          <w:szCs w:val="28"/>
          <w:lang w:eastAsia="zh-CN"/>
        </w:rPr>
        <w:t>杭州美盾新材料有限公司</w:t>
      </w:r>
    </w:p>
    <w:p w14:paraId="13EFC462">
      <w:pPr>
        <w:widowControl/>
        <w:adjustRightInd w:val="0"/>
        <w:snapToGrid w:val="0"/>
        <w:spacing w:line="500" w:lineRule="exact"/>
        <w:ind w:firstLine="562" w:firstLineChars="200"/>
        <w:rPr>
          <w:rFonts w:eastAsia="仿宋_GB2312"/>
          <w:color w:val="auto"/>
          <w:kern w:val="0"/>
          <w:sz w:val="28"/>
          <w:szCs w:val="28"/>
        </w:rPr>
      </w:pPr>
      <w:r>
        <w:rPr>
          <w:rFonts w:eastAsia="仿宋_GB2312"/>
          <w:b/>
          <w:bCs/>
          <w:color w:val="auto"/>
          <w:kern w:val="0"/>
          <w:sz w:val="28"/>
          <w:szCs w:val="28"/>
        </w:rPr>
        <w:t>行政主管部门（乙方）：</w:t>
      </w:r>
      <w:r>
        <w:rPr>
          <w:rFonts w:eastAsia="仿宋_GB2312"/>
          <w:color w:val="auto"/>
          <w:kern w:val="0"/>
          <w:sz w:val="28"/>
          <w:szCs w:val="28"/>
        </w:rPr>
        <w:t>杭州市生态环境局</w:t>
      </w:r>
    </w:p>
    <w:p w14:paraId="704DB2E0">
      <w:pPr>
        <w:widowControl/>
        <w:adjustRightInd w:val="0"/>
        <w:snapToGrid w:val="0"/>
        <w:spacing w:line="500" w:lineRule="exact"/>
        <w:ind w:firstLine="560" w:firstLineChars="200"/>
        <w:outlineLvl w:val="0"/>
        <w:rPr>
          <w:rFonts w:eastAsia="黑体"/>
          <w:color w:val="auto"/>
          <w:kern w:val="0"/>
          <w:sz w:val="28"/>
          <w:szCs w:val="28"/>
        </w:rPr>
      </w:pPr>
      <w:r>
        <w:rPr>
          <w:rFonts w:eastAsia="黑体"/>
          <w:color w:val="auto"/>
          <w:kern w:val="0"/>
          <w:sz w:val="28"/>
          <w:szCs w:val="28"/>
        </w:rPr>
        <w:t>一、项目主要内容</w:t>
      </w:r>
    </w:p>
    <w:p w14:paraId="6FD41BF4">
      <w:pPr>
        <w:widowControl/>
        <w:adjustRightInd w:val="0"/>
        <w:snapToGrid w:val="0"/>
        <w:spacing w:line="500" w:lineRule="exact"/>
        <w:ind w:firstLine="562" w:firstLineChars="200"/>
        <w:rPr>
          <w:rFonts w:hint="eastAsia" w:eastAsia="仿宋_GB2312"/>
          <w:b w:val="0"/>
          <w:bCs w:val="0"/>
          <w:color w:val="auto"/>
          <w:kern w:val="0"/>
          <w:sz w:val="28"/>
          <w:szCs w:val="28"/>
          <w:lang w:eastAsia="zh-CN"/>
        </w:rPr>
      </w:pPr>
      <w:r>
        <w:rPr>
          <w:rFonts w:eastAsia="仿宋_GB2312"/>
          <w:b/>
          <w:bCs/>
          <w:color w:val="auto"/>
          <w:kern w:val="0"/>
          <w:sz w:val="28"/>
          <w:szCs w:val="28"/>
        </w:rPr>
        <w:t>（一）项目单位：</w:t>
      </w:r>
      <w:r>
        <w:rPr>
          <w:rFonts w:hint="eastAsia" w:eastAsia="仿宋_GB2312"/>
          <w:b w:val="0"/>
          <w:bCs w:val="0"/>
          <w:color w:val="auto"/>
          <w:kern w:val="0"/>
          <w:sz w:val="28"/>
          <w:szCs w:val="28"/>
          <w:lang w:eastAsia="zh-CN"/>
        </w:rPr>
        <w:t>杭州美盾新材料有限公司</w:t>
      </w:r>
    </w:p>
    <w:p w14:paraId="37416517">
      <w:pPr>
        <w:widowControl/>
        <w:adjustRightInd w:val="0"/>
        <w:snapToGrid w:val="0"/>
        <w:spacing w:line="500" w:lineRule="exact"/>
        <w:ind w:firstLine="562" w:firstLineChars="200"/>
        <w:rPr>
          <w:rFonts w:eastAsia="仿宋_GB2312"/>
          <w:color w:val="auto"/>
          <w:kern w:val="0"/>
          <w:sz w:val="28"/>
          <w:szCs w:val="28"/>
        </w:rPr>
      </w:pPr>
      <w:r>
        <w:rPr>
          <w:rFonts w:eastAsia="仿宋_GB2312"/>
          <w:b/>
          <w:bCs/>
          <w:color w:val="auto"/>
          <w:kern w:val="0"/>
          <w:sz w:val="28"/>
          <w:szCs w:val="28"/>
        </w:rPr>
        <w:t>（二）法定代表人：权德敏</w:t>
      </w:r>
    </w:p>
    <w:p w14:paraId="62CFEA29">
      <w:pPr>
        <w:widowControl/>
        <w:adjustRightInd w:val="0"/>
        <w:snapToGrid w:val="0"/>
        <w:spacing w:line="500" w:lineRule="exact"/>
        <w:ind w:firstLine="562" w:firstLineChars="200"/>
        <w:rPr>
          <w:rFonts w:eastAsia="仿宋_GB2312"/>
          <w:bCs/>
          <w:color w:val="auto"/>
          <w:kern w:val="0"/>
          <w:sz w:val="28"/>
          <w:szCs w:val="28"/>
        </w:rPr>
      </w:pPr>
      <w:r>
        <w:rPr>
          <w:rFonts w:eastAsia="仿宋_GB2312"/>
          <w:b/>
          <w:bCs/>
          <w:color w:val="auto"/>
          <w:kern w:val="0"/>
          <w:sz w:val="28"/>
          <w:szCs w:val="28"/>
        </w:rPr>
        <w:t>（三）拟建地址：</w:t>
      </w:r>
      <w:r>
        <w:rPr>
          <w:rFonts w:hint="eastAsia" w:eastAsia="仿宋_GB2312"/>
          <w:b/>
          <w:bCs/>
          <w:color w:val="auto"/>
          <w:kern w:val="0"/>
          <w:sz w:val="28"/>
          <w:szCs w:val="28"/>
        </w:rPr>
        <w:t>浙江省杭州市临平区塘栖镇顺启路6号</w:t>
      </w:r>
    </w:p>
    <w:p w14:paraId="5D5719AF">
      <w:pPr>
        <w:widowControl/>
        <w:adjustRightInd w:val="0"/>
        <w:snapToGrid w:val="0"/>
        <w:spacing w:line="500" w:lineRule="exact"/>
        <w:ind w:firstLine="562" w:firstLineChars="200"/>
        <w:rPr>
          <w:rFonts w:eastAsia="仿宋_GB2312"/>
          <w:color w:val="auto"/>
          <w:kern w:val="0"/>
          <w:sz w:val="28"/>
          <w:szCs w:val="28"/>
        </w:rPr>
      </w:pPr>
      <w:r>
        <w:rPr>
          <w:rFonts w:eastAsia="仿宋_GB2312"/>
          <w:b/>
          <w:bCs/>
          <w:color w:val="auto"/>
          <w:kern w:val="0"/>
          <w:sz w:val="28"/>
          <w:szCs w:val="28"/>
        </w:rPr>
        <w:t>（四）项目主要建设内容：</w:t>
      </w:r>
    </w:p>
    <w:p w14:paraId="048AAA14">
      <w:pPr>
        <w:overflowPunct w:val="0"/>
        <w:autoSpaceDE w:val="0"/>
        <w:autoSpaceDN w:val="0"/>
        <w:adjustRightInd w:val="0"/>
        <w:snapToGrid w:val="0"/>
        <w:spacing w:line="500" w:lineRule="exact"/>
        <w:ind w:firstLine="560" w:firstLineChars="200"/>
        <w:rPr>
          <w:rFonts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企业</w:t>
      </w:r>
      <w:r>
        <w:rPr>
          <w:rFonts w:hint="default" w:ascii="Times New Roman" w:hAnsi="Times New Roman" w:eastAsia="仿宋_GB2312" w:cs="Times New Roman"/>
          <w:bCs/>
          <w:color w:val="auto"/>
          <w:kern w:val="0"/>
          <w:sz w:val="28"/>
          <w:szCs w:val="28"/>
          <w:lang w:val="en-US" w:eastAsia="zh-CN"/>
        </w:rPr>
        <w:t>拟投资10500万元，购置共挤吹膜机组、边料回收机等设备，在</w:t>
      </w:r>
      <w:r>
        <w:rPr>
          <w:rFonts w:hint="default" w:ascii="Times New Roman" w:hAnsi="Times New Roman" w:eastAsia="仿宋_GB2312" w:cs="Times New Roman"/>
          <w:bCs/>
          <w:color w:val="auto"/>
          <w:kern w:val="0"/>
          <w:sz w:val="28"/>
          <w:szCs w:val="28"/>
        </w:rPr>
        <w:t>临平区</w:t>
      </w:r>
      <w:r>
        <w:rPr>
          <w:rFonts w:hint="default" w:ascii="Times New Roman" w:hAnsi="Times New Roman" w:eastAsia="仿宋_GB2312" w:cs="Times New Roman"/>
          <w:bCs/>
          <w:color w:val="auto"/>
          <w:kern w:val="0"/>
          <w:sz w:val="28"/>
          <w:szCs w:val="28"/>
          <w:lang w:val="en-US" w:eastAsia="zh-CN"/>
        </w:rPr>
        <w:t>塘栖镇顺启路6号4幢厂房一层实施年产1万吨新材料（PE薄膜）项目</w:t>
      </w:r>
      <w:r>
        <w:rPr>
          <w:rFonts w:hint="default" w:ascii="Times New Roman" w:hAnsi="Times New Roman" w:eastAsia="仿宋_GB2312" w:cs="Times New Roman"/>
          <w:bCs/>
          <w:color w:val="auto"/>
          <w:kern w:val="0"/>
          <w:sz w:val="28"/>
          <w:szCs w:val="28"/>
        </w:rPr>
        <w:t>。</w:t>
      </w:r>
    </w:p>
    <w:p w14:paraId="56AB72F1">
      <w:pPr>
        <w:widowControl/>
        <w:adjustRightInd w:val="0"/>
        <w:snapToGrid w:val="0"/>
        <w:spacing w:line="500" w:lineRule="exact"/>
        <w:ind w:firstLine="562" w:firstLineChars="200"/>
        <w:rPr>
          <w:rFonts w:eastAsia="仿宋_GB2312"/>
          <w:b/>
          <w:bCs/>
          <w:color w:val="auto"/>
          <w:kern w:val="0"/>
          <w:sz w:val="28"/>
          <w:szCs w:val="28"/>
        </w:rPr>
      </w:pPr>
      <w:r>
        <w:rPr>
          <w:rFonts w:eastAsia="仿宋_GB2312"/>
          <w:b/>
          <w:bCs/>
          <w:color w:val="auto"/>
          <w:kern w:val="0"/>
          <w:sz w:val="28"/>
          <w:szCs w:val="28"/>
        </w:rPr>
        <w:t>（五）主要污染防治措施</w:t>
      </w:r>
    </w:p>
    <w:p w14:paraId="4C2D6E72">
      <w:pPr>
        <w:overflowPunct w:val="0"/>
        <w:autoSpaceDE w:val="0"/>
        <w:autoSpaceDN w:val="0"/>
        <w:adjustRightInd w:val="0"/>
        <w:snapToGrid w:val="0"/>
        <w:spacing w:line="500" w:lineRule="exact"/>
        <w:ind w:firstLine="562" w:firstLineChars="200"/>
        <w:rPr>
          <w:rFonts w:eastAsiaTheme="minorEastAsia"/>
          <w:b w:val="0"/>
          <w:bCs w:val="0"/>
          <w:color w:val="auto"/>
          <w:kern w:val="0"/>
          <w:sz w:val="28"/>
          <w:szCs w:val="28"/>
        </w:rPr>
      </w:pPr>
      <w:r>
        <w:rPr>
          <w:rFonts w:eastAsia="仿宋_GB2312"/>
          <w:b/>
          <w:bCs/>
          <w:color w:val="auto"/>
          <w:kern w:val="0"/>
          <w:sz w:val="28"/>
          <w:szCs w:val="28"/>
        </w:rPr>
        <w:t>废气：</w:t>
      </w:r>
      <w:r>
        <w:rPr>
          <w:rFonts w:hint="eastAsia" w:eastAsia="仿宋_GB2312"/>
          <w:b w:val="0"/>
          <w:bCs w:val="0"/>
          <w:color w:val="auto"/>
          <w:kern w:val="0"/>
          <w:sz w:val="28"/>
          <w:szCs w:val="28"/>
          <w:lang w:val="en-US" w:eastAsia="zh-CN"/>
        </w:rPr>
        <w:t>熔融、挤出废气和吹胀、冷却废气经集气罩（集气罩设置垂帘）收集</w:t>
      </w:r>
      <w:r>
        <w:rPr>
          <w:rFonts w:hint="eastAsia" w:eastAsia="仿宋_GB2312"/>
          <w:b w:val="0"/>
          <w:bCs w:val="0"/>
          <w:color w:val="auto"/>
          <w:kern w:val="0"/>
          <w:sz w:val="28"/>
          <w:szCs w:val="28"/>
        </w:rPr>
        <w:t>采取</w:t>
      </w:r>
      <w:r>
        <w:rPr>
          <w:rFonts w:hint="eastAsia" w:eastAsia="仿宋_GB2312"/>
          <w:b w:val="0"/>
          <w:bCs w:val="0"/>
          <w:color w:val="auto"/>
          <w:kern w:val="0"/>
          <w:sz w:val="28"/>
          <w:szCs w:val="28"/>
          <w:lang w:val="en-US" w:eastAsia="zh-CN"/>
        </w:rPr>
        <w:t>活性炭吸附/脱附+催化燃烧</w:t>
      </w:r>
      <w:r>
        <w:rPr>
          <w:rFonts w:hint="eastAsia" w:eastAsia="仿宋_GB2312"/>
          <w:b w:val="0"/>
          <w:bCs w:val="0"/>
          <w:color w:val="auto"/>
          <w:kern w:val="0"/>
          <w:sz w:val="28"/>
          <w:szCs w:val="28"/>
        </w:rPr>
        <w:t>措施后通过排气筒排放至大气环境。</w:t>
      </w:r>
    </w:p>
    <w:p w14:paraId="05F2DEF7">
      <w:pPr>
        <w:overflowPunct w:val="0"/>
        <w:autoSpaceDE w:val="0"/>
        <w:autoSpaceDN w:val="0"/>
        <w:adjustRightInd w:val="0"/>
        <w:snapToGrid w:val="0"/>
        <w:spacing w:line="500" w:lineRule="exact"/>
        <w:ind w:firstLine="562" w:firstLineChars="200"/>
        <w:rPr>
          <w:rFonts w:eastAsia="仿宋_GB2312"/>
          <w:b w:val="0"/>
          <w:bCs w:val="0"/>
          <w:color w:val="auto"/>
          <w:kern w:val="0"/>
          <w:sz w:val="28"/>
          <w:szCs w:val="28"/>
        </w:rPr>
      </w:pPr>
      <w:r>
        <w:rPr>
          <w:rFonts w:eastAsia="仿宋_GB2312"/>
          <w:b/>
          <w:bCs/>
          <w:color w:val="auto"/>
          <w:kern w:val="0"/>
          <w:sz w:val="28"/>
          <w:szCs w:val="28"/>
        </w:rPr>
        <w:t>废水：</w:t>
      </w:r>
      <w:r>
        <w:rPr>
          <w:rFonts w:hint="eastAsia" w:eastAsia="仿宋_GB2312"/>
          <w:b w:val="0"/>
          <w:bCs w:val="0"/>
          <w:color w:val="auto"/>
          <w:kern w:val="0"/>
          <w:sz w:val="28"/>
          <w:szCs w:val="28"/>
          <w:lang w:val="en-US" w:eastAsia="zh-CN"/>
        </w:rPr>
        <w:t>生活污水</w:t>
      </w:r>
      <w:r>
        <w:rPr>
          <w:rFonts w:hint="default" w:eastAsia="仿宋_GB2312"/>
          <w:b w:val="0"/>
          <w:bCs w:val="0"/>
          <w:color w:val="auto"/>
          <w:kern w:val="0"/>
          <w:sz w:val="28"/>
          <w:szCs w:val="28"/>
        </w:rPr>
        <w:t>经化粪池预处理</w:t>
      </w:r>
      <w:r>
        <w:rPr>
          <w:rFonts w:hint="eastAsia" w:eastAsia="仿宋_GB2312"/>
          <w:b w:val="0"/>
          <w:bCs w:val="0"/>
          <w:color w:val="auto"/>
          <w:kern w:val="0"/>
          <w:sz w:val="28"/>
          <w:szCs w:val="28"/>
          <w:lang w:val="en-US" w:eastAsia="zh-CN"/>
        </w:rPr>
        <w:t>后</w:t>
      </w:r>
      <w:r>
        <w:rPr>
          <w:rFonts w:hint="default" w:eastAsia="仿宋_GB2312"/>
          <w:b w:val="0"/>
          <w:bCs w:val="0"/>
          <w:color w:val="auto"/>
          <w:kern w:val="0"/>
          <w:sz w:val="28"/>
          <w:szCs w:val="28"/>
        </w:rPr>
        <w:t>纳入市政管网。</w:t>
      </w:r>
    </w:p>
    <w:p w14:paraId="51604B26">
      <w:pPr>
        <w:overflowPunct w:val="0"/>
        <w:autoSpaceDE w:val="0"/>
        <w:autoSpaceDN w:val="0"/>
        <w:adjustRightInd w:val="0"/>
        <w:snapToGrid w:val="0"/>
        <w:spacing w:line="500" w:lineRule="exact"/>
        <w:ind w:firstLine="562" w:firstLineChars="200"/>
        <w:rPr>
          <w:rFonts w:eastAsia="仿宋_GB2312"/>
          <w:bCs/>
          <w:color w:val="auto"/>
          <w:kern w:val="0"/>
          <w:sz w:val="28"/>
          <w:szCs w:val="28"/>
        </w:rPr>
      </w:pPr>
      <w:r>
        <w:rPr>
          <w:rFonts w:eastAsia="仿宋_GB2312"/>
          <w:b/>
          <w:bCs/>
          <w:color w:val="auto"/>
          <w:kern w:val="0"/>
          <w:sz w:val="28"/>
          <w:szCs w:val="28"/>
        </w:rPr>
        <w:t>噪声：</w:t>
      </w:r>
      <w:r>
        <w:rPr>
          <w:rFonts w:eastAsia="仿宋_GB2312"/>
          <w:color w:val="auto"/>
          <w:kern w:val="0"/>
          <w:sz w:val="28"/>
          <w:szCs w:val="28"/>
        </w:rPr>
        <w:t>对</w:t>
      </w:r>
      <w:r>
        <w:rPr>
          <w:rFonts w:hint="eastAsia" w:eastAsia="仿宋_GB2312"/>
          <w:color w:val="auto"/>
          <w:kern w:val="0"/>
          <w:sz w:val="28"/>
          <w:szCs w:val="28"/>
        </w:rPr>
        <w:t>在设备选型方面，满足功能要求的前提下，选用低噪声设备</w:t>
      </w:r>
      <w:r>
        <w:rPr>
          <w:rFonts w:hint="eastAsia" w:eastAsia="仿宋_GB2312"/>
          <w:color w:val="auto"/>
          <w:kern w:val="0"/>
          <w:sz w:val="28"/>
          <w:szCs w:val="28"/>
          <w:lang w:eastAsia="zh-CN"/>
        </w:rPr>
        <w:t>；</w:t>
      </w:r>
      <w:r>
        <w:rPr>
          <w:rFonts w:hint="eastAsia" w:eastAsia="仿宋_GB2312"/>
          <w:color w:val="auto"/>
          <w:kern w:val="0"/>
          <w:sz w:val="28"/>
          <w:szCs w:val="28"/>
        </w:rPr>
        <w:t>高噪声设备尽量布置在</w:t>
      </w:r>
      <w:r>
        <w:rPr>
          <w:rFonts w:hint="eastAsia" w:eastAsia="仿宋_GB2312"/>
          <w:color w:val="auto"/>
          <w:kern w:val="0"/>
          <w:sz w:val="28"/>
          <w:szCs w:val="28"/>
          <w:lang w:val="en-US" w:eastAsia="zh-CN"/>
        </w:rPr>
        <w:t>车间</w:t>
      </w:r>
      <w:r>
        <w:rPr>
          <w:rFonts w:hint="eastAsia" w:eastAsia="仿宋_GB2312"/>
          <w:color w:val="auto"/>
          <w:kern w:val="0"/>
          <w:sz w:val="28"/>
          <w:szCs w:val="28"/>
        </w:rPr>
        <w:t>的中间区域，</w:t>
      </w:r>
      <w:r>
        <w:rPr>
          <w:rFonts w:hint="eastAsia" w:eastAsia="仿宋_GB2312"/>
          <w:color w:val="auto"/>
          <w:kern w:val="0"/>
          <w:sz w:val="28"/>
          <w:szCs w:val="28"/>
          <w:lang w:val="en-US" w:eastAsia="zh-CN"/>
        </w:rPr>
        <w:t>生产时</w:t>
      </w:r>
      <w:r>
        <w:rPr>
          <w:rFonts w:hint="eastAsia" w:eastAsia="仿宋_GB2312"/>
          <w:color w:val="auto"/>
          <w:kern w:val="0"/>
          <w:sz w:val="28"/>
          <w:szCs w:val="28"/>
        </w:rPr>
        <w:t>尽可能保持门窗关闭状态</w:t>
      </w:r>
      <w:r>
        <w:rPr>
          <w:rFonts w:hint="eastAsia" w:eastAsia="仿宋_GB2312"/>
          <w:color w:val="auto"/>
          <w:kern w:val="0"/>
          <w:sz w:val="28"/>
          <w:szCs w:val="28"/>
          <w:lang w:eastAsia="zh-CN"/>
        </w:rPr>
        <w:t>；</w:t>
      </w:r>
      <w:r>
        <w:rPr>
          <w:rFonts w:hint="eastAsia" w:eastAsia="仿宋_GB2312"/>
          <w:color w:val="auto"/>
          <w:kern w:val="0"/>
          <w:sz w:val="28"/>
          <w:szCs w:val="28"/>
        </w:rPr>
        <w:t>对高噪声设备设置隔声、吸声/消声、减震等降噪措施</w:t>
      </w:r>
      <w:r>
        <w:rPr>
          <w:rFonts w:hint="eastAsia" w:eastAsia="仿宋_GB2312"/>
          <w:color w:val="auto"/>
          <w:kern w:val="0"/>
          <w:sz w:val="28"/>
          <w:szCs w:val="28"/>
          <w:lang w:eastAsia="zh-CN"/>
        </w:rPr>
        <w:t>；</w:t>
      </w:r>
      <w:r>
        <w:rPr>
          <w:rFonts w:hint="eastAsia" w:eastAsia="仿宋_GB2312"/>
          <w:color w:val="auto"/>
          <w:kern w:val="0"/>
          <w:sz w:val="28"/>
          <w:szCs w:val="28"/>
        </w:rPr>
        <w:t>加强设备日常检修和维护，确保设备处于良好的运转状态，杜绝因设备不正常运转时产生的高噪声现象</w:t>
      </w:r>
      <w:r>
        <w:rPr>
          <w:rFonts w:hint="eastAsia" w:eastAsia="仿宋_GB2312"/>
          <w:color w:val="auto"/>
          <w:kern w:val="0"/>
          <w:sz w:val="28"/>
          <w:szCs w:val="28"/>
          <w:lang w:eastAsia="zh-CN"/>
        </w:rPr>
        <w:t>，</w:t>
      </w:r>
      <w:r>
        <w:rPr>
          <w:rFonts w:eastAsia="仿宋_GB2312"/>
          <w:bCs/>
          <w:color w:val="auto"/>
          <w:kern w:val="0"/>
          <w:sz w:val="28"/>
          <w:szCs w:val="28"/>
        </w:rPr>
        <w:t>确保厂界噪声达《工业企业厂界环境噪声排放标准》（GB12348-2008）中的3类标准。</w:t>
      </w:r>
    </w:p>
    <w:p w14:paraId="762FCB17">
      <w:pPr>
        <w:widowControl/>
        <w:adjustRightInd w:val="0"/>
        <w:snapToGrid w:val="0"/>
        <w:spacing w:line="500" w:lineRule="exact"/>
        <w:ind w:firstLine="562" w:firstLineChars="200"/>
        <w:rPr>
          <w:rFonts w:eastAsia="仿宋_GB2312"/>
          <w:bCs/>
          <w:color w:val="auto"/>
          <w:kern w:val="0"/>
          <w:sz w:val="28"/>
          <w:szCs w:val="28"/>
        </w:rPr>
      </w:pPr>
      <w:r>
        <w:rPr>
          <w:rFonts w:eastAsia="仿宋_GB2312"/>
          <w:b/>
          <w:bCs/>
          <w:color w:val="auto"/>
          <w:kern w:val="0"/>
          <w:sz w:val="28"/>
          <w:szCs w:val="28"/>
        </w:rPr>
        <w:t>固体废物：</w:t>
      </w:r>
      <w:r>
        <w:rPr>
          <w:rFonts w:hint="eastAsia" w:eastAsia="仿宋_GB2312"/>
          <w:b w:val="0"/>
          <w:bCs w:val="0"/>
          <w:color w:val="auto"/>
          <w:kern w:val="0"/>
          <w:sz w:val="28"/>
          <w:szCs w:val="28"/>
        </w:rPr>
        <w:t>（1）</w:t>
      </w:r>
      <w:r>
        <w:rPr>
          <w:rFonts w:hint="eastAsia" w:eastAsia="仿宋_GB2312"/>
          <w:b w:val="0"/>
          <w:bCs w:val="0"/>
          <w:color w:val="auto"/>
          <w:kern w:val="0"/>
          <w:sz w:val="28"/>
          <w:szCs w:val="28"/>
          <w:lang w:val="en-US" w:eastAsia="zh-CN"/>
        </w:rPr>
        <w:t>废包装袋</w:t>
      </w:r>
      <w:r>
        <w:rPr>
          <w:rFonts w:hint="eastAsia" w:eastAsia="仿宋_GB2312"/>
          <w:b w:val="0"/>
          <w:bCs w:val="0"/>
          <w:color w:val="auto"/>
          <w:kern w:val="0"/>
          <w:sz w:val="28"/>
          <w:szCs w:val="28"/>
        </w:rPr>
        <w:t>、</w:t>
      </w:r>
      <w:r>
        <w:rPr>
          <w:rFonts w:hint="eastAsia" w:eastAsia="仿宋_GB2312"/>
          <w:b w:val="0"/>
          <w:bCs w:val="0"/>
          <w:color w:val="auto"/>
          <w:kern w:val="0"/>
          <w:sz w:val="28"/>
          <w:szCs w:val="28"/>
          <w:lang w:val="en-US" w:eastAsia="zh-CN"/>
        </w:rPr>
        <w:t>废过滤网</w:t>
      </w:r>
      <w:r>
        <w:rPr>
          <w:rFonts w:hint="eastAsia" w:eastAsia="仿宋_GB2312"/>
          <w:b w:val="0"/>
          <w:bCs w:val="0"/>
          <w:color w:val="auto"/>
          <w:kern w:val="0"/>
          <w:sz w:val="28"/>
          <w:szCs w:val="28"/>
        </w:rPr>
        <w:t>等一般固废收集后外售综合利用。（2）废活性炭</w:t>
      </w:r>
      <w:r>
        <w:rPr>
          <w:rFonts w:hint="eastAsia" w:eastAsia="仿宋_GB2312"/>
          <w:b w:val="0"/>
          <w:bCs w:val="0"/>
          <w:color w:val="auto"/>
          <w:kern w:val="0"/>
          <w:sz w:val="28"/>
          <w:szCs w:val="28"/>
          <w:lang w:eastAsia="zh-CN"/>
        </w:rPr>
        <w:t>、</w:t>
      </w:r>
      <w:r>
        <w:rPr>
          <w:rFonts w:hint="eastAsia" w:eastAsia="仿宋_GB2312"/>
          <w:b w:val="0"/>
          <w:bCs w:val="0"/>
          <w:color w:val="auto"/>
          <w:kern w:val="0"/>
          <w:sz w:val="28"/>
          <w:szCs w:val="28"/>
          <w:lang w:val="en-US" w:eastAsia="zh-CN"/>
        </w:rPr>
        <w:t>废催化剂、废润滑油、废抹布</w:t>
      </w:r>
      <w:r>
        <w:rPr>
          <w:rFonts w:hint="eastAsia" w:eastAsia="仿宋_GB2312"/>
          <w:b w:val="0"/>
          <w:bCs w:val="0"/>
          <w:color w:val="auto"/>
          <w:kern w:val="0"/>
          <w:sz w:val="28"/>
          <w:szCs w:val="28"/>
        </w:rPr>
        <w:t>等</w:t>
      </w:r>
      <w:r>
        <w:rPr>
          <w:rFonts w:hint="eastAsia" w:eastAsia="仿宋_GB2312"/>
          <w:bCs/>
          <w:color w:val="auto"/>
          <w:kern w:val="0"/>
          <w:sz w:val="28"/>
          <w:szCs w:val="28"/>
        </w:rPr>
        <w:t>危险废物委托有资质单位处置。（3）生活垃圾委托环卫部门清运。</w:t>
      </w:r>
    </w:p>
    <w:p w14:paraId="228F2CD7">
      <w:pPr>
        <w:widowControl/>
        <w:adjustRightInd w:val="0"/>
        <w:snapToGrid w:val="0"/>
        <w:spacing w:line="500" w:lineRule="exact"/>
        <w:ind w:firstLine="562" w:firstLineChars="200"/>
        <w:rPr>
          <w:rFonts w:eastAsia="仿宋_GB2312"/>
          <w:color w:val="auto"/>
          <w:kern w:val="0"/>
          <w:sz w:val="28"/>
          <w:szCs w:val="28"/>
        </w:rPr>
      </w:pPr>
      <w:r>
        <w:rPr>
          <w:rFonts w:eastAsia="仿宋_GB2312"/>
          <w:b/>
          <w:bCs/>
          <w:color w:val="auto"/>
          <w:kern w:val="0"/>
          <w:sz w:val="28"/>
          <w:szCs w:val="28"/>
        </w:rPr>
        <w:t>（六）主要污染物排放量及总量来源</w:t>
      </w:r>
    </w:p>
    <w:p w14:paraId="69B7F4C4">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本项目实施后全厂总量控制污染物指标及排放量为：</w:t>
      </w:r>
      <w:r>
        <w:rPr>
          <w:rFonts w:hint="eastAsia" w:eastAsia="仿宋_GB2312"/>
          <w:bCs/>
          <w:color w:val="auto"/>
          <w:kern w:val="0"/>
          <w:sz w:val="28"/>
          <w:szCs w:val="28"/>
        </w:rPr>
        <w:t xml:space="preserve">COD </w:t>
      </w:r>
      <w:r>
        <w:rPr>
          <w:rFonts w:hint="eastAsia" w:eastAsia="仿宋_GB2312"/>
          <w:bCs/>
          <w:color w:val="auto"/>
          <w:kern w:val="0"/>
          <w:sz w:val="28"/>
          <w:szCs w:val="28"/>
          <w:lang w:val="en-US" w:eastAsia="zh-CN"/>
        </w:rPr>
        <w:t>0.028</w:t>
      </w:r>
      <w:r>
        <w:rPr>
          <w:rFonts w:hint="eastAsia" w:eastAsia="仿宋_GB2312"/>
          <w:bCs/>
          <w:color w:val="auto"/>
          <w:kern w:val="0"/>
          <w:sz w:val="28"/>
          <w:szCs w:val="28"/>
        </w:rPr>
        <w:t>t/a、氨氮</w:t>
      </w:r>
      <w:r>
        <w:rPr>
          <w:rFonts w:eastAsia="仿宋_GB2312"/>
          <w:bCs/>
          <w:color w:val="auto"/>
          <w:kern w:val="0"/>
          <w:sz w:val="28"/>
          <w:szCs w:val="28"/>
        </w:rPr>
        <w:t>0.00</w:t>
      </w:r>
      <w:r>
        <w:rPr>
          <w:rFonts w:hint="eastAsia" w:eastAsia="仿宋_GB2312"/>
          <w:bCs/>
          <w:color w:val="auto"/>
          <w:kern w:val="0"/>
          <w:sz w:val="28"/>
          <w:szCs w:val="28"/>
          <w:lang w:val="en-US" w:eastAsia="zh-CN"/>
        </w:rPr>
        <w:t>1</w:t>
      </w:r>
      <w:r>
        <w:rPr>
          <w:rFonts w:hint="eastAsia" w:eastAsia="仿宋_GB2312"/>
          <w:bCs/>
          <w:color w:val="auto"/>
          <w:kern w:val="0"/>
          <w:sz w:val="28"/>
          <w:szCs w:val="28"/>
        </w:rPr>
        <w:t xml:space="preserve">t/a、VOCs </w:t>
      </w:r>
      <w:r>
        <w:rPr>
          <w:rFonts w:hint="eastAsia" w:eastAsia="仿宋_GB2312"/>
          <w:bCs/>
          <w:color w:val="auto"/>
          <w:kern w:val="0"/>
          <w:sz w:val="28"/>
          <w:szCs w:val="28"/>
          <w:lang w:val="en-US" w:eastAsia="zh-CN"/>
        </w:rPr>
        <w:t>1.025</w:t>
      </w:r>
      <w:r>
        <w:rPr>
          <w:rFonts w:hint="eastAsia" w:eastAsia="仿宋_GB2312"/>
          <w:bCs/>
          <w:color w:val="auto"/>
          <w:kern w:val="0"/>
          <w:sz w:val="28"/>
          <w:szCs w:val="28"/>
        </w:rPr>
        <w:t>t/a。</w:t>
      </w:r>
      <w:r>
        <w:rPr>
          <w:rFonts w:hint="eastAsia"/>
          <w:color w:val="000000"/>
          <w:sz w:val="24"/>
          <w:szCs w:val="24"/>
          <w:highlight w:val="none"/>
          <w:lang w:val="en-US" w:eastAsia="zh-CN"/>
        </w:rPr>
        <w:t>其中</w:t>
      </w:r>
      <w:r>
        <w:rPr>
          <w:color w:val="000000"/>
          <w:sz w:val="24"/>
          <w:szCs w:val="24"/>
          <w:highlight w:val="none"/>
        </w:rPr>
        <w:t>VOCs需按1:2的比例进行区域削减替代。</w:t>
      </w:r>
    </w:p>
    <w:p w14:paraId="5135FA0A">
      <w:pPr>
        <w:widowControl/>
        <w:adjustRightInd w:val="0"/>
        <w:snapToGrid w:val="0"/>
        <w:spacing w:line="500" w:lineRule="exact"/>
        <w:ind w:firstLine="562" w:firstLineChars="200"/>
        <w:rPr>
          <w:rFonts w:eastAsia="仿宋_GB2312"/>
          <w:b/>
          <w:bCs/>
          <w:color w:val="auto"/>
          <w:kern w:val="0"/>
          <w:sz w:val="28"/>
          <w:szCs w:val="28"/>
        </w:rPr>
      </w:pPr>
      <w:r>
        <w:rPr>
          <w:rFonts w:eastAsia="仿宋_GB2312"/>
          <w:b/>
          <w:bCs/>
          <w:color w:val="auto"/>
          <w:kern w:val="0"/>
          <w:sz w:val="28"/>
          <w:szCs w:val="28"/>
        </w:rPr>
        <w:t>（七）总投资及环保投资</w:t>
      </w:r>
    </w:p>
    <w:p w14:paraId="1EC62E9F">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本项目总投资</w:t>
      </w:r>
      <w:r>
        <w:rPr>
          <w:rFonts w:hint="eastAsia" w:eastAsia="仿宋_GB2312"/>
          <w:bCs/>
          <w:color w:val="auto"/>
          <w:kern w:val="0"/>
          <w:sz w:val="28"/>
          <w:szCs w:val="28"/>
          <w:lang w:val="en-US" w:eastAsia="zh-CN"/>
        </w:rPr>
        <w:t>10500</w:t>
      </w:r>
      <w:r>
        <w:rPr>
          <w:rFonts w:eastAsia="仿宋_GB2312"/>
          <w:bCs/>
          <w:color w:val="auto"/>
          <w:kern w:val="0"/>
          <w:sz w:val="28"/>
          <w:szCs w:val="28"/>
        </w:rPr>
        <w:t>万元，环保投资1</w:t>
      </w:r>
      <w:r>
        <w:rPr>
          <w:rFonts w:hint="eastAsia" w:eastAsia="仿宋_GB2312"/>
          <w:bCs/>
          <w:color w:val="auto"/>
          <w:kern w:val="0"/>
          <w:sz w:val="28"/>
          <w:szCs w:val="28"/>
          <w:lang w:val="en-US" w:eastAsia="zh-CN"/>
        </w:rPr>
        <w:t>50</w:t>
      </w:r>
      <w:r>
        <w:rPr>
          <w:rFonts w:eastAsia="仿宋_GB2312"/>
          <w:bCs/>
          <w:color w:val="auto"/>
          <w:kern w:val="0"/>
          <w:sz w:val="28"/>
          <w:szCs w:val="28"/>
        </w:rPr>
        <w:t>万元，占总投资的</w:t>
      </w:r>
      <w:r>
        <w:rPr>
          <w:rFonts w:hint="eastAsia" w:eastAsia="仿宋_GB2312"/>
          <w:bCs/>
          <w:color w:val="auto"/>
          <w:kern w:val="0"/>
          <w:sz w:val="28"/>
          <w:szCs w:val="28"/>
          <w:lang w:val="en-US" w:eastAsia="zh-CN"/>
        </w:rPr>
        <w:t>1.4</w:t>
      </w:r>
      <w:r>
        <w:rPr>
          <w:rFonts w:eastAsia="仿宋_GB2312"/>
          <w:bCs/>
          <w:color w:val="auto"/>
          <w:kern w:val="0"/>
          <w:sz w:val="28"/>
          <w:szCs w:val="28"/>
        </w:rPr>
        <w:t>%。</w:t>
      </w:r>
    </w:p>
    <w:p w14:paraId="33F74D33">
      <w:pPr>
        <w:widowControl/>
        <w:adjustRightInd w:val="0"/>
        <w:snapToGrid w:val="0"/>
        <w:spacing w:line="500" w:lineRule="exact"/>
        <w:ind w:firstLine="560" w:firstLineChars="200"/>
        <w:outlineLvl w:val="0"/>
        <w:rPr>
          <w:rFonts w:eastAsia="黑体"/>
          <w:color w:val="auto"/>
          <w:kern w:val="0"/>
          <w:sz w:val="28"/>
          <w:szCs w:val="28"/>
        </w:rPr>
      </w:pPr>
      <w:r>
        <w:rPr>
          <w:rFonts w:eastAsia="黑体"/>
          <w:color w:val="auto"/>
          <w:kern w:val="0"/>
          <w:sz w:val="28"/>
          <w:szCs w:val="28"/>
        </w:rPr>
        <w:t>二、承诺内容</w:t>
      </w:r>
      <w:bookmarkStart w:id="0" w:name="_GoBack"/>
      <w:bookmarkEnd w:id="0"/>
    </w:p>
    <w:p w14:paraId="31596349">
      <w:pPr>
        <w:adjustRightInd w:val="0"/>
        <w:snapToGrid w:val="0"/>
        <w:spacing w:line="500" w:lineRule="exact"/>
        <w:ind w:left="420" w:leftChars="200"/>
        <w:rPr>
          <w:rFonts w:eastAsia="仿宋_GB2312"/>
          <w:color w:val="auto"/>
          <w:sz w:val="28"/>
          <w:szCs w:val="28"/>
        </w:rPr>
      </w:pPr>
      <w:r>
        <w:rPr>
          <w:rFonts w:eastAsia="黑体"/>
          <w:color w:val="auto"/>
          <w:sz w:val="28"/>
          <w:szCs w:val="28"/>
        </w:rPr>
        <w:t>（一）甲方事项</w:t>
      </w:r>
    </w:p>
    <w:p w14:paraId="4D42C57B">
      <w:pPr>
        <w:adjustRightInd w:val="0"/>
        <w:snapToGrid w:val="0"/>
        <w:spacing w:line="500" w:lineRule="exact"/>
        <w:rPr>
          <w:rFonts w:eastAsia="仿宋_GB2312"/>
          <w:b/>
          <w:bCs/>
          <w:color w:val="auto"/>
          <w:sz w:val="28"/>
          <w:szCs w:val="28"/>
        </w:rPr>
      </w:pPr>
      <w:r>
        <w:rPr>
          <w:rFonts w:eastAsia="仿宋_GB2312"/>
          <w:color w:val="auto"/>
          <w:kern w:val="0"/>
          <w:sz w:val="28"/>
          <w:szCs w:val="28"/>
        </w:rPr>
        <w:t xml:space="preserve">     </w:t>
      </w:r>
      <w:r>
        <w:rPr>
          <w:rFonts w:eastAsia="仿宋_GB2312"/>
          <w:b/>
          <w:bCs/>
          <w:color w:val="auto"/>
          <w:kern w:val="0"/>
          <w:sz w:val="28"/>
          <w:szCs w:val="28"/>
        </w:rPr>
        <w:t>1、甲方承诺本项目不属于《临平区“区域环评+环境标准”改革实施方案》环评审批负面清单中的项目。详见附件。</w:t>
      </w:r>
    </w:p>
    <w:p w14:paraId="159ED0FC">
      <w:pPr>
        <w:widowControl/>
        <w:adjustRightInd w:val="0"/>
        <w:snapToGrid w:val="0"/>
        <w:spacing w:line="500" w:lineRule="exact"/>
        <w:ind w:firstLine="562" w:firstLineChars="200"/>
        <w:rPr>
          <w:rFonts w:eastAsia="仿宋"/>
          <w:color w:val="auto"/>
          <w:kern w:val="0"/>
          <w:sz w:val="28"/>
          <w:szCs w:val="28"/>
        </w:rPr>
      </w:pPr>
      <w:r>
        <w:rPr>
          <w:rFonts w:eastAsia="仿宋_GB2312"/>
          <w:b/>
          <w:color w:val="auto"/>
          <w:kern w:val="0"/>
          <w:sz w:val="28"/>
          <w:szCs w:val="28"/>
        </w:rPr>
        <w:t xml:space="preserve"> 2、甲方承诺项目建设期符合以下条件和标准:</w:t>
      </w:r>
    </w:p>
    <w:p w14:paraId="08C40A19">
      <w:pPr>
        <w:widowControl/>
        <w:adjustRightInd w:val="0"/>
        <w:snapToGrid w:val="0"/>
        <w:spacing w:line="480" w:lineRule="exact"/>
        <w:ind w:firstLine="560" w:firstLineChars="200"/>
        <w:rPr>
          <w:rFonts w:eastAsia="仿宋_GB2312"/>
          <w:bCs/>
          <w:color w:val="auto"/>
          <w:kern w:val="0"/>
          <w:sz w:val="28"/>
          <w:szCs w:val="28"/>
        </w:rPr>
      </w:pPr>
      <w:r>
        <w:rPr>
          <w:rFonts w:eastAsia="仿宋_GB2312"/>
          <w:bCs/>
          <w:color w:val="auto"/>
          <w:kern w:val="0"/>
          <w:sz w:val="28"/>
          <w:szCs w:val="28"/>
        </w:rPr>
        <w:t xml:space="preserve">（1）项目选址符合 “三线一单”生态环境分区管控要求。 </w:t>
      </w:r>
    </w:p>
    <w:p w14:paraId="63C41D8C">
      <w:pPr>
        <w:widowControl/>
        <w:adjustRightInd w:val="0"/>
        <w:snapToGrid w:val="0"/>
        <w:spacing w:line="480" w:lineRule="exact"/>
        <w:ind w:firstLine="560" w:firstLineChars="200"/>
        <w:rPr>
          <w:rFonts w:eastAsia="仿宋_GB2312"/>
          <w:bCs/>
          <w:color w:val="auto"/>
          <w:kern w:val="0"/>
          <w:sz w:val="28"/>
          <w:szCs w:val="28"/>
        </w:rPr>
      </w:pPr>
      <w:r>
        <w:rPr>
          <w:rFonts w:eastAsia="仿宋_GB2312"/>
          <w:bCs/>
          <w:color w:val="auto"/>
          <w:kern w:val="0"/>
          <w:sz w:val="28"/>
          <w:szCs w:val="28"/>
        </w:rPr>
        <w:t>（2）项目建设过程排放污染物符合国家、省规定的污染物排放标准要求。</w:t>
      </w:r>
    </w:p>
    <w:p w14:paraId="75AE7419">
      <w:pPr>
        <w:widowControl/>
        <w:adjustRightInd w:val="0"/>
        <w:snapToGrid w:val="0"/>
        <w:spacing w:line="480" w:lineRule="exact"/>
        <w:ind w:firstLine="560" w:firstLineChars="200"/>
        <w:rPr>
          <w:rFonts w:eastAsia="仿宋_GB2312"/>
          <w:bCs/>
          <w:color w:val="auto"/>
          <w:kern w:val="0"/>
          <w:sz w:val="28"/>
          <w:szCs w:val="28"/>
        </w:rPr>
      </w:pPr>
      <w:r>
        <w:rPr>
          <w:rFonts w:eastAsia="仿宋_GB2312"/>
          <w:bCs/>
          <w:color w:val="auto"/>
          <w:kern w:val="0"/>
          <w:sz w:val="28"/>
          <w:szCs w:val="28"/>
        </w:rPr>
        <w:t>（3）项目符合塘栖装备机械产业园区规划及其规划环评要求。</w:t>
      </w:r>
    </w:p>
    <w:p w14:paraId="40A8E708">
      <w:pPr>
        <w:widowControl/>
        <w:adjustRightInd w:val="0"/>
        <w:snapToGrid w:val="0"/>
        <w:spacing w:line="480" w:lineRule="exact"/>
        <w:ind w:firstLine="560" w:firstLineChars="200"/>
        <w:rPr>
          <w:rFonts w:eastAsia="仿宋_GB2312"/>
          <w:bCs/>
          <w:color w:val="auto"/>
          <w:kern w:val="0"/>
          <w:sz w:val="28"/>
          <w:szCs w:val="28"/>
        </w:rPr>
      </w:pPr>
      <w:r>
        <w:rPr>
          <w:rFonts w:eastAsia="仿宋_GB2312"/>
          <w:bCs/>
          <w:color w:val="auto"/>
          <w:kern w:val="0"/>
          <w:sz w:val="28"/>
          <w:szCs w:val="28"/>
        </w:rPr>
        <w:t>（4）建设项目环保设施与主体工程同时设计、同时施工、同时投产使用</w:t>
      </w:r>
      <w:r>
        <w:rPr>
          <w:rFonts w:hint="eastAsia" w:eastAsia="仿宋_GB2312"/>
          <w:bCs/>
          <w:color w:val="auto"/>
          <w:kern w:val="0"/>
          <w:sz w:val="28"/>
          <w:szCs w:val="28"/>
        </w:rPr>
        <w:t>，项目建成后，依照《建设项目环境保护管理条例》、《建设项目竣工环境保护验收暂行办法》及相关技术规范办理项目环境保护设施竣工验收，未完成环境保护设施竣工验收手续的，不得投入生产或者使用。</w:t>
      </w:r>
    </w:p>
    <w:p w14:paraId="2AB3F2CD">
      <w:pPr>
        <w:widowControl/>
        <w:adjustRightInd w:val="0"/>
        <w:snapToGrid w:val="0"/>
        <w:spacing w:line="480" w:lineRule="exact"/>
        <w:ind w:firstLine="560" w:firstLineChars="200"/>
        <w:rPr>
          <w:rFonts w:eastAsia="仿宋_GB2312"/>
          <w:bCs/>
          <w:color w:val="auto"/>
          <w:kern w:val="0"/>
          <w:sz w:val="28"/>
          <w:szCs w:val="28"/>
        </w:rPr>
      </w:pPr>
      <w:r>
        <w:rPr>
          <w:rFonts w:eastAsia="仿宋_GB2312"/>
          <w:bCs/>
          <w:color w:val="auto"/>
          <w:kern w:val="0"/>
          <w:sz w:val="28"/>
          <w:szCs w:val="28"/>
        </w:rPr>
        <w:t>（5）按法律法规规定申领排污许可证，并按照排污许可证的规定排放污染物。</w:t>
      </w:r>
    </w:p>
    <w:p w14:paraId="54767498">
      <w:pPr>
        <w:adjustRightInd w:val="0"/>
        <w:snapToGrid w:val="0"/>
        <w:spacing w:line="500" w:lineRule="exact"/>
        <w:ind w:firstLine="562" w:firstLineChars="200"/>
        <w:rPr>
          <w:rFonts w:eastAsia="仿宋_GB2312"/>
          <w:b/>
          <w:bCs/>
          <w:color w:val="auto"/>
          <w:kern w:val="0"/>
          <w:sz w:val="28"/>
          <w:szCs w:val="28"/>
        </w:rPr>
      </w:pPr>
      <w:r>
        <w:rPr>
          <w:rFonts w:eastAsia="仿宋_GB2312"/>
          <w:b/>
          <w:bCs/>
          <w:color w:val="auto"/>
          <w:kern w:val="0"/>
          <w:sz w:val="28"/>
          <w:szCs w:val="28"/>
        </w:rPr>
        <w:t xml:space="preserve"> 3、甲方承诺项目生产期符合以下条件和标准：</w:t>
      </w:r>
    </w:p>
    <w:p w14:paraId="5F63C80E">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（6）加强环保治理设施的运行维护，确保生产过程污染物排放符合国家、省规定的污染物排放标准。</w:t>
      </w:r>
    </w:p>
    <w:p w14:paraId="11FE9CF3">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（7）项目的污染防治措施须严格按照安全管理的相关法律法规和应急管理部门的要求实施，并委托有相应资质的设计单位对项目污染防治措施进行设计。</w:t>
      </w:r>
    </w:p>
    <w:p w14:paraId="6FD7E446">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（8）建设项目新增化学需氧量、氨氮、二氧化硫、氮氧化物、烟粉尘、挥发性有机物、重金属等主要污染物排放量须符合总量控制要求。</w:t>
      </w:r>
    </w:p>
    <w:p w14:paraId="485D5501">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（9）严格遵守环保法律、法规、环保管理制度，项目生产不对周围环境造成污染和生态破坏，同时自觉接受环保主管部门监督、检查。</w:t>
      </w:r>
    </w:p>
    <w:p w14:paraId="3F92DFB4">
      <w:pPr>
        <w:widowControl/>
        <w:adjustRightInd w:val="0"/>
        <w:snapToGrid w:val="0"/>
        <w:spacing w:line="500" w:lineRule="exact"/>
        <w:ind w:firstLine="560" w:firstLineChars="200"/>
        <w:rPr>
          <w:rFonts w:eastAsia="仿宋_GB2312"/>
          <w:bCs/>
          <w:color w:val="auto"/>
          <w:kern w:val="0"/>
          <w:sz w:val="28"/>
          <w:szCs w:val="28"/>
        </w:rPr>
      </w:pPr>
      <w:r>
        <w:rPr>
          <w:rFonts w:eastAsia="仿宋_GB2312"/>
          <w:bCs/>
          <w:color w:val="auto"/>
          <w:kern w:val="0"/>
          <w:sz w:val="28"/>
          <w:szCs w:val="28"/>
        </w:rPr>
        <w:t>（10）法律法规有规定的，从其规定。相关执行标准出台或修改，按新标准执行。</w:t>
      </w:r>
    </w:p>
    <w:p w14:paraId="009CDC27">
      <w:pPr>
        <w:widowControl/>
        <w:adjustRightInd w:val="0"/>
        <w:snapToGrid w:val="0"/>
        <w:spacing w:line="500" w:lineRule="exact"/>
        <w:ind w:firstLine="560"/>
        <w:rPr>
          <w:rFonts w:eastAsia="楷体_GB2312"/>
          <w:b/>
          <w:color w:val="auto"/>
          <w:kern w:val="0"/>
          <w:sz w:val="28"/>
          <w:szCs w:val="28"/>
        </w:rPr>
      </w:pPr>
      <w:r>
        <w:rPr>
          <w:rFonts w:eastAsia="楷体_GB2312"/>
          <w:b/>
          <w:color w:val="auto"/>
          <w:kern w:val="0"/>
          <w:sz w:val="28"/>
          <w:szCs w:val="28"/>
        </w:rPr>
        <w:t>（二）乙方承诺内容事项</w:t>
      </w:r>
    </w:p>
    <w:p w14:paraId="1CB67CE4">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乙方对企业提交的申请材料进行形式审查，对符合条件的出具备案意见。</w:t>
      </w:r>
    </w:p>
    <w:p w14:paraId="1FE1FD90">
      <w:pPr>
        <w:widowControl/>
        <w:adjustRightInd w:val="0"/>
        <w:snapToGrid w:val="0"/>
        <w:spacing w:line="500" w:lineRule="exact"/>
        <w:ind w:firstLine="560" w:firstLineChars="200"/>
        <w:rPr>
          <w:rFonts w:eastAsia="黑体"/>
          <w:color w:val="auto"/>
          <w:kern w:val="0"/>
          <w:sz w:val="28"/>
          <w:szCs w:val="28"/>
        </w:rPr>
      </w:pPr>
      <w:r>
        <w:rPr>
          <w:rFonts w:eastAsia="黑体"/>
          <w:color w:val="auto"/>
          <w:kern w:val="0"/>
          <w:sz w:val="28"/>
          <w:szCs w:val="28"/>
        </w:rPr>
        <w:t>三、违约责任</w:t>
      </w:r>
    </w:p>
    <w:p w14:paraId="3BC94E46">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一）甲方不履行承诺或者履行承诺不符合约定的，应当承担法律责任，按照《中华人民共和国环境保护法》、《中华人民共和国环境影响评价法》、《建设项目环境保护管理条例》、《浙江省建设项目环境保护管理办法》等相应法律法规进行处罚。同时，今后项目环评改革政策，按现有审批程序办理。</w:t>
      </w:r>
    </w:p>
    <w:p w14:paraId="34CCA42A">
      <w:pPr>
        <w:widowControl/>
        <w:adjustRightInd w:val="0"/>
        <w:snapToGrid w:val="0"/>
        <w:spacing w:line="500" w:lineRule="exact"/>
        <w:rPr>
          <w:rFonts w:eastAsia="黑体"/>
          <w:color w:val="auto"/>
          <w:kern w:val="0"/>
          <w:sz w:val="28"/>
          <w:szCs w:val="28"/>
        </w:rPr>
      </w:pPr>
      <w:r>
        <w:rPr>
          <w:rFonts w:eastAsia="黑体"/>
          <w:color w:val="auto"/>
          <w:kern w:val="0"/>
          <w:sz w:val="28"/>
          <w:szCs w:val="28"/>
        </w:rPr>
        <w:t>四、承诺书对承诺人具有法律效力，自双方签字盖章之日起生效。</w:t>
      </w:r>
    </w:p>
    <w:p w14:paraId="29C2C16A">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 xml:space="preserve">承诺方（甲方）： </w:t>
      </w:r>
    </w:p>
    <w:p w14:paraId="2F82D766">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法定代表人签字：</w:t>
      </w:r>
    </w:p>
    <w:p w14:paraId="498E405E">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联系电话：</w:t>
      </w:r>
    </w:p>
    <w:p w14:paraId="71482798">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行政主管部门（乙方）：（盖公章）</w:t>
      </w:r>
    </w:p>
    <w:p w14:paraId="7823DD10">
      <w:pPr>
        <w:widowControl/>
        <w:adjustRightInd w:val="0"/>
        <w:snapToGrid w:val="0"/>
        <w:spacing w:line="500" w:lineRule="exact"/>
        <w:ind w:firstLine="560" w:firstLineChars="200"/>
        <w:rPr>
          <w:rFonts w:eastAsia="仿宋_GB2312"/>
          <w:color w:val="auto"/>
          <w:kern w:val="0"/>
          <w:sz w:val="28"/>
          <w:szCs w:val="28"/>
        </w:rPr>
      </w:pPr>
      <w:r>
        <w:rPr>
          <w:rFonts w:eastAsia="仿宋_GB2312"/>
          <w:color w:val="auto"/>
          <w:kern w:val="0"/>
          <w:sz w:val="28"/>
          <w:szCs w:val="28"/>
        </w:rPr>
        <w:t xml:space="preserve"> </w:t>
      </w:r>
    </w:p>
    <w:p w14:paraId="12E4AFEB">
      <w:pPr>
        <w:spacing w:line="500" w:lineRule="exact"/>
        <w:ind w:right="840" w:rightChars="400"/>
        <w:jc w:val="right"/>
        <w:rPr>
          <w:color w:val="auto"/>
        </w:rPr>
      </w:pPr>
      <w:r>
        <w:rPr>
          <w:rFonts w:eastAsia="仿宋_GB2312"/>
          <w:color w:val="auto"/>
          <w:kern w:val="0"/>
          <w:sz w:val="28"/>
          <w:szCs w:val="28"/>
        </w:rPr>
        <w:t xml:space="preserve">                                年  月  日</w:t>
      </w:r>
      <w:r>
        <w:rPr>
          <w:rFonts w:eastAsia="仿宋_GB2312"/>
          <w:color w:val="auto"/>
          <w:spacing w:val="-6"/>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swiss"/>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0NTYzNzNlMmQxZDA4NjU2YWM5OGUzNDBjNmNmOWEifQ=="/>
  </w:docVars>
  <w:rsids>
    <w:rsidRoot w:val="003E4B43"/>
    <w:rsid w:val="00007092"/>
    <w:rsid w:val="000475F6"/>
    <w:rsid w:val="00072ED8"/>
    <w:rsid w:val="0018490E"/>
    <w:rsid w:val="001B24F0"/>
    <w:rsid w:val="001D0FED"/>
    <w:rsid w:val="001F3947"/>
    <w:rsid w:val="0022769A"/>
    <w:rsid w:val="00267BAB"/>
    <w:rsid w:val="00316228"/>
    <w:rsid w:val="00340163"/>
    <w:rsid w:val="00397249"/>
    <w:rsid w:val="003C53E3"/>
    <w:rsid w:val="003E4B43"/>
    <w:rsid w:val="00461885"/>
    <w:rsid w:val="004C20AA"/>
    <w:rsid w:val="00525ADC"/>
    <w:rsid w:val="005272B1"/>
    <w:rsid w:val="0054270D"/>
    <w:rsid w:val="005620BD"/>
    <w:rsid w:val="00584074"/>
    <w:rsid w:val="00587AA8"/>
    <w:rsid w:val="0060434C"/>
    <w:rsid w:val="00625470"/>
    <w:rsid w:val="00695A0B"/>
    <w:rsid w:val="0073617C"/>
    <w:rsid w:val="00736FDB"/>
    <w:rsid w:val="007726EF"/>
    <w:rsid w:val="007969AD"/>
    <w:rsid w:val="007E78D0"/>
    <w:rsid w:val="00840886"/>
    <w:rsid w:val="008965DD"/>
    <w:rsid w:val="00896979"/>
    <w:rsid w:val="0095507D"/>
    <w:rsid w:val="00955FC0"/>
    <w:rsid w:val="00992B49"/>
    <w:rsid w:val="009D39C8"/>
    <w:rsid w:val="009D42FD"/>
    <w:rsid w:val="00A33832"/>
    <w:rsid w:val="00A52B4A"/>
    <w:rsid w:val="00A93C67"/>
    <w:rsid w:val="00BD5957"/>
    <w:rsid w:val="00C1708C"/>
    <w:rsid w:val="00C85C0B"/>
    <w:rsid w:val="00CA646C"/>
    <w:rsid w:val="00CA6CEE"/>
    <w:rsid w:val="00CB797B"/>
    <w:rsid w:val="00D22E2B"/>
    <w:rsid w:val="00D447F2"/>
    <w:rsid w:val="00D50132"/>
    <w:rsid w:val="00D948FA"/>
    <w:rsid w:val="00DC769D"/>
    <w:rsid w:val="00DD3A2C"/>
    <w:rsid w:val="00DE4347"/>
    <w:rsid w:val="00DF7371"/>
    <w:rsid w:val="00E2622F"/>
    <w:rsid w:val="00E41DE8"/>
    <w:rsid w:val="00E7724A"/>
    <w:rsid w:val="00F04E22"/>
    <w:rsid w:val="00F20C67"/>
    <w:rsid w:val="00F51EA7"/>
    <w:rsid w:val="00FB7EA0"/>
    <w:rsid w:val="00FF5E09"/>
    <w:rsid w:val="052B1173"/>
    <w:rsid w:val="06F27A45"/>
    <w:rsid w:val="08D631A4"/>
    <w:rsid w:val="09851A3D"/>
    <w:rsid w:val="0B422D73"/>
    <w:rsid w:val="0F7B4107"/>
    <w:rsid w:val="11266C74"/>
    <w:rsid w:val="16E15B36"/>
    <w:rsid w:val="1B6A434C"/>
    <w:rsid w:val="1CBC0BD7"/>
    <w:rsid w:val="1DA67191"/>
    <w:rsid w:val="22E5250A"/>
    <w:rsid w:val="231A0405"/>
    <w:rsid w:val="23DC4779"/>
    <w:rsid w:val="2403533D"/>
    <w:rsid w:val="27AB3D22"/>
    <w:rsid w:val="2D306A77"/>
    <w:rsid w:val="333B43A1"/>
    <w:rsid w:val="343E7CCC"/>
    <w:rsid w:val="352C3FC8"/>
    <w:rsid w:val="36B83D65"/>
    <w:rsid w:val="3B650F14"/>
    <w:rsid w:val="3B8C756F"/>
    <w:rsid w:val="41AC096A"/>
    <w:rsid w:val="42EB7271"/>
    <w:rsid w:val="441A605F"/>
    <w:rsid w:val="48256AF5"/>
    <w:rsid w:val="4A114D9C"/>
    <w:rsid w:val="4D4B18E5"/>
    <w:rsid w:val="4E597784"/>
    <w:rsid w:val="4E8A2033"/>
    <w:rsid w:val="52732204"/>
    <w:rsid w:val="55C4407D"/>
    <w:rsid w:val="56132402"/>
    <w:rsid w:val="562E599A"/>
    <w:rsid w:val="57354706"/>
    <w:rsid w:val="575F5197"/>
    <w:rsid w:val="5A0B518C"/>
    <w:rsid w:val="5DA070B4"/>
    <w:rsid w:val="606C764F"/>
    <w:rsid w:val="614D13CA"/>
    <w:rsid w:val="61A92B05"/>
    <w:rsid w:val="62D55AC9"/>
    <w:rsid w:val="65FC6F1B"/>
    <w:rsid w:val="6DC347C2"/>
    <w:rsid w:val="70840239"/>
    <w:rsid w:val="710F044A"/>
    <w:rsid w:val="74E67714"/>
    <w:rsid w:val="798C7179"/>
    <w:rsid w:val="7A796935"/>
    <w:rsid w:val="7E5A4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link w:val="13"/>
    <w:semiHidden/>
    <w:unhideWhenUsed/>
    <w:qFormat/>
    <w:uiPriority w:val="99"/>
    <w:rPr>
      <w:rFonts w:ascii="仿宋" w:hAnsi="仿宋" w:eastAsia="仿宋" w:cs="宋体"/>
      <w:sz w:val="30"/>
      <w:szCs w:val="30"/>
    </w:rPr>
  </w:style>
  <w:style w:type="paragraph" w:styleId="4">
    <w:name w:val="Balloon Text"/>
    <w:basedOn w:val="1"/>
    <w:link w:val="15"/>
    <w:autoRedefine/>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7"/>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autoRedefine/>
    <w:qFormat/>
    <w:uiPriority w:val="99"/>
    <w:rPr>
      <w:sz w:val="18"/>
      <w:szCs w:val="18"/>
    </w:rPr>
  </w:style>
  <w:style w:type="character" w:customStyle="1" w:styleId="12">
    <w:name w:val="页脚 字符"/>
    <w:basedOn w:val="9"/>
    <w:link w:val="5"/>
    <w:autoRedefine/>
    <w:qFormat/>
    <w:uiPriority w:val="99"/>
    <w:rPr>
      <w:sz w:val="18"/>
      <w:szCs w:val="18"/>
    </w:rPr>
  </w:style>
  <w:style w:type="character" w:customStyle="1" w:styleId="13">
    <w:name w:val="正文文本 字符"/>
    <w:basedOn w:val="9"/>
    <w:link w:val="3"/>
    <w:autoRedefine/>
    <w:semiHidden/>
    <w:qFormat/>
    <w:uiPriority w:val="99"/>
    <w:rPr>
      <w:rFonts w:ascii="仿宋" w:hAnsi="仿宋" w:eastAsia="仿宋" w:cs="宋体"/>
      <w:sz w:val="30"/>
      <w:szCs w:val="30"/>
    </w:rPr>
  </w:style>
  <w:style w:type="paragraph" w:customStyle="1" w:styleId="14">
    <w:name w:val="①报告表正文"/>
    <w:basedOn w:val="1"/>
    <w:autoRedefine/>
    <w:qFormat/>
    <w:uiPriority w:val="0"/>
    <w:pPr>
      <w:spacing w:line="360" w:lineRule="auto"/>
      <w:ind w:firstLine="200" w:firstLineChars="200"/>
    </w:pPr>
    <w:rPr>
      <w:sz w:val="24"/>
      <w:szCs w:val="24"/>
    </w:rPr>
  </w:style>
  <w:style w:type="character" w:customStyle="1" w:styleId="15">
    <w:name w:val="批注框文本 字符"/>
    <w:basedOn w:val="9"/>
    <w:link w:val="4"/>
    <w:autoRedefine/>
    <w:semiHidden/>
    <w:qFormat/>
    <w:uiPriority w:val="99"/>
    <w:rPr>
      <w:rFonts w:ascii="Times New Roman" w:hAnsi="Times New Roman" w:eastAsia="宋体" w:cs="Times New Roman"/>
      <w:kern w:val="2"/>
      <w:sz w:val="18"/>
      <w:szCs w:val="18"/>
    </w:rPr>
  </w:style>
  <w:style w:type="character" w:customStyle="1" w:styleId="16">
    <w:name w:val="批注文字 字符"/>
    <w:basedOn w:val="9"/>
    <w:link w:val="2"/>
    <w:semiHidden/>
    <w:qFormat/>
    <w:uiPriority w:val="99"/>
    <w:rPr>
      <w:rFonts w:ascii="Times New Roman" w:hAnsi="Times New Roman" w:eastAsia="宋体" w:cs="Times New Roman"/>
      <w:kern w:val="2"/>
      <w:sz w:val="21"/>
      <w:szCs w:val="21"/>
    </w:rPr>
  </w:style>
  <w:style w:type="character" w:customStyle="1" w:styleId="17">
    <w:name w:val="批注主题 字符"/>
    <w:basedOn w:val="16"/>
    <w:link w:val="7"/>
    <w:semiHidden/>
    <w:qFormat/>
    <w:uiPriority w:val="99"/>
    <w:rPr>
      <w:rFonts w:ascii="Times New Roman" w:hAnsi="Times New Roman" w:eastAsia="宋体" w:cs="Times New Roman"/>
      <w:b/>
      <w:bCs/>
      <w:kern w:val="2"/>
      <w:sz w:val="21"/>
      <w:szCs w:val="21"/>
    </w:rPr>
  </w:style>
  <w:style w:type="paragraph" w:customStyle="1" w:styleId="18">
    <w:name w:val="正文首行缩进2个字 Char"/>
    <w:basedOn w:val="1"/>
    <w:autoRedefine/>
    <w:qFormat/>
    <w:uiPriority w:val="0"/>
    <w:pPr>
      <w:ind w:firstLine="480" w:firstLineChars="200"/>
    </w:pPr>
    <w:rPr>
      <w:rFonts w:ascii="Calibri" w:hAnsi="Calibri" w:eastAsia="楷体"/>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1576</Words>
  <Characters>1633</Characters>
  <Lines>13</Lines>
  <Paragraphs>3</Paragraphs>
  <TotalTime>6</TotalTime>
  <ScaleCrop>false</ScaleCrop>
  <LinksUpToDate>false</LinksUpToDate>
  <CharactersWithSpaces>1684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2024-11-15T01:02:00Z</dcterms:created>
  <dc:creator>H</dc:creator>
  <cp:lastModifiedBy>katty</cp:lastModifiedBy>
  <cp:lastPrinted>2024-03-21T01:07:00Z</cp:lastPrinted>
  <dcterms:modified xsi:type="dcterms:W3CDTF">2025-08-26T07:19:54Z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5AE0AB07BE0940C68F2D1851CF6A8372_13</vt:lpwstr>
  </property>
  <property fmtid="{D5CDD505-2E9C-101B-9397-08002B2CF9AE}" pid="4" name="KSOTemplateDocerSaveRecord">
    <vt:lpwstr>eyJoZGlkIjoiN2VlZTAzYWU4YjM4ODg0Zjg0YjE4ZjgyNGU5Yzg3ODAiLCJ1c2VySWQiOiIxMDEwOTYyOTU2In0=</vt:lpwstr>
  </property>
</Properties>
</file>